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D92B" w14:textId="6F2187DA" w:rsidR="005F762A" w:rsidRDefault="00D74111">
      <w:pPr>
        <w:rPr>
          <w:vanish/>
        </w:rPr>
      </w:pPr>
      <w:r>
        <w:rPr>
          <w:rFonts w:ascii="宋体" w:eastAsia="宋体" w:hAnsi="宋体" w:cs="宋体"/>
        </w:rPr>
        <w:t xml:space="preserve"> </w:t>
      </w:r>
      <w:r>
        <w:rPr>
          <w:rFonts w:ascii="宋体" w:eastAsia="宋体" w:hAnsi="宋体" w:cs="宋体"/>
          <w:vanish/>
        </w:rPr>
        <w:t>0001065088FALSE2021Q112/310.8700010650882021-01-012021-03-31xbrli:shares00010650882021-04-26iso4217:USD00010650882021-03-3100010650882020-12-31iso4217:USDxbrli:shares00010650882020-01-012020-03-310001065088us-gaap:CommonStockMember2020-12-310001065088us-ga</w:t>
      </w:r>
      <w:r>
        <w:rPr>
          <w:rFonts w:ascii="宋体" w:eastAsia="宋体" w:hAnsi="宋体" w:cs="宋体"/>
          <w:vanish/>
        </w:rPr>
        <w:t>ap:CommonStockMember2019-12-310001065088us-gaap:CommonStockMember2021-01-012021-03-310001065088us-gaap:CommonStockMember2020-01-012020-03-310001065088us-gaap:CommonStockMember2021-03-310001065088us-gaap:CommonStockMember2020-03-310001065088us-gaap:Addition</w:t>
      </w:r>
      <w:r>
        <w:rPr>
          <w:rFonts w:ascii="宋体" w:eastAsia="宋体" w:hAnsi="宋体" w:cs="宋体"/>
          <w:vanish/>
        </w:rPr>
        <w:t>alPaidInCapitalMember2020-12-310001065088us-gaap:AdditionalPaidInCapitalMember2019-12-310001065088us-gaap:AdditionalPaidInCapitalMember2021-01-012021-03-310001065088us-gaap:AdditionalPaidInCapitalMember2020-01-012020-03-310001065088us-gaap:AdditionalPaidIn</w:t>
      </w:r>
      <w:r>
        <w:rPr>
          <w:rFonts w:ascii="宋体" w:eastAsia="宋体" w:hAnsi="宋体" w:cs="宋体"/>
          <w:vanish/>
        </w:rPr>
        <w:t>CapitalMember2021-03-310001065088us-gaap:AdditionalPaidInCapitalMember2020-03-310001065088us-gaap:TreasuryStockMember2020-12-310001065088us-gaap:TreasuryStockMember2019-12-310001065088us-gaap:TreasuryStockMember2021-01-012021-03-310001065088us-gaap:Treasur</w:t>
      </w:r>
      <w:r>
        <w:rPr>
          <w:rFonts w:ascii="宋体" w:eastAsia="宋体" w:hAnsi="宋体" w:cs="宋体"/>
          <w:vanish/>
        </w:rPr>
        <w:t>yStockMember2020-01-012020-03-310001065088us-gaap:TreasuryStockMember2021-03-310001065088us-gaap:TreasuryStockMember2020-03-310001065088us-gaap:RetainedEarningsMember2020-12-310001065088us-gaap:RetainedEarningsMember2019-12-310001065088us-gaap:RetainedEarn</w:t>
      </w:r>
      <w:r>
        <w:rPr>
          <w:rFonts w:ascii="宋体" w:eastAsia="宋体" w:hAnsi="宋体" w:cs="宋体"/>
          <w:vanish/>
        </w:rPr>
        <w:t>ingsMember2021-01-012021-03-310001065088us-gaap:RetainedEarningsMember2020-01-012020-03-310001065088us-gaap:RetainedEarningsMember2021-03-310001065088us-gaap:RetainedEarningsMember2020-03-310001065088us-gaap:AccumulatedOtherComprehensiveIncomeMember2020-12</w:t>
      </w:r>
      <w:r>
        <w:rPr>
          <w:rFonts w:ascii="宋体" w:eastAsia="宋体" w:hAnsi="宋体" w:cs="宋体"/>
          <w:vanish/>
        </w:rPr>
        <w:t>-310001065088us-gaap:AccumulatedOtherComprehensiveIncomeMember2019-12-310001065088us-gaap:AccumulatedOtherComprehensiveIncomeMember2021-01-012021-03-310001065088us-gaap:AccumulatedOtherComprehensiveIncomeMember2020-01-012020-03-310001065088us-gaap:Accumula</w:t>
      </w:r>
      <w:r>
        <w:rPr>
          <w:rFonts w:ascii="宋体" w:eastAsia="宋体" w:hAnsi="宋体" w:cs="宋体"/>
          <w:vanish/>
        </w:rPr>
        <w:t>tedOtherComprehensiveIncomeMember2021-03-310001065088us-gaap:AccumulatedOtherComprehensiveIncomeMember2020-03-3100010650882020-03-3100010650882019-12-310001065088us-gaap:DiscontinuedOperationsHeldforsaleMember2021-03-310001065088us-gaap:DiscontinuedOperati</w:t>
      </w:r>
      <w:r>
        <w:rPr>
          <w:rFonts w:ascii="宋体" w:eastAsia="宋体" w:hAnsi="宋体" w:cs="宋体"/>
          <w:vanish/>
        </w:rPr>
        <w:t>onsHeldforsaleMember2020-03-310001065088srt:ScenarioForecastMemberus-gaap:DiscontinuedOperationsHeldforsaleMemberebay:ClassifiedsBusinessMember2021-04-012021-06-300001065088us-gaap:DiscontinuedOperationsHeldforsaleMemberebay:ClassifiedsBusinessMember2020-0</w:t>
      </w:r>
      <w:r>
        <w:rPr>
          <w:rFonts w:ascii="宋体" w:eastAsia="宋体" w:hAnsi="宋体" w:cs="宋体"/>
          <w:vanish/>
        </w:rPr>
        <w:t>7-170001065088us-gaap:DiscontinuedOperationsDisposedOfBySaleMemberebay:StubHubMember2020-02-130001065088us-gaap:DiscontinuedOperationsDisposedOfBySaleMemberebay:StubHubMember2020-02-132020-02-130001065088srt:MinimumMember2020-02-132020-02-130001065088srt:M</w:t>
      </w:r>
      <w:r>
        <w:rPr>
          <w:rFonts w:ascii="宋体" w:eastAsia="宋体" w:hAnsi="宋体" w:cs="宋体"/>
          <w:vanish/>
        </w:rPr>
        <w:t>aximumMember2020-02-132020-02-1300010650882020-02-132020-02-130001065088srt:ScenarioForecastMember2021-12-310001065088ebay:ClassifiedsBusinessMember2021-01-012021-03-310001065088ebay:ClassifiedsBusinessMember2020-01-012020-03-310001065088ebay:StubHubMember</w:t>
      </w:r>
      <w:r>
        <w:rPr>
          <w:rFonts w:ascii="宋体" w:eastAsia="宋体" w:hAnsi="宋体" w:cs="宋体"/>
          <w:vanish/>
        </w:rPr>
        <w:t>2021-01-012021-03-310001065088ebay:StubHubMember2020-01-012020-03-310001065088ebay:PaypalAndEnterpriseMember2021-01-012021-03-310001065088ebay:PaypalAndEnterpriseMember2020-01-012020-03-310001065088srt:ConsolidationEliminationsMember2021-01-012021-03-31000</w:t>
      </w:r>
      <w:r>
        <w:rPr>
          <w:rFonts w:ascii="宋体" w:eastAsia="宋体" w:hAnsi="宋体" w:cs="宋体"/>
          <w:vanish/>
        </w:rPr>
        <w:t>1065088srt:ConsolidationEliminationsMember2020-01-012020-03-310001065088ebay:ClassifiedsBusinessMember2021-03-310001065088ebay:ClassifiedsBusinessMember2020-12-31ebay:segment0001065088us-gaap:OperatingSegmentsMemberebay:NetTransactionRevenuesMember2021-01-</w:t>
      </w:r>
      <w:r>
        <w:rPr>
          <w:rFonts w:ascii="宋体" w:eastAsia="宋体" w:hAnsi="宋体" w:cs="宋体"/>
          <w:vanish/>
        </w:rPr>
        <w:t>012021-03-310001065088us-gaap:OperatingSegmentsMemberebay:NetTransactionRevenuesMember2020-01-012020-03-310001065088ebay:MarketingServicesAndOtherRevenuesMemberus-gaap:OperatingSegmentsMember2021-01-012021-03-310001065088ebay:MarketingServicesAndOtherReven</w:t>
      </w:r>
      <w:r>
        <w:rPr>
          <w:rFonts w:ascii="宋体" w:eastAsia="宋体" w:hAnsi="宋体" w:cs="宋体"/>
          <w:vanish/>
        </w:rPr>
        <w:t>uesMemberus-gaap:OperatingSegmentsMember2020-01-012020-03-310001065088us-gaap:OperatingSegmentsMember2021-01-012021-03-310001065088us-gaap:OperatingSegmentsMember2020-01-012020-03-310001065088country:US2021-01-012021-03-310001065088country:US2020-01-012020</w:t>
      </w:r>
      <w:r>
        <w:rPr>
          <w:rFonts w:ascii="宋体" w:eastAsia="宋体" w:hAnsi="宋体" w:cs="宋体"/>
          <w:vanish/>
        </w:rPr>
        <w:t>-03-310001065088country:GB2021-01-012021-03-310001065088country:GB2020-01-012020-03-310001065088country:KR2021-01-012021-03-310001065088country:KR2020-01-012020-03-310001065088country:DE2021-01-012021-03-310001065088country:DE2020-01-012020-03-310001065088</w:t>
      </w:r>
      <w:r>
        <w:rPr>
          <w:rFonts w:ascii="宋体" w:eastAsia="宋体" w:hAnsi="宋体" w:cs="宋体"/>
          <w:vanish/>
        </w:rPr>
        <w:t>ebay:RestofWorldMember2021-01-012021-03-310001065088ebay:RestofWorldMember2020-01-012020-03-310001065088us-gaap:ShortTermInvestmentsMemberebay:RestrictedCashMember2021-03-310001065088us-gaap:ShortTermInvestmentsMemberus-gaap:CorporateDebtSecuritiesMember20</w:t>
      </w:r>
      <w:r>
        <w:rPr>
          <w:rFonts w:ascii="宋体" w:eastAsia="宋体" w:hAnsi="宋体" w:cs="宋体"/>
          <w:vanish/>
        </w:rPr>
        <w:t>21-03-310001065088us-gaap:ShortTermInvestmentsMemberus-gaap:USTreasuryAndGovernmentMember2021-03-310001065088us-gaap:ShortTermInvestmentsMember2021-03-310001065088ebay:LongTermInvestmentMemberus-gaap:CorporateDebtSecuritiesMember2021-03-310001065088ebay:Lo</w:t>
      </w:r>
      <w:r>
        <w:rPr>
          <w:rFonts w:ascii="宋体" w:eastAsia="宋体" w:hAnsi="宋体" w:cs="宋体"/>
          <w:vanish/>
        </w:rPr>
        <w:t>ngTermInvestmentMemberus-gaap:USTreasuryAndGovernmentMember2021-03-310001065088ebay:LongTermInvestmentMember2021-03-310001065088us-gaap:ShortTermInvestmentsMemberebay:RestrictedCashMember2020-12-310001065088us-gaap:ShortTermInvestmentsMemberus-gaap:Corpora</w:t>
      </w:r>
      <w:r>
        <w:rPr>
          <w:rFonts w:ascii="宋体" w:eastAsia="宋体" w:hAnsi="宋体" w:cs="宋体"/>
          <w:vanish/>
        </w:rPr>
        <w:t>teDebtSecuritiesMember2020-12-310001065088us-gaap:ShortTermInvestmentsMember2020-12-310001065088ebay:LongTermInvestmentMemberus-gaap:CorporateDebtSecuritiesMember2020-12-310001065088ebay:LongTermInvestmentMember2020-12-310001065088us-gaap:DesignatedAsHedgi</w:t>
      </w:r>
      <w:r>
        <w:rPr>
          <w:rFonts w:ascii="宋体" w:eastAsia="宋体" w:hAnsi="宋体" w:cs="宋体"/>
          <w:vanish/>
        </w:rPr>
        <w:t>ngInstrumentMembersrt:MinimumMemberus-gaap:ForeignExchangeContractMember2021-01-012021-03-310001065088us-gaap:DesignatedAsHedgingInstrumentMembersrt:MaximumMemberus-gaap:ForeignExchangeContractMember2021-01-012021-03-310001065088us-gaap:DesignatedAsHedging</w:t>
      </w:r>
      <w:r>
        <w:rPr>
          <w:rFonts w:ascii="宋体" w:eastAsia="宋体" w:hAnsi="宋体" w:cs="宋体"/>
          <w:vanish/>
        </w:rPr>
        <w:t>InstrumentMemberus-gaap:CashFlowHedgingMembersrt:MaximumMemberus-gaap:ForeignExchangeContractMember2021-01-012021-03-310001065088us-gaap:DesignatedAsHedgingInstrumentMemberebay:ForwardStartingInterestRateSwapMemberus-gaap:CashFlowHedgingMember2021-03-31000</w:t>
      </w:r>
      <w:r>
        <w:rPr>
          <w:rFonts w:ascii="宋体" w:eastAsia="宋体" w:hAnsi="宋体" w:cs="宋体"/>
          <w:vanish/>
        </w:rPr>
        <w:t>1065088us-gaap:DesignatedAsHedgingInstrumentMemberebay:ForwardStartingInterestRateSwapMemberus-gaap:CashFlowHedgingMember2021-01-012021-03-310001065088us-gaap:DesignatedAsHedgingInstrumentMemberebay:FloatingToFixedInterestRateSwapMemberus-gaap:CashFlowHedg</w:t>
      </w:r>
      <w:r>
        <w:rPr>
          <w:rFonts w:ascii="宋体" w:eastAsia="宋体" w:hAnsi="宋体" w:cs="宋体"/>
          <w:vanish/>
        </w:rPr>
        <w:t>ingMember2021-03-31xbrli:pure0001065088us-gaap:WarrantMember2021-03-31ebay:tranche0001065088us-gaap:DesignatedAsHedgingInstrumentMemberus-gaap:OtherCurrentAssetsMemberus-gaap:CashFlowHedgingMemberus-gaap:ForeignExchangeContractMember2021-03-310001065088us-</w:t>
      </w:r>
      <w:r>
        <w:rPr>
          <w:rFonts w:ascii="宋体" w:eastAsia="宋体" w:hAnsi="宋体" w:cs="宋体"/>
          <w:vanish/>
        </w:rPr>
        <w:t>gaap:DesignatedAsHedgingInstrumentMemberus-gaap:OtherCurrentAssetsMemberus-gaap:CashFlowHedgingMemberus-gaap:ForeignExchangeContractMember2020-12-310001065088us-gaap:DesignatedAsHedgingInstrumentMemberus-gaap:OtherCurrentAssetsMemberus-gaap:NetInvestmentHe</w:t>
      </w:r>
      <w:r>
        <w:rPr>
          <w:rFonts w:ascii="宋体" w:eastAsia="宋体" w:hAnsi="宋体" w:cs="宋体"/>
          <w:vanish/>
        </w:rPr>
        <w:t>dgingMemberus-gaap:ForeignExchangeContractMember2021-03-310001065088us-gaap:DesignatedAsHedgingInstrumentMemberus-gaap:OtherCurrentAssetsMemberus-gaap:NetInvestmentHedgingMemberus-gaap:ForeignExchangeContractMember2020-12-310001065088us-gaap:NondesignatedM</w:t>
      </w:r>
      <w:r>
        <w:rPr>
          <w:rFonts w:ascii="宋体" w:eastAsia="宋体" w:hAnsi="宋体" w:cs="宋体"/>
          <w:vanish/>
        </w:rPr>
        <w:t>emberus-gaap:OtherCurrentAssetsMemberus-gaap:ForeignExchangeContractMember2021-03-310001065088us-gaap:NondesignatedMemberus-gaap:OtherCurrentAssetsMemberus-gaap:ForeignExchangeContractMember2020-12-310001065088us-gaap:DesignatedAsHedgingInstrumentMemberus-</w:t>
      </w:r>
      <w:r>
        <w:rPr>
          <w:rFonts w:ascii="宋体" w:eastAsia="宋体" w:hAnsi="宋体" w:cs="宋体"/>
          <w:vanish/>
        </w:rPr>
        <w:t>gaap:OtherCurrentAssetsMemberus-gaap:InterestRateContractMember2021-03-310001065088us-gaap:DesignatedAsHedgingInstrumentMemberus-gaap:OtherCurrentAssetsMemberus-gaap:InterestRateContractMember2020-12-310001065088us-gaap:DesignatedAsHedgingInstrumentMembere</w:t>
      </w:r>
      <w:r>
        <w:rPr>
          <w:rFonts w:ascii="宋体" w:eastAsia="宋体" w:hAnsi="宋体" w:cs="宋体"/>
          <w:vanish/>
        </w:rPr>
        <w:t>bay:WarrantAssetMemberus-gaap:FairValueHedgingMemberus-gaap:WarrantMember2021-03-310001065088us-gaap:DesignatedAsHedgingInstrumentMemberebay:WarrantAssetMemberus-gaap:FairValueHedgingMemberus-gaap:WarrantMember2020-12-310001065088us-gaap:DesignatedAsHedgin</w:t>
      </w:r>
      <w:r>
        <w:rPr>
          <w:rFonts w:ascii="宋体" w:eastAsia="宋体" w:hAnsi="宋体" w:cs="宋体"/>
          <w:vanish/>
        </w:rPr>
        <w:t>gInstrumentMemberus-gaap:OtherAssetsMemberus-gaap:CashFlowHedgingMemberus-gaap:ForeignExchangeContractMember2021-03-310001065088us-gaap:DesignatedAsHedgingInstrumentMemberus-gaap:OtherAssetsMemberus-gaap:CashFlowHedgingMemberus-gaap:ForeignExchangeContract</w:t>
      </w:r>
      <w:r>
        <w:rPr>
          <w:rFonts w:ascii="宋体" w:eastAsia="宋体" w:hAnsi="宋体" w:cs="宋体"/>
          <w:vanish/>
        </w:rPr>
        <w:t>Member2020-12-310001065088us-gaap:DesignatedAsHedgingInstrumentMemberus-gaap:OtherCurrentAssetsMemberus-gaap:CashFlowHedgingMemberus-gaap:InterestRateContractMember2021-03-310001065088us-gaap:DesignatedAsHedgingInstrumentMemberus-gaap:OtherCurrentAssetsMem</w:t>
      </w:r>
      <w:r>
        <w:rPr>
          <w:rFonts w:ascii="宋体" w:eastAsia="宋体" w:hAnsi="宋体" w:cs="宋体"/>
          <w:vanish/>
        </w:rPr>
        <w:t>berus-gaap:CashFlowHedgingMemberus-gaap:InterestRateContractMember2020-12-310001065088us-gaap:DesignatedAsHedgingInstrumentMemberus-gaap:OtherCurrentLiabilitiesMemberus-gaap:CashFlowHedgingMemberus-gaap:ForeignExchangeContractMember2021-03-310001065088us-g</w:t>
      </w:r>
      <w:r>
        <w:rPr>
          <w:rFonts w:ascii="宋体" w:eastAsia="宋体" w:hAnsi="宋体" w:cs="宋体"/>
          <w:vanish/>
        </w:rPr>
        <w:t>aap:DesignatedAsHedgingInstrumentMemberus-gaap:OtherCurrentLiabilitiesMemberus-gaap:CashFlowHedgingMemberus-gaap:ForeignExchangeContractMember2020-12-310001065088us-gaap:DesignatedAsHedgingInstrumentMemberus-gaap:OtherCurrentLiabilitiesMemberus-gaap:NetInv</w:t>
      </w:r>
      <w:r>
        <w:rPr>
          <w:rFonts w:ascii="宋体" w:eastAsia="宋体" w:hAnsi="宋体" w:cs="宋体"/>
          <w:vanish/>
        </w:rPr>
        <w:t>estmentHedgingMemberus-gaap:ForeignExchangeContractMember2021-03-310001065088us-gaap:DesignatedAsHedgingInstrumentMemberus-gaap:OtherCurrentLiabilitiesMemberus-gaap:NetInvestmentHedgingMemberus-gaap:ForeignExchangeContractMember2020-12-310001065088us-gaap:</w:t>
      </w:r>
      <w:r>
        <w:rPr>
          <w:rFonts w:ascii="宋体" w:eastAsia="宋体" w:hAnsi="宋体" w:cs="宋体"/>
          <w:vanish/>
        </w:rPr>
        <w:t>NondesignatedMemberus-gaap:OtherCurrentLiabilitiesMemberus-gaap:ForeignExchangeContractMember2021-03-310001065088us-gaap:NondesignatedMemberus-gaap:OtherCurrentLiabilitiesMemberus-gaap:ForeignExchangeContractMember2020-12-310001065088us-gaap:DesignatedAsHe</w:t>
      </w:r>
      <w:r>
        <w:rPr>
          <w:rFonts w:ascii="宋体" w:eastAsia="宋体" w:hAnsi="宋体" w:cs="宋体"/>
          <w:vanish/>
        </w:rPr>
        <w:t>dgingInstrumentMemberus-gaap:OtherCurrentLiabilitiesMemberus-gaap:CashFlowHedgingMemberus-gaap:InterestRateContractMember2021-03-310001065088us-gaap:DesignatedAsHedgingInstrumentMemberus-gaap:OtherCurrentLiabilitiesMemberus-gaap:CashFlowHedgingMemberus-gaa</w:t>
      </w:r>
      <w:r>
        <w:rPr>
          <w:rFonts w:ascii="宋体" w:eastAsia="宋体" w:hAnsi="宋体" w:cs="宋体"/>
          <w:vanish/>
        </w:rPr>
        <w:t>p:InterestRateContractMember2020-12-310001065088us-gaap:DesignatedAsHedgingInstrumentMemberus-gaap:CashFlowHedgingMemberus-gaap:OtherLiabilitiesMemberus-gaap:InterestRateContractMember2021-03-310001065088us-gaap:DesignatedAsHedgingInstrumentMemberus-gaap:C</w:t>
      </w:r>
      <w:r>
        <w:rPr>
          <w:rFonts w:ascii="宋体" w:eastAsia="宋体" w:hAnsi="宋体" w:cs="宋体"/>
          <w:vanish/>
        </w:rPr>
        <w:t>ashFlowHedgingMemberus-gaap:OtherLiabilitiesMemberus-gaap:InterestRateContractMember2020-12-310001065088us-gaap:ForeignExchangeContractMember2021-03-310001065088us-gaap:InterestRateContractMember2021-03-310001065088us-gaap:DesignatedAsHedgingInstrumentMemb</w:t>
      </w:r>
      <w:r>
        <w:rPr>
          <w:rFonts w:ascii="宋体" w:eastAsia="宋体" w:hAnsi="宋体" w:cs="宋体"/>
          <w:vanish/>
        </w:rPr>
        <w:t>erus-gaap:CashFlowHedgingMemberus-gaap:ForeignExchangeContractMember2020-12-310001065088us-gaap:DesignatedAsHedgingInstrumentMemberus-gaap:CashFlowHedgingMemberus-gaap:ForeignExchangeContractMember2021-01-012021-03-310001065088us-gaap:DesignatedAsHedgingIn</w:t>
      </w:r>
      <w:r>
        <w:rPr>
          <w:rFonts w:ascii="宋体" w:eastAsia="宋体" w:hAnsi="宋体" w:cs="宋体"/>
          <w:vanish/>
        </w:rPr>
        <w:t>strumentMemberus-gaap:CashFlowHedgingMemberus-gaap:ForeignExchangeContractMember2021-03-310001065088us-gaap:DesignatedAsHedgingInstrumentMemberus-gaap:CashFlowHedgingMemberus-gaap:InterestRateContractMember2020-12-310001065088us-gaap:DesignatedAsHedgingIns</w:t>
      </w:r>
      <w:r>
        <w:rPr>
          <w:rFonts w:ascii="宋体" w:eastAsia="宋体" w:hAnsi="宋体" w:cs="宋体"/>
          <w:vanish/>
        </w:rPr>
        <w:t>trumentMemberus-gaap:CashFlowHedgingMemberus-gaap:InterestRateContractMember2021-01-012021-03-310001065088us-gaap:DesignatedAsHedgingInstrumentMemberus-gaap:CashFlowHedgingMemberus-gaap:InterestRateContractMember2021-03-310001065088us-gaap:DesignatedAsHedg</w:t>
      </w:r>
      <w:r>
        <w:rPr>
          <w:rFonts w:ascii="宋体" w:eastAsia="宋体" w:hAnsi="宋体" w:cs="宋体"/>
          <w:vanish/>
        </w:rPr>
        <w:t>ingInstrumentMemberus-gaap:CashFlowHedgingMember2020-12-310001065088us-gaap:DesignatedAsHedgingInstrumentMemberus-gaap:CashFlowHedgingMember2021-01-012021-03-310001065088us-gaap:DesignatedAsHedgingInstrumentMemberus-gaap:CashFlowHedgingMember2021-03-310001</w:t>
      </w:r>
      <w:r>
        <w:rPr>
          <w:rFonts w:ascii="宋体" w:eastAsia="宋体" w:hAnsi="宋体" w:cs="宋体"/>
          <w:vanish/>
        </w:rPr>
        <w:t>065088us-gaap:DesignatedAsHedgingInstrumentMemberus-gaap:CashFlowHedgingMemberus-gaap:ForeignExchangeContractMember2019-12-310001065088us-gaap:DesignatedAsHedgingInstrumentMemberus-gaap:CashFlowHedgingMemberus-gaap:ForeignExchangeContractMember2020-01-0120</w:t>
      </w:r>
      <w:r>
        <w:rPr>
          <w:rFonts w:ascii="宋体" w:eastAsia="宋体" w:hAnsi="宋体" w:cs="宋体"/>
          <w:vanish/>
        </w:rPr>
        <w:t>20-03-310001065088us-gaap:DesignatedAsHedgingInstrumentMemberus-gaap:CashFlowHedgingMemberus-gaap:ForeignExchangeContractMember2020-03-310001065088us-gaap:DesignatedAsHedgingInstrumentMemberebay:RevenuesMemberus-gaap:CashFlowHedgingMemberus-gaap:ForeignExc</w:t>
      </w:r>
      <w:r>
        <w:rPr>
          <w:rFonts w:ascii="宋体" w:eastAsia="宋体" w:hAnsi="宋体" w:cs="宋体"/>
          <w:vanish/>
        </w:rPr>
        <w:t>hangeContractMember2021-01-012021-03-310001065088us-gaap:DesignatedAsHedgingInstrumentMemberebay:RevenuesMemberus-gaap:CashFlowHedgingMemberus-gaap:ForeignExchangeContractMember2020-01-012020-03-310001065088us-gaap:DesignatedAsHedgingInstrumentMemberebay:C</w:t>
      </w:r>
      <w:r>
        <w:rPr>
          <w:rFonts w:ascii="宋体" w:eastAsia="宋体" w:hAnsi="宋体" w:cs="宋体"/>
          <w:vanish/>
        </w:rPr>
        <w:t>ostofNetRevenuesMemberus-gaap:CashFlowHedgingMemberus-gaap:ForeignExchangeContractMember2021-01-012021-03-310001065088us-gaap:DesignatedAsHedgingInstrumentMemberebay:CostofNetRevenuesMemberus-gaap:CashFlowHedgingMemberus-gaap:ForeignExchangeContractMember2</w:t>
      </w:r>
      <w:r>
        <w:rPr>
          <w:rFonts w:ascii="宋体" w:eastAsia="宋体" w:hAnsi="宋体" w:cs="宋体"/>
          <w:vanish/>
        </w:rPr>
        <w:t>020-01-012020-03-310001065088us-gaap:NondesignatedMemberebay:InterestAndOtherNetMemberus-gaap:ForeignExchangeContractMember2021-01-012021-03-310001065088us-gaap:NondesignatedMemberebay:InterestAndOtherNetMemberus-gaap:ForeignExchangeContractMember2020-01-0</w:t>
      </w:r>
      <w:r>
        <w:rPr>
          <w:rFonts w:ascii="宋体" w:eastAsia="宋体" w:hAnsi="宋体" w:cs="宋体"/>
          <w:vanish/>
        </w:rPr>
        <w:t>12020-03-310001065088us-gaap:ForeignExchangeContractMember2021-01-012021-03-310001065088us-gaap:ForeignExchangeContractMember2020-01-012020-03-310001065088us-gaap:DesignatedAsHedgingInstrumentMemberebay:InterestAndOtherNetMemberus-gaap:CashFlowHedgingMembe</w:t>
      </w:r>
      <w:r>
        <w:rPr>
          <w:rFonts w:ascii="宋体" w:eastAsia="宋体" w:hAnsi="宋体" w:cs="宋体"/>
          <w:vanish/>
        </w:rPr>
        <w:t>rus-gaap:InterestRateContractMember2021-01-012021-03-310001065088us-gaap:DesignatedAsHedgingInstrumentMemberebay:InterestAndOtherNetMemberus-gaap:CashFlowHedgingMemberus-gaap:InterestRateContractMember2020-01-012020-03-310001065088ebay:InterestAndOtherNetM</w:t>
      </w:r>
      <w:r>
        <w:rPr>
          <w:rFonts w:ascii="宋体" w:eastAsia="宋体" w:hAnsi="宋体" w:cs="宋体"/>
          <w:vanish/>
        </w:rPr>
        <w:t>emberus-gaap:WarrantMember2021-01-012021-03-310001065088ebay:InterestAndOtherNetMemberus-gaap:WarrantMember2020-01-012020-03-310001065088us-gaap:DesignatedAsHedgingInstrumentMemberus-gaap:NetInvestmentHedgingMemberus-gaap:ForeignExchangeContractMember2021-</w:t>
      </w:r>
      <w:r>
        <w:rPr>
          <w:rFonts w:ascii="宋体" w:eastAsia="宋体" w:hAnsi="宋体" w:cs="宋体"/>
          <w:vanish/>
        </w:rPr>
        <w:t>03-310001065088us-gaap:DesignatedAsHedgingInstrumentMemberus-gaap:NetInvestmentHedgingMemberus-gaap:ForeignExchangeContractMember2020-12-310001065088us-gaap:NondesignatedMemberus-gaap:ForeignExchangeContractMember2021-03-310001065088us-gaap:NondesignatedMe</w:t>
      </w:r>
      <w:r>
        <w:rPr>
          <w:rFonts w:ascii="宋体" w:eastAsia="宋体" w:hAnsi="宋体" w:cs="宋体"/>
          <w:vanish/>
        </w:rPr>
        <w:t>mberus-gaap:ForeignExchangeContractMember2020-12-310001065088us-gaap:FairValueMeasurementsRecurringMember2021-03-310001065088us-gaap:FairValueInputsLevel1Memberus-gaap:FairValueMeasurementsRecurringMember2021-03-310001065088us-gaap:FairValueMeasurementsRec</w:t>
      </w:r>
      <w:r>
        <w:rPr>
          <w:rFonts w:ascii="宋体" w:eastAsia="宋体" w:hAnsi="宋体" w:cs="宋体"/>
          <w:vanish/>
        </w:rPr>
        <w:t>urringMemberus-gaap:FairValueInputsLevel2Member2021-03-310001065088us-gaap:FairValueInputsLevel3Memberus-gaap:FairValueMeasurementsRecurringMember2021-03-310001065088us-gaap:ShortTermInvestmentsMemberus-gaap:FairValueMeasurementsRecurringMemberebay:Restric</w:t>
      </w:r>
      <w:r>
        <w:rPr>
          <w:rFonts w:ascii="宋体" w:eastAsia="宋体" w:hAnsi="宋体" w:cs="宋体"/>
          <w:vanish/>
        </w:rPr>
        <w:t>tedCashMember2021-03-310001065088us-gaap:ShortTermInvestmentsMemberus-gaap:FairValueInputsLevel1Memberus-gaap:FairValueMeasurementsRecurringMemberebay:RestrictedCashMember2021-03-310001065088us-gaap:ShortTermInvestmentsMemberus-gaap:FairValueMeasurementsRe</w:t>
      </w:r>
      <w:r>
        <w:rPr>
          <w:rFonts w:ascii="宋体" w:eastAsia="宋体" w:hAnsi="宋体" w:cs="宋体"/>
          <w:vanish/>
        </w:rPr>
        <w:t>curringMemberebay:RestrictedCashMemberus-gaap:FairValueInputsLevel2Member2021-03-310001065088us-gaap:ShortTermInvestmentsMemberus-gaap:FairValueInputsLevel3Memberus-gaap:FairValueMeasurementsRecurringMemberebay:RestrictedCashMember2021-03-310001065088us-ga</w:t>
      </w:r>
      <w:r>
        <w:rPr>
          <w:rFonts w:ascii="宋体" w:eastAsia="宋体" w:hAnsi="宋体" w:cs="宋体"/>
          <w:vanish/>
        </w:rPr>
        <w:t>ap:ShortTermInvestmentsMemberus-gaap:FairValueMeasurementsRecurringMemberus-gaap:CorporateDebtSecuritiesMember2021-03-310001065088us-gaap:ShortTermInvestmentsMemberus-gaap:FairValueInputsLevel1Memberus-gaap:FairValueMeasurementsRecurringMemberus-gaap:Corpo</w:t>
      </w:r>
      <w:r>
        <w:rPr>
          <w:rFonts w:ascii="宋体" w:eastAsia="宋体" w:hAnsi="宋体" w:cs="宋体"/>
          <w:vanish/>
        </w:rPr>
        <w:t>rateDebtSecuritiesMember2021-03-310001065088us-gaap:ShortTermInvestmentsMemberus-gaap:FairValueMeasurementsRecurringMemberus-gaap:CorporateDebtSecuritiesMemberus-gaap:FairValueInputsLevel2Member2021-03-310001065088us-gaap:ShortTermInvestmentsMemberus-gaap:</w:t>
      </w:r>
      <w:r>
        <w:rPr>
          <w:rFonts w:ascii="宋体" w:eastAsia="宋体" w:hAnsi="宋体" w:cs="宋体"/>
          <w:vanish/>
        </w:rPr>
        <w:t>FairValueInputsLevel3Memberus-gaap:FairValueMeasurementsRecurringMemberus-gaap:CorporateDebtSecuritiesMember2021-03-310001065088us-gaap:ShortTermInvestmentsMemberus-gaap:FairValueMeasurementsRecurringMemberus-gaap:USTreasuryAndGovernmentMember2021-03-31000</w:t>
      </w:r>
      <w:r>
        <w:rPr>
          <w:rFonts w:ascii="宋体" w:eastAsia="宋体" w:hAnsi="宋体" w:cs="宋体"/>
          <w:vanish/>
        </w:rPr>
        <w:t>1065088us-gaap:ShortTermInvestmentsMemberus-gaap:FairValueInputsLevel1Memberus-gaap:FairValueMeasurementsRecurringMemberus-gaap:USTreasuryAndGovernmentMember2021-03-310001065088us-gaap:ShortTermInvestmentsMemberus-gaap:FairValueMeasurementsRecurringMemberu</w:t>
      </w:r>
      <w:r>
        <w:rPr>
          <w:rFonts w:ascii="宋体" w:eastAsia="宋体" w:hAnsi="宋体" w:cs="宋体"/>
          <w:vanish/>
        </w:rPr>
        <w:t>s-gaap:FairValueInputsLevel2Memberus-gaap:USTreasuryAndGovernmentMember2021-03-310001065088us-gaap:ShortTermInvestmentsMemberus-gaap:FairValueInputsLevel3Memberus-gaap:FairValueMeasurementsRecurringMemberus-gaap:USTreasuryAndGovernmentMember2021-03-3100010</w:t>
      </w:r>
      <w:r>
        <w:rPr>
          <w:rFonts w:ascii="宋体" w:eastAsia="宋体" w:hAnsi="宋体" w:cs="宋体"/>
          <w:vanish/>
        </w:rPr>
        <w:t>65088us-gaap:ShortTermInvestmentsMemberus-gaap:FairValueMeasurementsRecurringMember2021-03-310001065088us-gaap:ShortTermInvestmentsMemberus-gaap:FairValueInputsLevel1Memberus-gaap:FairValueMeasurementsRecurringMember2021-03-310001065088us-gaap:ShortTermInv</w:t>
      </w:r>
      <w:r>
        <w:rPr>
          <w:rFonts w:ascii="宋体" w:eastAsia="宋体" w:hAnsi="宋体" w:cs="宋体"/>
          <w:vanish/>
        </w:rPr>
        <w:t>estmentsMemberus-gaap:FairValueMeasurementsRecurringMemberus-gaap:FairValueInputsLevel2Member2021-03-310001065088us-gaap:ShortTermInvestmentsMemberus-gaap:FairValueInputsLevel3Memberus-gaap:FairValueMeasurementsRecurringMember2021-03-310001065088us-gaap:Ot</w:t>
      </w:r>
      <w:r>
        <w:rPr>
          <w:rFonts w:ascii="宋体" w:eastAsia="宋体" w:hAnsi="宋体" w:cs="宋体"/>
          <w:vanish/>
        </w:rPr>
        <w:t>herCurrentAssetsMemberus-gaap:FairValueMeasurementsRecurringMember2021-03-310001065088us-gaap:OtherCurrentAssetsMemberus-gaap:FairValueInputsLevel1Memberus-gaap:FairValueMeasurementsRecurringMember2021-03-310001065088us-gaap:OtherCurrentAssetsMemberus-gaap</w:t>
      </w:r>
      <w:r>
        <w:rPr>
          <w:rFonts w:ascii="宋体" w:eastAsia="宋体" w:hAnsi="宋体" w:cs="宋体"/>
          <w:vanish/>
        </w:rPr>
        <w:t>:FairValueMeasurementsRecurringMemberus-gaap:FairValueInputsLevel2Member2021-03-310001065088us-gaap:OtherCurrentAssetsMemberus-gaap:FairValueInputsLevel3Memberus-gaap:FairValueMeasurementsRecurringMember2021-03-310001065088ebay:LongTermInvestmentMemberus-g</w:t>
      </w:r>
      <w:r>
        <w:rPr>
          <w:rFonts w:ascii="宋体" w:eastAsia="宋体" w:hAnsi="宋体" w:cs="宋体"/>
          <w:vanish/>
        </w:rPr>
        <w:t>aap:FairValueMeasurementsRecurringMemberus-gaap:CorporateDebtSecuritiesMember2021-03-310001065088ebay:LongTermInvestmentMemberus-gaap:FairValueInputsLevel1Memberus-gaap:FairValueMeasurementsRecurringMemberus-gaap:CorporateDebtSecuritiesMember2021-03-310001</w:t>
      </w:r>
      <w:r>
        <w:rPr>
          <w:rFonts w:ascii="宋体" w:eastAsia="宋体" w:hAnsi="宋体" w:cs="宋体"/>
          <w:vanish/>
        </w:rPr>
        <w:t>065088ebay:LongTermInvestmentMemberus-gaap:FairValueMeasurementsRecurringMemberus-gaap:CorporateDebtSecuritiesMemberus-gaap:FairValueInputsLevel2Member2021-03-310001065088ebay:LongTermInvestmentMemberus-gaap:FairValueInputsLevel3Memberus-gaap:FairValueMeas</w:t>
      </w:r>
      <w:r>
        <w:rPr>
          <w:rFonts w:ascii="宋体" w:eastAsia="宋体" w:hAnsi="宋体" w:cs="宋体"/>
          <w:vanish/>
        </w:rPr>
        <w:t>urementsRecurringMemberus-gaap:CorporateDebtSecuritiesMember2021-03-310001065088ebay:LongTermInvestmentMemberus-gaap:FairValueMeasurementsRecurringMemberus-gaap:USTreasuryAndGovernmentMember2021-03-310001065088ebay:LongTermInvestmentMemberus-gaap:FairValue</w:t>
      </w:r>
      <w:r>
        <w:rPr>
          <w:rFonts w:ascii="宋体" w:eastAsia="宋体" w:hAnsi="宋体" w:cs="宋体"/>
          <w:vanish/>
        </w:rPr>
        <w:t>InputsLevel1Memberus-gaap:FairValueMeasurementsRecurringMemberus-gaap:USTreasuryAndGovernmentMember2021-03-310001065088ebay:LongTermInvestmentMemberus-gaap:FairValueMeasurementsRecurringMemberus-gaap:FairValueInputsLevel2Memberus-gaap:USTreasuryAndGovernme</w:t>
      </w:r>
      <w:r>
        <w:rPr>
          <w:rFonts w:ascii="宋体" w:eastAsia="宋体" w:hAnsi="宋体" w:cs="宋体"/>
          <w:vanish/>
        </w:rPr>
        <w:t>ntMember2021-03-310001065088ebay:LongTermInvestmentMemberus-gaap:FairValueInputsLevel3Memberus-gaap:FairValueMeasurementsRecurringMemberus-gaap:USTreasuryAndGovernmentMember2021-03-310001065088ebay:LongTermInvestmentMemberus-gaap:FairValueMeasurementsRecur</w:t>
      </w:r>
      <w:r>
        <w:rPr>
          <w:rFonts w:ascii="宋体" w:eastAsia="宋体" w:hAnsi="宋体" w:cs="宋体"/>
          <w:vanish/>
        </w:rPr>
        <w:t>ringMember2021-03-310001065088ebay:LongTermInvestmentMemberus-gaap:FairValueInputsLevel1Memberus-gaap:FairValueMeasurementsRecurringMember2021-03-310001065088ebay:LongTermInvestmentMemberus-gaap:FairValueMeasurementsRecurringMemberus-gaap:FairValueInputsLe</w:t>
      </w:r>
      <w:r>
        <w:rPr>
          <w:rFonts w:ascii="宋体" w:eastAsia="宋体" w:hAnsi="宋体" w:cs="宋体"/>
          <w:vanish/>
        </w:rPr>
        <w:t>vel2Member2021-03-310001065088ebay:LongTermInvestmentMemberus-gaap:FairValueInputsLevel3Memberus-gaap:FairValueMeasurementsRecurringMember2021-03-310001065088us-gaap:OtherCurrentLiabilitiesMemberus-gaap:FairValueMeasurementsRecurringMember2021-03-310001065</w:t>
      </w:r>
      <w:r>
        <w:rPr>
          <w:rFonts w:ascii="宋体" w:eastAsia="宋体" w:hAnsi="宋体" w:cs="宋体"/>
          <w:vanish/>
        </w:rPr>
        <w:t>088us-gaap:FairValueInputsLevel1Memberus-gaap:OtherCurrentLiabilitiesMemberus-gaap:FairValueMeasurementsRecurringMember2021-03-310001065088us-gaap:OtherCurrentLiabilitiesMemberus-gaap:FairValueMeasurementsRecurringMemberus-gaap:FairValueInputsLevel2Member2</w:t>
      </w:r>
      <w:r>
        <w:rPr>
          <w:rFonts w:ascii="宋体" w:eastAsia="宋体" w:hAnsi="宋体" w:cs="宋体"/>
          <w:vanish/>
        </w:rPr>
        <w:t>021-03-310001065088us-gaap:FairValueInputsLevel3Memberus-gaap:OtherCurrentLiabilitiesMemberus-gaap:FairValueMeasurementsRecurringMember2021-03-310001065088us-gaap:FairValueMeasurementsRecurringMember2020-12-310001065088us-gaap:FairValueInputsLevel1Memberus</w:t>
      </w:r>
      <w:r>
        <w:rPr>
          <w:rFonts w:ascii="宋体" w:eastAsia="宋体" w:hAnsi="宋体" w:cs="宋体"/>
          <w:vanish/>
        </w:rPr>
        <w:t>-gaap:FairValueMeasurementsRecurringMember2020-12-310001065088us-gaap:FairValueMeasurementsRecurringMemberus-gaap:FairValueInputsLevel2Member2020-12-310001065088us-gaap:FairValueInputsLevel3Memberus-gaap:FairValueMeasurementsRecurringMember2020-12-31000106</w:t>
      </w:r>
      <w:r>
        <w:rPr>
          <w:rFonts w:ascii="宋体" w:eastAsia="宋体" w:hAnsi="宋体" w:cs="宋体"/>
          <w:vanish/>
        </w:rPr>
        <w:t>5088us-gaap:ShortTermInvestmentsMemberus-gaap:FairValueMeasurementsRecurringMemberebay:RestrictedCashMember2020-12-310001065088us-gaap:ShortTermInvestmentsMemberus-gaap:FairValueInputsLevel1Memberus-gaap:FairValueMeasurementsRecurringMemberebay:RestrictedC</w:t>
      </w:r>
      <w:r>
        <w:rPr>
          <w:rFonts w:ascii="宋体" w:eastAsia="宋体" w:hAnsi="宋体" w:cs="宋体"/>
          <w:vanish/>
        </w:rPr>
        <w:t>ashMember2020-12-310001065088us-gaap:ShortTermInvestmentsMemberus-gaap:FairValueMeasurementsRecurringMemberebay:RestrictedCashMemberus-gaap:FairValueInputsLevel2Member2020-12-310001065088us-gaap:ShortTermInvestmentsMemberus-gaap:FairValueInputsLevel3Member</w:t>
      </w:r>
      <w:r>
        <w:rPr>
          <w:rFonts w:ascii="宋体" w:eastAsia="宋体" w:hAnsi="宋体" w:cs="宋体"/>
          <w:vanish/>
        </w:rPr>
        <w:t>us-gaap:FairValueMeasurementsRecurringMemberebay:RestrictedCashMember2020-12-310001065088us-gaap:ShortTermInvestmentsMemberus-gaap:FairValueMeasurementsRecurringMemberus-gaap:CorporateDebtSecuritiesMember2020-12-310001065088us-gaap:ShortTermInvestmentsMemb</w:t>
      </w:r>
      <w:r>
        <w:rPr>
          <w:rFonts w:ascii="宋体" w:eastAsia="宋体" w:hAnsi="宋体" w:cs="宋体"/>
          <w:vanish/>
        </w:rPr>
        <w:t>erus-gaap:FairValueInputsLevel1Memberus-gaap:FairValueMeasurementsRecurringMemberus-gaap:CorporateDebtSecuritiesMember2020-12-310001065088us-gaap:ShortTermInvestmentsMemberus-gaap:FairValueMeasurementsRecurringMemberus-gaap:CorporateDebtSecuritiesMemberus-</w:t>
      </w:r>
      <w:r>
        <w:rPr>
          <w:rFonts w:ascii="宋体" w:eastAsia="宋体" w:hAnsi="宋体" w:cs="宋体"/>
          <w:vanish/>
        </w:rPr>
        <w:t>gaap:FairValueInputsLevel2Member2020-12-310001065088us-gaap:ShortTermInvestmentsMemberus-gaap:FairValueInputsLevel3Memberus-gaap:FairValueMeasurementsRecurringMemberus-gaap:CorporateDebtSecuritiesMember2020-12-310001065088us-gaap:ShortTermInvestmentsMember</w:t>
      </w:r>
      <w:r>
        <w:rPr>
          <w:rFonts w:ascii="宋体" w:eastAsia="宋体" w:hAnsi="宋体" w:cs="宋体"/>
          <w:vanish/>
        </w:rPr>
        <w:t>us-gaap:FairValueMeasurementsRecurringMember2020-12-310001065088us-gaap:ShortTermInvestmentsMemberus-gaap:FairValueInputsLevel1Memberus-gaap:FairValueMeasurementsRecurringMember2020-12-310001065088us-gaap:ShortTermInvestmentsMemberus-gaap:FairValueMeasurem</w:t>
      </w:r>
      <w:r>
        <w:rPr>
          <w:rFonts w:ascii="宋体" w:eastAsia="宋体" w:hAnsi="宋体" w:cs="宋体"/>
          <w:vanish/>
        </w:rPr>
        <w:t>entsRecurringMemberus-gaap:FairValueInputsLevel2Member2020-12-310001065088us-gaap:ShortTermInvestmentsMemberus-gaap:FairValueInputsLevel3Memberus-gaap:FairValueMeasurementsRecurringMember2020-12-310001065088us-gaap:OtherCurrentAssetsMemberus-gaap:FairValue</w:t>
      </w:r>
      <w:r>
        <w:rPr>
          <w:rFonts w:ascii="宋体" w:eastAsia="宋体" w:hAnsi="宋体" w:cs="宋体"/>
          <w:vanish/>
        </w:rPr>
        <w:t>MeasurementsRecurringMember2020-12-310001065088us-gaap:OtherCurrentAssetsMemberus-gaap:FairValueInputsLevel1Memberus-gaap:FairValueMeasurementsRecurringMember2020-12-310001065088us-gaap:OtherCurrentAssetsMemberus-gaap:FairValueMeasurementsRecurringMemberus</w:t>
      </w:r>
      <w:r>
        <w:rPr>
          <w:rFonts w:ascii="宋体" w:eastAsia="宋体" w:hAnsi="宋体" w:cs="宋体"/>
          <w:vanish/>
        </w:rPr>
        <w:t>-gaap:FairValueInputsLevel2Member2020-12-310001065088us-gaap:OtherCurrentAssetsMemberus-gaap:FairValueInputsLevel3Memberus-gaap:FairValueMeasurementsRecurringMember2020-12-310001065088ebay:LongTermInvestmentMemberus-gaap:FairValueMeasurementsRecurringMembe</w:t>
      </w:r>
      <w:r>
        <w:rPr>
          <w:rFonts w:ascii="宋体" w:eastAsia="宋体" w:hAnsi="宋体" w:cs="宋体"/>
          <w:vanish/>
        </w:rPr>
        <w:t>rus-gaap:CorporateDebtSecuritiesMember2020-12-310001065088ebay:LongTermInvestmentMemberus-gaap:FairValueInputsLevel1Memberus-gaap:FairValueMeasurementsRecurringMemberus-gaap:CorporateDebtSecuritiesMember2020-12-310001065088ebay:LongTermInvestmentMemberus-g</w:t>
      </w:r>
      <w:r>
        <w:rPr>
          <w:rFonts w:ascii="宋体" w:eastAsia="宋体" w:hAnsi="宋体" w:cs="宋体"/>
          <w:vanish/>
        </w:rPr>
        <w:t>aap:FairValueMeasurementsRecurringMemberus-gaap:CorporateDebtSecuritiesMemberus-gaap:FairValueInputsLevel2Member2020-12-310001065088ebay:LongTermInvestmentMemberus-gaap:FairValueInputsLevel3Memberus-gaap:FairValueMeasurementsRecurringMemberus-gaap:Corporat</w:t>
      </w:r>
      <w:r>
        <w:rPr>
          <w:rFonts w:ascii="宋体" w:eastAsia="宋体" w:hAnsi="宋体" w:cs="宋体"/>
          <w:vanish/>
        </w:rPr>
        <w:t>eDebtSecuritiesMember2020-12-310001065088ebay:LongTermInvestmentMemberus-gaap:FairValueMeasurementsRecurringMember2020-12-310001065088ebay:LongTermInvestmentMemberus-gaap:FairValueInputsLevel1Memberus-gaap:FairValueMeasurementsRecurringMember2020-12-310001</w:t>
      </w:r>
      <w:r>
        <w:rPr>
          <w:rFonts w:ascii="宋体" w:eastAsia="宋体" w:hAnsi="宋体" w:cs="宋体"/>
          <w:vanish/>
        </w:rPr>
        <w:t>065088ebay:LongTermInvestmentMemberus-gaap:FairValueMeasurementsRecurringMemberus-gaap:FairValueInputsLevel2Member2020-12-310001065088ebay:LongTermInvestmentMemberus-gaap:FairValueInputsLevel3Memberus-gaap:FairValueMeasurementsRecurringMember2020-12-310001</w:t>
      </w:r>
      <w:r>
        <w:rPr>
          <w:rFonts w:ascii="宋体" w:eastAsia="宋体" w:hAnsi="宋体" w:cs="宋体"/>
          <w:vanish/>
        </w:rPr>
        <w:t>065088us-gaap:OtherCurrentLiabilitiesMemberus-gaap:FairValueMeasurementsRecurringMember2020-12-310001065088us-gaap:FairValueInputsLevel1Memberus-gaap:OtherCurrentLiabilitiesMemberus-gaap:FairValueMeasurementsRecurringMember2020-12-310001065088us-gaap:Other</w:t>
      </w:r>
      <w:r>
        <w:rPr>
          <w:rFonts w:ascii="宋体" w:eastAsia="宋体" w:hAnsi="宋体" w:cs="宋体"/>
          <w:vanish/>
        </w:rPr>
        <w:t>CurrentLiabilitiesMemberus-gaap:FairValueMeasurementsRecurringMemberus-gaap:FairValueInputsLevel2Member2020-12-310001065088us-gaap:FairValueInputsLevel3Memberus-gaap:OtherCurrentLiabilitiesMemberus-gaap:FairValueMeasurementsRecurringMember2020-12-310001065</w:t>
      </w:r>
      <w:r>
        <w:rPr>
          <w:rFonts w:ascii="宋体" w:eastAsia="宋体" w:hAnsi="宋体" w:cs="宋体"/>
          <w:vanish/>
        </w:rPr>
        <w:t>088us-gaap:FairValueInputsLevel3Memberus-gaap:FairValueMeasurementsRecurringMemberus-gaap:WarrantMember2020-12-310001065088us-gaap:FairValueInputsLevel3Memberus-gaap:FairValueMeasurementsRecurringMemberus-gaap:WarrantMember2019-12-310001065088us-gaap:FairV</w:t>
      </w:r>
      <w:r>
        <w:rPr>
          <w:rFonts w:ascii="宋体" w:eastAsia="宋体" w:hAnsi="宋体" w:cs="宋体"/>
          <w:vanish/>
        </w:rPr>
        <w:t>alueInputsLevel3Memberus-gaap:FairValueMeasurementsRecurringMemberus-gaap:WarrantMember2021-01-012021-03-310001065088us-gaap:FairValueInputsLevel3Memberus-gaap:FairValueMeasurementsRecurringMemberus-gaap:WarrantMember2020-01-012020-12-310001065088us-gaap:F</w:t>
      </w:r>
      <w:r>
        <w:rPr>
          <w:rFonts w:ascii="宋体" w:eastAsia="宋体" w:hAnsi="宋体" w:cs="宋体"/>
          <w:vanish/>
        </w:rPr>
        <w:t>airValueInputsLevel3Memberus-gaap:FairValueMeasurementsRecurringMemberus-gaap:WarrantMember2021-03-31ebay:pure0001065088us-gaap:FairValueInputsLevel3Memberus-gaap:FairValueMeasurementsRecurringMemberebay:MeasurementInputProbabilityOfVestingMembersrt:Minimu</w:t>
      </w:r>
      <w:r>
        <w:rPr>
          <w:rFonts w:ascii="宋体" w:eastAsia="宋体" w:hAnsi="宋体" w:cs="宋体"/>
          <w:vanish/>
        </w:rPr>
        <w:t>mMember2021-03-310001065088us-gaap:FairValueInputsLevel3Memberus-gaap:FairValueMeasurementsRecurringMemberebay:MeasurementInputProbabilityOfVestingMembersrt:MaximumMember2021-03-310001065088srt:WeightedAverageMemberus-gaap:FairValueInputsLevel3Memberus-gaa</w:t>
      </w:r>
      <w:r>
        <w:rPr>
          <w:rFonts w:ascii="宋体" w:eastAsia="宋体" w:hAnsi="宋体" w:cs="宋体"/>
          <w:vanish/>
        </w:rPr>
        <w:t>p:FairValueMeasurementsRecurringMemberebay:MeasurementInputProbabilityOfVestingMember2021-03-310001065088ebay:MeasurementInputEquityVolatilityMemberus-gaap:FairValueInputsLevel3Memberus-gaap:FairValueMeasurementsRecurringMembersrt:MinimumMember2021-03-3100</w:t>
      </w:r>
      <w:r>
        <w:rPr>
          <w:rFonts w:ascii="宋体" w:eastAsia="宋体" w:hAnsi="宋体" w:cs="宋体"/>
          <w:vanish/>
        </w:rPr>
        <w:t>01065088ebay:MeasurementInputEquityVolatilityMemberus-gaap:FairValueInputsLevel3Memberus-gaap:FairValueMeasurementsRecurringMembersrt:MaximumMember2021-03-310001065088srt:WeightedAverageMemberebay:MeasurementInputEquityVolatilityMemberus-gaap:FairValueInpu</w:t>
      </w:r>
      <w:r>
        <w:rPr>
          <w:rFonts w:ascii="宋体" w:eastAsia="宋体" w:hAnsi="宋体" w:cs="宋体"/>
          <w:vanish/>
        </w:rPr>
        <w:t>tsLevel3Memberus-gaap:FairValueMeasurementsRecurringMember2021-03-310001065088us-gaap:SeniorNotesMemberebay:SeniorNotesFloatingRateDue2023Member2021-03-310001065088us-gaap:SeniorNotesMemberebay:SeniorNotesFloatingRateDue2023Member2020-12-310001065088us-gaa</w:t>
      </w:r>
      <w:r>
        <w:rPr>
          <w:rFonts w:ascii="宋体" w:eastAsia="宋体" w:hAnsi="宋体" w:cs="宋体"/>
          <w:vanish/>
        </w:rPr>
        <w:t>p:SeniorNotesMemberebay:ThreePointEightHundredPercentSeniorNotesDueOn2022Member2021-03-310001065088us-gaap:SeniorNotesMemberebay:ThreePointEightHundredPercentSeniorNotesDueOn2022Member2020-12-310001065088us-gaap:SeniorNotesMemberebay:TwoPointSixPercentSeni</w:t>
      </w:r>
      <w:r>
        <w:rPr>
          <w:rFonts w:ascii="宋体" w:eastAsia="宋体" w:hAnsi="宋体" w:cs="宋体"/>
          <w:vanish/>
        </w:rPr>
        <w:t>orNotesDueOn2022Member2021-03-310001065088us-gaap:SeniorNotesMemberebay:TwoPointSixPercentSeniorNotesDueOn2022Member2020-12-310001065088us-gaap:SeniorNotesMemberebay:TwoPointSevenHundredFiftyPercentSeniorNotesDueOn2023Member2021-03-310001065088us-gaap:Seni</w:t>
      </w:r>
      <w:r>
        <w:rPr>
          <w:rFonts w:ascii="宋体" w:eastAsia="宋体" w:hAnsi="宋体" w:cs="宋体"/>
          <w:vanish/>
        </w:rPr>
        <w:t>orNotesMemberebay:TwoPointSevenHundredFiftyPercentSeniorNotesDueOn2023Member2020-12-310001065088us-gaap:SeniorNotesMemberebay:ThreePointFourHundredFiftyPercentSeniorNotesDueOn2024Member2021-03-310001065088us-gaap:SeniorNotesMemberebay:ThreePointFourHundred</w:t>
      </w:r>
      <w:r>
        <w:rPr>
          <w:rFonts w:ascii="宋体" w:eastAsia="宋体" w:hAnsi="宋体" w:cs="宋体"/>
          <w:vanish/>
        </w:rPr>
        <w:t>FiftyPercentSeniorNotesDueOn2024Member2020-12-310001065088us-gaap:SeniorNotesMemberebay:OnePointNineZeroPercentSeniorNotesDueOn2025Member2021-03-310001065088us-gaap:SeniorNotesMemberebay:OnePointNineZeroPercentSeniorNotesDueOn2025Member2020-12-310001065088</w:t>
      </w:r>
      <w:r>
        <w:rPr>
          <w:rFonts w:ascii="宋体" w:eastAsia="宋体" w:hAnsi="宋体" w:cs="宋体"/>
          <w:vanish/>
        </w:rPr>
        <w:t>us-gaap:SeniorNotesMemberebay:ThreePointSixHundredPercentSeniorNotesDueOn2027Member2021-03-310001065088us-gaap:SeniorNotesMemberebay:ThreePointSixHundredPercentSeniorNotesDueOn2027Member2020-12-310001065088us-gaap:SeniorNotesMemberebay:TwoPointSevenZeroPer</w:t>
      </w:r>
      <w:r>
        <w:rPr>
          <w:rFonts w:ascii="宋体" w:eastAsia="宋体" w:hAnsi="宋体" w:cs="宋体"/>
          <w:vanish/>
        </w:rPr>
        <w:t>centSeniorNotesDueOn2030Member2021-03-310001065088us-gaap:SeniorNotesMemberebay:TwoPointSevenZeroPercentSeniorNotesDueOn2030Member2020-12-310001065088us-gaap:SeniorNotesMemberebay:FourPointZeroPercentSeniorNotesDueOn2042Member2021-03-310001065088us-gaap:Se</w:t>
      </w:r>
      <w:r>
        <w:rPr>
          <w:rFonts w:ascii="宋体" w:eastAsia="宋体" w:hAnsi="宋体" w:cs="宋体"/>
          <w:vanish/>
        </w:rPr>
        <w:t>niorNotesMemberebay:FourPointZeroPercentSeniorNotesDueOn2042Member2020-12-310001065088us-gaap:SeniorNotesMemberebay:SixPointZeroPercentSeniorNotesDueOn2056Member2021-03-310001065088us-gaap:SeniorNotesMemberebay:SixPointZeroPercentSeniorNotesDueOn2056Member</w:t>
      </w:r>
      <w:r>
        <w:rPr>
          <w:rFonts w:ascii="宋体" w:eastAsia="宋体" w:hAnsi="宋体" w:cs="宋体"/>
          <w:vanish/>
        </w:rPr>
        <w:t>2020-12-310001065088us-gaap:SeniorNotesMemberebay:SixPointZeroPercentSeniorNotesDueOn2056Member2021-03-010001065088us-gaap:SeniorNotesMemberebay:SixPointZeroPercentSeniorNotesDueOn2056Member2021-03-012021-03-010001065088us-gaap:SeniorNotesMemberebay:SixPoi</w:t>
      </w:r>
      <w:r>
        <w:rPr>
          <w:rFonts w:ascii="宋体" w:eastAsia="宋体" w:hAnsi="宋体" w:cs="宋体"/>
          <w:vanish/>
        </w:rPr>
        <w:t>ntZeroPercentSeniorNotesDueOn2056Member2021-01-012021-03-310001065088us-gaap:SeniorNotesMemberebay:TwoPointSixPercentSeniorNotesDueOn2022Member2021-03-012021-03-310001065088us-gaap:SeniorNotesMemberebay:TwoPointSixPercentSeniorNotesDueOn2022Member2021-03-3</w:t>
      </w:r>
      <w:r>
        <w:rPr>
          <w:rFonts w:ascii="宋体" w:eastAsia="宋体" w:hAnsi="宋体" w:cs="宋体"/>
          <w:vanish/>
        </w:rPr>
        <w:t>10001065088us-gaap:SeniorNotesMember2021-01-012021-03-310001065088us-gaap:ConvertibleDebtMemberebay:LIBORBasedFloatingRateDebtMember2020-06-300001065088us-gaap:SeniorNotesMember2020-01-012020-03-310001065088us-gaap:SeniorNotesMember2021-03-310001065088us-g</w:t>
      </w:r>
      <w:r>
        <w:rPr>
          <w:rFonts w:ascii="宋体" w:eastAsia="宋体" w:hAnsi="宋体" w:cs="宋体"/>
          <w:vanish/>
        </w:rPr>
        <w:t>aap:SeniorNotesMember2020-12-310001065088us-gaap:RevolvingCreditFacilityMemberus-gaap:CommercialPaperMember2021-03-310001065088us-gaap:CommercialPaperMembersrt:MaximumMember2021-01-012021-03-310001065088us-gaap:CommercialPaperMember2021-03-310001065088us-g</w:t>
      </w:r>
      <w:r>
        <w:rPr>
          <w:rFonts w:ascii="宋体" w:eastAsia="宋体" w:hAnsi="宋体" w:cs="宋体"/>
          <w:vanish/>
        </w:rPr>
        <w:t>aap:CommercialPaperMember2021-01-012021-03-310001065088us-gaap:UnsecuredDebtMemberus-gaap:RevolvingCreditFacilityMember2020-03-310001065088us-gaap:UnsecuredDebtMemberus-gaap:RevolvingCreditFacilityMember2020-03-012020-03-310001065088us-gaap:UnsecuredDebtMe</w:t>
      </w:r>
      <w:r>
        <w:rPr>
          <w:rFonts w:ascii="宋体" w:eastAsia="宋体" w:hAnsi="宋体" w:cs="宋体"/>
          <w:vanish/>
        </w:rPr>
        <w:t>mberus-gaap:RevolvingCreditFacilityMember2015-11-300001065088us-gaap:UnsecuredDebtMemberus-gaap:RevolvingCreditFacilityMember2021-03-310001065088us-gaap:SeniorNotesMemberus-gaap:LondonInterbankOfferedRateLIBORMemberebay:SeniorNotesFloatingRateDue2023Member</w:t>
      </w:r>
      <w:r>
        <w:rPr>
          <w:rFonts w:ascii="宋体" w:eastAsia="宋体" w:hAnsi="宋体" w:cs="宋体"/>
          <w:vanish/>
        </w:rPr>
        <w:t>2021-01-012021-03-3100010650882020-01-3100010650882021-02-280001065088us-gaap:SubsequentEventMember2021-04-012021-04-290001065088us-gaap:RestrictedStockUnitsRSUMember2020-12-310001065088us-gaap:RestrictedStockUnitsRSUMember2021-01-012021-03-310001065088us-</w:t>
      </w:r>
      <w:r>
        <w:rPr>
          <w:rFonts w:ascii="宋体" w:eastAsia="宋体" w:hAnsi="宋体" w:cs="宋体"/>
          <w:vanish/>
        </w:rPr>
        <w:t>gaap:RestrictedStockUnitsRSUMember2021-03-310001065088us-gaap:CostOfSalesMember2021-01-012021-03-310001065088us-gaap:CostOfSalesMember2020-01-012020-03-310001065088us-gaap:SellingAndMarketingExpenseMember2021-01-012021-03-310001065088us-gaap:SellingAndMark</w:t>
      </w:r>
      <w:r>
        <w:rPr>
          <w:rFonts w:ascii="宋体" w:eastAsia="宋体" w:hAnsi="宋体" w:cs="宋体"/>
          <w:vanish/>
        </w:rPr>
        <w:t>etingExpenseMember2020-01-012020-03-310001065088us-gaap:ResearchAndDevelopmentExpenseMember2021-01-012021-03-310001065088us-gaap:ResearchAndDevelopmentExpenseMember2020-01-012020-03-310001065088us-gaap:GeneralAndAdministrativeExpenseMember2021-01-012021-03</w:t>
      </w:r>
      <w:r>
        <w:rPr>
          <w:rFonts w:ascii="宋体" w:eastAsia="宋体" w:hAnsi="宋体" w:cs="宋体"/>
          <w:vanish/>
        </w:rPr>
        <w:t>-310001065088us-gaap:GeneralAndAdministrativeExpenseMember2020-01-012020-03-310001065088us-gaap:AccumulatedGainLossNetCashFlowHedgeParentMember2020-12-310001065088us-gaap:AccumulatedNetUnrealizedInvestmentGainLossMember2020-12-310001065088us-gaap:Accumulat</w:t>
      </w:r>
      <w:r>
        <w:rPr>
          <w:rFonts w:ascii="宋体" w:eastAsia="宋体" w:hAnsi="宋体" w:cs="宋体"/>
          <w:vanish/>
        </w:rPr>
        <w:t>edTranslationAdjustmentMember2020-12-310001065088us-gaap:AociIncludingPortionAttributableToNoncontrollingInterestMember2020-12-310001065088us-gaap:AccumulatedGainLossNetCashFlowHedgeParentMember2021-01-012021-03-310001065088us-gaap:AccumulatedNetUnrealized</w:t>
      </w:r>
      <w:r>
        <w:rPr>
          <w:rFonts w:ascii="宋体" w:eastAsia="宋体" w:hAnsi="宋体" w:cs="宋体"/>
          <w:vanish/>
        </w:rPr>
        <w:t>InvestmentGainLossMember2021-01-012021-03-310001065088us-gaap:AccumulatedTranslationAdjustmentMember2021-01-012021-03-310001065088us-gaap:AccumulatedGainLossNetCashFlowHedgeParentMember2021-03-310001065088us-gaap:AccumulatedNetUnrealizedInvestmentGainLossM</w:t>
      </w:r>
      <w:r>
        <w:rPr>
          <w:rFonts w:ascii="宋体" w:eastAsia="宋体" w:hAnsi="宋体" w:cs="宋体"/>
          <w:vanish/>
        </w:rPr>
        <w:t>ember2021-03-310001065088us-gaap:AccumulatedTranslationAdjustmentMember2021-03-310001065088us-gaap:AociIncludingPortionAttributableToNoncontrollingInterestMember2021-03-310001065088us-gaap:AccumulatedGainLossNetCashFlowHedgeParentMember2019-12-310001065088</w:t>
      </w:r>
      <w:r>
        <w:rPr>
          <w:rFonts w:ascii="宋体" w:eastAsia="宋体" w:hAnsi="宋体" w:cs="宋体"/>
          <w:vanish/>
        </w:rPr>
        <w:t>us-gaap:AccumulatedNetUnrealizedInvestmentGainLossMember2019-12-310001065088us-gaap:AccumulatedTranslationAdjustmentMember2019-12-310001065088us-gaap:AociIncludingPortionAttributableToNoncontrollingInterestMember2019-12-310001065088us-gaap:AccumulatedGainL</w:t>
      </w:r>
      <w:r>
        <w:rPr>
          <w:rFonts w:ascii="宋体" w:eastAsia="宋体" w:hAnsi="宋体" w:cs="宋体"/>
          <w:vanish/>
        </w:rPr>
        <w:t>ossNetCashFlowHedgeParentMember2020-01-012020-03-310001065088us-gaap:AccumulatedNetUnrealizedInvestmentGainLossMember2020-01-012020-03-310001065088us-gaap:AccumulatedTranslationAdjustmentMember2020-01-012020-03-310001065088us-gaap:AccumulatedGainLossNetCas</w:t>
      </w:r>
      <w:r>
        <w:rPr>
          <w:rFonts w:ascii="宋体" w:eastAsia="宋体" w:hAnsi="宋体" w:cs="宋体"/>
          <w:vanish/>
        </w:rPr>
        <w:t>hFlowHedgeParentMember2020-03-310001065088us-gaap:AccumulatedNetUnrealizedInvestmentGainLossMember2020-03-310001065088us-gaap:AccumulatedTranslationAdjustmentMember2020-03-310001065088us-gaap:AociIncludingPortionAttributableToNoncontrollingInterestMember20</w:t>
      </w:r>
      <w:r>
        <w:rPr>
          <w:rFonts w:ascii="宋体" w:eastAsia="宋体" w:hAnsi="宋体" w:cs="宋体"/>
          <w:vanish/>
        </w:rPr>
        <w:t>20-03-310001065088us-gaap:ReclassificationOutOfAccumulatedOtherComprehensiveIncomeMemberus-gaap:AccumulatedGainLossNetCashFlowHedgeParentMemberus-gaap:ForeignExchangeContractMember2021-01-012021-03-310001065088us-gaap:ReclassificationOutOfAccumulatedOtherC</w:t>
      </w:r>
      <w:r>
        <w:rPr>
          <w:rFonts w:ascii="宋体" w:eastAsia="宋体" w:hAnsi="宋体" w:cs="宋体"/>
          <w:vanish/>
        </w:rPr>
        <w:t>omprehensiveIncomeMemberus-gaap:AccumulatedGainLossNetCashFlowHedgeParentMemberus-gaap:ForeignExchangeContractMember2020-01-012020-03-310001065088us-gaap:ReclassificationOutOfAccumulatedOtherComprehensiveIncomeMemberus-gaap:AccumulatedGainLossNetCashFlowHe</w:t>
      </w:r>
      <w:r>
        <w:rPr>
          <w:rFonts w:ascii="宋体" w:eastAsia="宋体" w:hAnsi="宋体" w:cs="宋体"/>
          <w:vanish/>
        </w:rPr>
        <w:t>dgeParentMemberus-gaap:InterestRateContractMember2021-01-012021-03-310001065088us-gaap:ReclassificationOutOfAccumulatedOtherComprehensiveIncomeMemberus-gaap:AccumulatedGainLossNetCashFlowHedgeParentMemberus-gaap:InterestRateContractMember2020-01-012020-03-</w:t>
      </w:r>
      <w:r>
        <w:rPr>
          <w:rFonts w:ascii="宋体" w:eastAsia="宋体" w:hAnsi="宋体" w:cs="宋体"/>
          <w:vanish/>
        </w:rPr>
        <w:t>310001065088us-gaap:ReclassificationOutOfAccumulatedOtherComprehensiveIncomeMemberus-gaap:AccumulatedGainLossNetCashFlowHedgeParentMember2021-01-012021-03-310001065088us-gaap:ReclassificationOutOfAccumulatedOtherComprehensiveIncomeMemberus-gaap:Accumulated</w:t>
      </w:r>
      <w:r>
        <w:rPr>
          <w:rFonts w:ascii="宋体" w:eastAsia="宋体" w:hAnsi="宋体" w:cs="宋体"/>
          <w:vanish/>
        </w:rPr>
        <w:t>GainLossNetCashFlowHedgeParentMember2020-01-012020-03-310001065088us-gaap:ReclassificationOutOfAccumulatedOtherComprehensiveIncomeMember2021-01-012021-03-310001065088us-gaap:ReclassificationOutOfAccumulatedOtherComprehensiveIncomeMember2020-01-012020-03-31</w:t>
      </w:r>
    </w:p>
    <w:p w14:paraId="7268D92C" w14:textId="77777777" w:rsidR="005F762A" w:rsidRDefault="005F762A"/>
    <w:p w14:paraId="7268D92D" w14:textId="77777777" w:rsidR="005F762A" w:rsidRDefault="005F762A">
      <w:pPr>
        <w:jc w:val="center"/>
      </w:pP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5F762A" w14:paraId="7268D931" w14:textId="77777777">
        <w:trPr>
          <w:jc w:val="center"/>
        </w:trPr>
        <w:tc>
          <w:tcPr>
            <w:tcW w:w="50" w:type="pct"/>
            <w:shd w:val="clear" w:color="auto" w:fill="auto"/>
          </w:tcPr>
          <w:p w14:paraId="7268D92E" w14:textId="77777777" w:rsidR="005F762A" w:rsidRDefault="005F762A">
            <w:pPr>
              <w:rPr>
                <w:rFonts w:ascii="宋体"/>
              </w:rPr>
            </w:pPr>
          </w:p>
        </w:tc>
        <w:tc>
          <w:tcPr>
            <w:tcW w:w="4945" w:type="pct"/>
            <w:shd w:val="clear" w:color="auto" w:fill="auto"/>
          </w:tcPr>
          <w:p w14:paraId="7268D92F" w14:textId="77777777" w:rsidR="005F762A" w:rsidRDefault="005F762A">
            <w:pPr>
              <w:rPr>
                <w:rFonts w:ascii="宋体"/>
              </w:rPr>
            </w:pPr>
          </w:p>
        </w:tc>
        <w:tc>
          <w:tcPr>
            <w:tcW w:w="5" w:type="pct"/>
            <w:shd w:val="clear" w:color="auto" w:fill="auto"/>
          </w:tcPr>
          <w:p w14:paraId="7268D930" w14:textId="77777777" w:rsidR="005F762A" w:rsidRDefault="005F762A">
            <w:pPr>
              <w:rPr>
                <w:rFonts w:ascii="宋体"/>
              </w:rPr>
            </w:pPr>
          </w:p>
        </w:tc>
      </w:tr>
      <w:tr w:rsidR="005F762A" w14:paraId="7268D933"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D932" w14:textId="77777777" w:rsidR="005F762A" w:rsidRDefault="005F762A">
            <w:pPr>
              <w:rPr>
                <w:rFonts w:ascii="宋体"/>
              </w:rPr>
            </w:pPr>
          </w:p>
        </w:tc>
      </w:tr>
    </w:tbl>
    <w:p w14:paraId="7268D934" w14:textId="77777777" w:rsidR="005F762A" w:rsidRDefault="00D74111">
      <w:pPr>
        <w:jc w:val="center"/>
      </w:pPr>
      <w:r>
        <w:rPr>
          <w:rFonts w:ascii="Arial" w:eastAsia="宋体" w:hAnsi="Arial" w:cs="Arial"/>
          <w:b/>
          <w:bCs/>
          <w:color w:val="000000"/>
          <w:sz w:val="30"/>
          <w:szCs w:val="30"/>
        </w:rPr>
        <w:t>UNITED STATES</w:t>
      </w:r>
    </w:p>
    <w:p w14:paraId="7268D935" w14:textId="77777777" w:rsidR="005F762A" w:rsidRDefault="00D74111">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7268D936" w14:textId="77777777" w:rsidR="005F762A" w:rsidRDefault="00D74111">
      <w:pPr>
        <w:jc w:val="center"/>
      </w:pPr>
      <w:r>
        <w:rPr>
          <w:rFonts w:ascii="Arial" w:eastAsia="宋体" w:hAnsi="Arial" w:cs="Arial"/>
          <w:b/>
          <w:bCs/>
          <w:color w:val="000000"/>
          <w:sz w:val="22"/>
          <w:szCs w:val="22"/>
        </w:rPr>
        <w:t>Washington, D.C. 20549</w:t>
      </w:r>
      <w:r>
        <w:rPr>
          <w:rFonts w:ascii="Arial" w:eastAsia="宋体" w:hAnsi="Arial" w:cs="Arial"/>
          <w:b/>
          <w:bCs/>
          <w:color w:val="000000"/>
          <w:sz w:val="18"/>
          <w:szCs w:val="1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3A" w14:textId="77777777">
        <w:trPr>
          <w:jc w:val="center"/>
        </w:trPr>
        <w:tc>
          <w:tcPr>
            <w:tcW w:w="50" w:type="pct"/>
            <w:shd w:val="clear" w:color="auto" w:fill="auto"/>
          </w:tcPr>
          <w:p w14:paraId="7268D937" w14:textId="77777777" w:rsidR="005F762A" w:rsidRDefault="005F762A">
            <w:pPr>
              <w:rPr>
                <w:rFonts w:ascii="宋体"/>
              </w:rPr>
            </w:pPr>
          </w:p>
        </w:tc>
        <w:tc>
          <w:tcPr>
            <w:tcW w:w="4945" w:type="pct"/>
            <w:shd w:val="clear" w:color="auto" w:fill="auto"/>
          </w:tcPr>
          <w:p w14:paraId="7268D938" w14:textId="77777777" w:rsidR="005F762A" w:rsidRDefault="005F762A">
            <w:pPr>
              <w:rPr>
                <w:rFonts w:ascii="宋体"/>
              </w:rPr>
            </w:pPr>
          </w:p>
        </w:tc>
        <w:tc>
          <w:tcPr>
            <w:tcW w:w="5" w:type="pct"/>
            <w:shd w:val="clear" w:color="auto" w:fill="auto"/>
          </w:tcPr>
          <w:p w14:paraId="7268D939" w14:textId="77777777" w:rsidR="005F762A" w:rsidRDefault="005F762A">
            <w:pPr>
              <w:rPr>
                <w:rFonts w:ascii="宋体"/>
              </w:rPr>
            </w:pPr>
          </w:p>
        </w:tc>
      </w:tr>
      <w:tr w:rsidR="005F762A" w14:paraId="7268D93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3B" w14:textId="77777777" w:rsidR="005F762A" w:rsidRDefault="005F762A">
            <w:pPr>
              <w:rPr>
                <w:rFonts w:ascii="宋体"/>
              </w:rPr>
            </w:pPr>
          </w:p>
        </w:tc>
      </w:tr>
    </w:tbl>
    <w:p w14:paraId="7268D93D" w14:textId="77777777" w:rsidR="005F762A" w:rsidRDefault="00D74111">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41" w14:textId="77777777">
        <w:trPr>
          <w:jc w:val="center"/>
        </w:trPr>
        <w:tc>
          <w:tcPr>
            <w:tcW w:w="50" w:type="pct"/>
            <w:shd w:val="clear" w:color="auto" w:fill="auto"/>
          </w:tcPr>
          <w:p w14:paraId="7268D93E" w14:textId="77777777" w:rsidR="005F762A" w:rsidRDefault="005F762A">
            <w:pPr>
              <w:rPr>
                <w:rFonts w:ascii="宋体"/>
              </w:rPr>
            </w:pPr>
          </w:p>
        </w:tc>
        <w:tc>
          <w:tcPr>
            <w:tcW w:w="4945" w:type="pct"/>
            <w:shd w:val="clear" w:color="auto" w:fill="auto"/>
          </w:tcPr>
          <w:p w14:paraId="7268D93F" w14:textId="77777777" w:rsidR="005F762A" w:rsidRDefault="005F762A">
            <w:pPr>
              <w:rPr>
                <w:rFonts w:ascii="宋体"/>
              </w:rPr>
            </w:pPr>
          </w:p>
        </w:tc>
        <w:tc>
          <w:tcPr>
            <w:tcW w:w="5" w:type="pct"/>
            <w:shd w:val="clear" w:color="auto" w:fill="auto"/>
          </w:tcPr>
          <w:p w14:paraId="7268D940" w14:textId="77777777" w:rsidR="005F762A" w:rsidRDefault="005F762A">
            <w:pPr>
              <w:rPr>
                <w:rFonts w:ascii="宋体"/>
              </w:rPr>
            </w:pPr>
          </w:p>
        </w:tc>
      </w:tr>
      <w:tr w:rsidR="005F762A" w14:paraId="7268D94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42" w14:textId="77777777" w:rsidR="005F762A" w:rsidRDefault="005F762A">
            <w:pPr>
              <w:rPr>
                <w:rFonts w:ascii="宋体"/>
              </w:rPr>
            </w:pPr>
          </w:p>
        </w:tc>
      </w:tr>
    </w:tbl>
    <w:p w14:paraId="7268D944" w14:textId="77777777" w:rsidR="005F762A" w:rsidRDefault="00D74111">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5F762A" w14:paraId="7268D94B" w14:textId="77777777">
        <w:trPr>
          <w:jc w:val="center"/>
        </w:trPr>
        <w:tc>
          <w:tcPr>
            <w:tcW w:w="50" w:type="pct"/>
            <w:shd w:val="clear" w:color="auto" w:fill="auto"/>
          </w:tcPr>
          <w:p w14:paraId="7268D945" w14:textId="77777777" w:rsidR="005F762A" w:rsidRDefault="005F762A">
            <w:pPr>
              <w:rPr>
                <w:rFonts w:ascii="宋体"/>
              </w:rPr>
            </w:pPr>
          </w:p>
        </w:tc>
        <w:tc>
          <w:tcPr>
            <w:tcW w:w="186" w:type="pct"/>
            <w:shd w:val="clear" w:color="auto" w:fill="auto"/>
          </w:tcPr>
          <w:p w14:paraId="7268D946" w14:textId="77777777" w:rsidR="005F762A" w:rsidRDefault="005F762A">
            <w:pPr>
              <w:rPr>
                <w:rFonts w:ascii="宋体"/>
              </w:rPr>
            </w:pPr>
          </w:p>
        </w:tc>
        <w:tc>
          <w:tcPr>
            <w:tcW w:w="5" w:type="pct"/>
            <w:shd w:val="clear" w:color="auto" w:fill="auto"/>
          </w:tcPr>
          <w:p w14:paraId="7268D947" w14:textId="77777777" w:rsidR="005F762A" w:rsidRDefault="005F762A">
            <w:pPr>
              <w:rPr>
                <w:rFonts w:ascii="宋体"/>
              </w:rPr>
            </w:pPr>
          </w:p>
        </w:tc>
        <w:tc>
          <w:tcPr>
            <w:tcW w:w="50" w:type="pct"/>
            <w:shd w:val="clear" w:color="auto" w:fill="auto"/>
          </w:tcPr>
          <w:p w14:paraId="7268D948" w14:textId="77777777" w:rsidR="005F762A" w:rsidRDefault="005F762A">
            <w:pPr>
              <w:rPr>
                <w:rFonts w:ascii="宋体"/>
              </w:rPr>
            </w:pPr>
          </w:p>
        </w:tc>
        <w:tc>
          <w:tcPr>
            <w:tcW w:w="4703" w:type="pct"/>
            <w:shd w:val="clear" w:color="auto" w:fill="auto"/>
          </w:tcPr>
          <w:p w14:paraId="7268D949" w14:textId="77777777" w:rsidR="005F762A" w:rsidRDefault="005F762A">
            <w:pPr>
              <w:rPr>
                <w:rFonts w:ascii="宋体"/>
              </w:rPr>
            </w:pPr>
          </w:p>
        </w:tc>
        <w:tc>
          <w:tcPr>
            <w:tcW w:w="5" w:type="pct"/>
            <w:shd w:val="clear" w:color="auto" w:fill="auto"/>
          </w:tcPr>
          <w:p w14:paraId="7268D94A" w14:textId="77777777" w:rsidR="005F762A" w:rsidRDefault="005F762A">
            <w:pPr>
              <w:rPr>
                <w:rFonts w:ascii="宋体"/>
              </w:rPr>
            </w:pPr>
          </w:p>
        </w:tc>
      </w:tr>
      <w:tr w:rsidR="005F762A" w14:paraId="7268D94E" w14:textId="77777777">
        <w:trPr>
          <w:jc w:val="center"/>
        </w:trPr>
        <w:tc>
          <w:tcPr>
            <w:tcW w:w="0" w:type="auto"/>
            <w:gridSpan w:val="3"/>
            <w:shd w:val="clear" w:color="auto" w:fill="auto"/>
            <w:tcMar>
              <w:top w:w="40" w:type="dxa"/>
              <w:left w:w="20" w:type="dxa"/>
              <w:bottom w:w="40" w:type="dxa"/>
              <w:right w:w="20" w:type="dxa"/>
            </w:tcMar>
            <w:vAlign w:val="bottom"/>
          </w:tcPr>
          <w:p w14:paraId="7268D94C" w14:textId="77777777" w:rsidR="005F762A" w:rsidRDefault="00D74111">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7268D94D" w14:textId="77777777" w:rsidR="005F762A" w:rsidRDefault="00D74111">
            <w:pP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7268D94F" w14:textId="77777777" w:rsidR="005F762A" w:rsidRDefault="00D74111">
      <w:pPr>
        <w:ind w:firstLine="360"/>
      </w:pPr>
      <w:r>
        <w:rPr>
          <w:rFonts w:ascii="Arial" w:eastAsia="宋体" w:hAnsi="Arial" w:cs="Arial"/>
          <w:color w:val="000000"/>
          <w:sz w:val="18"/>
          <w:szCs w:val="18"/>
        </w:rPr>
        <w:t>For the quarterly period ended March 31, 2021</w:t>
      </w:r>
      <w:r>
        <w:rPr>
          <w:rFonts w:ascii="Arial" w:eastAsia="宋体" w:hAnsi="Arial" w:cs="Arial"/>
          <w:b/>
          <w:bCs/>
          <w:color w:val="000000"/>
          <w:sz w:val="18"/>
          <w:szCs w:val="18"/>
        </w:rPr>
        <w:t xml:space="preserve"> </w:t>
      </w:r>
    </w:p>
    <w:p w14:paraId="7268D950" w14:textId="77777777" w:rsidR="005F762A" w:rsidRDefault="00D74111">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5F762A" w14:paraId="7268D957" w14:textId="77777777">
        <w:trPr>
          <w:jc w:val="center"/>
        </w:trPr>
        <w:tc>
          <w:tcPr>
            <w:tcW w:w="50" w:type="pct"/>
            <w:shd w:val="clear" w:color="auto" w:fill="auto"/>
          </w:tcPr>
          <w:p w14:paraId="7268D951" w14:textId="77777777" w:rsidR="005F762A" w:rsidRDefault="005F762A">
            <w:pPr>
              <w:rPr>
                <w:rFonts w:ascii="宋体"/>
              </w:rPr>
            </w:pPr>
          </w:p>
        </w:tc>
        <w:tc>
          <w:tcPr>
            <w:tcW w:w="186" w:type="pct"/>
            <w:shd w:val="clear" w:color="auto" w:fill="auto"/>
          </w:tcPr>
          <w:p w14:paraId="7268D952" w14:textId="77777777" w:rsidR="005F762A" w:rsidRDefault="005F762A">
            <w:pPr>
              <w:rPr>
                <w:rFonts w:ascii="宋体"/>
              </w:rPr>
            </w:pPr>
          </w:p>
        </w:tc>
        <w:tc>
          <w:tcPr>
            <w:tcW w:w="5" w:type="pct"/>
            <w:shd w:val="clear" w:color="auto" w:fill="auto"/>
          </w:tcPr>
          <w:p w14:paraId="7268D953" w14:textId="77777777" w:rsidR="005F762A" w:rsidRDefault="005F762A">
            <w:pPr>
              <w:rPr>
                <w:rFonts w:ascii="宋体"/>
              </w:rPr>
            </w:pPr>
          </w:p>
        </w:tc>
        <w:tc>
          <w:tcPr>
            <w:tcW w:w="50" w:type="pct"/>
            <w:shd w:val="clear" w:color="auto" w:fill="auto"/>
          </w:tcPr>
          <w:p w14:paraId="7268D954" w14:textId="77777777" w:rsidR="005F762A" w:rsidRDefault="005F762A">
            <w:pPr>
              <w:rPr>
                <w:rFonts w:ascii="宋体"/>
              </w:rPr>
            </w:pPr>
          </w:p>
        </w:tc>
        <w:tc>
          <w:tcPr>
            <w:tcW w:w="4703" w:type="pct"/>
            <w:shd w:val="clear" w:color="auto" w:fill="auto"/>
          </w:tcPr>
          <w:p w14:paraId="7268D955" w14:textId="77777777" w:rsidR="005F762A" w:rsidRDefault="005F762A">
            <w:pPr>
              <w:rPr>
                <w:rFonts w:ascii="宋体"/>
              </w:rPr>
            </w:pPr>
          </w:p>
        </w:tc>
        <w:tc>
          <w:tcPr>
            <w:tcW w:w="5" w:type="pct"/>
            <w:shd w:val="clear" w:color="auto" w:fill="auto"/>
          </w:tcPr>
          <w:p w14:paraId="7268D956" w14:textId="77777777" w:rsidR="005F762A" w:rsidRDefault="005F762A">
            <w:pPr>
              <w:rPr>
                <w:rFonts w:ascii="宋体"/>
              </w:rPr>
            </w:pPr>
          </w:p>
        </w:tc>
      </w:tr>
      <w:tr w:rsidR="005F762A" w14:paraId="7268D95A" w14:textId="77777777">
        <w:trPr>
          <w:jc w:val="center"/>
        </w:trPr>
        <w:tc>
          <w:tcPr>
            <w:tcW w:w="0" w:type="auto"/>
            <w:gridSpan w:val="3"/>
            <w:shd w:val="clear" w:color="auto" w:fill="auto"/>
            <w:tcMar>
              <w:top w:w="40" w:type="dxa"/>
              <w:left w:w="20" w:type="dxa"/>
              <w:bottom w:w="40" w:type="dxa"/>
              <w:right w:w="20" w:type="dxa"/>
            </w:tcMar>
            <w:vAlign w:val="bottom"/>
          </w:tcPr>
          <w:p w14:paraId="7268D958" w14:textId="77777777" w:rsidR="005F762A" w:rsidRDefault="00D74111">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7268D959" w14:textId="77777777" w:rsidR="005F762A" w:rsidRDefault="00D74111">
            <w:pPr>
              <w:textAlignment w:val="bottom"/>
            </w:pPr>
            <w:r>
              <w:rPr>
                <w:rFonts w:ascii="Arial" w:eastAsia="宋体" w:hAnsi="Arial" w:cs="Arial"/>
                <w:b/>
                <w:bCs/>
                <w:color w:val="000000"/>
                <w:sz w:val="18"/>
                <w:szCs w:val="18"/>
              </w:rPr>
              <w:t>TRANSITION REPORT PURSUANT TO SECTION 13 OR 15(d) OF THE SECURITIES EXCHANGE ACT OF 1934</w:t>
            </w:r>
          </w:p>
        </w:tc>
      </w:tr>
    </w:tbl>
    <w:p w14:paraId="7268D95B" w14:textId="77777777" w:rsidR="005F762A" w:rsidRDefault="00D74111">
      <w:pPr>
        <w:ind w:firstLine="360"/>
      </w:pPr>
      <w:r>
        <w:rPr>
          <w:rFonts w:ascii="Arial" w:eastAsia="宋体" w:hAnsi="Arial" w:cs="Arial"/>
          <w:color w:val="000000"/>
          <w:sz w:val="18"/>
          <w:szCs w:val="18"/>
        </w:rPr>
        <w:t xml:space="preserve">For the transition period from _______ to _______ </w:t>
      </w:r>
    </w:p>
    <w:p w14:paraId="7268D95C" w14:textId="77777777" w:rsidR="005F762A" w:rsidRDefault="00D74111">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60" w14:textId="77777777">
        <w:trPr>
          <w:jc w:val="center"/>
        </w:trPr>
        <w:tc>
          <w:tcPr>
            <w:tcW w:w="50" w:type="pct"/>
            <w:shd w:val="clear" w:color="auto" w:fill="auto"/>
          </w:tcPr>
          <w:p w14:paraId="7268D95D" w14:textId="77777777" w:rsidR="005F762A" w:rsidRDefault="005F762A">
            <w:pPr>
              <w:rPr>
                <w:rFonts w:ascii="宋体"/>
              </w:rPr>
            </w:pPr>
          </w:p>
        </w:tc>
        <w:tc>
          <w:tcPr>
            <w:tcW w:w="4945" w:type="pct"/>
            <w:shd w:val="clear" w:color="auto" w:fill="auto"/>
          </w:tcPr>
          <w:p w14:paraId="7268D95E" w14:textId="77777777" w:rsidR="005F762A" w:rsidRDefault="005F762A">
            <w:pPr>
              <w:rPr>
                <w:rFonts w:ascii="宋体"/>
              </w:rPr>
            </w:pPr>
          </w:p>
        </w:tc>
        <w:tc>
          <w:tcPr>
            <w:tcW w:w="5" w:type="pct"/>
            <w:shd w:val="clear" w:color="auto" w:fill="auto"/>
          </w:tcPr>
          <w:p w14:paraId="7268D95F" w14:textId="77777777" w:rsidR="005F762A" w:rsidRDefault="005F762A">
            <w:pPr>
              <w:rPr>
                <w:rFonts w:ascii="宋体"/>
              </w:rPr>
            </w:pPr>
          </w:p>
        </w:tc>
      </w:tr>
      <w:tr w:rsidR="005F762A" w14:paraId="7268D96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61" w14:textId="77777777" w:rsidR="005F762A" w:rsidRDefault="005F762A">
            <w:pPr>
              <w:rPr>
                <w:rFonts w:ascii="宋体"/>
              </w:rPr>
            </w:pPr>
          </w:p>
        </w:tc>
      </w:tr>
    </w:tbl>
    <w:p w14:paraId="7268D963" w14:textId="77777777" w:rsidR="005F762A" w:rsidRDefault="00D74111">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Viewer8_files/ebay-20210331_g1.jpg"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269013E" wp14:editId="7269013F">
            <wp:extent cx="304800" cy="304800"/>
            <wp:effectExtent l="0" t="0" r="0" b="0"/>
            <wp:docPr id="4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268D964" w14:textId="77777777" w:rsidR="005F762A" w:rsidRDefault="00D74111">
      <w:pPr>
        <w:jc w:val="center"/>
      </w:pPr>
      <w:r>
        <w:rPr>
          <w:rFonts w:ascii="Arial" w:eastAsia="宋体" w:hAnsi="Arial" w:cs="Arial"/>
          <w:b/>
          <w:bCs/>
          <w:color w:val="000000"/>
          <w:sz w:val="16"/>
          <w:szCs w:val="16"/>
        </w:rPr>
        <w:t>eBay Inc.</w:t>
      </w:r>
    </w:p>
    <w:p w14:paraId="7268D965" w14:textId="77777777" w:rsidR="005F762A" w:rsidRDefault="00D74111">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69" w14:textId="77777777">
        <w:trPr>
          <w:jc w:val="center"/>
        </w:trPr>
        <w:tc>
          <w:tcPr>
            <w:tcW w:w="50" w:type="pct"/>
            <w:shd w:val="clear" w:color="auto" w:fill="auto"/>
          </w:tcPr>
          <w:p w14:paraId="7268D966" w14:textId="77777777" w:rsidR="005F762A" w:rsidRDefault="005F762A">
            <w:pPr>
              <w:rPr>
                <w:rFonts w:ascii="宋体"/>
              </w:rPr>
            </w:pPr>
          </w:p>
        </w:tc>
        <w:tc>
          <w:tcPr>
            <w:tcW w:w="4945" w:type="pct"/>
            <w:shd w:val="clear" w:color="auto" w:fill="auto"/>
          </w:tcPr>
          <w:p w14:paraId="7268D967" w14:textId="77777777" w:rsidR="005F762A" w:rsidRDefault="005F762A">
            <w:pPr>
              <w:rPr>
                <w:rFonts w:ascii="宋体"/>
              </w:rPr>
            </w:pPr>
          </w:p>
        </w:tc>
        <w:tc>
          <w:tcPr>
            <w:tcW w:w="5" w:type="pct"/>
            <w:shd w:val="clear" w:color="auto" w:fill="auto"/>
          </w:tcPr>
          <w:p w14:paraId="7268D968" w14:textId="77777777" w:rsidR="005F762A" w:rsidRDefault="005F762A">
            <w:pPr>
              <w:rPr>
                <w:rFonts w:ascii="宋体"/>
              </w:rPr>
            </w:pPr>
          </w:p>
        </w:tc>
      </w:tr>
      <w:tr w:rsidR="005F762A" w14:paraId="7268D96B"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6A" w14:textId="77777777" w:rsidR="005F762A" w:rsidRDefault="005F762A">
            <w:pPr>
              <w:rPr>
                <w:rFonts w:ascii="宋体"/>
              </w:rPr>
            </w:pPr>
          </w:p>
        </w:tc>
      </w:tr>
    </w:tbl>
    <w:p w14:paraId="7268D96C" w14:textId="77777777" w:rsidR="005F762A" w:rsidRDefault="005F762A">
      <w:pPr>
        <w:jc w:val="center"/>
      </w:pPr>
    </w:p>
    <w:tbl>
      <w:tblPr>
        <w:tblW w:w="4349" w:type="pct"/>
        <w:jc w:val="center"/>
        <w:tblCellMar>
          <w:top w:w="15" w:type="dxa"/>
          <w:left w:w="15" w:type="dxa"/>
          <w:bottom w:w="15" w:type="dxa"/>
          <w:right w:w="15" w:type="dxa"/>
        </w:tblCellMar>
        <w:tblLook w:val="04A0" w:firstRow="1" w:lastRow="0" w:firstColumn="1" w:lastColumn="0" w:noHBand="0" w:noVBand="1"/>
      </w:tblPr>
      <w:tblGrid>
        <w:gridCol w:w="53"/>
        <w:gridCol w:w="1423"/>
        <w:gridCol w:w="38"/>
        <w:gridCol w:w="37"/>
        <w:gridCol w:w="37"/>
        <w:gridCol w:w="36"/>
        <w:gridCol w:w="42"/>
        <w:gridCol w:w="1423"/>
        <w:gridCol w:w="37"/>
        <w:gridCol w:w="53"/>
        <w:gridCol w:w="876"/>
        <w:gridCol w:w="36"/>
        <w:gridCol w:w="54"/>
        <w:gridCol w:w="3070"/>
        <w:gridCol w:w="36"/>
      </w:tblGrid>
      <w:tr w:rsidR="005F762A" w14:paraId="7268D97C" w14:textId="77777777">
        <w:trPr>
          <w:jc w:val="center"/>
        </w:trPr>
        <w:tc>
          <w:tcPr>
            <w:tcW w:w="50" w:type="pct"/>
            <w:shd w:val="clear" w:color="auto" w:fill="auto"/>
          </w:tcPr>
          <w:p w14:paraId="7268D96D" w14:textId="77777777" w:rsidR="005F762A" w:rsidRDefault="005F762A">
            <w:pPr>
              <w:rPr>
                <w:rFonts w:ascii="宋体"/>
              </w:rPr>
            </w:pPr>
          </w:p>
        </w:tc>
        <w:tc>
          <w:tcPr>
            <w:tcW w:w="995" w:type="pct"/>
            <w:shd w:val="clear" w:color="auto" w:fill="auto"/>
          </w:tcPr>
          <w:p w14:paraId="7268D96E" w14:textId="77777777" w:rsidR="005F762A" w:rsidRDefault="005F762A">
            <w:pPr>
              <w:rPr>
                <w:rFonts w:ascii="宋体"/>
              </w:rPr>
            </w:pPr>
          </w:p>
        </w:tc>
        <w:tc>
          <w:tcPr>
            <w:tcW w:w="5" w:type="pct"/>
            <w:shd w:val="clear" w:color="auto" w:fill="auto"/>
          </w:tcPr>
          <w:p w14:paraId="7268D96F" w14:textId="77777777" w:rsidR="005F762A" w:rsidRDefault="005F762A">
            <w:pPr>
              <w:rPr>
                <w:rFonts w:ascii="宋体"/>
              </w:rPr>
            </w:pPr>
          </w:p>
        </w:tc>
        <w:tc>
          <w:tcPr>
            <w:tcW w:w="5" w:type="pct"/>
            <w:shd w:val="clear" w:color="auto" w:fill="auto"/>
          </w:tcPr>
          <w:p w14:paraId="7268D970" w14:textId="77777777" w:rsidR="005F762A" w:rsidRDefault="005F762A">
            <w:pPr>
              <w:rPr>
                <w:rFonts w:ascii="宋体"/>
              </w:rPr>
            </w:pPr>
          </w:p>
        </w:tc>
        <w:tc>
          <w:tcPr>
            <w:tcW w:w="32" w:type="pct"/>
            <w:shd w:val="clear" w:color="auto" w:fill="auto"/>
          </w:tcPr>
          <w:p w14:paraId="7268D971" w14:textId="77777777" w:rsidR="005F762A" w:rsidRDefault="005F762A">
            <w:pPr>
              <w:rPr>
                <w:rFonts w:ascii="宋体"/>
              </w:rPr>
            </w:pPr>
          </w:p>
        </w:tc>
        <w:tc>
          <w:tcPr>
            <w:tcW w:w="5" w:type="pct"/>
            <w:shd w:val="clear" w:color="auto" w:fill="auto"/>
          </w:tcPr>
          <w:p w14:paraId="7268D972" w14:textId="77777777" w:rsidR="005F762A" w:rsidRDefault="005F762A">
            <w:pPr>
              <w:rPr>
                <w:rFonts w:ascii="宋体"/>
              </w:rPr>
            </w:pPr>
          </w:p>
        </w:tc>
        <w:tc>
          <w:tcPr>
            <w:tcW w:w="50" w:type="pct"/>
            <w:shd w:val="clear" w:color="auto" w:fill="auto"/>
          </w:tcPr>
          <w:p w14:paraId="7268D973" w14:textId="77777777" w:rsidR="005F762A" w:rsidRDefault="005F762A">
            <w:pPr>
              <w:rPr>
                <w:rFonts w:ascii="宋体"/>
              </w:rPr>
            </w:pPr>
          </w:p>
        </w:tc>
        <w:tc>
          <w:tcPr>
            <w:tcW w:w="995" w:type="pct"/>
            <w:shd w:val="clear" w:color="auto" w:fill="auto"/>
          </w:tcPr>
          <w:p w14:paraId="7268D974" w14:textId="77777777" w:rsidR="005F762A" w:rsidRDefault="005F762A">
            <w:pPr>
              <w:rPr>
                <w:rFonts w:ascii="宋体"/>
              </w:rPr>
            </w:pPr>
          </w:p>
        </w:tc>
        <w:tc>
          <w:tcPr>
            <w:tcW w:w="5" w:type="pct"/>
            <w:shd w:val="clear" w:color="auto" w:fill="auto"/>
          </w:tcPr>
          <w:p w14:paraId="7268D975" w14:textId="77777777" w:rsidR="005F762A" w:rsidRDefault="005F762A">
            <w:pPr>
              <w:rPr>
                <w:rFonts w:ascii="宋体"/>
              </w:rPr>
            </w:pPr>
          </w:p>
        </w:tc>
        <w:tc>
          <w:tcPr>
            <w:tcW w:w="50" w:type="pct"/>
            <w:shd w:val="clear" w:color="auto" w:fill="auto"/>
          </w:tcPr>
          <w:p w14:paraId="7268D976" w14:textId="77777777" w:rsidR="005F762A" w:rsidRDefault="005F762A">
            <w:pPr>
              <w:rPr>
                <w:rFonts w:ascii="宋体"/>
              </w:rPr>
            </w:pPr>
          </w:p>
        </w:tc>
        <w:tc>
          <w:tcPr>
            <w:tcW w:w="617" w:type="pct"/>
            <w:shd w:val="clear" w:color="auto" w:fill="auto"/>
          </w:tcPr>
          <w:p w14:paraId="7268D977" w14:textId="77777777" w:rsidR="005F762A" w:rsidRDefault="005F762A">
            <w:pPr>
              <w:rPr>
                <w:rFonts w:ascii="宋体"/>
              </w:rPr>
            </w:pPr>
          </w:p>
        </w:tc>
        <w:tc>
          <w:tcPr>
            <w:tcW w:w="5" w:type="pct"/>
            <w:shd w:val="clear" w:color="auto" w:fill="auto"/>
          </w:tcPr>
          <w:p w14:paraId="7268D978" w14:textId="77777777" w:rsidR="005F762A" w:rsidRDefault="005F762A">
            <w:pPr>
              <w:rPr>
                <w:rFonts w:ascii="宋体"/>
              </w:rPr>
            </w:pPr>
          </w:p>
        </w:tc>
        <w:tc>
          <w:tcPr>
            <w:tcW w:w="50" w:type="pct"/>
            <w:shd w:val="clear" w:color="auto" w:fill="auto"/>
          </w:tcPr>
          <w:p w14:paraId="7268D979" w14:textId="77777777" w:rsidR="005F762A" w:rsidRDefault="005F762A">
            <w:pPr>
              <w:rPr>
                <w:rFonts w:ascii="宋体"/>
              </w:rPr>
            </w:pPr>
          </w:p>
        </w:tc>
        <w:tc>
          <w:tcPr>
            <w:tcW w:w="2129" w:type="pct"/>
            <w:shd w:val="clear" w:color="auto" w:fill="auto"/>
          </w:tcPr>
          <w:p w14:paraId="7268D97A" w14:textId="77777777" w:rsidR="005F762A" w:rsidRDefault="005F762A">
            <w:pPr>
              <w:rPr>
                <w:rFonts w:ascii="宋体"/>
              </w:rPr>
            </w:pPr>
          </w:p>
        </w:tc>
        <w:tc>
          <w:tcPr>
            <w:tcW w:w="5" w:type="pct"/>
            <w:shd w:val="clear" w:color="auto" w:fill="auto"/>
          </w:tcPr>
          <w:p w14:paraId="7268D97B" w14:textId="77777777" w:rsidR="005F762A" w:rsidRDefault="005F762A">
            <w:pPr>
              <w:rPr>
                <w:rFonts w:ascii="宋体"/>
              </w:rPr>
            </w:pPr>
          </w:p>
        </w:tc>
      </w:tr>
      <w:tr w:rsidR="005F762A" w14:paraId="7268D980" w14:textId="77777777">
        <w:trPr>
          <w:jc w:val="center"/>
        </w:trPr>
        <w:tc>
          <w:tcPr>
            <w:tcW w:w="0" w:type="auto"/>
            <w:gridSpan w:val="9"/>
            <w:shd w:val="clear" w:color="auto" w:fill="auto"/>
            <w:tcMar>
              <w:top w:w="40" w:type="dxa"/>
              <w:left w:w="20" w:type="dxa"/>
              <w:bottom w:w="40" w:type="dxa"/>
              <w:right w:w="20" w:type="dxa"/>
            </w:tcMar>
            <w:vAlign w:val="bottom"/>
          </w:tcPr>
          <w:p w14:paraId="7268D97D" w14:textId="77777777" w:rsidR="005F762A" w:rsidRDefault="00D74111">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tcPr>
          <w:p w14:paraId="7268D97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7F" w14:textId="77777777" w:rsidR="005F762A" w:rsidRDefault="00D74111">
            <w:pPr>
              <w:jc w:val="center"/>
              <w:textAlignment w:val="bottom"/>
            </w:pPr>
            <w:r>
              <w:rPr>
                <w:rFonts w:ascii="Arial" w:eastAsia="宋体" w:hAnsi="Arial" w:cs="Arial"/>
                <w:b/>
                <w:bCs/>
                <w:color w:val="000000"/>
                <w:sz w:val="15"/>
                <w:szCs w:val="15"/>
              </w:rPr>
              <w:t>77-0430924</w:t>
            </w:r>
          </w:p>
        </w:tc>
      </w:tr>
      <w:tr w:rsidR="005F762A" w14:paraId="7268D984" w14:textId="77777777">
        <w:trPr>
          <w:jc w:val="center"/>
        </w:trPr>
        <w:tc>
          <w:tcPr>
            <w:tcW w:w="0" w:type="auto"/>
            <w:gridSpan w:val="9"/>
            <w:shd w:val="clear" w:color="auto" w:fill="auto"/>
            <w:tcMar>
              <w:top w:w="40" w:type="dxa"/>
              <w:left w:w="20" w:type="dxa"/>
              <w:bottom w:w="40" w:type="dxa"/>
              <w:right w:w="20" w:type="dxa"/>
            </w:tcMar>
            <w:vAlign w:val="bottom"/>
          </w:tcPr>
          <w:p w14:paraId="7268D981" w14:textId="77777777" w:rsidR="005F762A" w:rsidRDefault="00D74111">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tcPr>
          <w:p w14:paraId="7268D98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83" w14:textId="77777777" w:rsidR="005F762A" w:rsidRDefault="00D74111">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5F762A" w14:paraId="7268D98A" w14:textId="77777777">
        <w:trPr>
          <w:trHeight w:val="120"/>
          <w:jc w:val="center"/>
        </w:trPr>
        <w:tc>
          <w:tcPr>
            <w:tcW w:w="0" w:type="auto"/>
            <w:gridSpan w:val="3"/>
            <w:shd w:val="clear" w:color="auto" w:fill="auto"/>
            <w:tcMar>
              <w:top w:w="0" w:type="dxa"/>
              <w:left w:w="20" w:type="dxa"/>
              <w:bottom w:w="0" w:type="dxa"/>
              <w:right w:w="20" w:type="dxa"/>
            </w:tcMar>
          </w:tcPr>
          <w:p w14:paraId="7268D985"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86"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87"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88"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89" w14:textId="77777777" w:rsidR="005F762A" w:rsidRDefault="005F762A">
            <w:pPr>
              <w:rPr>
                <w:rFonts w:ascii="宋体"/>
              </w:rPr>
            </w:pPr>
          </w:p>
        </w:tc>
      </w:tr>
      <w:tr w:rsidR="005F762A" w14:paraId="7268D98E" w14:textId="77777777">
        <w:trPr>
          <w:jc w:val="center"/>
        </w:trPr>
        <w:tc>
          <w:tcPr>
            <w:tcW w:w="0" w:type="auto"/>
            <w:gridSpan w:val="9"/>
            <w:shd w:val="clear" w:color="auto" w:fill="auto"/>
            <w:tcMar>
              <w:top w:w="40" w:type="dxa"/>
              <w:left w:w="20" w:type="dxa"/>
              <w:bottom w:w="40" w:type="dxa"/>
              <w:right w:w="20" w:type="dxa"/>
            </w:tcMar>
            <w:vAlign w:val="bottom"/>
          </w:tcPr>
          <w:p w14:paraId="7268D98B" w14:textId="77777777" w:rsidR="005F762A" w:rsidRDefault="00D74111">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tcPr>
          <w:p w14:paraId="7268D98C"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8D" w14:textId="77777777" w:rsidR="005F762A" w:rsidRDefault="005F762A">
            <w:pPr>
              <w:rPr>
                <w:rFonts w:ascii="宋体"/>
              </w:rPr>
            </w:pPr>
          </w:p>
        </w:tc>
      </w:tr>
      <w:tr w:rsidR="005F762A" w14:paraId="7268D994" w14:textId="77777777">
        <w:trPr>
          <w:jc w:val="center"/>
        </w:trPr>
        <w:tc>
          <w:tcPr>
            <w:tcW w:w="0" w:type="auto"/>
            <w:gridSpan w:val="3"/>
            <w:shd w:val="clear" w:color="auto" w:fill="auto"/>
            <w:tcMar>
              <w:top w:w="40" w:type="dxa"/>
              <w:left w:w="20" w:type="dxa"/>
              <w:bottom w:w="40" w:type="dxa"/>
              <w:right w:w="20" w:type="dxa"/>
            </w:tcMar>
            <w:vAlign w:val="bottom"/>
          </w:tcPr>
          <w:p w14:paraId="7268D98F" w14:textId="77777777" w:rsidR="005F762A" w:rsidRDefault="00D74111">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7268D990" w14:textId="77777777" w:rsidR="005F762A" w:rsidRDefault="00D74111">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7268D991" w14:textId="77777777" w:rsidR="005F762A" w:rsidRDefault="00D74111">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tcPr>
          <w:p w14:paraId="7268D99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93" w14:textId="77777777" w:rsidR="005F762A" w:rsidRDefault="00D74111">
            <w:pPr>
              <w:jc w:val="center"/>
              <w:textAlignment w:val="bottom"/>
            </w:pPr>
            <w:r>
              <w:rPr>
                <w:rFonts w:ascii="Arial" w:eastAsia="宋体" w:hAnsi="Arial" w:cs="Arial"/>
                <w:b/>
                <w:bCs/>
                <w:color w:val="000000"/>
                <w:sz w:val="15"/>
                <w:szCs w:val="15"/>
              </w:rPr>
              <w:t>95125</w:t>
            </w:r>
          </w:p>
        </w:tc>
      </w:tr>
      <w:tr w:rsidR="005F762A" w14:paraId="7268D998" w14:textId="77777777">
        <w:trPr>
          <w:jc w:val="center"/>
        </w:trPr>
        <w:tc>
          <w:tcPr>
            <w:tcW w:w="0" w:type="auto"/>
            <w:gridSpan w:val="9"/>
            <w:shd w:val="clear" w:color="auto" w:fill="auto"/>
            <w:tcMar>
              <w:top w:w="40" w:type="dxa"/>
              <w:left w:w="20" w:type="dxa"/>
              <w:bottom w:w="40" w:type="dxa"/>
              <w:right w:w="20" w:type="dxa"/>
            </w:tcMar>
            <w:vAlign w:val="bottom"/>
          </w:tcPr>
          <w:p w14:paraId="7268D995" w14:textId="77777777" w:rsidR="005F762A" w:rsidRDefault="00D74111">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Mar>
              <w:top w:w="0" w:type="dxa"/>
              <w:left w:w="20" w:type="dxa"/>
              <w:bottom w:w="0" w:type="dxa"/>
              <w:right w:w="20" w:type="dxa"/>
            </w:tcMar>
          </w:tcPr>
          <w:p w14:paraId="7268D99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8D997" w14:textId="77777777" w:rsidR="005F762A" w:rsidRDefault="00D74111">
            <w:pPr>
              <w:jc w:val="center"/>
              <w:textAlignment w:val="top"/>
            </w:pPr>
            <w:r>
              <w:rPr>
                <w:rFonts w:ascii="Arial" w:eastAsia="宋体" w:hAnsi="Arial" w:cs="Arial"/>
                <w:color w:val="000000"/>
                <w:sz w:val="14"/>
                <w:szCs w:val="14"/>
              </w:rPr>
              <w:t>(Zip Code)</w:t>
            </w:r>
          </w:p>
        </w:tc>
      </w:tr>
    </w:tbl>
    <w:p w14:paraId="7268D999" w14:textId="77777777" w:rsidR="005F762A" w:rsidRDefault="00D74111">
      <w:pPr>
        <w:spacing w:before="60"/>
        <w:jc w:val="center"/>
      </w:pPr>
      <w:r>
        <w:rPr>
          <w:rFonts w:ascii="Arial" w:eastAsia="宋体" w:hAnsi="Arial" w:cs="Arial"/>
          <w:color w:val="000000"/>
          <w:sz w:val="16"/>
          <w:szCs w:val="16"/>
        </w:rPr>
        <w:t xml:space="preserve">Registrant’s telephone number, including area code: </w:t>
      </w:r>
    </w:p>
    <w:p w14:paraId="7268D99A" w14:textId="77777777" w:rsidR="005F762A" w:rsidRDefault="00D74111">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9E" w14:textId="77777777">
        <w:trPr>
          <w:jc w:val="center"/>
        </w:trPr>
        <w:tc>
          <w:tcPr>
            <w:tcW w:w="50" w:type="pct"/>
            <w:shd w:val="clear" w:color="auto" w:fill="auto"/>
          </w:tcPr>
          <w:p w14:paraId="7268D99B" w14:textId="77777777" w:rsidR="005F762A" w:rsidRDefault="005F762A">
            <w:pPr>
              <w:rPr>
                <w:rFonts w:ascii="宋体"/>
              </w:rPr>
            </w:pPr>
          </w:p>
        </w:tc>
        <w:tc>
          <w:tcPr>
            <w:tcW w:w="4945" w:type="pct"/>
            <w:shd w:val="clear" w:color="auto" w:fill="auto"/>
          </w:tcPr>
          <w:p w14:paraId="7268D99C" w14:textId="77777777" w:rsidR="005F762A" w:rsidRDefault="005F762A">
            <w:pPr>
              <w:rPr>
                <w:rFonts w:ascii="宋体"/>
              </w:rPr>
            </w:pPr>
          </w:p>
        </w:tc>
        <w:tc>
          <w:tcPr>
            <w:tcW w:w="5" w:type="pct"/>
            <w:shd w:val="clear" w:color="auto" w:fill="auto"/>
          </w:tcPr>
          <w:p w14:paraId="7268D99D" w14:textId="77777777" w:rsidR="005F762A" w:rsidRDefault="005F762A">
            <w:pPr>
              <w:rPr>
                <w:rFonts w:ascii="宋体"/>
              </w:rPr>
            </w:pPr>
          </w:p>
        </w:tc>
      </w:tr>
      <w:tr w:rsidR="005F762A" w14:paraId="7268D9A0"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9F" w14:textId="77777777" w:rsidR="005F762A" w:rsidRDefault="005F762A">
            <w:pPr>
              <w:rPr>
                <w:rFonts w:ascii="宋体"/>
              </w:rPr>
            </w:pPr>
          </w:p>
        </w:tc>
      </w:tr>
    </w:tbl>
    <w:p w14:paraId="7268D9A1" w14:textId="77777777" w:rsidR="005F762A" w:rsidRDefault="00D74111">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5F762A" w14:paraId="7268D9AB" w14:textId="77777777">
        <w:trPr>
          <w:jc w:val="center"/>
        </w:trPr>
        <w:tc>
          <w:tcPr>
            <w:tcW w:w="50" w:type="pct"/>
            <w:shd w:val="clear" w:color="auto" w:fill="auto"/>
          </w:tcPr>
          <w:p w14:paraId="7268D9A2" w14:textId="77777777" w:rsidR="005F762A" w:rsidRDefault="005F762A">
            <w:pPr>
              <w:rPr>
                <w:rFonts w:ascii="宋体"/>
              </w:rPr>
            </w:pPr>
          </w:p>
        </w:tc>
        <w:tc>
          <w:tcPr>
            <w:tcW w:w="1606" w:type="pct"/>
            <w:shd w:val="clear" w:color="auto" w:fill="auto"/>
          </w:tcPr>
          <w:p w14:paraId="7268D9A3" w14:textId="77777777" w:rsidR="005F762A" w:rsidRDefault="005F762A">
            <w:pPr>
              <w:rPr>
                <w:rFonts w:ascii="宋体"/>
              </w:rPr>
            </w:pPr>
          </w:p>
        </w:tc>
        <w:tc>
          <w:tcPr>
            <w:tcW w:w="5" w:type="pct"/>
            <w:shd w:val="clear" w:color="auto" w:fill="auto"/>
          </w:tcPr>
          <w:p w14:paraId="7268D9A4" w14:textId="77777777" w:rsidR="005F762A" w:rsidRDefault="005F762A">
            <w:pPr>
              <w:rPr>
                <w:rFonts w:ascii="宋体"/>
              </w:rPr>
            </w:pPr>
          </w:p>
        </w:tc>
        <w:tc>
          <w:tcPr>
            <w:tcW w:w="50" w:type="pct"/>
            <w:shd w:val="clear" w:color="auto" w:fill="auto"/>
          </w:tcPr>
          <w:p w14:paraId="7268D9A5" w14:textId="77777777" w:rsidR="005F762A" w:rsidRDefault="005F762A">
            <w:pPr>
              <w:rPr>
                <w:rFonts w:ascii="宋体"/>
              </w:rPr>
            </w:pPr>
          </w:p>
        </w:tc>
        <w:tc>
          <w:tcPr>
            <w:tcW w:w="1614" w:type="pct"/>
            <w:shd w:val="clear" w:color="auto" w:fill="auto"/>
          </w:tcPr>
          <w:p w14:paraId="7268D9A6" w14:textId="77777777" w:rsidR="005F762A" w:rsidRDefault="005F762A">
            <w:pPr>
              <w:rPr>
                <w:rFonts w:ascii="宋体"/>
              </w:rPr>
            </w:pPr>
          </w:p>
        </w:tc>
        <w:tc>
          <w:tcPr>
            <w:tcW w:w="5" w:type="pct"/>
            <w:shd w:val="clear" w:color="auto" w:fill="auto"/>
          </w:tcPr>
          <w:p w14:paraId="7268D9A7" w14:textId="77777777" w:rsidR="005F762A" w:rsidRDefault="005F762A">
            <w:pPr>
              <w:rPr>
                <w:rFonts w:ascii="宋体"/>
              </w:rPr>
            </w:pPr>
          </w:p>
        </w:tc>
        <w:tc>
          <w:tcPr>
            <w:tcW w:w="50" w:type="pct"/>
            <w:shd w:val="clear" w:color="auto" w:fill="auto"/>
          </w:tcPr>
          <w:p w14:paraId="7268D9A8" w14:textId="77777777" w:rsidR="005F762A" w:rsidRDefault="005F762A">
            <w:pPr>
              <w:rPr>
                <w:rFonts w:ascii="宋体"/>
              </w:rPr>
            </w:pPr>
          </w:p>
        </w:tc>
        <w:tc>
          <w:tcPr>
            <w:tcW w:w="1614" w:type="pct"/>
            <w:shd w:val="clear" w:color="auto" w:fill="auto"/>
          </w:tcPr>
          <w:p w14:paraId="7268D9A9" w14:textId="77777777" w:rsidR="005F762A" w:rsidRDefault="005F762A">
            <w:pPr>
              <w:rPr>
                <w:rFonts w:ascii="宋体"/>
              </w:rPr>
            </w:pPr>
          </w:p>
        </w:tc>
        <w:tc>
          <w:tcPr>
            <w:tcW w:w="5" w:type="pct"/>
            <w:shd w:val="clear" w:color="auto" w:fill="auto"/>
          </w:tcPr>
          <w:p w14:paraId="7268D9AA" w14:textId="77777777" w:rsidR="005F762A" w:rsidRDefault="005F762A">
            <w:pPr>
              <w:rPr>
                <w:rFonts w:ascii="宋体"/>
              </w:rPr>
            </w:pPr>
          </w:p>
        </w:tc>
      </w:tr>
      <w:tr w:rsidR="005F762A" w14:paraId="7268D9AF" w14:textId="77777777">
        <w:trPr>
          <w:jc w:val="center"/>
        </w:trPr>
        <w:tc>
          <w:tcPr>
            <w:tcW w:w="0" w:type="auto"/>
            <w:gridSpan w:val="3"/>
            <w:shd w:val="clear" w:color="auto" w:fill="auto"/>
            <w:tcMar>
              <w:top w:w="40" w:type="dxa"/>
              <w:left w:w="20" w:type="dxa"/>
              <w:bottom w:w="40" w:type="dxa"/>
              <w:right w:w="20" w:type="dxa"/>
            </w:tcMar>
            <w:vAlign w:val="bottom"/>
          </w:tcPr>
          <w:p w14:paraId="7268D9AC" w14:textId="77777777" w:rsidR="005F762A" w:rsidRDefault="00D74111">
            <w:pPr>
              <w:jc w:val="center"/>
              <w:textAlignment w:val="bottom"/>
            </w:pPr>
            <w:r>
              <w:rPr>
                <w:rFonts w:ascii="Arial" w:eastAsia="宋体" w:hAnsi="Arial" w:cs="Arial"/>
                <w:color w:val="000000"/>
                <w:sz w:val="16"/>
                <w:szCs w:val="16"/>
                <w:u w:val="single"/>
              </w:rPr>
              <w:lastRenderedPageBreak/>
              <w:t>Title of each class</w:t>
            </w:r>
          </w:p>
        </w:tc>
        <w:tc>
          <w:tcPr>
            <w:tcW w:w="0" w:type="auto"/>
            <w:gridSpan w:val="3"/>
            <w:shd w:val="clear" w:color="auto" w:fill="auto"/>
            <w:tcMar>
              <w:top w:w="40" w:type="dxa"/>
              <w:left w:w="20" w:type="dxa"/>
              <w:bottom w:w="40" w:type="dxa"/>
              <w:right w:w="20" w:type="dxa"/>
            </w:tcMar>
            <w:vAlign w:val="bottom"/>
          </w:tcPr>
          <w:p w14:paraId="7268D9AD" w14:textId="77777777" w:rsidR="005F762A" w:rsidRDefault="00D74111">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7268D9AE" w14:textId="77777777" w:rsidR="005F762A" w:rsidRDefault="00D74111">
            <w:pPr>
              <w:jc w:val="center"/>
              <w:textAlignment w:val="bottom"/>
            </w:pPr>
            <w:r>
              <w:rPr>
                <w:rFonts w:ascii="Arial" w:eastAsia="宋体" w:hAnsi="Arial" w:cs="Arial"/>
                <w:color w:val="000000"/>
                <w:sz w:val="16"/>
                <w:szCs w:val="16"/>
                <w:u w:val="single"/>
              </w:rPr>
              <w:t>Name of exchange on which registered</w:t>
            </w:r>
          </w:p>
        </w:tc>
      </w:tr>
      <w:tr w:rsidR="005F762A" w14:paraId="7268D9B3" w14:textId="77777777">
        <w:trPr>
          <w:jc w:val="center"/>
        </w:trPr>
        <w:tc>
          <w:tcPr>
            <w:tcW w:w="0" w:type="auto"/>
            <w:gridSpan w:val="3"/>
            <w:shd w:val="clear" w:color="auto" w:fill="auto"/>
            <w:tcMar>
              <w:top w:w="40" w:type="dxa"/>
              <w:left w:w="20" w:type="dxa"/>
              <w:bottom w:w="40" w:type="dxa"/>
              <w:right w:w="20" w:type="dxa"/>
            </w:tcMar>
            <w:vAlign w:val="bottom"/>
          </w:tcPr>
          <w:p w14:paraId="7268D9B0" w14:textId="77777777" w:rsidR="005F762A" w:rsidRDefault="00D74111">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7268D9B1" w14:textId="77777777" w:rsidR="005F762A" w:rsidRDefault="00D74111">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7268D9B2" w14:textId="77777777" w:rsidR="005F762A" w:rsidRDefault="00D74111">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5F762A" w14:paraId="7268D9B7" w14:textId="77777777">
        <w:trPr>
          <w:jc w:val="center"/>
          <w:hidden/>
        </w:trPr>
        <w:tc>
          <w:tcPr>
            <w:tcW w:w="0" w:type="auto"/>
            <w:gridSpan w:val="3"/>
            <w:shd w:val="clear" w:color="auto" w:fill="auto"/>
          </w:tcPr>
          <w:p w14:paraId="7268D9B4" w14:textId="77777777" w:rsidR="005F762A" w:rsidRDefault="005F762A">
            <w:pPr>
              <w:rPr>
                <w:rFonts w:ascii="宋体"/>
                <w:vanish/>
              </w:rPr>
            </w:pPr>
          </w:p>
        </w:tc>
        <w:tc>
          <w:tcPr>
            <w:tcW w:w="0" w:type="auto"/>
            <w:gridSpan w:val="3"/>
            <w:shd w:val="clear" w:color="auto" w:fill="auto"/>
          </w:tcPr>
          <w:p w14:paraId="7268D9B5" w14:textId="77777777" w:rsidR="005F762A" w:rsidRDefault="005F762A">
            <w:pPr>
              <w:rPr>
                <w:rFonts w:ascii="宋体"/>
                <w:vanish/>
              </w:rPr>
            </w:pPr>
          </w:p>
        </w:tc>
        <w:tc>
          <w:tcPr>
            <w:tcW w:w="0" w:type="auto"/>
            <w:gridSpan w:val="3"/>
            <w:shd w:val="clear" w:color="auto" w:fill="auto"/>
          </w:tcPr>
          <w:p w14:paraId="7268D9B6" w14:textId="77777777" w:rsidR="005F762A" w:rsidRDefault="005F762A">
            <w:pPr>
              <w:rPr>
                <w:rFonts w:ascii="宋体"/>
                <w:vanish/>
              </w:rPr>
            </w:pPr>
          </w:p>
        </w:tc>
      </w:tr>
    </w:tbl>
    <w:p w14:paraId="7268D9B8" w14:textId="77777777" w:rsidR="005F762A" w:rsidRDefault="005F762A">
      <w:pPr>
        <w:jc w:val="cente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5F762A" w14:paraId="7268D9BC" w14:textId="77777777">
        <w:trPr>
          <w:jc w:val="center"/>
        </w:trPr>
        <w:tc>
          <w:tcPr>
            <w:tcW w:w="50" w:type="pct"/>
            <w:shd w:val="clear" w:color="auto" w:fill="auto"/>
          </w:tcPr>
          <w:p w14:paraId="7268D9B9" w14:textId="77777777" w:rsidR="005F762A" w:rsidRDefault="005F762A">
            <w:pPr>
              <w:rPr>
                <w:rFonts w:ascii="宋体"/>
              </w:rPr>
            </w:pPr>
          </w:p>
        </w:tc>
        <w:tc>
          <w:tcPr>
            <w:tcW w:w="4945" w:type="pct"/>
            <w:shd w:val="clear" w:color="auto" w:fill="auto"/>
          </w:tcPr>
          <w:p w14:paraId="7268D9BA" w14:textId="77777777" w:rsidR="005F762A" w:rsidRDefault="005F762A">
            <w:pPr>
              <w:rPr>
                <w:rFonts w:ascii="宋体"/>
              </w:rPr>
            </w:pPr>
          </w:p>
        </w:tc>
        <w:tc>
          <w:tcPr>
            <w:tcW w:w="5" w:type="pct"/>
            <w:shd w:val="clear" w:color="auto" w:fill="auto"/>
          </w:tcPr>
          <w:p w14:paraId="7268D9BB" w14:textId="77777777" w:rsidR="005F762A" w:rsidRDefault="005F762A">
            <w:pPr>
              <w:rPr>
                <w:rFonts w:ascii="宋体"/>
              </w:rPr>
            </w:pPr>
          </w:p>
        </w:tc>
      </w:tr>
      <w:tr w:rsidR="005F762A" w14:paraId="7268D9BE"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tcPr>
          <w:p w14:paraId="7268D9BD" w14:textId="77777777" w:rsidR="005F762A" w:rsidRDefault="005F762A">
            <w:pPr>
              <w:rPr>
                <w:rFonts w:ascii="宋体"/>
              </w:rPr>
            </w:pPr>
          </w:p>
        </w:tc>
      </w:tr>
    </w:tbl>
    <w:p w14:paraId="7268D9BF" w14:textId="77777777" w:rsidR="005F762A" w:rsidRDefault="005F762A">
      <w:pPr>
        <w:jc w:val="center"/>
      </w:pPr>
    </w:p>
    <w:p w14:paraId="7268D9C0" w14:textId="77777777" w:rsidR="005F762A" w:rsidRDefault="00D74111">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7268D9C1" w14:textId="77777777" w:rsidR="005F762A" w:rsidRDefault="00D74111">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7268D9C2" w14:textId="77777777" w:rsidR="005F762A" w:rsidRDefault="005F762A">
      <w:pPr>
        <w:jc w:val="both"/>
      </w:pPr>
    </w:p>
    <w:p w14:paraId="7268D9C3" w14:textId="77777777" w:rsidR="005F762A" w:rsidRDefault="00D74111">
      <w:pPr>
        <w:jc w:val="both"/>
      </w:pPr>
      <w:r>
        <w:rPr>
          <w:rFonts w:ascii="Arial" w:eastAsia="宋体" w:hAnsi="Arial" w:cs="Arial"/>
          <w:color w:val="000000"/>
          <w:sz w:val="14"/>
          <w:szCs w:val="14"/>
        </w:rPr>
        <w:t>Indicate by check mark whether the registrant is a large accelerated filer, an acceler</w:t>
      </w:r>
      <w:r>
        <w:rPr>
          <w:rFonts w:ascii="Arial" w:eastAsia="宋体" w:hAnsi="Arial" w:cs="Arial"/>
          <w:color w:val="000000"/>
          <w:sz w:val="14"/>
          <w:szCs w:val="14"/>
        </w:rPr>
        <w:t xml:space="preserve">ated filer, a non-accelerated filer, a smaller reporting company, or an emerging growth company. See the definitions of “large accelerated filer,” “accelerated filer,” “smaller reporting company” and “emerging growth company” in Rule 12b-2 of the Exchange </w:t>
      </w:r>
      <w:r>
        <w:rPr>
          <w:rFonts w:ascii="Arial" w:eastAsia="宋体" w:hAnsi="Arial" w:cs="Arial"/>
          <w:color w:val="000000"/>
          <w:sz w:val="14"/>
          <w:szCs w:val="14"/>
        </w:rPr>
        <w:t xml:space="preserve">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5F762A" w14:paraId="7268D9D3" w14:textId="77777777">
        <w:trPr>
          <w:jc w:val="center"/>
        </w:trPr>
        <w:tc>
          <w:tcPr>
            <w:tcW w:w="50" w:type="pct"/>
            <w:shd w:val="clear" w:color="auto" w:fill="auto"/>
          </w:tcPr>
          <w:p w14:paraId="7268D9C4" w14:textId="77777777" w:rsidR="005F762A" w:rsidRDefault="005F762A">
            <w:pPr>
              <w:rPr>
                <w:rFonts w:ascii="宋体"/>
              </w:rPr>
            </w:pPr>
          </w:p>
        </w:tc>
        <w:tc>
          <w:tcPr>
            <w:tcW w:w="1019" w:type="pct"/>
            <w:shd w:val="clear" w:color="auto" w:fill="auto"/>
          </w:tcPr>
          <w:p w14:paraId="7268D9C5" w14:textId="77777777" w:rsidR="005F762A" w:rsidRDefault="005F762A">
            <w:pPr>
              <w:rPr>
                <w:rFonts w:ascii="宋体"/>
              </w:rPr>
            </w:pPr>
          </w:p>
        </w:tc>
        <w:tc>
          <w:tcPr>
            <w:tcW w:w="5" w:type="pct"/>
            <w:shd w:val="clear" w:color="auto" w:fill="auto"/>
          </w:tcPr>
          <w:p w14:paraId="7268D9C6" w14:textId="77777777" w:rsidR="005F762A" w:rsidRDefault="005F762A">
            <w:pPr>
              <w:rPr>
                <w:rFonts w:ascii="宋体"/>
              </w:rPr>
            </w:pPr>
          </w:p>
        </w:tc>
        <w:tc>
          <w:tcPr>
            <w:tcW w:w="50" w:type="pct"/>
            <w:shd w:val="clear" w:color="auto" w:fill="auto"/>
          </w:tcPr>
          <w:p w14:paraId="7268D9C7" w14:textId="77777777" w:rsidR="005F762A" w:rsidRDefault="005F762A">
            <w:pPr>
              <w:rPr>
                <w:rFonts w:ascii="宋体"/>
              </w:rPr>
            </w:pPr>
          </w:p>
        </w:tc>
        <w:tc>
          <w:tcPr>
            <w:tcW w:w="142" w:type="pct"/>
            <w:shd w:val="clear" w:color="auto" w:fill="auto"/>
          </w:tcPr>
          <w:p w14:paraId="7268D9C8" w14:textId="77777777" w:rsidR="005F762A" w:rsidRDefault="005F762A">
            <w:pPr>
              <w:rPr>
                <w:rFonts w:ascii="宋体"/>
              </w:rPr>
            </w:pPr>
          </w:p>
        </w:tc>
        <w:tc>
          <w:tcPr>
            <w:tcW w:w="5" w:type="pct"/>
            <w:shd w:val="clear" w:color="auto" w:fill="auto"/>
          </w:tcPr>
          <w:p w14:paraId="7268D9C9" w14:textId="77777777" w:rsidR="005F762A" w:rsidRDefault="005F762A">
            <w:pPr>
              <w:rPr>
                <w:rFonts w:ascii="宋体"/>
              </w:rPr>
            </w:pPr>
          </w:p>
        </w:tc>
        <w:tc>
          <w:tcPr>
            <w:tcW w:w="50" w:type="pct"/>
            <w:shd w:val="clear" w:color="auto" w:fill="auto"/>
          </w:tcPr>
          <w:p w14:paraId="7268D9CA" w14:textId="77777777" w:rsidR="005F762A" w:rsidRDefault="005F762A">
            <w:pPr>
              <w:rPr>
                <w:rFonts w:ascii="宋体"/>
              </w:rPr>
            </w:pPr>
          </w:p>
        </w:tc>
        <w:tc>
          <w:tcPr>
            <w:tcW w:w="2225" w:type="pct"/>
            <w:shd w:val="clear" w:color="auto" w:fill="auto"/>
          </w:tcPr>
          <w:p w14:paraId="7268D9CB" w14:textId="77777777" w:rsidR="005F762A" w:rsidRDefault="005F762A">
            <w:pPr>
              <w:rPr>
                <w:rFonts w:ascii="宋体"/>
              </w:rPr>
            </w:pPr>
          </w:p>
        </w:tc>
        <w:tc>
          <w:tcPr>
            <w:tcW w:w="5" w:type="pct"/>
            <w:shd w:val="clear" w:color="auto" w:fill="auto"/>
          </w:tcPr>
          <w:p w14:paraId="7268D9CC" w14:textId="77777777" w:rsidR="005F762A" w:rsidRDefault="005F762A">
            <w:pPr>
              <w:rPr>
                <w:rFonts w:ascii="宋体"/>
              </w:rPr>
            </w:pPr>
          </w:p>
        </w:tc>
        <w:tc>
          <w:tcPr>
            <w:tcW w:w="50" w:type="pct"/>
            <w:shd w:val="clear" w:color="auto" w:fill="auto"/>
          </w:tcPr>
          <w:p w14:paraId="7268D9CD" w14:textId="77777777" w:rsidR="005F762A" w:rsidRDefault="005F762A">
            <w:pPr>
              <w:rPr>
                <w:rFonts w:ascii="宋体"/>
              </w:rPr>
            </w:pPr>
          </w:p>
        </w:tc>
        <w:tc>
          <w:tcPr>
            <w:tcW w:w="1195" w:type="pct"/>
            <w:shd w:val="clear" w:color="auto" w:fill="auto"/>
          </w:tcPr>
          <w:p w14:paraId="7268D9CE" w14:textId="77777777" w:rsidR="005F762A" w:rsidRDefault="005F762A">
            <w:pPr>
              <w:rPr>
                <w:rFonts w:ascii="宋体"/>
              </w:rPr>
            </w:pPr>
          </w:p>
        </w:tc>
        <w:tc>
          <w:tcPr>
            <w:tcW w:w="5" w:type="pct"/>
            <w:shd w:val="clear" w:color="auto" w:fill="auto"/>
          </w:tcPr>
          <w:p w14:paraId="7268D9CF" w14:textId="77777777" w:rsidR="005F762A" w:rsidRDefault="005F762A">
            <w:pPr>
              <w:rPr>
                <w:rFonts w:ascii="宋体"/>
              </w:rPr>
            </w:pPr>
          </w:p>
        </w:tc>
        <w:tc>
          <w:tcPr>
            <w:tcW w:w="50" w:type="pct"/>
            <w:shd w:val="clear" w:color="auto" w:fill="auto"/>
          </w:tcPr>
          <w:p w14:paraId="7268D9D0" w14:textId="77777777" w:rsidR="005F762A" w:rsidRDefault="005F762A">
            <w:pPr>
              <w:rPr>
                <w:rFonts w:ascii="宋体"/>
              </w:rPr>
            </w:pPr>
          </w:p>
        </w:tc>
        <w:tc>
          <w:tcPr>
            <w:tcW w:w="142" w:type="pct"/>
            <w:shd w:val="clear" w:color="auto" w:fill="auto"/>
          </w:tcPr>
          <w:p w14:paraId="7268D9D1" w14:textId="77777777" w:rsidR="005F762A" w:rsidRDefault="005F762A">
            <w:pPr>
              <w:rPr>
                <w:rFonts w:ascii="宋体"/>
              </w:rPr>
            </w:pPr>
          </w:p>
        </w:tc>
        <w:tc>
          <w:tcPr>
            <w:tcW w:w="5" w:type="pct"/>
            <w:shd w:val="clear" w:color="auto" w:fill="auto"/>
          </w:tcPr>
          <w:p w14:paraId="7268D9D2" w14:textId="77777777" w:rsidR="005F762A" w:rsidRDefault="005F762A">
            <w:pPr>
              <w:rPr>
                <w:rFonts w:ascii="宋体"/>
              </w:rPr>
            </w:pPr>
          </w:p>
        </w:tc>
      </w:tr>
      <w:tr w:rsidR="005F762A" w14:paraId="7268D9D9" w14:textId="77777777">
        <w:trPr>
          <w:jc w:val="center"/>
        </w:trPr>
        <w:tc>
          <w:tcPr>
            <w:tcW w:w="0" w:type="auto"/>
            <w:gridSpan w:val="3"/>
            <w:shd w:val="clear" w:color="auto" w:fill="auto"/>
            <w:tcMar>
              <w:top w:w="40" w:type="dxa"/>
              <w:left w:w="20" w:type="dxa"/>
              <w:bottom w:w="40" w:type="dxa"/>
              <w:right w:w="20" w:type="dxa"/>
            </w:tcMar>
            <w:vAlign w:val="bottom"/>
          </w:tcPr>
          <w:p w14:paraId="7268D9D4" w14:textId="77777777" w:rsidR="005F762A" w:rsidRDefault="00D74111">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7268D9D5" w14:textId="77777777" w:rsidR="005F762A" w:rsidRDefault="00D74111">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7268D9D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D7" w14:textId="77777777" w:rsidR="005F762A" w:rsidRDefault="00D74111">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7268D9D8" w14:textId="77777777" w:rsidR="005F762A" w:rsidRDefault="00D74111">
            <w:pPr>
              <w:jc w:val="center"/>
              <w:textAlignment w:val="bottom"/>
            </w:pPr>
            <w:r>
              <w:rPr>
                <w:rFonts w:ascii="Arial Unicode MS" w:eastAsia="Arial Unicode MS" w:hAnsi="Arial Unicode MS" w:cs="Arial Unicode MS" w:hint="eastAsia"/>
                <w:color w:val="000000"/>
                <w:sz w:val="18"/>
                <w:szCs w:val="18"/>
              </w:rPr>
              <w:t>☐</w:t>
            </w:r>
          </w:p>
        </w:tc>
      </w:tr>
      <w:tr w:rsidR="005F762A" w14:paraId="7268D9DF" w14:textId="77777777">
        <w:trPr>
          <w:jc w:val="center"/>
        </w:trPr>
        <w:tc>
          <w:tcPr>
            <w:tcW w:w="0" w:type="auto"/>
            <w:gridSpan w:val="3"/>
            <w:shd w:val="clear" w:color="auto" w:fill="auto"/>
            <w:tcMar>
              <w:top w:w="40" w:type="dxa"/>
              <w:left w:w="20" w:type="dxa"/>
              <w:bottom w:w="40" w:type="dxa"/>
              <w:right w:w="20" w:type="dxa"/>
            </w:tcMar>
            <w:vAlign w:val="bottom"/>
          </w:tcPr>
          <w:p w14:paraId="7268D9DA" w14:textId="77777777" w:rsidR="005F762A" w:rsidRDefault="00D74111">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7268D9DB" w14:textId="77777777" w:rsidR="005F762A" w:rsidRDefault="00D74111">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7268D9D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DD" w14:textId="77777777" w:rsidR="005F762A" w:rsidRDefault="00D74111">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7268D9DE" w14:textId="77777777" w:rsidR="005F762A" w:rsidRDefault="00D74111">
            <w:pPr>
              <w:jc w:val="center"/>
              <w:textAlignment w:val="bottom"/>
            </w:pPr>
            <w:r>
              <w:rPr>
                <w:rFonts w:ascii="Arial Unicode MS" w:eastAsia="Arial Unicode MS" w:hAnsi="Arial Unicode MS" w:cs="Arial Unicode MS" w:hint="eastAsia"/>
                <w:color w:val="000000"/>
                <w:sz w:val="18"/>
                <w:szCs w:val="18"/>
              </w:rPr>
              <w:t>☐</w:t>
            </w:r>
          </w:p>
        </w:tc>
      </w:tr>
      <w:tr w:rsidR="005F762A" w14:paraId="7268D9E5" w14:textId="77777777">
        <w:trPr>
          <w:jc w:val="center"/>
        </w:trPr>
        <w:tc>
          <w:tcPr>
            <w:tcW w:w="0" w:type="auto"/>
            <w:gridSpan w:val="3"/>
            <w:shd w:val="clear" w:color="auto" w:fill="auto"/>
            <w:tcMar>
              <w:top w:w="0" w:type="dxa"/>
              <w:left w:w="20" w:type="dxa"/>
              <w:bottom w:w="0" w:type="dxa"/>
              <w:right w:w="20" w:type="dxa"/>
            </w:tcMar>
          </w:tcPr>
          <w:p w14:paraId="7268D9E0"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E1"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9E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D9E3" w14:textId="77777777" w:rsidR="005F762A" w:rsidRDefault="00D74111">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7268D9E4" w14:textId="77777777" w:rsidR="005F762A" w:rsidRDefault="00D74111">
            <w:pPr>
              <w:jc w:val="center"/>
              <w:textAlignment w:val="bottom"/>
            </w:pPr>
            <w:r>
              <w:rPr>
                <w:rFonts w:ascii="Arial Unicode MS" w:eastAsia="Arial Unicode MS" w:hAnsi="Arial Unicode MS" w:cs="Arial Unicode MS" w:hint="eastAsia"/>
                <w:color w:val="000000"/>
                <w:sz w:val="18"/>
                <w:szCs w:val="18"/>
              </w:rPr>
              <w:t>☐</w:t>
            </w:r>
          </w:p>
        </w:tc>
      </w:tr>
    </w:tbl>
    <w:p w14:paraId="7268D9E6" w14:textId="77777777" w:rsidR="005F762A" w:rsidRDefault="00D74111">
      <w:r>
        <w:rPr>
          <w:rFonts w:ascii="Arial" w:eastAsia="宋体" w:hAnsi="Arial" w:cs="Arial"/>
          <w:color w:val="000000"/>
          <w:sz w:val="14"/>
          <w:szCs w:val="14"/>
        </w:rPr>
        <w:t xml:space="preserve">If an emerging growth company, indicate by check mark if the registrant has elected not to use the </w:t>
      </w:r>
      <w:r>
        <w:rPr>
          <w:rFonts w:ascii="Arial" w:eastAsia="宋体" w:hAnsi="Arial" w:cs="Arial"/>
          <w:color w:val="000000"/>
          <w:sz w:val="14"/>
          <w:szCs w:val="14"/>
        </w:rPr>
        <w:t>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7268D9E7" w14:textId="77777777" w:rsidR="005F762A" w:rsidRDefault="00D74111">
      <w:pPr>
        <w:spacing w:before="80"/>
      </w:pPr>
      <w:r>
        <w:rPr>
          <w:rFonts w:ascii="Arial" w:eastAsia="宋体" w:hAnsi="Arial" w:cs="Arial"/>
          <w:color w:val="000000"/>
          <w:sz w:val="14"/>
          <w:szCs w:val="14"/>
        </w:rPr>
        <w:t>Indicate by check mark whether the registrant is a shell company (as defined in Rule 12b-2 of the Ex</w:t>
      </w:r>
      <w:r>
        <w:rPr>
          <w:rFonts w:ascii="Arial" w:eastAsia="宋体" w:hAnsi="Arial" w:cs="Arial"/>
          <w:color w:val="000000"/>
          <w:sz w:val="14"/>
          <w:szCs w:val="14"/>
        </w:rPr>
        <w:t xml:space="preserve">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7268D9E8" w14:textId="77777777" w:rsidR="005F762A" w:rsidRDefault="00D74111">
      <w:pPr>
        <w:spacing w:before="80" w:after="60"/>
        <w:jc w:val="both"/>
      </w:pPr>
      <w:r>
        <w:rPr>
          <w:rFonts w:ascii="Arial" w:eastAsia="宋体" w:hAnsi="Arial" w:cs="Arial"/>
          <w:color w:val="000000"/>
          <w:sz w:val="14"/>
          <w:szCs w:val="14"/>
        </w:rPr>
        <w:t>As of April 26, 2021, there were 681,261,636 shares of the registrant’s common stock, $0.001 par value, outstanding, which is the only class of common or voting stock of the registrant issued.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5F762A" w14:paraId="7268D9EC" w14:textId="77777777">
        <w:trPr>
          <w:jc w:val="center"/>
        </w:trPr>
        <w:tc>
          <w:tcPr>
            <w:tcW w:w="50" w:type="pct"/>
            <w:shd w:val="clear" w:color="auto" w:fill="auto"/>
          </w:tcPr>
          <w:p w14:paraId="7268D9E9" w14:textId="77777777" w:rsidR="005F762A" w:rsidRDefault="005F762A">
            <w:pPr>
              <w:rPr>
                <w:rFonts w:ascii="宋体"/>
              </w:rPr>
            </w:pPr>
          </w:p>
        </w:tc>
        <w:tc>
          <w:tcPr>
            <w:tcW w:w="4945" w:type="pct"/>
            <w:shd w:val="clear" w:color="auto" w:fill="auto"/>
          </w:tcPr>
          <w:p w14:paraId="7268D9EA" w14:textId="77777777" w:rsidR="005F762A" w:rsidRDefault="005F762A">
            <w:pPr>
              <w:rPr>
                <w:rFonts w:ascii="宋体"/>
              </w:rPr>
            </w:pPr>
          </w:p>
        </w:tc>
        <w:tc>
          <w:tcPr>
            <w:tcW w:w="5" w:type="pct"/>
            <w:shd w:val="clear" w:color="auto" w:fill="auto"/>
          </w:tcPr>
          <w:p w14:paraId="7268D9EB" w14:textId="77777777" w:rsidR="005F762A" w:rsidRDefault="005F762A">
            <w:pPr>
              <w:rPr>
                <w:rFonts w:ascii="宋体"/>
              </w:rPr>
            </w:pPr>
          </w:p>
        </w:tc>
      </w:tr>
      <w:tr w:rsidR="005F762A" w14:paraId="7268D9EE"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D9ED" w14:textId="77777777" w:rsidR="005F762A" w:rsidRDefault="005F762A">
            <w:pPr>
              <w:rPr>
                <w:rFonts w:ascii="宋体"/>
              </w:rPr>
            </w:pPr>
          </w:p>
        </w:tc>
      </w:tr>
    </w:tbl>
    <w:p w14:paraId="7268D9EF" w14:textId="77777777" w:rsidR="005F762A" w:rsidRDefault="005F762A">
      <w:pPr>
        <w:jc w:val="center"/>
      </w:pPr>
    </w:p>
    <w:p w14:paraId="7268D9F0" w14:textId="77777777" w:rsidR="005F762A" w:rsidRDefault="005F762A">
      <w:pPr>
        <w:jc w:val="center"/>
      </w:pPr>
    </w:p>
    <w:p w14:paraId="7268D9F1" w14:textId="77777777" w:rsidR="005F762A" w:rsidRDefault="00D74111">
      <w:pPr>
        <w:jc w:val="center"/>
      </w:pPr>
      <w:r>
        <w:rPr>
          <w:rFonts w:ascii="Arial" w:eastAsia="宋体" w:hAnsi="Arial" w:cs="Arial"/>
          <w:color w:val="000000"/>
          <w:sz w:val="20"/>
          <w:szCs w:val="20"/>
        </w:rPr>
        <w:t>1</w:t>
      </w:r>
    </w:p>
    <w:p w14:paraId="7268D9F2" w14:textId="77777777" w:rsidR="005F762A" w:rsidRDefault="00D74111">
      <w:r>
        <w:pict w14:anchorId="72690140">
          <v:rect id="_x0000_i1025" style="width:415.3pt;height:1.5pt" o:hralign="center" o:hrstd="t" o:hr="t" fillcolor="#a0a0a0" stroked="f"/>
        </w:pict>
      </w:r>
    </w:p>
    <w:p w14:paraId="7268D9F3" w14:textId="77777777" w:rsidR="005F762A" w:rsidRDefault="005F762A"/>
    <w:p w14:paraId="7268D9F4" w14:textId="77777777" w:rsidR="005F762A" w:rsidRDefault="00D74111">
      <w:pPr>
        <w:jc w:val="center"/>
      </w:pPr>
      <w:r>
        <w:rPr>
          <w:rFonts w:ascii="Arial" w:eastAsia="宋体" w:hAnsi="Arial" w:cs="Arial"/>
          <w:b/>
          <w:bCs/>
          <w:color w:val="000000"/>
          <w:sz w:val="20"/>
          <w:szCs w:val="20"/>
        </w:rPr>
        <w:t xml:space="preserve">PART I: </w:t>
      </w:r>
      <w:r>
        <w:rPr>
          <w:rFonts w:ascii="Arial" w:eastAsia="宋体" w:hAnsi="Arial" w:cs="Arial"/>
          <w:b/>
          <w:bCs/>
          <w:color w:val="000000"/>
          <w:sz w:val="20"/>
          <w:szCs w:val="20"/>
        </w:rPr>
        <w:t>FINANCIAL INFORMATION</w:t>
      </w:r>
    </w:p>
    <w:p w14:paraId="7268D9F5" w14:textId="77777777" w:rsidR="005F762A" w:rsidRDefault="00D74111">
      <w:pPr>
        <w:spacing w:before="18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w:t>
      </w:r>
    </w:p>
    <w:p w14:paraId="7268D9F6" w14:textId="77777777" w:rsidR="005F762A" w:rsidRDefault="00D74111">
      <w:pPr>
        <w:spacing w:before="180"/>
        <w:jc w:val="center"/>
      </w:pPr>
      <w:r>
        <w:rPr>
          <w:rFonts w:ascii="Arial" w:eastAsia="宋体" w:hAnsi="Arial" w:cs="Arial"/>
          <w:b/>
          <w:bCs/>
          <w:color w:val="000000"/>
          <w:sz w:val="20"/>
          <w:szCs w:val="20"/>
        </w:rPr>
        <w:t xml:space="preserve">eBay Inc. </w:t>
      </w:r>
    </w:p>
    <w:p w14:paraId="7268D9F7" w14:textId="77777777" w:rsidR="005F762A" w:rsidRDefault="00D74111">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5757"/>
        <w:gridCol w:w="40"/>
        <w:gridCol w:w="122"/>
        <w:gridCol w:w="1021"/>
        <w:gridCol w:w="37"/>
        <w:gridCol w:w="36"/>
        <w:gridCol w:w="42"/>
        <w:gridCol w:w="36"/>
        <w:gridCol w:w="122"/>
        <w:gridCol w:w="1020"/>
        <w:gridCol w:w="36"/>
      </w:tblGrid>
      <w:tr w:rsidR="005F762A" w14:paraId="7268DA04" w14:textId="77777777">
        <w:trPr>
          <w:jc w:val="center"/>
        </w:trPr>
        <w:tc>
          <w:tcPr>
            <w:tcW w:w="50" w:type="pct"/>
            <w:shd w:val="clear" w:color="auto" w:fill="auto"/>
          </w:tcPr>
          <w:p w14:paraId="7268D9F8" w14:textId="77777777" w:rsidR="005F762A" w:rsidRDefault="005F762A">
            <w:pPr>
              <w:rPr>
                <w:rFonts w:ascii="宋体"/>
              </w:rPr>
            </w:pPr>
          </w:p>
        </w:tc>
        <w:tc>
          <w:tcPr>
            <w:tcW w:w="3559" w:type="pct"/>
            <w:shd w:val="clear" w:color="auto" w:fill="auto"/>
          </w:tcPr>
          <w:p w14:paraId="7268D9F9" w14:textId="77777777" w:rsidR="005F762A" w:rsidRDefault="005F762A">
            <w:pPr>
              <w:rPr>
                <w:rFonts w:ascii="宋体"/>
              </w:rPr>
            </w:pPr>
          </w:p>
        </w:tc>
        <w:tc>
          <w:tcPr>
            <w:tcW w:w="5" w:type="pct"/>
            <w:shd w:val="clear" w:color="auto" w:fill="auto"/>
          </w:tcPr>
          <w:p w14:paraId="7268D9FA" w14:textId="77777777" w:rsidR="005F762A" w:rsidRDefault="005F762A">
            <w:pPr>
              <w:rPr>
                <w:rFonts w:ascii="宋体"/>
              </w:rPr>
            </w:pPr>
          </w:p>
        </w:tc>
        <w:tc>
          <w:tcPr>
            <w:tcW w:w="50" w:type="pct"/>
            <w:shd w:val="clear" w:color="auto" w:fill="auto"/>
          </w:tcPr>
          <w:p w14:paraId="7268D9FB" w14:textId="77777777" w:rsidR="005F762A" w:rsidRDefault="005F762A">
            <w:pPr>
              <w:rPr>
                <w:rFonts w:ascii="宋体"/>
              </w:rPr>
            </w:pPr>
          </w:p>
        </w:tc>
        <w:tc>
          <w:tcPr>
            <w:tcW w:w="619" w:type="pct"/>
            <w:shd w:val="clear" w:color="auto" w:fill="auto"/>
          </w:tcPr>
          <w:p w14:paraId="7268D9FC" w14:textId="77777777" w:rsidR="005F762A" w:rsidRDefault="005F762A">
            <w:pPr>
              <w:rPr>
                <w:rFonts w:ascii="宋体"/>
              </w:rPr>
            </w:pPr>
          </w:p>
        </w:tc>
        <w:tc>
          <w:tcPr>
            <w:tcW w:w="5" w:type="pct"/>
            <w:shd w:val="clear" w:color="auto" w:fill="auto"/>
          </w:tcPr>
          <w:p w14:paraId="7268D9FD" w14:textId="77777777" w:rsidR="005F762A" w:rsidRDefault="005F762A">
            <w:pPr>
              <w:rPr>
                <w:rFonts w:ascii="宋体"/>
              </w:rPr>
            </w:pPr>
          </w:p>
        </w:tc>
        <w:tc>
          <w:tcPr>
            <w:tcW w:w="5" w:type="pct"/>
            <w:shd w:val="clear" w:color="auto" w:fill="auto"/>
          </w:tcPr>
          <w:p w14:paraId="7268D9FE" w14:textId="77777777" w:rsidR="005F762A" w:rsidRDefault="005F762A">
            <w:pPr>
              <w:rPr>
                <w:rFonts w:ascii="宋体"/>
              </w:rPr>
            </w:pPr>
          </w:p>
        </w:tc>
        <w:tc>
          <w:tcPr>
            <w:tcW w:w="26" w:type="pct"/>
            <w:shd w:val="clear" w:color="auto" w:fill="auto"/>
          </w:tcPr>
          <w:p w14:paraId="7268D9FF" w14:textId="77777777" w:rsidR="005F762A" w:rsidRDefault="005F762A">
            <w:pPr>
              <w:rPr>
                <w:rFonts w:ascii="宋体"/>
              </w:rPr>
            </w:pPr>
          </w:p>
        </w:tc>
        <w:tc>
          <w:tcPr>
            <w:tcW w:w="5" w:type="pct"/>
            <w:shd w:val="clear" w:color="auto" w:fill="auto"/>
          </w:tcPr>
          <w:p w14:paraId="7268DA00" w14:textId="77777777" w:rsidR="005F762A" w:rsidRDefault="005F762A">
            <w:pPr>
              <w:rPr>
                <w:rFonts w:ascii="宋体"/>
              </w:rPr>
            </w:pPr>
          </w:p>
        </w:tc>
        <w:tc>
          <w:tcPr>
            <w:tcW w:w="50" w:type="pct"/>
            <w:shd w:val="clear" w:color="auto" w:fill="auto"/>
          </w:tcPr>
          <w:p w14:paraId="7268DA01" w14:textId="77777777" w:rsidR="005F762A" w:rsidRDefault="005F762A">
            <w:pPr>
              <w:rPr>
                <w:rFonts w:ascii="宋体"/>
              </w:rPr>
            </w:pPr>
          </w:p>
        </w:tc>
        <w:tc>
          <w:tcPr>
            <w:tcW w:w="619" w:type="pct"/>
            <w:shd w:val="clear" w:color="auto" w:fill="auto"/>
          </w:tcPr>
          <w:p w14:paraId="7268DA02" w14:textId="77777777" w:rsidR="005F762A" w:rsidRDefault="005F762A">
            <w:pPr>
              <w:rPr>
                <w:rFonts w:ascii="宋体"/>
              </w:rPr>
            </w:pPr>
          </w:p>
        </w:tc>
        <w:tc>
          <w:tcPr>
            <w:tcW w:w="5" w:type="pct"/>
            <w:shd w:val="clear" w:color="auto" w:fill="auto"/>
          </w:tcPr>
          <w:p w14:paraId="7268DA03" w14:textId="77777777" w:rsidR="005F762A" w:rsidRDefault="005F762A">
            <w:pPr>
              <w:rPr>
                <w:rFonts w:ascii="宋体"/>
              </w:rPr>
            </w:pPr>
          </w:p>
        </w:tc>
      </w:tr>
      <w:tr w:rsidR="005F762A" w14:paraId="7268DA09" w14:textId="77777777">
        <w:trPr>
          <w:jc w:val="center"/>
        </w:trPr>
        <w:tc>
          <w:tcPr>
            <w:tcW w:w="0" w:type="auto"/>
            <w:gridSpan w:val="3"/>
            <w:shd w:val="clear" w:color="auto" w:fill="auto"/>
            <w:tcMar>
              <w:top w:w="40" w:type="dxa"/>
              <w:left w:w="20" w:type="dxa"/>
              <w:bottom w:w="40" w:type="dxa"/>
              <w:right w:w="20" w:type="dxa"/>
            </w:tcMar>
            <w:vAlign w:val="bottom"/>
          </w:tcPr>
          <w:p w14:paraId="7268DA05"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DA06" w14:textId="77777777" w:rsidR="005F762A" w:rsidRDefault="00D74111">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7268DA07" w14:textId="77777777" w:rsidR="005F762A" w:rsidRDefault="005F762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268DA08" w14:textId="77777777" w:rsidR="005F762A" w:rsidRDefault="00D74111">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5F762A" w14:paraId="7268DA0C" w14:textId="77777777">
        <w:trPr>
          <w:jc w:val="center"/>
        </w:trPr>
        <w:tc>
          <w:tcPr>
            <w:tcW w:w="0" w:type="auto"/>
            <w:gridSpan w:val="3"/>
            <w:shd w:val="clear" w:color="auto" w:fill="auto"/>
            <w:tcMar>
              <w:top w:w="40" w:type="dxa"/>
              <w:left w:w="20" w:type="dxa"/>
              <w:bottom w:w="40" w:type="dxa"/>
              <w:right w:w="20" w:type="dxa"/>
            </w:tcMar>
            <w:vAlign w:val="bottom"/>
          </w:tcPr>
          <w:p w14:paraId="7268DA0A" w14:textId="77777777" w:rsidR="005F762A" w:rsidRDefault="00D74111">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268DA0B" w14:textId="77777777" w:rsidR="005F762A" w:rsidRDefault="00D74111">
            <w:pPr>
              <w:jc w:val="center"/>
              <w:textAlignment w:val="bottom"/>
            </w:pPr>
            <w:r>
              <w:rPr>
                <w:rFonts w:ascii="Arial" w:eastAsia="宋体" w:hAnsi="Arial" w:cs="Arial"/>
                <w:b/>
                <w:bCs/>
                <w:color w:val="000000"/>
                <w:sz w:val="16"/>
                <w:szCs w:val="16"/>
              </w:rPr>
              <w:t>(In millions, except par value)</w:t>
            </w:r>
          </w:p>
        </w:tc>
      </w:tr>
      <w:tr w:rsidR="005F762A" w14:paraId="7268DA0F" w14:textId="77777777">
        <w:trPr>
          <w:jc w:val="center"/>
        </w:trPr>
        <w:tc>
          <w:tcPr>
            <w:tcW w:w="0" w:type="auto"/>
            <w:gridSpan w:val="3"/>
            <w:shd w:val="clear" w:color="auto" w:fill="auto"/>
            <w:tcMar>
              <w:top w:w="40" w:type="dxa"/>
              <w:left w:w="20" w:type="dxa"/>
              <w:bottom w:w="40" w:type="dxa"/>
              <w:right w:w="20" w:type="dxa"/>
            </w:tcMar>
            <w:vAlign w:val="bottom"/>
          </w:tcPr>
          <w:p w14:paraId="7268DA0D" w14:textId="77777777" w:rsidR="005F762A" w:rsidRDefault="00D74111">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7268DA0E" w14:textId="77777777" w:rsidR="005F762A" w:rsidRDefault="00D74111">
            <w:pPr>
              <w:jc w:val="center"/>
              <w:textAlignment w:val="bottom"/>
            </w:pPr>
            <w:r>
              <w:rPr>
                <w:rFonts w:ascii="Arial" w:eastAsia="宋体" w:hAnsi="Arial" w:cs="Arial"/>
                <w:b/>
                <w:bCs/>
                <w:color w:val="000000"/>
                <w:sz w:val="16"/>
                <w:szCs w:val="16"/>
              </w:rPr>
              <w:t>(Unaudited)</w:t>
            </w:r>
          </w:p>
        </w:tc>
      </w:tr>
      <w:tr w:rsidR="005F762A" w14:paraId="7268DA14" w14:textId="77777777">
        <w:trPr>
          <w:jc w:val="center"/>
        </w:trPr>
        <w:tc>
          <w:tcPr>
            <w:tcW w:w="0" w:type="auto"/>
            <w:gridSpan w:val="3"/>
            <w:shd w:val="clear" w:color="auto" w:fill="auto"/>
            <w:tcMar>
              <w:top w:w="40" w:type="dxa"/>
              <w:left w:w="20" w:type="dxa"/>
              <w:bottom w:w="40" w:type="dxa"/>
              <w:right w:w="20" w:type="dxa"/>
            </w:tcMar>
            <w:vAlign w:val="bottom"/>
          </w:tcPr>
          <w:p w14:paraId="7268DA10" w14:textId="77777777" w:rsidR="005F762A" w:rsidRDefault="00D74111">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tcPr>
          <w:p w14:paraId="7268DA11"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A12"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DA13" w14:textId="77777777" w:rsidR="005F762A" w:rsidRDefault="005F762A">
            <w:pPr>
              <w:rPr>
                <w:rFonts w:ascii="宋体"/>
              </w:rPr>
            </w:pPr>
          </w:p>
        </w:tc>
      </w:tr>
      <w:tr w:rsidR="005F762A" w14:paraId="7268DA19" w14:textId="77777777">
        <w:trPr>
          <w:jc w:val="center"/>
        </w:trPr>
        <w:tc>
          <w:tcPr>
            <w:tcW w:w="0" w:type="auto"/>
            <w:gridSpan w:val="3"/>
            <w:shd w:val="clear" w:color="auto" w:fill="E2E2E2"/>
            <w:tcMar>
              <w:top w:w="40" w:type="dxa"/>
              <w:left w:w="20" w:type="dxa"/>
              <w:bottom w:w="40" w:type="dxa"/>
              <w:right w:w="20" w:type="dxa"/>
            </w:tcMar>
            <w:vAlign w:val="bottom"/>
          </w:tcPr>
          <w:p w14:paraId="7268DA15" w14:textId="77777777" w:rsidR="005F762A" w:rsidRDefault="00D74111">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7268DA16"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DA17"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DA18" w14:textId="77777777" w:rsidR="005F762A" w:rsidRDefault="00D74111">
            <w:pPr>
              <w:textAlignment w:val="bottom"/>
            </w:pPr>
            <w:r>
              <w:rPr>
                <w:rFonts w:ascii="Arial" w:eastAsia="宋体" w:hAnsi="Arial" w:cs="Arial"/>
                <w:color w:val="000000"/>
                <w:sz w:val="18"/>
                <w:szCs w:val="18"/>
              </w:rPr>
              <w:t> </w:t>
            </w:r>
          </w:p>
        </w:tc>
      </w:tr>
      <w:tr w:rsidR="005F762A" w14:paraId="7268DA22" w14:textId="77777777">
        <w:trPr>
          <w:jc w:val="center"/>
        </w:trPr>
        <w:tc>
          <w:tcPr>
            <w:tcW w:w="0" w:type="auto"/>
            <w:gridSpan w:val="3"/>
            <w:shd w:val="clear" w:color="auto" w:fill="FFFFFF"/>
            <w:tcMar>
              <w:top w:w="40" w:type="dxa"/>
              <w:left w:w="515" w:type="dxa"/>
              <w:bottom w:w="40" w:type="dxa"/>
              <w:right w:w="20" w:type="dxa"/>
            </w:tcMar>
            <w:vAlign w:val="bottom"/>
          </w:tcPr>
          <w:p w14:paraId="7268DA1A" w14:textId="77777777" w:rsidR="005F762A" w:rsidRDefault="00D74111">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shd w:val="clear" w:color="auto" w:fill="FFFFFF"/>
            <w:tcMar>
              <w:top w:w="40" w:type="dxa"/>
              <w:left w:w="20" w:type="dxa"/>
              <w:bottom w:w="40" w:type="dxa"/>
              <w:right w:w="0" w:type="dxa"/>
            </w:tcMar>
            <w:vAlign w:val="bottom"/>
          </w:tcPr>
          <w:p w14:paraId="7268DA1B"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A1C" w14:textId="77777777" w:rsidR="005F762A" w:rsidRDefault="00D74111">
            <w:pPr>
              <w:jc w:val="right"/>
              <w:textAlignment w:val="bottom"/>
            </w:pPr>
            <w:r>
              <w:rPr>
                <w:rFonts w:ascii="Arial" w:eastAsia="宋体" w:hAnsi="Arial" w:cs="Arial"/>
                <w:color w:val="000000"/>
                <w:sz w:val="18"/>
                <w:szCs w:val="18"/>
              </w:rPr>
              <w:t>1,667 </w:t>
            </w:r>
          </w:p>
        </w:tc>
        <w:tc>
          <w:tcPr>
            <w:tcW w:w="0" w:type="auto"/>
            <w:shd w:val="clear" w:color="auto" w:fill="FFFFFF"/>
            <w:tcMar>
              <w:top w:w="40" w:type="dxa"/>
              <w:left w:w="0" w:type="dxa"/>
              <w:bottom w:w="40" w:type="dxa"/>
              <w:right w:w="20" w:type="dxa"/>
            </w:tcMar>
            <w:vAlign w:val="bottom"/>
          </w:tcPr>
          <w:p w14:paraId="7268DA1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1E"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A1F"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A20" w14:textId="77777777" w:rsidR="005F762A" w:rsidRDefault="00D74111">
            <w:pPr>
              <w:jc w:val="right"/>
              <w:textAlignment w:val="bottom"/>
            </w:pPr>
            <w:r>
              <w:rPr>
                <w:rFonts w:ascii="Arial" w:eastAsia="宋体" w:hAnsi="Arial" w:cs="Arial"/>
                <w:color w:val="000000"/>
                <w:sz w:val="18"/>
                <w:szCs w:val="18"/>
              </w:rPr>
              <w:t>1,428 </w:t>
            </w:r>
          </w:p>
        </w:tc>
        <w:tc>
          <w:tcPr>
            <w:tcW w:w="0" w:type="auto"/>
            <w:shd w:val="clear" w:color="auto" w:fill="FFFFFF"/>
            <w:tcMar>
              <w:top w:w="40" w:type="dxa"/>
              <w:left w:w="0" w:type="dxa"/>
              <w:bottom w:w="40" w:type="dxa"/>
              <w:right w:w="20" w:type="dxa"/>
            </w:tcMar>
            <w:vAlign w:val="bottom"/>
          </w:tcPr>
          <w:p w14:paraId="7268DA21" w14:textId="77777777" w:rsidR="005F762A" w:rsidRDefault="005F762A">
            <w:pPr>
              <w:jc w:val="right"/>
              <w:rPr>
                <w:rFonts w:ascii="宋体"/>
              </w:rPr>
            </w:pPr>
          </w:p>
        </w:tc>
      </w:tr>
      <w:tr w:rsidR="005F762A" w14:paraId="7268DA29" w14:textId="77777777">
        <w:trPr>
          <w:jc w:val="center"/>
        </w:trPr>
        <w:tc>
          <w:tcPr>
            <w:tcW w:w="0" w:type="auto"/>
            <w:gridSpan w:val="3"/>
            <w:shd w:val="clear" w:color="auto" w:fill="E2E2E2"/>
            <w:tcMar>
              <w:top w:w="40" w:type="dxa"/>
              <w:left w:w="515" w:type="dxa"/>
              <w:bottom w:w="40" w:type="dxa"/>
              <w:right w:w="20" w:type="dxa"/>
            </w:tcMar>
            <w:vAlign w:val="bottom"/>
          </w:tcPr>
          <w:p w14:paraId="7268DA23" w14:textId="77777777" w:rsidR="005F762A" w:rsidRDefault="00D74111">
            <w:pPr>
              <w:textAlignment w:val="bottom"/>
            </w:pPr>
            <w:r>
              <w:rPr>
                <w:rFonts w:ascii="Arial" w:eastAsia="宋体" w:hAnsi="Arial" w:cs="Arial"/>
                <w:color w:val="000000"/>
                <w:sz w:val="18"/>
                <w:szCs w:val="18"/>
              </w:rPr>
              <w:t>Short-term investments</w:t>
            </w:r>
          </w:p>
        </w:tc>
        <w:tc>
          <w:tcPr>
            <w:tcW w:w="0" w:type="auto"/>
            <w:gridSpan w:val="2"/>
            <w:shd w:val="clear" w:color="auto" w:fill="E2E2E2"/>
            <w:tcMar>
              <w:top w:w="40" w:type="dxa"/>
              <w:left w:w="20" w:type="dxa"/>
              <w:bottom w:w="40" w:type="dxa"/>
              <w:right w:w="0" w:type="dxa"/>
            </w:tcMar>
            <w:vAlign w:val="bottom"/>
          </w:tcPr>
          <w:p w14:paraId="7268DA24" w14:textId="77777777" w:rsidR="005F762A" w:rsidRDefault="00D74111">
            <w:pPr>
              <w:jc w:val="right"/>
              <w:textAlignment w:val="bottom"/>
            </w:pPr>
            <w:r>
              <w:rPr>
                <w:rFonts w:ascii="Arial" w:eastAsia="宋体" w:hAnsi="Arial" w:cs="Arial"/>
                <w:color w:val="000000"/>
                <w:sz w:val="18"/>
                <w:szCs w:val="18"/>
              </w:rPr>
              <w:t>1,700 </w:t>
            </w:r>
          </w:p>
        </w:tc>
        <w:tc>
          <w:tcPr>
            <w:tcW w:w="0" w:type="auto"/>
            <w:shd w:val="clear" w:color="auto" w:fill="E2E2E2"/>
            <w:tcMar>
              <w:top w:w="40" w:type="dxa"/>
              <w:left w:w="0" w:type="dxa"/>
              <w:bottom w:w="40" w:type="dxa"/>
              <w:right w:w="20" w:type="dxa"/>
            </w:tcMar>
            <w:vAlign w:val="bottom"/>
          </w:tcPr>
          <w:p w14:paraId="7268DA2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2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27" w14:textId="77777777" w:rsidR="005F762A" w:rsidRDefault="00D74111">
            <w:pPr>
              <w:jc w:val="right"/>
              <w:textAlignment w:val="bottom"/>
            </w:pPr>
            <w:r>
              <w:rPr>
                <w:rFonts w:ascii="Arial" w:eastAsia="宋体" w:hAnsi="Arial" w:cs="Arial"/>
                <w:color w:val="000000"/>
                <w:sz w:val="18"/>
                <w:szCs w:val="18"/>
              </w:rPr>
              <w:t>2,398 </w:t>
            </w:r>
          </w:p>
        </w:tc>
        <w:tc>
          <w:tcPr>
            <w:tcW w:w="0" w:type="auto"/>
            <w:shd w:val="clear" w:color="auto" w:fill="E2E2E2"/>
            <w:tcMar>
              <w:top w:w="40" w:type="dxa"/>
              <w:left w:w="0" w:type="dxa"/>
              <w:bottom w:w="40" w:type="dxa"/>
              <w:right w:w="20" w:type="dxa"/>
            </w:tcMar>
            <w:vAlign w:val="bottom"/>
          </w:tcPr>
          <w:p w14:paraId="7268DA28" w14:textId="77777777" w:rsidR="005F762A" w:rsidRDefault="005F762A">
            <w:pPr>
              <w:jc w:val="right"/>
              <w:rPr>
                <w:rFonts w:ascii="宋体"/>
              </w:rPr>
            </w:pPr>
          </w:p>
        </w:tc>
      </w:tr>
      <w:tr w:rsidR="005F762A" w14:paraId="7268DA30" w14:textId="77777777">
        <w:trPr>
          <w:jc w:val="center"/>
        </w:trPr>
        <w:tc>
          <w:tcPr>
            <w:tcW w:w="0" w:type="auto"/>
            <w:gridSpan w:val="3"/>
            <w:shd w:val="clear" w:color="auto" w:fill="FFFFFF"/>
            <w:tcMar>
              <w:top w:w="40" w:type="dxa"/>
              <w:left w:w="20" w:type="dxa"/>
              <w:bottom w:w="40" w:type="dxa"/>
              <w:right w:w="20" w:type="dxa"/>
            </w:tcMar>
            <w:vAlign w:val="bottom"/>
          </w:tcPr>
          <w:p w14:paraId="7268DA2A" w14:textId="77777777" w:rsidR="005F762A" w:rsidRDefault="00D74111">
            <w:pPr>
              <w:textAlignment w:val="bottom"/>
            </w:pPr>
            <w:r>
              <w:rPr>
                <w:rFonts w:ascii="Arial" w:eastAsia="宋体" w:hAnsi="Arial" w:cs="Arial"/>
                <w:color w:val="000000"/>
                <w:sz w:val="18"/>
                <w:szCs w:val="18"/>
              </w:rPr>
              <w:t>Accounts receivable, net of allowance for doubtful accounts of $86 and $97</w:t>
            </w:r>
          </w:p>
        </w:tc>
        <w:tc>
          <w:tcPr>
            <w:tcW w:w="0" w:type="auto"/>
            <w:gridSpan w:val="2"/>
            <w:shd w:val="clear" w:color="auto" w:fill="FFFFFF"/>
            <w:tcMar>
              <w:top w:w="40" w:type="dxa"/>
              <w:left w:w="20" w:type="dxa"/>
              <w:bottom w:w="40" w:type="dxa"/>
              <w:right w:w="0" w:type="dxa"/>
            </w:tcMar>
            <w:vAlign w:val="bottom"/>
          </w:tcPr>
          <w:p w14:paraId="7268DA2B" w14:textId="77777777" w:rsidR="005F762A" w:rsidRDefault="00D74111">
            <w:pPr>
              <w:jc w:val="right"/>
              <w:textAlignment w:val="bottom"/>
            </w:pPr>
            <w:r>
              <w:rPr>
                <w:rFonts w:ascii="Arial" w:eastAsia="宋体" w:hAnsi="Arial" w:cs="Arial"/>
                <w:color w:val="000000"/>
                <w:sz w:val="18"/>
                <w:szCs w:val="18"/>
              </w:rPr>
              <w:t>348 </w:t>
            </w:r>
          </w:p>
        </w:tc>
        <w:tc>
          <w:tcPr>
            <w:tcW w:w="0" w:type="auto"/>
            <w:shd w:val="clear" w:color="auto" w:fill="FFFFFF"/>
            <w:tcMar>
              <w:top w:w="40" w:type="dxa"/>
              <w:left w:w="0" w:type="dxa"/>
              <w:bottom w:w="40" w:type="dxa"/>
              <w:right w:w="20" w:type="dxa"/>
            </w:tcMar>
            <w:vAlign w:val="bottom"/>
          </w:tcPr>
          <w:p w14:paraId="7268DA2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2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2E" w14:textId="77777777" w:rsidR="005F762A" w:rsidRDefault="00D74111">
            <w:pPr>
              <w:jc w:val="right"/>
              <w:textAlignment w:val="bottom"/>
            </w:pPr>
            <w:r>
              <w:rPr>
                <w:rFonts w:ascii="Arial" w:eastAsia="宋体" w:hAnsi="Arial" w:cs="Arial"/>
                <w:color w:val="000000"/>
                <w:sz w:val="18"/>
                <w:szCs w:val="18"/>
              </w:rPr>
              <w:t>412 </w:t>
            </w:r>
          </w:p>
        </w:tc>
        <w:tc>
          <w:tcPr>
            <w:tcW w:w="0" w:type="auto"/>
            <w:shd w:val="clear" w:color="auto" w:fill="FFFFFF"/>
            <w:tcMar>
              <w:top w:w="40" w:type="dxa"/>
              <w:left w:w="0" w:type="dxa"/>
              <w:bottom w:w="40" w:type="dxa"/>
              <w:right w:w="20" w:type="dxa"/>
            </w:tcMar>
            <w:vAlign w:val="bottom"/>
          </w:tcPr>
          <w:p w14:paraId="7268DA2F" w14:textId="77777777" w:rsidR="005F762A" w:rsidRDefault="005F762A">
            <w:pPr>
              <w:jc w:val="right"/>
              <w:rPr>
                <w:rFonts w:ascii="宋体"/>
              </w:rPr>
            </w:pPr>
          </w:p>
        </w:tc>
      </w:tr>
      <w:tr w:rsidR="005F762A" w14:paraId="7268DA37" w14:textId="77777777">
        <w:trPr>
          <w:jc w:val="center"/>
        </w:trPr>
        <w:tc>
          <w:tcPr>
            <w:tcW w:w="0" w:type="auto"/>
            <w:gridSpan w:val="3"/>
            <w:shd w:val="clear" w:color="auto" w:fill="E2E2E2"/>
            <w:tcMar>
              <w:top w:w="40" w:type="dxa"/>
              <w:left w:w="515" w:type="dxa"/>
              <w:bottom w:w="40" w:type="dxa"/>
              <w:right w:w="20" w:type="dxa"/>
            </w:tcMar>
            <w:vAlign w:val="bottom"/>
          </w:tcPr>
          <w:p w14:paraId="7268DA31" w14:textId="77777777" w:rsidR="005F762A" w:rsidRDefault="00D74111">
            <w:pPr>
              <w:textAlignment w:val="bottom"/>
            </w:pPr>
            <w:r>
              <w:rPr>
                <w:rFonts w:ascii="Arial" w:eastAsia="宋体" w:hAnsi="Arial" w:cs="Arial"/>
                <w:color w:val="000000"/>
                <w:sz w:val="18"/>
                <w:szCs w:val="18"/>
              </w:rPr>
              <w:lastRenderedPageBreak/>
              <w:t xml:space="preserve">Customer accounts and funds receivable </w:t>
            </w:r>
          </w:p>
        </w:tc>
        <w:tc>
          <w:tcPr>
            <w:tcW w:w="0" w:type="auto"/>
            <w:gridSpan w:val="2"/>
            <w:shd w:val="clear" w:color="auto" w:fill="E2E2E2"/>
            <w:tcMar>
              <w:top w:w="40" w:type="dxa"/>
              <w:left w:w="20" w:type="dxa"/>
              <w:bottom w:w="40" w:type="dxa"/>
              <w:right w:w="0" w:type="dxa"/>
            </w:tcMar>
            <w:vAlign w:val="bottom"/>
          </w:tcPr>
          <w:p w14:paraId="7268DA32" w14:textId="77777777" w:rsidR="005F762A" w:rsidRDefault="00D74111">
            <w:pPr>
              <w:jc w:val="right"/>
              <w:textAlignment w:val="bottom"/>
            </w:pPr>
            <w:r>
              <w:rPr>
                <w:rFonts w:ascii="Arial" w:eastAsia="宋体" w:hAnsi="Arial" w:cs="Arial"/>
                <w:color w:val="000000"/>
                <w:sz w:val="18"/>
                <w:szCs w:val="18"/>
              </w:rPr>
              <w:t>1,016 </w:t>
            </w:r>
          </w:p>
        </w:tc>
        <w:tc>
          <w:tcPr>
            <w:tcW w:w="0" w:type="auto"/>
            <w:shd w:val="clear" w:color="auto" w:fill="E2E2E2"/>
            <w:tcMar>
              <w:top w:w="40" w:type="dxa"/>
              <w:left w:w="0" w:type="dxa"/>
              <w:bottom w:w="40" w:type="dxa"/>
              <w:right w:w="20" w:type="dxa"/>
            </w:tcMar>
            <w:vAlign w:val="bottom"/>
          </w:tcPr>
          <w:p w14:paraId="7268DA3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3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35" w14:textId="77777777" w:rsidR="005F762A" w:rsidRDefault="00D74111">
            <w:pPr>
              <w:jc w:val="right"/>
              <w:textAlignment w:val="bottom"/>
            </w:pPr>
            <w:r>
              <w:rPr>
                <w:rFonts w:ascii="Arial" w:eastAsia="宋体" w:hAnsi="Arial" w:cs="Arial"/>
                <w:color w:val="000000"/>
                <w:sz w:val="18"/>
                <w:szCs w:val="18"/>
              </w:rPr>
              <w:t>939 </w:t>
            </w:r>
          </w:p>
        </w:tc>
        <w:tc>
          <w:tcPr>
            <w:tcW w:w="0" w:type="auto"/>
            <w:shd w:val="clear" w:color="auto" w:fill="E2E2E2"/>
            <w:tcMar>
              <w:top w:w="40" w:type="dxa"/>
              <w:left w:w="0" w:type="dxa"/>
              <w:bottom w:w="40" w:type="dxa"/>
              <w:right w:w="20" w:type="dxa"/>
            </w:tcMar>
            <w:vAlign w:val="bottom"/>
          </w:tcPr>
          <w:p w14:paraId="7268DA36" w14:textId="77777777" w:rsidR="005F762A" w:rsidRDefault="005F762A">
            <w:pPr>
              <w:jc w:val="right"/>
              <w:rPr>
                <w:rFonts w:ascii="宋体"/>
              </w:rPr>
            </w:pPr>
          </w:p>
        </w:tc>
      </w:tr>
      <w:tr w:rsidR="005F762A" w14:paraId="7268DA3E" w14:textId="77777777">
        <w:trPr>
          <w:jc w:val="center"/>
        </w:trPr>
        <w:tc>
          <w:tcPr>
            <w:tcW w:w="0" w:type="auto"/>
            <w:gridSpan w:val="3"/>
            <w:shd w:val="clear" w:color="auto" w:fill="FFFFFF"/>
            <w:tcMar>
              <w:top w:w="40" w:type="dxa"/>
              <w:left w:w="515" w:type="dxa"/>
              <w:bottom w:w="40" w:type="dxa"/>
              <w:right w:w="20" w:type="dxa"/>
            </w:tcMar>
            <w:vAlign w:val="bottom"/>
          </w:tcPr>
          <w:p w14:paraId="7268DA38" w14:textId="77777777" w:rsidR="005F762A" w:rsidRDefault="00D74111">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7268DA39" w14:textId="77777777" w:rsidR="005F762A" w:rsidRDefault="00D74111">
            <w:pPr>
              <w:jc w:val="right"/>
              <w:textAlignment w:val="bottom"/>
            </w:pPr>
            <w:r>
              <w:rPr>
                <w:rFonts w:ascii="Arial" w:eastAsia="宋体" w:hAnsi="Arial" w:cs="Arial"/>
                <w:color w:val="000000"/>
                <w:sz w:val="18"/>
                <w:szCs w:val="18"/>
              </w:rPr>
              <w:t>789 </w:t>
            </w:r>
          </w:p>
        </w:tc>
        <w:tc>
          <w:tcPr>
            <w:tcW w:w="0" w:type="auto"/>
            <w:shd w:val="clear" w:color="auto" w:fill="FFFFFF"/>
            <w:tcMar>
              <w:top w:w="40" w:type="dxa"/>
              <w:left w:w="0" w:type="dxa"/>
              <w:bottom w:w="40" w:type="dxa"/>
              <w:right w:w="20" w:type="dxa"/>
            </w:tcMar>
            <w:vAlign w:val="bottom"/>
          </w:tcPr>
          <w:p w14:paraId="7268DA3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3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3C" w14:textId="77777777" w:rsidR="005F762A" w:rsidRDefault="00D74111">
            <w:pPr>
              <w:jc w:val="right"/>
              <w:textAlignment w:val="bottom"/>
            </w:pPr>
            <w:r>
              <w:rPr>
                <w:rFonts w:ascii="Arial" w:eastAsia="宋体" w:hAnsi="Arial" w:cs="Arial"/>
                <w:color w:val="000000"/>
                <w:sz w:val="18"/>
                <w:szCs w:val="18"/>
              </w:rPr>
              <w:t>825 </w:t>
            </w:r>
          </w:p>
        </w:tc>
        <w:tc>
          <w:tcPr>
            <w:tcW w:w="0" w:type="auto"/>
            <w:shd w:val="clear" w:color="auto" w:fill="FFFFFF"/>
            <w:tcMar>
              <w:top w:w="40" w:type="dxa"/>
              <w:left w:w="0" w:type="dxa"/>
              <w:bottom w:w="40" w:type="dxa"/>
              <w:right w:w="20" w:type="dxa"/>
            </w:tcMar>
            <w:vAlign w:val="bottom"/>
          </w:tcPr>
          <w:p w14:paraId="7268DA3D" w14:textId="77777777" w:rsidR="005F762A" w:rsidRDefault="005F762A">
            <w:pPr>
              <w:jc w:val="right"/>
              <w:rPr>
                <w:rFonts w:ascii="宋体"/>
              </w:rPr>
            </w:pPr>
          </w:p>
        </w:tc>
      </w:tr>
      <w:tr w:rsidR="005F762A" w14:paraId="7268DA45" w14:textId="77777777">
        <w:trPr>
          <w:jc w:val="center"/>
        </w:trPr>
        <w:tc>
          <w:tcPr>
            <w:tcW w:w="0" w:type="auto"/>
            <w:gridSpan w:val="3"/>
            <w:shd w:val="clear" w:color="auto" w:fill="E2E2E2"/>
            <w:tcMar>
              <w:top w:w="40" w:type="dxa"/>
              <w:left w:w="515" w:type="dxa"/>
              <w:bottom w:w="40" w:type="dxa"/>
              <w:right w:w="20" w:type="dxa"/>
            </w:tcMar>
            <w:vAlign w:val="bottom"/>
          </w:tcPr>
          <w:p w14:paraId="7268DA3F" w14:textId="77777777" w:rsidR="005F762A" w:rsidRDefault="00D74111">
            <w:pPr>
              <w:textAlignment w:val="bottom"/>
            </w:pPr>
            <w:r>
              <w:rPr>
                <w:rFonts w:ascii="Arial" w:eastAsia="宋体" w:hAnsi="Arial" w:cs="Arial"/>
                <w:color w:val="000000"/>
                <w:sz w:val="18"/>
                <w:szCs w:val="18"/>
              </w:rPr>
              <w:t>Current assets held for sale</w:t>
            </w:r>
          </w:p>
        </w:tc>
        <w:tc>
          <w:tcPr>
            <w:tcW w:w="0" w:type="auto"/>
            <w:gridSpan w:val="2"/>
            <w:shd w:val="clear" w:color="auto" w:fill="E2E2E2"/>
            <w:tcMar>
              <w:top w:w="40" w:type="dxa"/>
              <w:left w:w="20" w:type="dxa"/>
              <w:bottom w:w="40" w:type="dxa"/>
              <w:right w:w="0" w:type="dxa"/>
            </w:tcMar>
            <w:vAlign w:val="bottom"/>
          </w:tcPr>
          <w:p w14:paraId="7268DA40" w14:textId="77777777" w:rsidR="005F762A" w:rsidRDefault="00D74111">
            <w:pPr>
              <w:jc w:val="right"/>
              <w:textAlignment w:val="bottom"/>
            </w:pPr>
            <w:r>
              <w:rPr>
                <w:rFonts w:ascii="Arial" w:eastAsia="宋体" w:hAnsi="Arial" w:cs="Arial"/>
                <w:color w:val="000000"/>
                <w:sz w:val="18"/>
                <w:szCs w:val="18"/>
              </w:rPr>
              <w:t>1,171 </w:t>
            </w:r>
          </w:p>
        </w:tc>
        <w:tc>
          <w:tcPr>
            <w:tcW w:w="0" w:type="auto"/>
            <w:shd w:val="clear" w:color="auto" w:fill="E2E2E2"/>
            <w:tcMar>
              <w:top w:w="40" w:type="dxa"/>
              <w:left w:w="0" w:type="dxa"/>
              <w:bottom w:w="40" w:type="dxa"/>
              <w:right w:w="20" w:type="dxa"/>
            </w:tcMar>
            <w:vAlign w:val="bottom"/>
          </w:tcPr>
          <w:p w14:paraId="7268DA4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4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43" w14:textId="77777777" w:rsidR="005F762A" w:rsidRDefault="00D74111">
            <w:pPr>
              <w:jc w:val="right"/>
              <w:textAlignment w:val="bottom"/>
            </w:pPr>
            <w:r>
              <w:rPr>
                <w:rFonts w:ascii="Arial" w:eastAsia="宋体" w:hAnsi="Arial" w:cs="Arial"/>
                <w:color w:val="000000"/>
                <w:sz w:val="18"/>
                <w:szCs w:val="18"/>
              </w:rPr>
              <w:t>1,188 </w:t>
            </w:r>
          </w:p>
        </w:tc>
        <w:tc>
          <w:tcPr>
            <w:tcW w:w="0" w:type="auto"/>
            <w:shd w:val="clear" w:color="auto" w:fill="E2E2E2"/>
            <w:tcMar>
              <w:top w:w="40" w:type="dxa"/>
              <w:left w:w="0" w:type="dxa"/>
              <w:bottom w:w="40" w:type="dxa"/>
              <w:right w:w="20" w:type="dxa"/>
            </w:tcMar>
            <w:vAlign w:val="bottom"/>
          </w:tcPr>
          <w:p w14:paraId="7268DA44" w14:textId="77777777" w:rsidR="005F762A" w:rsidRDefault="005F762A">
            <w:pPr>
              <w:jc w:val="right"/>
              <w:rPr>
                <w:rFonts w:ascii="宋体"/>
              </w:rPr>
            </w:pPr>
          </w:p>
        </w:tc>
      </w:tr>
      <w:tr w:rsidR="005F762A" w14:paraId="7268DA4A" w14:textId="77777777">
        <w:trPr>
          <w:jc w:val="center"/>
          <w:hidden/>
        </w:trPr>
        <w:tc>
          <w:tcPr>
            <w:tcW w:w="0" w:type="auto"/>
            <w:gridSpan w:val="3"/>
            <w:shd w:val="clear" w:color="auto" w:fill="auto"/>
          </w:tcPr>
          <w:p w14:paraId="7268DA46" w14:textId="77777777" w:rsidR="005F762A" w:rsidRDefault="005F762A">
            <w:pPr>
              <w:rPr>
                <w:rFonts w:ascii="宋体"/>
                <w:vanish/>
              </w:rPr>
            </w:pPr>
          </w:p>
        </w:tc>
        <w:tc>
          <w:tcPr>
            <w:tcW w:w="0" w:type="auto"/>
            <w:gridSpan w:val="3"/>
            <w:shd w:val="clear" w:color="auto" w:fill="auto"/>
          </w:tcPr>
          <w:p w14:paraId="7268DA47" w14:textId="77777777" w:rsidR="005F762A" w:rsidRDefault="005F762A">
            <w:pPr>
              <w:rPr>
                <w:rFonts w:ascii="宋体"/>
                <w:vanish/>
              </w:rPr>
            </w:pPr>
          </w:p>
        </w:tc>
        <w:tc>
          <w:tcPr>
            <w:tcW w:w="0" w:type="auto"/>
            <w:gridSpan w:val="3"/>
            <w:shd w:val="clear" w:color="auto" w:fill="auto"/>
          </w:tcPr>
          <w:p w14:paraId="7268DA48" w14:textId="77777777" w:rsidR="005F762A" w:rsidRDefault="005F762A">
            <w:pPr>
              <w:rPr>
                <w:rFonts w:ascii="宋体"/>
                <w:vanish/>
              </w:rPr>
            </w:pPr>
          </w:p>
        </w:tc>
        <w:tc>
          <w:tcPr>
            <w:tcW w:w="0" w:type="auto"/>
            <w:gridSpan w:val="3"/>
            <w:shd w:val="clear" w:color="auto" w:fill="auto"/>
          </w:tcPr>
          <w:p w14:paraId="7268DA49" w14:textId="77777777" w:rsidR="005F762A" w:rsidRDefault="005F762A">
            <w:pPr>
              <w:rPr>
                <w:rFonts w:ascii="宋体"/>
                <w:vanish/>
              </w:rPr>
            </w:pPr>
          </w:p>
        </w:tc>
      </w:tr>
      <w:tr w:rsidR="005F762A" w14:paraId="7268DA51" w14:textId="77777777">
        <w:trPr>
          <w:jc w:val="center"/>
        </w:trPr>
        <w:tc>
          <w:tcPr>
            <w:tcW w:w="0" w:type="auto"/>
            <w:gridSpan w:val="3"/>
            <w:shd w:val="clear" w:color="auto" w:fill="FFFFFF"/>
            <w:tcMar>
              <w:top w:w="40" w:type="dxa"/>
              <w:left w:w="965" w:type="dxa"/>
              <w:bottom w:w="40" w:type="dxa"/>
              <w:right w:w="20" w:type="dxa"/>
            </w:tcMar>
            <w:vAlign w:val="bottom"/>
          </w:tcPr>
          <w:p w14:paraId="7268DA4B" w14:textId="77777777" w:rsidR="005F762A" w:rsidRDefault="00D74111">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A4C" w14:textId="77777777" w:rsidR="005F762A" w:rsidRDefault="00D74111">
            <w:pPr>
              <w:jc w:val="right"/>
              <w:textAlignment w:val="bottom"/>
            </w:pPr>
            <w:r>
              <w:rPr>
                <w:rFonts w:ascii="Arial" w:eastAsia="宋体" w:hAnsi="Arial" w:cs="Arial"/>
                <w:color w:val="000000"/>
                <w:sz w:val="18"/>
                <w:szCs w:val="18"/>
              </w:rPr>
              <w:t>6,691 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A4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4E"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A4F" w14:textId="77777777" w:rsidR="005F762A" w:rsidRDefault="00D74111">
            <w:pPr>
              <w:jc w:val="right"/>
              <w:textAlignment w:val="bottom"/>
            </w:pPr>
            <w:r>
              <w:rPr>
                <w:rFonts w:ascii="Arial" w:eastAsia="宋体" w:hAnsi="Arial" w:cs="Arial"/>
                <w:color w:val="000000"/>
                <w:sz w:val="18"/>
                <w:szCs w:val="18"/>
              </w:rPr>
              <w:t>7,190 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A50" w14:textId="77777777" w:rsidR="005F762A" w:rsidRDefault="005F762A">
            <w:pPr>
              <w:jc w:val="right"/>
              <w:rPr>
                <w:rFonts w:ascii="宋体"/>
              </w:rPr>
            </w:pPr>
          </w:p>
        </w:tc>
      </w:tr>
      <w:tr w:rsidR="005F762A" w14:paraId="7268DA58" w14:textId="77777777">
        <w:trPr>
          <w:jc w:val="center"/>
        </w:trPr>
        <w:tc>
          <w:tcPr>
            <w:tcW w:w="0" w:type="auto"/>
            <w:gridSpan w:val="3"/>
            <w:shd w:val="clear" w:color="auto" w:fill="E2E2E2"/>
            <w:tcMar>
              <w:top w:w="40" w:type="dxa"/>
              <w:left w:w="20" w:type="dxa"/>
              <w:bottom w:w="40" w:type="dxa"/>
              <w:right w:w="20" w:type="dxa"/>
            </w:tcMar>
            <w:vAlign w:val="bottom"/>
          </w:tcPr>
          <w:p w14:paraId="7268DA52"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2"/>
            <w:shd w:val="clear" w:color="auto" w:fill="E2E2E2"/>
            <w:tcMar>
              <w:top w:w="40" w:type="dxa"/>
              <w:left w:w="20" w:type="dxa"/>
              <w:bottom w:w="40" w:type="dxa"/>
              <w:right w:w="0" w:type="dxa"/>
            </w:tcMar>
            <w:vAlign w:val="bottom"/>
          </w:tcPr>
          <w:p w14:paraId="7268DA53" w14:textId="77777777" w:rsidR="005F762A" w:rsidRDefault="00D74111">
            <w:pPr>
              <w:jc w:val="right"/>
              <w:textAlignment w:val="bottom"/>
            </w:pPr>
            <w:r>
              <w:rPr>
                <w:rFonts w:ascii="Arial" w:eastAsia="宋体" w:hAnsi="Arial" w:cs="Arial"/>
                <w:color w:val="000000"/>
                <w:sz w:val="18"/>
                <w:szCs w:val="18"/>
              </w:rPr>
              <w:t>1,059 </w:t>
            </w:r>
          </w:p>
        </w:tc>
        <w:tc>
          <w:tcPr>
            <w:tcW w:w="0" w:type="auto"/>
            <w:shd w:val="clear" w:color="auto" w:fill="E2E2E2"/>
            <w:tcMar>
              <w:top w:w="40" w:type="dxa"/>
              <w:left w:w="0" w:type="dxa"/>
              <w:bottom w:w="40" w:type="dxa"/>
              <w:right w:w="20" w:type="dxa"/>
            </w:tcMar>
            <w:vAlign w:val="bottom"/>
          </w:tcPr>
          <w:p w14:paraId="7268DA5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5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56" w14:textId="77777777" w:rsidR="005F762A" w:rsidRDefault="00D74111">
            <w:pPr>
              <w:jc w:val="right"/>
              <w:textAlignment w:val="bottom"/>
            </w:pPr>
            <w:r>
              <w:rPr>
                <w:rFonts w:ascii="Arial" w:eastAsia="宋体" w:hAnsi="Arial" w:cs="Arial"/>
                <w:color w:val="000000"/>
                <w:sz w:val="18"/>
                <w:szCs w:val="18"/>
              </w:rPr>
              <w:t>833 </w:t>
            </w:r>
          </w:p>
        </w:tc>
        <w:tc>
          <w:tcPr>
            <w:tcW w:w="0" w:type="auto"/>
            <w:shd w:val="clear" w:color="auto" w:fill="E2E2E2"/>
            <w:tcMar>
              <w:top w:w="40" w:type="dxa"/>
              <w:left w:w="0" w:type="dxa"/>
              <w:bottom w:w="40" w:type="dxa"/>
              <w:right w:w="20" w:type="dxa"/>
            </w:tcMar>
            <w:vAlign w:val="bottom"/>
          </w:tcPr>
          <w:p w14:paraId="7268DA57" w14:textId="77777777" w:rsidR="005F762A" w:rsidRDefault="005F762A">
            <w:pPr>
              <w:jc w:val="right"/>
              <w:rPr>
                <w:rFonts w:ascii="宋体"/>
              </w:rPr>
            </w:pPr>
          </w:p>
        </w:tc>
      </w:tr>
      <w:tr w:rsidR="005F762A" w14:paraId="7268DA5F" w14:textId="77777777">
        <w:trPr>
          <w:jc w:val="center"/>
        </w:trPr>
        <w:tc>
          <w:tcPr>
            <w:tcW w:w="0" w:type="auto"/>
            <w:gridSpan w:val="3"/>
            <w:shd w:val="clear" w:color="auto" w:fill="FFFFFF"/>
            <w:tcMar>
              <w:top w:w="40" w:type="dxa"/>
              <w:left w:w="20" w:type="dxa"/>
              <w:bottom w:w="40" w:type="dxa"/>
              <w:right w:w="20" w:type="dxa"/>
            </w:tcMar>
            <w:vAlign w:val="bottom"/>
          </w:tcPr>
          <w:p w14:paraId="7268DA59" w14:textId="77777777" w:rsidR="005F762A" w:rsidRDefault="00D74111">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7268DA5A" w14:textId="77777777" w:rsidR="005F762A" w:rsidRDefault="00D74111">
            <w:pPr>
              <w:jc w:val="right"/>
              <w:textAlignment w:val="bottom"/>
            </w:pPr>
            <w:r>
              <w:rPr>
                <w:rFonts w:ascii="Arial" w:eastAsia="宋体" w:hAnsi="Arial" w:cs="Arial"/>
                <w:color w:val="000000"/>
                <w:sz w:val="18"/>
                <w:szCs w:val="18"/>
              </w:rPr>
              <w:t>1,321 </w:t>
            </w:r>
          </w:p>
        </w:tc>
        <w:tc>
          <w:tcPr>
            <w:tcW w:w="0" w:type="auto"/>
            <w:shd w:val="clear" w:color="auto" w:fill="FFFFFF"/>
            <w:tcMar>
              <w:top w:w="40" w:type="dxa"/>
              <w:left w:w="0" w:type="dxa"/>
              <w:bottom w:w="40" w:type="dxa"/>
              <w:right w:w="20" w:type="dxa"/>
            </w:tcMar>
            <w:vAlign w:val="bottom"/>
          </w:tcPr>
          <w:p w14:paraId="7268DA5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5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5D" w14:textId="77777777" w:rsidR="005F762A" w:rsidRDefault="00D74111">
            <w:pPr>
              <w:jc w:val="right"/>
              <w:textAlignment w:val="bottom"/>
            </w:pPr>
            <w:r>
              <w:rPr>
                <w:rFonts w:ascii="Arial" w:eastAsia="宋体" w:hAnsi="Arial" w:cs="Arial"/>
                <w:color w:val="000000"/>
                <w:sz w:val="18"/>
                <w:szCs w:val="18"/>
              </w:rPr>
              <w:t>1,358 </w:t>
            </w:r>
          </w:p>
        </w:tc>
        <w:tc>
          <w:tcPr>
            <w:tcW w:w="0" w:type="auto"/>
            <w:shd w:val="clear" w:color="auto" w:fill="FFFFFF"/>
            <w:tcMar>
              <w:top w:w="40" w:type="dxa"/>
              <w:left w:w="0" w:type="dxa"/>
              <w:bottom w:w="40" w:type="dxa"/>
              <w:right w:w="20" w:type="dxa"/>
            </w:tcMar>
            <w:vAlign w:val="bottom"/>
          </w:tcPr>
          <w:p w14:paraId="7268DA5E" w14:textId="77777777" w:rsidR="005F762A" w:rsidRDefault="005F762A">
            <w:pPr>
              <w:jc w:val="right"/>
              <w:rPr>
                <w:rFonts w:ascii="宋体"/>
              </w:rPr>
            </w:pPr>
          </w:p>
        </w:tc>
      </w:tr>
      <w:tr w:rsidR="005F762A" w14:paraId="7268DA66" w14:textId="77777777">
        <w:trPr>
          <w:jc w:val="center"/>
        </w:trPr>
        <w:tc>
          <w:tcPr>
            <w:tcW w:w="0" w:type="auto"/>
            <w:gridSpan w:val="3"/>
            <w:shd w:val="clear" w:color="auto" w:fill="E2E2E2"/>
            <w:tcMar>
              <w:top w:w="40" w:type="dxa"/>
              <w:left w:w="20" w:type="dxa"/>
              <w:bottom w:w="40" w:type="dxa"/>
              <w:right w:w="20" w:type="dxa"/>
            </w:tcMar>
            <w:vAlign w:val="bottom"/>
          </w:tcPr>
          <w:p w14:paraId="7268DA60" w14:textId="77777777" w:rsidR="005F762A" w:rsidRDefault="00D74111">
            <w:pPr>
              <w:textAlignment w:val="bottom"/>
            </w:pPr>
            <w:r>
              <w:rPr>
                <w:rFonts w:ascii="Arial" w:eastAsia="宋体" w:hAnsi="Arial" w:cs="Arial"/>
                <w:color w:val="000000"/>
                <w:sz w:val="18"/>
                <w:szCs w:val="18"/>
              </w:rPr>
              <w:t>Goodwill</w:t>
            </w:r>
          </w:p>
        </w:tc>
        <w:tc>
          <w:tcPr>
            <w:tcW w:w="0" w:type="auto"/>
            <w:gridSpan w:val="2"/>
            <w:shd w:val="clear" w:color="auto" w:fill="E2E2E2"/>
            <w:tcMar>
              <w:top w:w="40" w:type="dxa"/>
              <w:left w:w="20" w:type="dxa"/>
              <w:bottom w:w="40" w:type="dxa"/>
              <w:right w:w="0" w:type="dxa"/>
            </w:tcMar>
            <w:vAlign w:val="bottom"/>
          </w:tcPr>
          <w:p w14:paraId="7268DA61" w14:textId="77777777" w:rsidR="005F762A" w:rsidRDefault="00D74111">
            <w:pPr>
              <w:jc w:val="right"/>
              <w:textAlignment w:val="bottom"/>
            </w:pPr>
            <w:r>
              <w:rPr>
                <w:rFonts w:ascii="Arial" w:eastAsia="宋体" w:hAnsi="Arial" w:cs="Arial"/>
                <w:color w:val="000000"/>
                <w:sz w:val="18"/>
                <w:szCs w:val="18"/>
              </w:rPr>
              <w:t>4,591 </w:t>
            </w:r>
          </w:p>
        </w:tc>
        <w:tc>
          <w:tcPr>
            <w:tcW w:w="0" w:type="auto"/>
            <w:shd w:val="clear" w:color="auto" w:fill="E2E2E2"/>
            <w:tcMar>
              <w:top w:w="40" w:type="dxa"/>
              <w:left w:w="0" w:type="dxa"/>
              <w:bottom w:w="40" w:type="dxa"/>
              <w:right w:w="20" w:type="dxa"/>
            </w:tcMar>
            <w:vAlign w:val="bottom"/>
          </w:tcPr>
          <w:p w14:paraId="7268DA6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6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64" w14:textId="77777777" w:rsidR="005F762A" w:rsidRDefault="00D74111">
            <w:pPr>
              <w:jc w:val="right"/>
              <w:textAlignment w:val="bottom"/>
            </w:pPr>
            <w:r>
              <w:rPr>
                <w:rFonts w:ascii="Arial" w:eastAsia="宋体" w:hAnsi="Arial" w:cs="Arial"/>
                <w:color w:val="000000"/>
                <w:sz w:val="18"/>
                <w:szCs w:val="18"/>
              </w:rPr>
              <w:t>4,675 </w:t>
            </w:r>
          </w:p>
        </w:tc>
        <w:tc>
          <w:tcPr>
            <w:tcW w:w="0" w:type="auto"/>
            <w:shd w:val="clear" w:color="auto" w:fill="E2E2E2"/>
            <w:tcMar>
              <w:top w:w="40" w:type="dxa"/>
              <w:left w:w="0" w:type="dxa"/>
              <w:bottom w:w="40" w:type="dxa"/>
              <w:right w:w="20" w:type="dxa"/>
            </w:tcMar>
            <w:vAlign w:val="bottom"/>
          </w:tcPr>
          <w:p w14:paraId="7268DA65" w14:textId="77777777" w:rsidR="005F762A" w:rsidRDefault="005F762A">
            <w:pPr>
              <w:jc w:val="right"/>
              <w:rPr>
                <w:rFonts w:ascii="宋体"/>
              </w:rPr>
            </w:pPr>
          </w:p>
        </w:tc>
      </w:tr>
      <w:tr w:rsidR="005F762A" w14:paraId="7268DA6D" w14:textId="77777777">
        <w:trPr>
          <w:jc w:val="center"/>
        </w:trPr>
        <w:tc>
          <w:tcPr>
            <w:tcW w:w="0" w:type="auto"/>
            <w:gridSpan w:val="3"/>
            <w:shd w:val="clear" w:color="auto" w:fill="FFFFFF"/>
            <w:tcMar>
              <w:top w:w="40" w:type="dxa"/>
              <w:left w:w="20" w:type="dxa"/>
              <w:bottom w:w="40" w:type="dxa"/>
              <w:right w:w="20" w:type="dxa"/>
            </w:tcMar>
            <w:vAlign w:val="bottom"/>
          </w:tcPr>
          <w:p w14:paraId="7268DA67" w14:textId="77777777" w:rsidR="005F762A" w:rsidRDefault="00D74111">
            <w:pPr>
              <w:textAlignment w:val="bottom"/>
            </w:pPr>
            <w:r>
              <w:rPr>
                <w:rFonts w:ascii="Arial" w:eastAsia="宋体" w:hAnsi="Arial" w:cs="Arial"/>
                <w:color w:val="000000"/>
                <w:sz w:val="18"/>
                <w:szCs w:val="18"/>
              </w:rPr>
              <w:t>Intangible assets, net</w:t>
            </w:r>
          </w:p>
        </w:tc>
        <w:tc>
          <w:tcPr>
            <w:tcW w:w="0" w:type="auto"/>
            <w:gridSpan w:val="2"/>
            <w:shd w:val="clear" w:color="auto" w:fill="FFFFFF"/>
            <w:tcMar>
              <w:top w:w="40" w:type="dxa"/>
              <w:left w:w="20" w:type="dxa"/>
              <w:bottom w:w="40" w:type="dxa"/>
              <w:right w:w="0" w:type="dxa"/>
            </w:tcMar>
            <w:vAlign w:val="bottom"/>
          </w:tcPr>
          <w:p w14:paraId="7268DA68" w14:textId="77777777" w:rsidR="005F762A" w:rsidRDefault="00D74111">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7268DA6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6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6B" w14:textId="77777777" w:rsidR="005F762A" w:rsidRDefault="00D74111">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7268DA6C" w14:textId="77777777" w:rsidR="005F762A" w:rsidRDefault="005F762A">
            <w:pPr>
              <w:jc w:val="right"/>
              <w:rPr>
                <w:rFonts w:ascii="宋体"/>
              </w:rPr>
            </w:pPr>
          </w:p>
        </w:tc>
      </w:tr>
      <w:tr w:rsidR="005F762A" w14:paraId="7268DA74" w14:textId="77777777">
        <w:trPr>
          <w:jc w:val="center"/>
        </w:trPr>
        <w:tc>
          <w:tcPr>
            <w:tcW w:w="0" w:type="auto"/>
            <w:gridSpan w:val="3"/>
            <w:shd w:val="clear" w:color="auto" w:fill="E2E2E2"/>
            <w:tcMar>
              <w:top w:w="40" w:type="dxa"/>
              <w:left w:w="20" w:type="dxa"/>
              <w:bottom w:w="40" w:type="dxa"/>
              <w:right w:w="20" w:type="dxa"/>
            </w:tcMar>
            <w:vAlign w:val="bottom"/>
          </w:tcPr>
          <w:p w14:paraId="7268DA6E" w14:textId="77777777" w:rsidR="005F762A" w:rsidRDefault="00D74111">
            <w:pPr>
              <w:textAlignment w:val="bottom"/>
            </w:pPr>
            <w:r>
              <w:rPr>
                <w:rFonts w:ascii="Arial" w:eastAsia="宋体" w:hAnsi="Arial" w:cs="Arial"/>
                <w:color w:val="000000"/>
                <w:sz w:val="18"/>
                <w:szCs w:val="18"/>
              </w:rPr>
              <w:t xml:space="preserve">Operating lease </w:t>
            </w:r>
            <w:r>
              <w:rPr>
                <w:rFonts w:ascii="Arial" w:eastAsia="宋体" w:hAnsi="Arial" w:cs="Arial"/>
                <w:color w:val="000000"/>
                <w:sz w:val="18"/>
                <w:szCs w:val="18"/>
              </w:rPr>
              <w:t>right-of-use assets</w:t>
            </w:r>
          </w:p>
        </w:tc>
        <w:tc>
          <w:tcPr>
            <w:tcW w:w="0" w:type="auto"/>
            <w:gridSpan w:val="2"/>
            <w:shd w:val="clear" w:color="auto" w:fill="E2E2E2"/>
            <w:tcMar>
              <w:top w:w="40" w:type="dxa"/>
              <w:left w:w="20" w:type="dxa"/>
              <w:bottom w:w="40" w:type="dxa"/>
              <w:right w:w="0" w:type="dxa"/>
            </w:tcMar>
            <w:vAlign w:val="bottom"/>
          </w:tcPr>
          <w:p w14:paraId="7268DA6F" w14:textId="77777777" w:rsidR="005F762A" w:rsidRDefault="00D74111">
            <w:pPr>
              <w:jc w:val="right"/>
              <w:textAlignment w:val="bottom"/>
            </w:pPr>
            <w:r>
              <w:rPr>
                <w:rFonts w:ascii="Arial" w:eastAsia="宋体" w:hAnsi="Arial" w:cs="Arial"/>
                <w:color w:val="000000"/>
                <w:sz w:val="18"/>
                <w:szCs w:val="18"/>
              </w:rPr>
              <w:t>477 </w:t>
            </w:r>
          </w:p>
        </w:tc>
        <w:tc>
          <w:tcPr>
            <w:tcW w:w="0" w:type="auto"/>
            <w:shd w:val="clear" w:color="auto" w:fill="E2E2E2"/>
            <w:tcMar>
              <w:top w:w="40" w:type="dxa"/>
              <w:left w:w="0" w:type="dxa"/>
              <w:bottom w:w="40" w:type="dxa"/>
              <w:right w:w="20" w:type="dxa"/>
            </w:tcMar>
            <w:vAlign w:val="bottom"/>
          </w:tcPr>
          <w:p w14:paraId="7268DA7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7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72" w14:textId="77777777" w:rsidR="005F762A" w:rsidRDefault="00D74111">
            <w:pPr>
              <w:jc w:val="right"/>
              <w:textAlignment w:val="bottom"/>
            </w:pPr>
            <w:r>
              <w:rPr>
                <w:rFonts w:ascii="Arial" w:eastAsia="宋体" w:hAnsi="Arial" w:cs="Arial"/>
                <w:color w:val="000000"/>
                <w:sz w:val="18"/>
                <w:szCs w:val="18"/>
              </w:rPr>
              <w:t>509 </w:t>
            </w:r>
          </w:p>
        </w:tc>
        <w:tc>
          <w:tcPr>
            <w:tcW w:w="0" w:type="auto"/>
            <w:shd w:val="clear" w:color="auto" w:fill="E2E2E2"/>
            <w:tcMar>
              <w:top w:w="40" w:type="dxa"/>
              <w:left w:w="0" w:type="dxa"/>
              <w:bottom w:w="40" w:type="dxa"/>
              <w:right w:w="20" w:type="dxa"/>
            </w:tcMar>
            <w:vAlign w:val="bottom"/>
          </w:tcPr>
          <w:p w14:paraId="7268DA73" w14:textId="77777777" w:rsidR="005F762A" w:rsidRDefault="005F762A">
            <w:pPr>
              <w:jc w:val="right"/>
              <w:rPr>
                <w:rFonts w:ascii="宋体"/>
              </w:rPr>
            </w:pPr>
          </w:p>
        </w:tc>
      </w:tr>
      <w:tr w:rsidR="005F762A" w14:paraId="7268DA7B" w14:textId="77777777">
        <w:trPr>
          <w:jc w:val="center"/>
        </w:trPr>
        <w:tc>
          <w:tcPr>
            <w:tcW w:w="0" w:type="auto"/>
            <w:gridSpan w:val="3"/>
            <w:shd w:val="clear" w:color="auto" w:fill="FFFFFF"/>
            <w:tcMar>
              <w:top w:w="40" w:type="dxa"/>
              <w:left w:w="20" w:type="dxa"/>
              <w:bottom w:w="40" w:type="dxa"/>
              <w:right w:w="20" w:type="dxa"/>
            </w:tcMar>
            <w:vAlign w:val="bottom"/>
          </w:tcPr>
          <w:p w14:paraId="7268DA75" w14:textId="77777777" w:rsidR="005F762A" w:rsidRDefault="00D74111">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7268DA76" w14:textId="77777777" w:rsidR="005F762A" w:rsidRDefault="00D74111">
            <w:pPr>
              <w:jc w:val="right"/>
              <w:textAlignment w:val="bottom"/>
            </w:pPr>
            <w:r>
              <w:rPr>
                <w:rFonts w:ascii="Arial" w:eastAsia="宋体" w:hAnsi="Arial" w:cs="Arial"/>
                <w:color w:val="000000"/>
                <w:sz w:val="18"/>
                <w:szCs w:val="18"/>
              </w:rPr>
              <w:t>3,448 </w:t>
            </w:r>
          </w:p>
        </w:tc>
        <w:tc>
          <w:tcPr>
            <w:tcW w:w="0" w:type="auto"/>
            <w:shd w:val="clear" w:color="auto" w:fill="FFFFFF"/>
            <w:tcMar>
              <w:top w:w="40" w:type="dxa"/>
              <w:left w:w="0" w:type="dxa"/>
              <w:bottom w:w="40" w:type="dxa"/>
              <w:right w:w="20" w:type="dxa"/>
            </w:tcMar>
            <w:vAlign w:val="bottom"/>
          </w:tcPr>
          <w:p w14:paraId="7268DA7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7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79" w14:textId="77777777" w:rsidR="005F762A" w:rsidRDefault="00D74111">
            <w:pPr>
              <w:jc w:val="right"/>
              <w:textAlignment w:val="bottom"/>
            </w:pPr>
            <w:r>
              <w:rPr>
                <w:rFonts w:ascii="Arial" w:eastAsia="宋体" w:hAnsi="Arial" w:cs="Arial"/>
                <w:color w:val="000000"/>
                <w:sz w:val="18"/>
                <w:szCs w:val="18"/>
              </w:rPr>
              <w:t>3,537 </w:t>
            </w:r>
          </w:p>
        </w:tc>
        <w:tc>
          <w:tcPr>
            <w:tcW w:w="0" w:type="auto"/>
            <w:shd w:val="clear" w:color="auto" w:fill="FFFFFF"/>
            <w:tcMar>
              <w:top w:w="40" w:type="dxa"/>
              <w:left w:w="0" w:type="dxa"/>
              <w:bottom w:w="40" w:type="dxa"/>
              <w:right w:w="20" w:type="dxa"/>
            </w:tcMar>
            <w:vAlign w:val="bottom"/>
          </w:tcPr>
          <w:p w14:paraId="7268DA7A" w14:textId="77777777" w:rsidR="005F762A" w:rsidRDefault="005F762A">
            <w:pPr>
              <w:jc w:val="right"/>
              <w:rPr>
                <w:rFonts w:ascii="宋体"/>
              </w:rPr>
            </w:pPr>
          </w:p>
        </w:tc>
      </w:tr>
      <w:tr w:rsidR="005F762A" w14:paraId="7268DA82" w14:textId="77777777">
        <w:trPr>
          <w:jc w:val="center"/>
        </w:trPr>
        <w:tc>
          <w:tcPr>
            <w:tcW w:w="0" w:type="auto"/>
            <w:gridSpan w:val="3"/>
            <w:shd w:val="clear" w:color="auto" w:fill="E2E2E2"/>
            <w:tcMar>
              <w:top w:w="40" w:type="dxa"/>
              <w:left w:w="20" w:type="dxa"/>
              <w:bottom w:w="40" w:type="dxa"/>
              <w:right w:w="20" w:type="dxa"/>
            </w:tcMar>
            <w:vAlign w:val="bottom"/>
          </w:tcPr>
          <w:p w14:paraId="7268DA7C" w14:textId="77777777" w:rsidR="005F762A" w:rsidRDefault="00D74111">
            <w:pPr>
              <w:textAlignment w:val="bottom"/>
            </w:pPr>
            <w:r>
              <w:rPr>
                <w:rFonts w:ascii="Arial" w:eastAsia="宋体" w:hAnsi="Arial" w:cs="Arial"/>
                <w:color w:val="000000"/>
                <w:sz w:val="18"/>
                <w:szCs w:val="18"/>
              </w:rPr>
              <w:t>Warrant asset</w:t>
            </w:r>
          </w:p>
        </w:tc>
        <w:tc>
          <w:tcPr>
            <w:tcW w:w="0" w:type="auto"/>
            <w:gridSpan w:val="2"/>
            <w:shd w:val="clear" w:color="auto" w:fill="E2E2E2"/>
            <w:tcMar>
              <w:top w:w="40" w:type="dxa"/>
              <w:left w:w="20" w:type="dxa"/>
              <w:bottom w:w="40" w:type="dxa"/>
              <w:right w:w="0" w:type="dxa"/>
            </w:tcMar>
            <w:vAlign w:val="bottom"/>
          </w:tcPr>
          <w:p w14:paraId="7268DA7D" w14:textId="77777777" w:rsidR="005F762A" w:rsidRDefault="00D74111">
            <w:pPr>
              <w:jc w:val="right"/>
              <w:textAlignment w:val="bottom"/>
            </w:pPr>
            <w:r>
              <w:rPr>
                <w:rFonts w:ascii="Arial" w:eastAsia="宋体" w:hAnsi="Arial" w:cs="Arial"/>
                <w:color w:val="000000"/>
                <w:sz w:val="18"/>
                <w:szCs w:val="18"/>
              </w:rPr>
              <w:t>1,015 </w:t>
            </w:r>
          </w:p>
        </w:tc>
        <w:tc>
          <w:tcPr>
            <w:tcW w:w="0" w:type="auto"/>
            <w:shd w:val="clear" w:color="auto" w:fill="E2E2E2"/>
            <w:tcMar>
              <w:top w:w="40" w:type="dxa"/>
              <w:left w:w="0" w:type="dxa"/>
              <w:bottom w:w="40" w:type="dxa"/>
              <w:right w:w="20" w:type="dxa"/>
            </w:tcMar>
            <w:vAlign w:val="bottom"/>
          </w:tcPr>
          <w:p w14:paraId="7268DA7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7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80" w14:textId="77777777" w:rsidR="005F762A" w:rsidRDefault="00D74111">
            <w:pPr>
              <w:jc w:val="right"/>
              <w:textAlignment w:val="bottom"/>
            </w:pPr>
            <w:r>
              <w:rPr>
                <w:rFonts w:ascii="Arial" w:eastAsia="宋体" w:hAnsi="Arial" w:cs="Arial"/>
                <w:color w:val="000000"/>
                <w:sz w:val="18"/>
                <w:szCs w:val="18"/>
              </w:rPr>
              <w:t>1,051 </w:t>
            </w:r>
          </w:p>
        </w:tc>
        <w:tc>
          <w:tcPr>
            <w:tcW w:w="0" w:type="auto"/>
            <w:shd w:val="clear" w:color="auto" w:fill="E2E2E2"/>
            <w:tcMar>
              <w:top w:w="40" w:type="dxa"/>
              <w:left w:w="0" w:type="dxa"/>
              <w:bottom w:w="40" w:type="dxa"/>
              <w:right w:w="20" w:type="dxa"/>
            </w:tcMar>
            <w:vAlign w:val="bottom"/>
          </w:tcPr>
          <w:p w14:paraId="7268DA81" w14:textId="77777777" w:rsidR="005F762A" w:rsidRDefault="005F762A">
            <w:pPr>
              <w:jc w:val="right"/>
              <w:rPr>
                <w:rFonts w:ascii="宋体"/>
              </w:rPr>
            </w:pPr>
          </w:p>
        </w:tc>
      </w:tr>
      <w:tr w:rsidR="005F762A" w14:paraId="7268DA89" w14:textId="77777777">
        <w:trPr>
          <w:jc w:val="center"/>
        </w:trPr>
        <w:tc>
          <w:tcPr>
            <w:tcW w:w="0" w:type="auto"/>
            <w:gridSpan w:val="3"/>
            <w:shd w:val="clear" w:color="auto" w:fill="FFFFFF"/>
            <w:tcMar>
              <w:top w:w="40" w:type="dxa"/>
              <w:left w:w="20" w:type="dxa"/>
              <w:bottom w:w="40" w:type="dxa"/>
              <w:right w:w="20" w:type="dxa"/>
            </w:tcMar>
            <w:vAlign w:val="bottom"/>
          </w:tcPr>
          <w:p w14:paraId="7268DA83" w14:textId="77777777" w:rsidR="005F762A" w:rsidRDefault="00D74111">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7268DA84" w14:textId="77777777" w:rsidR="005F762A" w:rsidRDefault="00D74111">
            <w:pPr>
              <w:jc w:val="right"/>
              <w:textAlignment w:val="bottom"/>
            </w:pPr>
            <w:r>
              <w:rPr>
                <w:rFonts w:ascii="Arial" w:eastAsia="宋体" w:hAnsi="Arial" w:cs="Arial"/>
                <w:color w:val="000000"/>
                <w:sz w:val="18"/>
                <w:szCs w:val="18"/>
              </w:rPr>
              <w:t>124 </w:t>
            </w:r>
          </w:p>
        </w:tc>
        <w:tc>
          <w:tcPr>
            <w:tcW w:w="0" w:type="auto"/>
            <w:shd w:val="clear" w:color="auto" w:fill="FFFFFF"/>
            <w:tcMar>
              <w:top w:w="40" w:type="dxa"/>
              <w:left w:w="0" w:type="dxa"/>
              <w:bottom w:w="40" w:type="dxa"/>
              <w:right w:w="20" w:type="dxa"/>
            </w:tcMar>
            <w:vAlign w:val="bottom"/>
          </w:tcPr>
          <w:p w14:paraId="7268DA8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8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87" w14:textId="77777777" w:rsidR="005F762A" w:rsidRDefault="00D74111">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7268DA88" w14:textId="77777777" w:rsidR="005F762A" w:rsidRDefault="005F762A">
            <w:pPr>
              <w:jc w:val="right"/>
              <w:rPr>
                <w:rFonts w:ascii="宋体"/>
              </w:rPr>
            </w:pPr>
          </w:p>
        </w:tc>
      </w:tr>
      <w:tr w:rsidR="005F762A" w14:paraId="7268DA8E" w14:textId="77777777">
        <w:trPr>
          <w:jc w:val="center"/>
          <w:hidden/>
        </w:trPr>
        <w:tc>
          <w:tcPr>
            <w:tcW w:w="0" w:type="auto"/>
            <w:gridSpan w:val="3"/>
            <w:shd w:val="clear" w:color="auto" w:fill="auto"/>
          </w:tcPr>
          <w:p w14:paraId="7268DA8A" w14:textId="77777777" w:rsidR="005F762A" w:rsidRDefault="005F762A">
            <w:pPr>
              <w:rPr>
                <w:rFonts w:ascii="宋体"/>
                <w:vanish/>
              </w:rPr>
            </w:pPr>
          </w:p>
        </w:tc>
        <w:tc>
          <w:tcPr>
            <w:tcW w:w="0" w:type="auto"/>
            <w:gridSpan w:val="3"/>
            <w:shd w:val="clear" w:color="auto" w:fill="auto"/>
          </w:tcPr>
          <w:p w14:paraId="7268DA8B" w14:textId="77777777" w:rsidR="005F762A" w:rsidRDefault="005F762A">
            <w:pPr>
              <w:rPr>
                <w:rFonts w:ascii="宋体"/>
                <w:vanish/>
              </w:rPr>
            </w:pPr>
          </w:p>
        </w:tc>
        <w:tc>
          <w:tcPr>
            <w:tcW w:w="0" w:type="auto"/>
            <w:gridSpan w:val="3"/>
            <w:shd w:val="clear" w:color="auto" w:fill="auto"/>
          </w:tcPr>
          <w:p w14:paraId="7268DA8C" w14:textId="77777777" w:rsidR="005F762A" w:rsidRDefault="005F762A">
            <w:pPr>
              <w:rPr>
                <w:rFonts w:ascii="宋体"/>
                <w:vanish/>
              </w:rPr>
            </w:pPr>
          </w:p>
        </w:tc>
        <w:tc>
          <w:tcPr>
            <w:tcW w:w="0" w:type="auto"/>
            <w:gridSpan w:val="3"/>
            <w:shd w:val="clear" w:color="auto" w:fill="auto"/>
          </w:tcPr>
          <w:p w14:paraId="7268DA8D" w14:textId="77777777" w:rsidR="005F762A" w:rsidRDefault="005F762A">
            <w:pPr>
              <w:rPr>
                <w:rFonts w:ascii="宋体"/>
                <w:vanish/>
              </w:rPr>
            </w:pPr>
          </w:p>
        </w:tc>
      </w:tr>
      <w:tr w:rsidR="005F762A" w14:paraId="7268DA93" w14:textId="77777777">
        <w:trPr>
          <w:jc w:val="center"/>
          <w:hidden/>
        </w:trPr>
        <w:tc>
          <w:tcPr>
            <w:tcW w:w="0" w:type="auto"/>
            <w:gridSpan w:val="3"/>
            <w:shd w:val="clear" w:color="auto" w:fill="auto"/>
          </w:tcPr>
          <w:p w14:paraId="7268DA8F" w14:textId="77777777" w:rsidR="005F762A" w:rsidRDefault="005F762A">
            <w:pPr>
              <w:rPr>
                <w:rFonts w:ascii="宋体"/>
                <w:vanish/>
              </w:rPr>
            </w:pPr>
          </w:p>
        </w:tc>
        <w:tc>
          <w:tcPr>
            <w:tcW w:w="0" w:type="auto"/>
            <w:gridSpan w:val="3"/>
            <w:shd w:val="clear" w:color="auto" w:fill="auto"/>
          </w:tcPr>
          <w:p w14:paraId="7268DA90" w14:textId="77777777" w:rsidR="005F762A" w:rsidRDefault="005F762A">
            <w:pPr>
              <w:rPr>
                <w:rFonts w:ascii="宋体"/>
                <w:vanish/>
              </w:rPr>
            </w:pPr>
          </w:p>
        </w:tc>
        <w:tc>
          <w:tcPr>
            <w:tcW w:w="0" w:type="auto"/>
            <w:gridSpan w:val="3"/>
            <w:shd w:val="clear" w:color="auto" w:fill="auto"/>
          </w:tcPr>
          <w:p w14:paraId="7268DA91" w14:textId="77777777" w:rsidR="005F762A" w:rsidRDefault="005F762A">
            <w:pPr>
              <w:rPr>
                <w:rFonts w:ascii="宋体"/>
                <w:vanish/>
              </w:rPr>
            </w:pPr>
          </w:p>
        </w:tc>
        <w:tc>
          <w:tcPr>
            <w:tcW w:w="0" w:type="auto"/>
            <w:gridSpan w:val="3"/>
            <w:shd w:val="clear" w:color="auto" w:fill="auto"/>
          </w:tcPr>
          <w:p w14:paraId="7268DA92" w14:textId="77777777" w:rsidR="005F762A" w:rsidRDefault="005F762A">
            <w:pPr>
              <w:rPr>
                <w:rFonts w:ascii="宋体"/>
                <w:vanish/>
              </w:rPr>
            </w:pPr>
          </w:p>
        </w:tc>
      </w:tr>
      <w:tr w:rsidR="005F762A" w14:paraId="7268DA9C" w14:textId="77777777">
        <w:trPr>
          <w:jc w:val="center"/>
        </w:trPr>
        <w:tc>
          <w:tcPr>
            <w:tcW w:w="0" w:type="auto"/>
            <w:gridSpan w:val="3"/>
            <w:shd w:val="clear" w:color="auto" w:fill="E2E2E2"/>
            <w:tcMar>
              <w:top w:w="40" w:type="dxa"/>
              <w:left w:w="965" w:type="dxa"/>
              <w:bottom w:w="40" w:type="dxa"/>
              <w:right w:w="20" w:type="dxa"/>
            </w:tcMar>
            <w:vAlign w:val="bottom"/>
          </w:tcPr>
          <w:p w14:paraId="7268DA94" w14:textId="77777777" w:rsidR="005F762A" w:rsidRDefault="00D74111">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DA9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A96" w14:textId="77777777" w:rsidR="005F762A" w:rsidRDefault="00D74111">
            <w:pPr>
              <w:jc w:val="right"/>
              <w:textAlignment w:val="bottom"/>
            </w:pPr>
            <w:r>
              <w:rPr>
                <w:rFonts w:ascii="Arial" w:eastAsia="宋体" w:hAnsi="Arial" w:cs="Arial"/>
                <w:color w:val="000000"/>
                <w:sz w:val="18"/>
                <w:szCs w:val="18"/>
              </w:rPr>
              <w:t>18,731 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A9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98"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DA9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A9A" w14:textId="77777777" w:rsidR="005F762A" w:rsidRDefault="00D74111">
            <w:pPr>
              <w:jc w:val="right"/>
              <w:textAlignment w:val="bottom"/>
            </w:pPr>
            <w:r>
              <w:rPr>
                <w:rFonts w:ascii="Arial" w:eastAsia="宋体" w:hAnsi="Arial" w:cs="Arial"/>
                <w:color w:val="000000"/>
                <w:sz w:val="18"/>
                <w:szCs w:val="18"/>
              </w:rPr>
              <w:t>19,310 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A9B" w14:textId="77777777" w:rsidR="005F762A" w:rsidRDefault="005F762A">
            <w:pPr>
              <w:jc w:val="right"/>
              <w:rPr>
                <w:rFonts w:ascii="宋体"/>
              </w:rPr>
            </w:pPr>
          </w:p>
        </w:tc>
      </w:tr>
      <w:tr w:rsidR="005F762A" w14:paraId="7268DAA1" w14:textId="77777777">
        <w:trPr>
          <w:jc w:val="center"/>
        </w:trPr>
        <w:tc>
          <w:tcPr>
            <w:tcW w:w="0" w:type="auto"/>
            <w:gridSpan w:val="3"/>
            <w:shd w:val="clear" w:color="auto" w:fill="FFFFFF"/>
            <w:tcMar>
              <w:top w:w="40" w:type="dxa"/>
              <w:left w:w="20" w:type="dxa"/>
              <w:bottom w:w="40" w:type="dxa"/>
              <w:right w:w="20" w:type="dxa"/>
            </w:tcMar>
            <w:vAlign w:val="bottom"/>
          </w:tcPr>
          <w:p w14:paraId="7268DA9D" w14:textId="77777777" w:rsidR="005F762A" w:rsidRDefault="00D74111">
            <w:pPr>
              <w:jc w:val="center"/>
              <w:textAlignment w:val="bottom"/>
            </w:pPr>
            <w:r>
              <w:rPr>
                <w:rFonts w:ascii="Arial" w:eastAsia="宋体" w:hAnsi="Arial" w:cs="Arial"/>
                <w:b/>
                <w:bCs/>
                <w:color w:val="000000"/>
                <w:sz w:val="18"/>
                <w:szCs w:val="18"/>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tcPr>
          <w:p w14:paraId="7268DA9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A9F"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DAA0" w14:textId="77777777" w:rsidR="005F762A" w:rsidRDefault="005F762A">
            <w:pPr>
              <w:rPr>
                <w:rFonts w:ascii="宋体"/>
              </w:rPr>
            </w:pPr>
          </w:p>
        </w:tc>
      </w:tr>
      <w:tr w:rsidR="005F762A" w14:paraId="7268DAA6" w14:textId="77777777">
        <w:trPr>
          <w:jc w:val="center"/>
        </w:trPr>
        <w:tc>
          <w:tcPr>
            <w:tcW w:w="0" w:type="auto"/>
            <w:gridSpan w:val="3"/>
            <w:shd w:val="clear" w:color="auto" w:fill="E2E2E2"/>
            <w:tcMar>
              <w:top w:w="40" w:type="dxa"/>
              <w:left w:w="20" w:type="dxa"/>
              <w:bottom w:w="40" w:type="dxa"/>
              <w:right w:w="20" w:type="dxa"/>
            </w:tcMar>
            <w:vAlign w:val="bottom"/>
          </w:tcPr>
          <w:p w14:paraId="7268DAA2" w14:textId="77777777" w:rsidR="005F762A" w:rsidRDefault="00D74111">
            <w:pPr>
              <w:textAlignment w:val="bottom"/>
            </w:pPr>
            <w:r>
              <w:rPr>
                <w:rFonts w:ascii="Arial" w:eastAsia="宋体" w:hAnsi="Arial" w:cs="Arial"/>
                <w:color w:val="000000"/>
                <w:sz w:val="18"/>
                <w:szCs w:val="18"/>
              </w:rPr>
              <w:t>Current liabilities:</w:t>
            </w:r>
          </w:p>
        </w:tc>
        <w:tc>
          <w:tcPr>
            <w:tcW w:w="0" w:type="auto"/>
            <w:gridSpan w:val="3"/>
            <w:shd w:val="clear" w:color="auto" w:fill="E2E2E2"/>
            <w:tcMar>
              <w:top w:w="0" w:type="dxa"/>
              <w:left w:w="20" w:type="dxa"/>
              <w:bottom w:w="0" w:type="dxa"/>
              <w:right w:w="20" w:type="dxa"/>
            </w:tcMar>
          </w:tcPr>
          <w:p w14:paraId="7268DAA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AA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AA5" w14:textId="77777777" w:rsidR="005F762A" w:rsidRDefault="005F762A">
            <w:pPr>
              <w:rPr>
                <w:rFonts w:ascii="宋体"/>
              </w:rPr>
            </w:pPr>
          </w:p>
        </w:tc>
      </w:tr>
      <w:tr w:rsidR="005F762A" w14:paraId="7268DAAF" w14:textId="77777777">
        <w:trPr>
          <w:jc w:val="center"/>
        </w:trPr>
        <w:tc>
          <w:tcPr>
            <w:tcW w:w="0" w:type="auto"/>
            <w:gridSpan w:val="3"/>
            <w:shd w:val="clear" w:color="auto" w:fill="FFFFFF"/>
            <w:tcMar>
              <w:top w:w="40" w:type="dxa"/>
              <w:left w:w="515" w:type="dxa"/>
              <w:bottom w:w="40" w:type="dxa"/>
              <w:right w:w="20" w:type="dxa"/>
            </w:tcMar>
            <w:vAlign w:val="bottom"/>
          </w:tcPr>
          <w:p w14:paraId="7268DAA7" w14:textId="77777777" w:rsidR="005F762A" w:rsidRDefault="00D74111">
            <w:pPr>
              <w:textAlignment w:val="bottom"/>
            </w:pPr>
            <w:r>
              <w:rPr>
                <w:rFonts w:ascii="Arial" w:eastAsia="宋体" w:hAnsi="Arial" w:cs="Arial"/>
                <w:color w:val="000000"/>
                <w:sz w:val="18"/>
                <w:szCs w:val="18"/>
              </w:rPr>
              <w:t>Short-term debt</w:t>
            </w:r>
          </w:p>
        </w:tc>
        <w:tc>
          <w:tcPr>
            <w:tcW w:w="0" w:type="auto"/>
            <w:shd w:val="clear" w:color="auto" w:fill="FFFFFF"/>
            <w:tcMar>
              <w:top w:w="40" w:type="dxa"/>
              <w:left w:w="20" w:type="dxa"/>
              <w:bottom w:w="40" w:type="dxa"/>
              <w:right w:w="0" w:type="dxa"/>
            </w:tcMar>
            <w:vAlign w:val="bottom"/>
          </w:tcPr>
          <w:p w14:paraId="7268DAA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AA9" w14:textId="77777777" w:rsidR="005F762A" w:rsidRDefault="00D74111">
            <w:pPr>
              <w:jc w:val="right"/>
              <w:textAlignment w:val="bottom"/>
            </w:pPr>
            <w:r>
              <w:rPr>
                <w:rFonts w:ascii="Arial" w:eastAsia="宋体" w:hAnsi="Arial" w:cs="Arial"/>
                <w:color w:val="000000"/>
                <w:sz w:val="18"/>
                <w:szCs w:val="18"/>
              </w:rPr>
              <w:t>1,172 </w:t>
            </w:r>
          </w:p>
        </w:tc>
        <w:tc>
          <w:tcPr>
            <w:tcW w:w="0" w:type="auto"/>
            <w:shd w:val="clear" w:color="auto" w:fill="FFFFFF"/>
            <w:tcMar>
              <w:top w:w="40" w:type="dxa"/>
              <w:left w:w="0" w:type="dxa"/>
              <w:bottom w:w="40" w:type="dxa"/>
              <w:right w:w="20" w:type="dxa"/>
            </w:tcMar>
            <w:vAlign w:val="bottom"/>
          </w:tcPr>
          <w:p w14:paraId="7268DAA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AB"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AA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AAD" w14:textId="77777777" w:rsidR="005F762A" w:rsidRDefault="00D74111">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7268DAAE" w14:textId="77777777" w:rsidR="005F762A" w:rsidRDefault="005F762A">
            <w:pPr>
              <w:jc w:val="right"/>
              <w:rPr>
                <w:rFonts w:ascii="宋体"/>
              </w:rPr>
            </w:pPr>
          </w:p>
        </w:tc>
      </w:tr>
      <w:tr w:rsidR="005F762A" w14:paraId="7268DAB6" w14:textId="77777777">
        <w:trPr>
          <w:jc w:val="center"/>
        </w:trPr>
        <w:tc>
          <w:tcPr>
            <w:tcW w:w="0" w:type="auto"/>
            <w:gridSpan w:val="3"/>
            <w:shd w:val="clear" w:color="auto" w:fill="E2E2E2"/>
            <w:tcMar>
              <w:top w:w="40" w:type="dxa"/>
              <w:left w:w="515" w:type="dxa"/>
              <w:bottom w:w="40" w:type="dxa"/>
              <w:right w:w="20" w:type="dxa"/>
            </w:tcMar>
            <w:vAlign w:val="bottom"/>
          </w:tcPr>
          <w:p w14:paraId="7268DAB0" w14:textId="77777777" w:rsidR="005F762A" w:rsidRDefault="00D74111">
            <w:pPr>
              <w:textAlignment w:val="bottom"/>
            </w:pPr>
            <w:r>
              <w:rPr>
                <w:rFonts w:ascii="Arial" w:eastAsia="宋体" w:hAnsi="Arial" w:cs="Arial"/>
                <w:color w:val="000000"/>
                <w:sz w:val="18"/>
                <w:szCs w:val="18"/>
              </w:rPr>
              <w:t>Accounts payable</w:t>
            </w:r>
          </w:p>
        </w:tc>
        <w:tc>
          <w:tcPr>
            <w:tcW w:w="0" w:type="auto"/>
            <w:gridSpan w:val="2"/>
            <w:shd w:val="clear" w:color="auto" w:fill="E2E2E2"/>
            <w:tcMar>
              <w:top w:w="40" w:type="dxa"/>
              <w:left w:w="20" w:type="dxa"/>
              <w:bottom w:w="40" w:type="dxa"/>
              <w:right w:w="0" w:type="dxa"/>
            </w:tcMar>
            <w:vAlign w:val="bottom"/>
          </w:tcPr>
          <w:p w14:paraId="7268DAB1" w14:textId="77777777" w:rsidR="005F762A" w:rsidRDefault="00D74111">
            <w:pPr>
              <w:jc w:val="right"/>
              <w:textAlignment w:val="bottom"/>
            </w:pPr>
            <w:r>
              <w:rPr>
                <w:rFonts w:ascii="Arial" w:eastAsia="宋体" w:hAnsi="Arial" w:cs="Arial"/>
                <w:color w:val="000000"/>
                <w:sz w:val="18"/>
                <w:szCs w:val="18"/>
              </w:rPr>
              <w:t>324 </w:t>
            </w:r>
          </w:p>
        </w:tc>
        <w:tc>
          <w:tcPr>
            <w:tcW w:w="0" w:type="auto"/>
            <w:shd w:val="clear" w:color="auto" w:fill="E2E2E2"/>
            <w:tcMar>
              <w:top w:w="40" w:type="dxa"/>
              <w:left w:w="0" w:type="dxa"/>
              <w:bottom w:w="40" w:type="dxa"/>
              <w:right w:w="20" w:type="dxa"/>
            </w:tcMar>
            <w:vAlign w:val="bottom"/>
          </w:tcPr>
          <w:p w14:paraId="7268DAB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B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B4" w14:textId="77777777" w:rsidR="005F762A" w:rsidRDefault="00D74111">
            <w:pPr>
              <w:jc w:val="right"/>
              <w:textAlignment w:val="bottom"/>
            </w:pPr>
            <w:r>
              <w:rPr>
                <w:rFonts w:ascii="Arial" w:eastAsia="宋体" w:hAnsi="Arial" w:cs="Arial"/>
                <w:color w:val="000000"/>
                <w:sz w:val="18"/>
                <w:szCs w:val="18"/>
              </w:rPr>
              <w:t>332 </w:t>
            </w:r>
          </w:p>
        </w:tc>
        <w:tc>
          <w:tcPr>
            <w:tcW w:w="0" w:type="auto"/>
            <w:shd w:val="clear" w:color="auto" w:fill="E2E2E2"/>
            <w:tcMar>
              <w:top w:w="40" w:type="dxa"/>
              <w:left w:w="0" w:type="dxa"/>
              <w:bottom w:w="40" w:type="dxa"/>
              <w:right w:w="20" w:type="dxa"/>
            </w:tcMar>
            <w:vAlign w:val="bottom"/>
          </w:tcPr>
          <w:p w14:paraId="7268DAB5" w14:textId="77777777" w:rsidR="005F762A" w:rsidRDefault="005F762A">
            <w:pPr>
              <w:jc w:val="right"/>
              <w:rPr>
                <w:rFonts w:ascii="宋体"/>
              </w:rPr>
            </w:pPr>
          </w:p>
        </w:tc>
      </w:tr>
      <w:tr w:rsidR="005F762A" w14:paraId="7268DABD" w14:textId="77777777">
        <w:trPr>
          <w:jc w:val="center"/>
        </w:trPr>
        <w:tc>
          <w:tcPr>
            <w:tcW w:w="0" w:type="auto"/>
            <w:gridSpan w:val="3"/>
            <w:shd w:val="clear" w:color="auto" w:fill="FFFFFF"/>
            <w:tcMar>
              <w:top w:w="40" w:type="dxa"/>
              <w:left w:w="515" w:type="dxa"/>
              <w:bottom w:w="40" w:type="dxa"/>
              <w:right w:w="20" w:type="dxa"/>
            </w:tcMar>
            <w:vAlign w:val="bottom"/>
          </w:tcPr>
          <w:p w14:paraId="7268DAB7" w14:textId="77777777" w:rsidR="005F762A" w:rsidRDefault="00D74111">
            <w:pPr>
              <w:textAlignment w:val="bottom"/>
            </w:pPr>
            <w:r>
              <w:rPr>
                <w:rFonts w:ascii="Arial" w:eastAsia="宋体" w:hAnsi="Arial" w:cs="Arial"/>
                <w:color w:val="000000"/>
                <w:sz w:val="18"/>
                <w:szCs w:val="18"/>
              </w:rPr>
              <w:t>Customer accounts and funds payable</w:t>
            </w:r>
          </w:p>
        </w:tc>
        <w:tc>
          <w:tcPr>
            <w:tcW w:w="0" w:type="auto"/>
            <w:gridSpan w:val="2"/>
            <w:shd w:val="clear" w:color="auto" w:fill="FFFFFF"/>
            <w:tcMar>
              <w:top w:w="40" w:type="dxa"/>
              <w:left w:w="20" w:type="dxa"/>
              <w:bottom w:w="40" w:type="dxa"/>
              <w:right w:w="0" w:type="dxa"/>
            </w:tcMar>
            <w:vAlign w:val="bottom"/>
          </w:tcPr>
          <w:p w14:paraId="7268DAB8" w14:textId="77777777" w:rsidR="005F762A" w:rsidRDefault="00D74111">
            <w:pPr>
              <w:jc w:val="right"/>
              <w:textAlignment w:val="bottom"/>
            </w:pPr>
            <w:r>
              <w:rPr>
                <w:rFonts w:ascii="Arial" w:eastAsia="宋体" w:hAnsi="Arial" w:cs="Arial"/>
                <w:color w:val="000000"/>
                <w:sz w:val="18"/>
                <w:szCs w:val="18"/>
              </w:rPr>
              <w:t>1,073 </w:t>
            </w:r>
          </w:p>
        </w:tc>
        <w:tc>
          <w:tcPr>
            <w:tcW w:w="0" w:type="auto"/>
            <w:shd w:val="clear" w:color="auto" w:fill="FFFFFF"/>
            <w:tcMar>
              <w:top w:w="40" w:type="dxa"/>
              <w:left w:w="0" w:type="dxa"/>
              <w:bottom w:w="40" w:type="dxa"/>
              <w:right w:w="20" w:type="dxa"/>
            </w:tcMar>
            <w:vAlign w:val="bottom"/>
          </w:tcPr>
          <w:p w14:paraId="7268DAB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B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BB" w14:textId="77777777" w:rsidR="005F762A" w:rsidRDefault="00D74111">
            <w:pPr>
              <w:jc w:val="right"/>
              <w:textAlignment w:val="bottom"/>
            </w:pPr>
            <w:r>
              <w:rPr>
                <w:rFonts w:ascii="Arial" w:eastAsia="宋体" w:hAnsi="Arial" w:cs="Arial"/>
                <w:color w:val="000000"/>
                <w:sz w:val="18"/>
                <w:szCs w:val="18"/>
              </w:rPr>
              <w:t>1,052 </w:t>
            </w:r>
          </w:p>
        </w:tc>
        <w:tc>
          <w:tcPr>
            <w:tcW w:w="0" w:type="auto"/>
            <w:shd w:val="clear" w:color="auto" w:fill="FFFFFF"/>
            <w:tcMar>
              <w:top w:w="40" w:type="dxa"/>
              <w:left w:w="0" w:type="dxa"/>
              <w:bottom w:w="40" w:type="dxa"/>
              <w:right w:w="20" w:type="dxa"/>
            </w:tcMar>
            <w:vAlign w:val="bottom"/>
          </w:tcPr>
          <w:p w14:paraId="7268DABC" w14:textId="77777777" w:rsidR="005F762A" w:rsidRDefault="005F762A">
            <w:pPr>
              <w:jc w:val="right"/>
              <w:rPr>
                <w:rFonts w:ascii="宋体"/>
              </w:rPr>
            </w:pPr>
          </w:p>
        </w:tc>
      </w:tr>
      <w:tr w:rsidR="005F762A" w14:paraId="7268DAC4" w14:textId="77777777">
        <w:trPr>
          <w:jc w:val="center"/>
        </w:trPr>
        <w:tc>
          <w:tcPr>
            <w:tcW w:w="0" w:type="auto"/>
            <w:gridSpan w:val="3"/>
            <w:shd w:val="clear" w:color="auto" w:fill="E2E2E2"/>
            <w:tcMar>
              <w:top w:w="40" w:type="dxa"/>
              <w:left w:w="515" w:type="dxa"/>
              <w:bottom w:w="40" w:type="dxa"/>
              <w:right w:w="20" w:type="dxa"/>
            </w:tcMar>
            <w:vAlign w:val="bottom"/>
          </w:tcPr>
          <w:p w14:paraId="7268DABE" w14:textId="77777777" w:rsidR="005F762A" w:rsidRDefault="00D74111">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E2E2E2"/>
            <w:tcMar>
              <w:top w:w="40" w:type="dxa"/>
              <w:left w:w="20" w:type="dxa"/>
              <w:bottom w:w="40" w:type="dxa"/>
              <w:right w:w="0" w:type="dxa"/>
            </w:tcMar>
            <w:vAlign w:val="bottom"/>
          </w:tcPr>
          <w:p w14:paraId="7268DABF" w14:textId="77777777" w:rsidR="005F762A" w:rsidRDefault="00D74111">
            <w:pPr>
              <w:jc w:val="right"/>
              <w:textAlignment w:val="bottom"/>
            </w:pPr>
            <w:r>
              <w:rPr>
                <w:rFonts w:ascii="Arial" w:eastAsia="宋体" w:hAnsi="Arial" w:cs="Arial"/>
                <w:color w:val="000000"/>
                <w:sz w:val="18"/>
                <w:szCs w:val="18"/>
              </w:rPr>
              <w:t>1,849 </w:t>
            </w:r>
          </w:p>
        </w:tc>
        <w:tc>
          <w:tcPr>
            <w:tcW w:w="0" w:type="auto"/>
            <w:shd w:val="clear" w:color="auto" w:fill="E2E2E2"/>
            <w:tcMar>
              <w:top w:w="40" w:type="dxa"/>
              <w:left w:w="0" w:type="dxa"/>
              <w:bottom w:w="40" w:type="dxa"/>
              <w:right w:w="20" w:type="dxa"/>
            </w:tcMar>
            <w:vAlign w:val="bottom"/>
          </w:tcPr>
          <w:p w14:paraId="7268DAC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C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C2" w14:textId="77777777" w:rsidR="005F762A" w:rsidRDefault="00D74111">
            <w:pPr>
              <w:jc w:val="right"/>
              <w:textAlignment w:val="bottom"/>
            </w:pPr>
            <w:r>
              <w:rPr>
                <w:rFonts w:ascii="Arial" w:eastAsia="宋体" w:hAnsi="Arial" w:cs="Arial"/>
                <w:color w:val="000000"/>
                <w:sz w:val="18"/>
                <w:szCs w:val="18"/>
              </w:rPr>
              <w:t>1,858 </w:t>
            </w:r>
          </w:p>
        </w:tc>
        <w:tc>
          <w:tcPr>
            <w:tcW w:w="0" w:type="auto"/>
            <w:shd w:val="clear" w:color="auto" w:fill="E2E2E2"/>
            <w:tcMar>
              <w:top w:w="40" w:type="dxa"/>
              <w:left w:w="0" w:type="dxa"/>
              <w:bottom w:w="40" w:type="dxa"/>
              <w:right w:w="20" w:type="dxa"/>
            </w:tcMar>
            <w:vAlign w:val="bottom"/>
          </w:tcPr>
          <w:p w14:paraId="7268DAC3" w14:textId="77777777" w:rsidR="005F762A" w:rsidRDefault="005F762A">
            <w:pPr>
              <w:jc w:val="right"/>
              <w:rPr>
                <w:rFonts w:ascii="宋体"/>
              </w:rPr>
            </w:pPr>
          </w:p>
        </w:tc>
      </w:tr>
      <w:tr w:rsidR="005F762A" w14:paraId="7268DACB" w14:textId="77777777">
        <w:trPr>
          <w:jc w:val="center"/>
        </w:trPr>
        <w:tc>
          <w:tcPr>
            <w:tcW w:w="0" w:type="auto"/>
            <w:gridSpan w:val="3"/>
            <w:shd w:val="clear" w:color="auto" w:fill="FFFFFF"/>
            <w:tcMar>
              <w:top w:w="40" w:type="dxa"/>
              <w:left w:w="515" w:type="dxa"/>
              <w:bottom w:w="40" w:type="dxa"/>
              <w:right w:w="20" w:type="dxa"/>
            </w:tcMar>
            <w:vAlign w:val="bottom"/>
          </w:tcPr>
          <w:p w14:paraId="7268DAC5" w14:textId="77777777" w:rsidR="005F762A" w:rsidRDefault="00D74111">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7268DAC6" w14:textId="77777777" w:rsidR="005F762A" w:rsidRDefault="00D74111">
            <w:pPr>
              <w:jc w:val="right"/>
              <w:textAlignment w:val="bottom"/>
            </w:pPr>
            <w:r>
              <w:rPr>
                <w:rFonts w:ascii="Arial" w:eastAsia="宋体" w:hAnsi="Arial" w:cs="Arial"/>
                <w:color w:val="000000"/>
                <w:sz w:val="18"/>
                <w:szCs w:val="18"/>
              </w:rPr>
              <w:t>114 </w:t>
            </w:r>
          </w:p>
        </w:tc>
        <w:tc>
          <w:tcPr>
            <w:tcW w:w="0" w:type="auto"/>
            <w:shd w:val="clear" w:color="auto" w:fill="FFFFFF"/>
            <w:tcMar>
              <w:top w:w="40" w:type="dxa"/>
              <w:left w:w="0" w:type="dxa"/>
              <w:bottom w:w="40" w:type="dxa"/>
              <w:right w:w="20" w:type="dxa"/>
            </w:tcMar>
            <w:vAlign w:val="bottom"/>
          </w:tcPr>
          <w:p w14:paraId="7268DAC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C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C9" w14:textId="77777777" w:rsidR="005F762A" w:rsidRDefault="00D74111">
            <w:pPr>
              <w:jc w:val="right"/>
              <w:textAlignment w:val="bottom"/>
            </w:pPr>
            <w:r>
              <w:rPr>
                <w:rFonts w:ascii="Arial" w:eastAsia="宋体" w:hAnsi="Arial" w:cs="Arial"/>
                <w:color w:val="000000"/>
                <w:sz w:val="18"/>
                <w:szCs w:val="18"/>
              </w:rPr>
              <w:t>110 </w:t>
            </w:r>
          </w:p>
        </w:tc>
        <w:tc>
          <w:tcPr>
            <w:tcW w:w="0" w:type="auto"/>
            <w:shd w:val="clear" w:color="auto" w:fill="FFFFFF"/>
            <w:tcMar>
              <w:top w:w="40" w:type="dxa"/>
              <w:left w:w="0" w:type="dxa"/>
              <w:bottom w:w="40" w:type="dxa"/>
              <w:right w:w="20" w:type="dxa"/>
            </w:tcMar>
            <w:vAlign w:val="bottom"/>
          </w:tcPr>
          <w:p w14:paraId="7268DACA" w14:textId="77777777" w:rsidR="005F762A" w:rsidRDefault="005F762A">
            <w:pPr>
              <w:jc w:val="right"/>
              <w:rPr>
                <w:rFonts w:ascii="宋体"/>
              </w:rPr>
            </w:pPr>
          </w:p>
        </w:tc>
      </w:tr>
      <w:tr w:rsidR="005F762A" w14:paraId="7268DAD2" w14:textId="77777777">
        <w:trPr>
          <w:jc w:val="center"/>
        </w:trPr>
        <w:tc>
          <w:tcPr>
            <w:tcW w:w="0" w:type="auto"/>
            <w:gridSpan w:val="3"/>
            <w:shd w:val="clear" w:color="auto" w:fill="E2E2E2"/>
            <w:tcMar>
              <w:top w:w="40" w:type="dxa"/>
              <w:left w:w="515" w:type="dxa"/>
              <w:bottom w:w="40" w:type="dxa"/>
              <w:right w:w="20" w:type="dxa"/>
            </w:tcMar>
            <w:vAlign w:val="bottom"/>
          </w:tcPr>
          <w:p w14:paraId="7268DACC" w14:textId="77777777" w:rsidR="005F762A" w:rsidRDefault="00D74111">
            <w:pPr>
              <w:textAlignment w:val="bottom"/>
            </w:pPr>
            <w:r>
              <w:rPr>
                <w:rFonts w:ascii="Arial" w:eastAsia="宋体" w:hAnsi="Arial" w:cs="Arial"/>
                <w:color w:val="000000"/>
                <w:sz w:val="18"/>
                <w:szCs w:val="18"/>
              </w:rPr>
              <w:t>Income taxes payable</w:t>
            </w:r>
          </w:p>
        </w:tc>
        <w:tc>
          <w:tcPr>
            <w:tcW w:w="0" w:type="auto"/>
            <w:gridSpan w:val="2"/>
            <w:shd w:val="clear" w:color="auto" w:fill="E2E2E2"/>
            <w:tcMar>
              <w:top w:w="40" w:type="dxa"/>
              <w:left w:w="20" w:type="dxa"/>
              <w:bottom w:w="40" w:type="dxa"/>
              <w:right w:w="0" w:type="dxa"/>
            </w:tcMar>
            <w:vAlign w:val="bottom"/>
          </w:tcPr>
          <w:p w14:paraId="7268DACD" w14:textId="77777777" w:rsidR="005F762A" w:rsidRDefault="00D74111">
            <w:pPr>
              <w:jc w:val="right"/>
              <w:textAlignment w:val="bottom"/>
            </w:pPr>
            <w:r>
              <w:rPr>
                <w:rFonts w:ascii="Arial" w:eastAsia="宋体" w:hAnsi="Arial" w:cs="Arial"/>
                <w:color w:val="000000"/>
                <w:sz w:val="18"/>
                <w:szCs w:val="18"/>
              </w:rPr>
              <w:t>135 </w:t>
            </w:r>
          </w:p>
        </w:tc>
        <w:tc>
          <w:tcPr>
            <w:tcW w:w="0" w:type="auto"/>
            <w:shd w:val="clear" w:color="auto" w:fill="E2E2E2"/>
            <w:tcMar>
              <w:top w:w="40" w:type="dxa"/>
              <w:left w:w="0" w:type="dxa"/>
              <w:bottom w:w="40" w:type="dxa"/>
              <w:right w:w="20" w:type="dxa"/>
            </w:tcMar>
            <w:vAlign w:val="bottom"/>
          </w:tcPr>
          <w:p w14:paraId="7268DAC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C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D0" w14:textId="77777777" w:rsidR="005F762A" w:rsidRDefault="00D74111">
            <w:pPr>
              <w:jc w:val="right"/>
              <w:textAlignment w:val="bottom"/>
            </w:pPr>
            <w:r>
              <w:rPr>
                <w:rFonts w:ascii="Arial" w:eastAsia="宋体" w:hAnsi="Arial" w:cs="Arial"/>
                <w:color w:val="000000"/>
                <w:sz w:val="18"/>
                <w:szCs w:val="18"/>
              </w:rPr>
              <w:t>180 </w:t>
            </w:r>
          </w:p>
        </w:tc>
        <w:tc>
          <w:tcPr>
            <w:tcW w:w="0" w:type="auto"/>
            <w:shd w:val="clear" w:color="auto" w:fill="E2E2E2"/>
            <w:tcMar>
              <w:top w:w="40" w:type="dxa"/>
              <w:left w:w="0" w:type="dxa"/>
              <w:bottom w:w="40" w:type="dxa"/>
              <w:right w:w="20" w:type="dxa"/>
            </w:tcMar>
            <w:vAlign w:val="bottom"/>
          </w:tcPr>
          <w:p w14:paraId="7268DAD1" w14:textId="77777777" w:rsidR="005F762A" w:rsidRDefault="005F762A">
            <w:pPr>
              <w:jc w:val="right"/>
              <w:rPr>
                <w:rFonts w:ascii="宋体"/>
              </w:rPr>
            </w:pPr>
          </w:p>
        </w:tc>
      </w:tr>
      <w:tr w:rsidR="005F762A" w14:paraId="7268DAD9" w14:textId="77777777">
        <w:trPr>
          <w:jc w:val="center"/>
        </w:trPr>
        <w:tc>
          <w:tcPr>
            <w:tcW w:w="0" w:type="auto"/>
            <w:gridSpan w:val="3"/>
            <w:shd w:val="clear" w:color="auto" w:fill="FFFFFF"/>
            <w:tcMar>
              <w:top w:w="40" w:type="dxa"/>
              <w:left w:w="515" w:type="dxa"/>
              <w:bottom w:w="40" w:type="dxa"/>
              <w:right w:w="20" w:type="dxa"/>
            </w:tcMar>
            <w:vAlign w:val="bottom"/>
          </w:tcPr>
          <w:p w14:paraId="7268DAD3" w14:textId="77777777" w:rsidR="005F762A" w:rsidRDefault="00D74111">
            <w:pPr>
              <w:textAlignment w:val="bottom"/>
            </w:pPr>
            <w:r>
              <w:rPr>
                <w:rFonts w:ascii="Arial" w:eastAsia="宋体" w:hAnsi="Arial" w:cs="Arial"/>
                <w:color w:val="000000"/>
                <w:sz w:val="18"/>
                <w:szCs w:val="18"/>
              </w:rPr>
              <w:t>Current liabilities held for sale</w:t>
            </w:r>
          </w:p>
        </w:tc>
        <w:tc>
          <w:tcPr>
            <w:tcW w:w="0" w:type="auto"/>
            <w:gridSpan w:val="2"/>
            <w:shd w:val="clear" w:color="auto" w:fill="FFFFFF"/>
            <w:tcMar>
              <w:top w:w="40" w:type="dxa"/>
              <w:left w:w="20" w:type="dxa"/>
              <w:bottom w:w="40" w:type="dxa"/>
              <w:right w:w="0" w:type="dxa"/>
            </w:tcMar>
            <w:vAlign w:val="bottom"/>
          </w:tcPr>
          <w:p w14:paraId="7268DAD4" w14:textId="77777777" w:rsidR="005F762A" w:rsidRDefault="00D74111">
            <w:pPr>
              <w:jc w:val="right"/>
              <w:textAlignment w:val="bottom"/>
            </w:pPr>
            <w:r>
              <w:rPr>
                <w:rFonts w:ascii="Arial" w:eastAsia="宋体" w:hAnsi="Arial" w:cs="Arial"/>
                <w:color w:val="000000"/>
                <w:sz w:val="18"/>
                <w:szCs w:val="18"/>
              </w:rPr>
              <w:t>463 </w:t>
            </w:r>
          </w:p>
        </w:tc>
        <w:tc>
          <w:tcPr>
            <w:tcW w:w="0" w:type="auto"/>
            <w:shd w:val="clear" w:color="auto" w:fill="FFFFFF"/>
            <w:tcMar>
              <w:top w:w="40" w:type="dxa"/>
              <w:left w:w="0" w:type="dxa"/>
              <w:bottom w:w="40" w:type="dxa"/>
              <w:right w:w="20" w:type="dxa"/>
            </w:tcMar>
            <w:vAlign w:val="bottom"/>
          </w:tcPr>
          <w:p w14:paraId="7268DAD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D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D7" w14:textId="77777777" w:rsidR="005F762A" w:rsidRDefault="00D74111">
            <w:pPr>
              <w:jc w:val="right"/>
              <w:textAlignment w:val="bottom"/>
            </w:pPr>
            <w:r>
              <w:rPr>
                <w:rFonts w:ascii="Arial" w:eastAsia="宋体" w:hAnsi="Arial" w:cs="Arial"/>
                <w:color w:val="000000"/>
                <w:sz w:val="18"/>
                <w:szCs w:val="18"/>
              </w:rPr>
              <w:t>452 </w:t>
            </w:r>
          </w:p>
        </w:tc>
        <w:tc>
          <w:tcPr>
            <w:tcW w:w="0" w:type="auto"/>
            <w:shd w:val="clear" w:color="auto" w:fill="FFFFFF"/>
            <w:tcMar>
              <w:top w:w="40" w:type="dxa"/>
              <w:left w:w="0" w:type="dxa"/>
              <w:bottom w:w="40" w:type="dxa"/>
              <w:right w:w="20" w:type="dxa"/>
            </w:tcMar>
            <w:vAlign w:val="bottom"/>
          </w:tcPr>
          <w:p w14:paraId="7268DAD8" w14:textId="77777777" w:rsidR="005F762A" w:rsidRDefault="005F762A">
            <w:pPr>
              <w:jc w:val="right"/>
              <w:rPr>
                <w:rFonts w:ascii="宋体"/>
              </w:rPr>
            </w:pPr>
          </w:p>
        </w:tc>
      </w:tr>
      <w:tr w:rsidR="005F762A" w14:paraId="7268DADE" w14:textId="77777777">
        <w:trPr>
          <w:jc w:val="center"/>
          <w:hidden/>
        </w:trPr>
        <w:tc>
          <w:tcPr>
            <w:tcW w:w="0" w:type="auto"/>
            <w:gridSpan w:val="3"/>
            <w:shd w:val="clear" w:color="auto" w:fill="auto"/>
          </w:tcPr>
          <w:p w14:paraId="7268DADA" w14:textId="77777777" w:rsidR="005F762A" w:rsidRDefault="005F762A">
            <w:pPr>
              <w:rPr>
                <w:rFonts w:ascii="宋体"/>
                <w:vanish/>
              </w:rPr>
            </w:pPr>
          </w:p>
        </w:tc>
        <w:tc>
          <w:tcPr>
            <w:tcW w:w="0" w:type="auto"/>
            <w:gridSpan w:val="3"/>
            <w:shd w:val="clear" w:color="auto" w:fill="auto"/>
          </w:tcPr>
          <w:p w14:paraId="7268DADB" w14:textId="77777777" w:rsidR="005F762A" w:rsidRDefault="005F762A">
            <w:pPr>
              <w:rPr>
                <w:rFonts w:ascii="宋体"/>
                <w:vanish/>
              </w:rPr>
            </w:pPr>
          </w:p>
        </w:tc>
        <w:tc>
          <w:tcPr>
            <w:tcW w:w="0" w:type="auto"/>
            <w:gridSpan w:val="3"/>
            <w:shd w:val="clear" w:color="auto" w:fill="auto"/>
          </w:tcPr>
          <w:p w14:paraId="7268DADC" w14:textId="77777777" w:rsidR="005F762A" w:rsidRDefault="005F762A">
            <w:pPr>
              <w:rPr>
                <w:rFonts w:ascii="宋体"/>
                <w:vanish/>
              </w:rPr>
            </w:pPr>
          </w:p>
        </w:tc>
        <w:tc>
          <w:tcPr>
            <w:tcW w:w="0" w:type="auto"/>
            <w:gridSpan w:val="3"/>
            <w:shd w:val="clear" w:color="auto" w:fill="auto"/>
          </w:tcPr>
          <w:p w14:paraId="7268DADD" w14:textId="77777777" w:rsidR="005F762A" w:rsidRDefault="005F762A">
            <w:pPr>
              <w:rPr>
                <w:rFonts w:ascii="宋体"/>
                <w:vanish/>
              </w:rPr>
            </w:pPr>
          </w:p>
        </w:tc>
      </w:tr>
      <w:tr w:rsidR="005F762A" w14:paraId="7268DAE5" w14:textId="77777777">
        <w:trPr>
          <w:jc w:val="center"/>
        </w:trPr>
        <w:tc>
          <w:tcPr>
            <w:tcW w:w="0" w:type="auto"/>
            <w:gridSpan w:val="3"/>
            <w:shd w:val="clear" w:color="auto" w:fill="E2E2E2"/>
            <w:tcMar>
              <w:top w:w="40" w:type="dxa"/>
              <w:left w:w="965" w:type="dxa"/>
              <w:bottom w:w="40" w:type="dxa"/>
              <w:right w:w="20" w:type="dxa"/>
            </w:tcMar>
            <w:vAlign w:val="bottom"/>
          </w:tcPr>
          <w:p w14:paraId="7268DADF" w14:textId="77777777" w:rsidR="005F762A" w:rsidRDefault="00D74111">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AE0" w14:textId="77777777" w:rsidR="005F762A" w:rsidRDefault="00D74111">
            <w:pPr>
              <w:jc w:val="right"/>
              <w:textAlignment w:val="bottom"/>
            </w:pPr>
            <w:r>
              <w:rPr>
                <w:rFonts w:ascii="Arial" w:eastAsia="宋体" w:hAnsi="Arial" w:cs="Arial"/>
                <w:color w:val="000000"/>
                <w:sz w:val="18"/>
                <w:szCs w:val="18"/>
              </w:rPr>
              <w:t>5,130 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AE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E2"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AE3" w14:textId="77777777" w:rsidR="005F762A" w:rsidRDefault="00D74111">
            <w:pPr>
              <w:jc w:val="right"/>
              <w:textAlignment w:val="bottom"/>
            </w:pPr>
            <w:r>
              <w:rPr>
                <w:rFonts w:ascii="Arial" w:eastAsia="宋体" w:hAnsi="Arial" w:cs="Arial"/>
                <w:color w:val="000000"/>
                <w:sz w:val="18"/>
                <w:szCs w:val="18"/>
              </w:rPr>
              <w:t>4,002 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AE4" w14:textId="77777777" w:rsidR="005F762A" w:rsidRDefault="005F762A">
            <w:pPr>
              <w:jc w:val="right"/>
              <w:rPr>
                <w:rFonts w:ascii="宋体"/>
              </w:rPr>
            </w:pPr>
          </w:p>
        </w:tc>
      </w:tr>
      <w:tr w:rsidR="005F762A" w14:paraId="7268DAEC" w14:textId="77777777">
        <w:trPr>
          <w:jc w:val="center"/>
        </w:trPr>
        <w:tc>
          <w:tcPr>
            <w:tcW w:w="0" w:type="auto"/>
            <w:gridSpan w:val="3"/>
            <w:shd w:val="clear" w:color="auto" w:fill="FFFFFF"/>
            <w:tcMar>
              <w:top w:w="40" w:type="dxa"/>
              <w:left w:w="20" w:type="dxa"/>
              <w:bottom w:w="40" w:type="dxa"/>
              <w:right w:w="20" w:type="dxa"/>
            </w:tcMar>
            <w:vAlign w:val="bottom"/>
          </w:tcPr>
          <w:p w14:paraId="7268DAE6" w14:textId="77777777" w:rsidR="005F762A" w:rsidRDefault="00D74111">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7268DAE7" w14:textId="77777777" w:rsidR="005F762A" w:rsidRDefault="00D74111">
            <w:pPr>
              <w:jc w:val="right"/>
              <w:textAlignment w:val="bottom"/>
            </w:pPr>
            <w:r>
              <w:rPr>
                <w:rFonts w:ascii="Arial" w:eastAsia="宋体" w:hAnsi="Arial" w:cs="Arial"/>
                <w:color w:val="000000"/>
                <w:sz w:val="18"/>
                <w:szCs w:val="18"/>
              </w:rPr>
              <w:t>344 </w:t>
            </w:r>
          </w:p>
        </w:tc>
        <w:tc>
          <w:tcPr>
            <w:tcW w:w="0" w:type="auto"/>
            <w:shd w:val="clear" w:color="auto" w:fill="FFFFFF"/>
            <w:tcMar>
              <w:top w:w="40" w:type="dxa"/>
              <w:left w:w="0" w:type="dxa"/>
              <w:bottom w:w="40" w:type="dxa"/>
              <w:right w:w="20" w:type="dxa"/>
            </w:tcMar>
            <w:vAlign w:val="bottom"/>
          </w:tcPr>
          <w:p w14:paraId="7268DAE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E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EA" w14:textId="77777777" w:rsidR="005F762A" w:rsidRDefault="00D74111">
            <w:pPr>
              <w:jc w:val="right"/>
              <w:textAlignment w:val="bottom"/>
            </w:pPr>
            <w:r>
              <w:rPr>
                <w:rFonts w:ascii="Arial" w:eastAsia="宋体" w:hAnsi="Arial" w:cs="Arial"/>
                <w:color w:val="000000"/>
                <w:sz w:val="18"/>
                <w:szCs w:val="18"/>
              </w:rPr>
              <w:t>380 </w:t>
            </w:r>
          </w:p>
        </w:tc>
        <w:tc>
          <w:tcPr>
            <w:tcW w:w="0" w:type="auto"/>
            <w:shd w:val="clear" w:color="auto" w:fill="FFFFFF"/>
            <w:tcMar>
              <w:top w:w="40" w:type="dxa"/>
              <w:left w:w="0" w:type="dxa"/>
              <w:bottom w:w="40" w:type="dxa"/>
              <w:right w:w="20" w:type="dxa"/>
            </w:tcMar>
            <w:vAlign w:val="bottom"/>
          </w:tcPr>
          <w:p w14:paraId="7268DAEB" w14:textId="77777777" w:rsidR="005F762A" w:rsidRDefault="005F762A">
            <w:pPr>
              <w:jc w:val="right"/>
              <w:rPr>
                <w:rFonts w:ascii="宋体"/>
              </w:rPr>
            </w:pPr>
          </w:p>
        </w:tc>
      </w:tr>
      <w:tr w:rsidR="005F762A" w14:paraId="7268DAF3" w14:textId="77777777">
        <w:trPr>
          <w:jc w:val="center"/>
        </w:trPr>
        <w:tc>
          <w:tcPr>
            <w:tcW w:w="0" w:type="auto"/>
            <w:gridSpan w:val="3"/>
            <w:shd w:val="clear" w:color="auto" w:fill="E2E2E2"/>
            <w:tcMar>
              <w:top w:w="40" w:type="dxa"/>
              <w:left w:w="20" w:type="dxa"/>
              <w:bottom w:w="40" w:type="dxa"/>
              <w:right w:w="20" w:type="dxa"/>
            </w:tcMar>
            <w:vAlign w:val="bottom"/>
          </w:tcPr>
          <w:p w14:paraId="7268DAED" w14:textId="77777777" w:rsidR="005F762A" w:rsidRDefault="00D74111">
            <w:pPr>
              <w:textAlignment w:val="bottom"/>
            </w:pPr>
            <w:r>
              <w:rPr>
                <w:rFonts w:ascii="Arial" w:eastAsia="宋体" w:hAnsi="Arial" w:cs="Arial"/>
                <w:color w:val="000000"/>
                <w:sz w:val="18"/>
                <w:szCs w:val="18"/>
              </w:rPr>
              <w:t>Deferred tax liabilities</w:t>
            </w:r>
          </w:p>
        </w:tc>
        <w:tc>
          <w:tcPr>
            <w:tcW w:w="0" w:type="auto"/>
            <w:gridSpan w:val="2"/>
            <w:shd w:val="clear" w:color="auto" w:fill="E2E2E2"/>
            <w:tcMar>
              <w:top w:w="40" w:type="dxa"/>
              <w:left w:w="20" w:type="dxa"/>
              <w:bottom w:w="40" w:type="dxa"/>
              <w:right w:w="0" w:type="dxa"/>
            </w:tcMar>
            <w:vAlign w:val="bottom"/>
          </w:tcPr>
          <w:p w14:paraId="7268DAEE" w14:textId="77777777" w:rsidR="005F762A" w:rsidRDefault="00D74111">
            <w:pPr>
              <w:jc w:val="right"/>
              <w:textAlignment w:val="bottom"/>
            </w:pPr>
            <w:r>
              <w:rPr>
                <w:rFonts w:ascii="Arial" w:eastAsia="宋体" w:hAnsi="Arial" w:cs="Arial"/>
                <w:color w:val="000000"/>
                <w:sz w:val="18"/>
                <w:szCs w:val="18"/>
              </w:rPr>
              <w:t>2,381 </w:t>
            </w:r>
          </w:p>
        </w:tc>
        <w:tc>
          <w:tcPr>
            <w:tcW w:w="0" w:type="auto"/>
            <w:shd w:val="clear" w:color="auto" w:fill="E2E2E2"/>
            <w:tcMar>
              <w:top w:w="40" w:type="dxa"/>
              <w:left w:w="0" w:type="dxa"/>
              <w:bottom w:w="40" w:type="dxa"/>
              <w:right w:w="20" w:type="dxa"/>
            </w:tcMar>
            <w:vAlign w:val="bottom"/>
          </w:tcPr>
          <w:p w14:paraId="7268DAE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F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F1" w14:textId="77777777" w:rsidR="005F762A" w:rsidRDefault="00D74111">
            <w:pPr>
              <w:jc w:val="right"/>
              <w:textAlignment w:val="bottom"/>
            </w:pPr>
            <w:r>
              <w:rPr>
                <w:rFonts w:ascii="Arial" w:eastAsia="宋体" w:hAnsi="Arial" w:cs="Arial"/>
                <w:color w:val="000000"/>
                <w:sz w:val="18"/>
                <w:szCs w:val="18"/>
              </w:rPr>
              <w:t>2,359 </w:t>
            </w:r>
          </w:p>
        </w:tc>
        <w:tc>
          <w:tcPr>
            <w:tcW w:w="0" w:type="auto"/>
            <w:shd w:val="clear" w:color="auto" w:fill="E2E2E2"/>
            <w:tcMar>
              <w:top w:w="40" w:type="dxa"/>
              <w:left w:w="0" w:type="dxa"/>
              <w:bottom w:w="40" w:type="dxa"/>
              <w:right w:w="20" w:type="dxa"/>
            </w:tcMar>
            <w:vAlign w:val="bottom"/>
          </w:tcPr>
          <w:p w14:paraId="7268DAF2" w14:textId="77777777" w:rsidR="005F762A" w:rsidRDefault="005F762A">
            <w:pPr>
              <w:jc w:val="right"/>
              <w:rPr>
                <w:rFonts w:ascii="宋体"/>
              </w:rPr>
            </w:pPr>
          </w:p>
        </w:tc>
      </w:tr>
      <w:tr w:rsidR="005F762A" w14:paraId="7268DAFA" w14:textId="77777777">
        <w:trPr>
          <w:jc w:val="center"/>
        </w:trPr>
        <w:tc>
          <w:tcPr>
            <w:tcW w:w="0" w:type="auto"/>
            <w:gridSpan w:val="3"/>
            <w:shd w:val="clear" w:color="auto" w:fill="FFFFFF"/>
            <w:tcMar>
              <w:top w:w="40" w:type="dxa"/>
              <w:left w:w="20" w:type="dxa"/>
              <w:bottom w:w="40" w:type="dxa"/>
              <w:right w:w="20" w:type="dxa"/>
            </w:tcMar>
            <w:vAlign w:val="bottom"/>
          </w:tcPr>
          <w:p w14:paraId="7268DAF4" w14:textId="77777777" w:rsidR="005F762A" w:rsidRDefault="00D74111">
            <w:pPr>
              <w:textAlignment w:val="bottom"/>
            </w:pPr>
            <w:r>
              <w:rPr>
                <w:rFonts w:ascii="Arial" w:eastAsia="宋体" w:hAnsi="Arial" w:cs="Arial"/>
                <w:color w:val="000000"/>
                <w:sz w:val="18"/>
                <w:szCs w:val="18"/>
              </w:rPr>
              <w:t>Long-term debt</w:t>
            </w:r>
          </w:p>
        </w:tc>
        <w:tc>
          <w:tcPr>
            <w:tcW w:w="0" w:type="auto"/>
            <w:gridSpan w:val="2"/>
            <w:shd w:val="clear" w:color="auto" w:fill="FFFFFF"/>
            <w:tcMar>
              <w:top w:w="40" w:type="dxa"/>
              <w:left w:w="20" w:type="dxa"/>
              <w:bottom w:w="40" w:type="dxa"/>
              <w:right w:w="0" w:type="dxa"/>
            </w:tcMar>
            <w:vAlign w:val="bottom"/>
          </w:tcPr>
          <w:p w14:paraId="7268DAF5" w14:textId="77777777" w:rsidR="005F762A" w:rsidRDefault="00D74111">
            <w:pPr>
              <w:jc w:val="right"/>
              <w:textAlignment w:val="bottom"/>
            </w:pPr>
            <w:r>
              <w:rPr>
                <w:rFonts w:ascii="Arial" w:eastAsia="宋体" w:hAnsi="Arial" w:cs="Arial"/>
                <w:color w:val="000000"/>
                <w:sz w:val="18"/>
                <w:szCs w:val="18"/>
              </w:rPr>
              <w:t>5,855 </w:t>
            </w:r>
          </w:p>
        </w:tc>
        <w:tc>
          <w:tcPr>
            <w:tcW w:w="0" w:type="auto"/>
            <w:shd w:val="clear" w:color="auto" w:fill="FFFFFF"/>
            <w:tcMar>
              <w:top w:w="40" w:type="dxa"/>
              <w:left w:w="0" w:type="dxa"/>
              <w:bottom w:w="40" w:type="dxa"/>
              <w:right w:w="20" w:type="dxa"/>
            </w:tcMar>
            <w:vAlign w:val="bottom"/>
          </w:tcPr>
          <w:p w14:paraId="7268DAF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AF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AF8" w14:textId="77777777" w:rsidR="005F762A" w:rsidRDefault="00D74111">
            <w:pPr>
              <w:jc w:val="right"/>
              <w:textAlignment w:val="bottom"/>
            </w:pPr>
            <w:r>
              <w:rPr>
                <w:rFonts w:ascii="Arial" w:eastAsia="宋体" w:hAnsi="Arial" w:cs="Arial"/>
                <w:color w:val="000000"/>
                <w:sz w:val="18"/>
                <w:szCs w:val="18"/>
              </w:rPr>
              <w:t>7,745 </w:t>
            </w:r>
          </w:p>
        </w:tc>
        <w:tc>
          <w:tcPr>
            <w:tcW w:w="0" w:type="auto"/>
            <w:shd w:val="clear" w:color="auto" w:fill="FFFFFF"/>
            <w:tcMar>
              <w:top w:w="40" w:type="dxa"/>
              <w:left w:w="0" w:type="dxa"/>
              <w:bottom w:w="40" w:type="dxa"/>
              <w:right w:w="20" w:type="dxa"/>
            </w:tcMar>
            <w:vAlign w:val="bottom"/>
          </w:tcPr>
          <w:p w14:paraId="7268DAF9" w14:textId="77777777" w:rsidR="005F762A" w:rsidRDefault="005F762A">
            <w:pPr>
              <w:jc w:val="right"/>
              <w:rPr>
                <w:rFonts w:ascii="宋体"/>
              </w:rPr>
            </w:pPr>
          </w:p>
        </w:tc>
      </w:tr>
      <w:tr w:rsidR="005F762A" w14:paraId="7268DB01" w14:textId="77777777">
        <w:trPr>
          <w:jc w:val="center"/>
        </w:trPr>
        <w:tc>
          <w:tcPr>
            <w:tcW w:w="0" w:type="auto"/>
            <w:gridSpan w:val="3"/>
            <w:shd w:val="clear" w:color="auto" w:fill="E2E2E2"/>
            <w:tcMar>
              <w:top w:w="40" w:type="dxa"/>
              <w:left w:w="20" w:type="dxa"/>
              <w:bottom w:w="40" w:type="dxa"/>
              <w:right w:w="20" w:type="dxa"/>
            </w:tcMar>
            <w:vAlign w:val="bottom"/>
          </w:tcPr>
          <w:p w14:paraId="7268DAFB" w14:textId="77777777" w:rsidR="005F762A" w:rsidRDefault="00D74111">
            <w:pPr>
              <w:textAlignment w:val="bottom"/>
            </w:pPr>
            <w:r>
              <w:rPr>
                <w:rFonts w:ascii="Arial" w:eastAsia="宋体" w:hAnsi="Arial" w:cs="Arial"/>
                <w:color w:val="000000"/>
                <w:sz w:val="18"/>
                <w:szCs w:val="18"/>
              </w:rPr>
              <w:t>Other liabilities</w:t>
            </w:r>
          </w:p>
        </w:tc>
        <w:tc>
          <w:tcPr>
            <w:tcW w:w="0" w:type="auto"/>
            <w:gridSpan w:val="2"/>
            <w:shd w:val="clear" w:color="auto" w:fill="E2E2E2"/>
            <w:tcMar>
              <w:top w:w="40" w:type="dxa"/>
              <w:left w:w="20" w:type="dxa"/>
              <w:bottom w:w="40" w:type="dxa"/>
              <w:right w:w="0" w:type="dxa"/>
            </w:tcMar>
            <w:vAlign w:val="bottom"/>
          </w:tcPr>
          <w:p w14:paraId="7268DAFC" w14:textId="77777777" w:rsidR="005F762A" w:rsidRDefault="00D74111">
            <w:pPr>
              <w:jc w:val="right"/>
              <w:textAlignment w:val="bottom"/>
            </w:pPr>
            <w:r>
              <w:rPr>
                <w:rFonts w:ascii="Arial" w:eastAsia="宋体" w:hAnsi="Arial" w:cs="Arial"/>
                <w:color w:val="000000"/>
                <w:sz w:val="18"/>
                <w:szCs w:val="18"/>
              </w:rPr>
              <w:t>1,251 </w:t>
            </w:r>
          </w:p>
        </w:tc>
        <w:tc>
          <w:tcPr>
            <w:tcW w:w="0" w:type="auto"/>
            <w:shd w:val="clear" w:color="auto" w:fill="E2E2E2"/>
            <w:tcMar>
              <w:top w:w="40" w:type="dxa"/>
              <w:left w:w="0" w:type="dxa"/>
              <w:bottom w:w="40" w:type="dxa"/>
              <w:right w:w="20" w:type="dxa"/>
            </w:tcMar>
            <w:vAlign w:val="bottom"/>
          </w:tcPr>
          <w:p w14:paraId="7268DAF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AF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AFF" w14:textId="77777777" w:rsidR="005F762A" w:rsidRDefault="00D74111">
            <w:pPr>
              <w:jc w:val="right"/>
              <w:textAlignment w:val="bottom"/>
            </w:pPr>
            <w:r>
              <w:rPr>
                <w:rFonts w:ascii="Arial" w:eastAsia="宋体" w:hAnsi="Arial" w:cs="Arial"/>
                <w:color w:val="000000"/>
                <w:sz w:val="18"/>
                <w:szCs w:val="18"/>
              </w:rPr>
              <w:t>1,263 </w:t>
            </w:r>
          </w:p>
        </w:tc>
        <w:tc>
          <w:tcPr>
            <w:tcW w:w="0" w:type="auto"/>
            <w:shd w:val="clear" w:color="auto" w:fill="E2E2E2"/>
            <w:tcMar>
              <w:top w:w="40" w:type="dxa"/>
              <w:left w:w="0" w:type="dxa"/>
              <w:bottom w:w="40" w:type="dxa"/>
              <w:right w:w="20" w:type="dxa"/>
            </w:tcMar>
            <w:vAlign w:val="bottom"/>
          </w:tcPr>
          <w:p w14:paraId="7268DB00" w14:textId="77777777" w:rsidR="005F762A" w:rsidRDefault="005F762A">
            <w:pPr>
              <w:jc w:val="right"/>
              <w:rPr>
                <w:rFonts w:ascii="宋体"/>
              </w:rPr>
            </w:pPr>
          </w:p>
        </w:tc>
      </w:tr>
      <w:tr w:rsidR="005F762A" w14:paraId="7268DB06" w14:textId="77777777">
        <w:trPr>
          <w:jc w:val="center"/>
          <w:hidden/>
        </w:trPr>
        <w:tc>
          <w:tcPr>
            <w:tcW w:w="0" w:type="auto"/>
            <w:gridSpan w:val="3"/>
            <w:shd w:val="clear" w:color="auto" w:fill="auto"/>
          </w:tcPr>
          <w:p w14:paraId="7268DB02" w14:textId="77777777" w:rsidR="005F762A" w:rsidRDefault="005F762A">
            <w:pPr>
              <w:rPr>
                <w:rFonts w:ascii="宋体"/>
                <w:vanish/>
              </w:rPr>
            </w:pPr>
          </w:p>
        </w:tc>
        <w:tc>
          <w:tcPr>
            <w:tcW w:w="0" w:type="auto"/>
            <w:gridSpan w:val="3"/>
            <w:shd w:val="clear" w:color="auto" w:fill="auto"/>
          </w:tcPr>
          <w:p w14:paraId="7268DB03" w14:textId="77777777" w:rsidR="005F762A" w:rsidRDefault="005F762A">
            <w:pPr>
              <w:rPr>
                <w:rFonts w:ascii="宋体"/>
                <w:vanish/>
              </w:rPr>
            </w:pPr>
          </w:p>
        </w:tc>
        <w:tc>
          <w:tcPr>
            <w:tcW w:w="0" w:type="auto"/>
            <w:gridSpan w:val="3"/>
            <w:shd w:val="clear" w:color="auto" w:fill="auto"/>
          </w:tcPr>
          <w:p w14:paraId="7268DB04" w14:textId="77777777" w:rsidR="005F762A" w:rsidRDefault="005F762A">
            <w:pPr>
              <w:rPr>
                <w:rFonts w:ascii="宋体"/>
                <w:vanish/>
              </w:rPr>
            </w:pPr>
          </w:p>
        </w:tc>
        <w:tc>
          <w:tcPr>
            <w:tcW w:w="0" w:type="auto"/>
            <w:gridSpan w:val="3"/>
            <w:shd w:val="clear" w:color="auto" w:fill="auto"/>
          </w:tcPr>
          <w:p w14:paraId="7268DB05" w14:textId="77777777" w:rsidR="005F762A" w:rsidRDefault="005F762A">
            <w:pPr>
              <w:rPr>
                <w:rFonts w:ascii="宋体"/>
                <w:vanish/>
              </w:rPr>
            </w:pPr>
          </w:p>
        </w:tc>
      </w:tr>
      <w:tr w:rsidR="005F762A" w14:paraId="7268DB0B" w14:textId="77777777">
        <w:trPr>
          <w:jc w:val="center"/>
          <w:hidden/>
        </w:trPr>
        <w:tc>
          <w:tcPr>
            <w:tcW w:w="0" w:type="auto"/>
            <w:gridSpan w:val="3"/>
            <w:shd w:val="clear" w:color="auto" w:fill="auto"/>
          </w:tcPr>
          <w:p w14:paraId="7268DB07" w14:textId="77777777" w:rsidR="005F762A" w:rsidRDefault="005F762A">
            <w:pPr>
              <w:rPr>
                <w:rFonts w:ascii="宋体"/>
                <w:vanish/>
              </w:rPr>
            </w:pPr>
          </w:p>
        </w:tc>
        <w:tc>
          <w:tcPr>
            <w:tcW w:w="0" w:type="auto"/>
            <w:gridSpan w:val="3"/>
            <w:shd w:val="clear" w:color="auto" w:fill="auto"/>
          </w:tcPr>
          <w:p w14:paraId="7268DB08" w14:textId="77777777" w:rsidR="005F762A" w:rsidRDefault="005F762A">
            <w:pPr>
              <w:rPr>
                <w:rFonts w:ascii="宋体"/>
                <w:vanish/>
              </w:rPr>
            </w:pPr>
          </w:p>
        </w:tc>
        <w:tc>
          <w:tcPr>
            <w:tcW w:w="0" w:type="auto"/>
            <w:gridSpan w:val="3"/>
            <w:shd w:val="clear" w:color="auto" w:fill="auto"/>
          </w:tcPr>
          <w:p w14:paraId="7268DB09" w14:textId="77777777" w:rsidR="005F762A" w:rsidRDefault="005F762A">
            <w:pPr>
              <w:rPr>
                <w:rFonts w:ascii="宋体"/>
                <w:vanish/>
              </w:rPr>
            </w:pPr>
          </w:p>
        </w:tc>
        <w:tc>
          <w:tcPr>
            <w:tcW w:w="0" w:type="auto"/>
            <w:gridSpan w:val="3"/>
            <w:shd w:val="clear" w:color="auto" w:fill="auto"/>
          </w:tcPr>
          <w:p w14:paraId="7268DB0A" w14:textId="77777777" w:rsidR="005F762A" w:rsidRDefault="005F762A">
            <w:pPr>
              <w:rPr>
                <w:rFonts w:ascii="宋体"/>
                <w:vanish/>
              </w:rPr>
            </w:pPr>
          </w:p>
        </w:tc>
      </w:tr>
      <w:tr w:rsidR="005F762A" w14:paraId="7268DB12" w14:textId="77777777">
        <w:trPr>
          <w:jc w:val="center"/>
        </w:trPr>
        <w:tc>
          <w:tcPr>
            <w:tcW w:w="0" w:type="auto"/>
            <w:gridSpan w:val="3"/>
            <w:shd w:val="clear" w:color="auto" w:fill="FFFFFF"/>
            <w:tcMar>
              <w:top w:w="40" w:type="dxa"/>
              <w:left w:w="965" w:type="dxa"/>
              <w:bottom w:w="40" w:type="dxa"/>
              <w:right w:w="20" w:type="dxa"/>
            </w:tcMar>
            <w:vAlign w:val="bottom"/>
          </w:tcPr>
          <w:p w14:paraId="7268DB0C" w14:textId="77777777" w:rsidR="005F762A" w:rsidRDefault="00D74111">
            <w:pPr>
              <w:textAlignment w:val="bottom"/>
            </w:pPr>
            <w:r>
              <w:rPr>
                <w:rFonts w:ascii="Arial" w:eastAsia="宋体" w:hAnsi="Arial" w:cs="Arial"/>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0D" w14:textId="77777777" w:rsidR="005F762A" w:rsidRDefault="00D74111">
            <w:pPr>
              <w:jc w:val="right"/>
              <w:textAlignment w:val="bottom"/>
            </w:pPr>
            <w:r>
              <w:rPr>
                <w:rFonts w:ascii="Arial" w:eastAsia="宋体" w:hAnsi="Arial" w:cs="Arial"/>
                <w:color w:val="000000"/>
                <w:sz w:val="18"/>
                <w:szCs w:val="18"/>
              </w:rPr>
              <w:t>14,961 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0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0F"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10" w14:textId="77777777" w:rsidR="005F762A" w:rsidRDefault="00D74111">
            <w:pPr>
              <w:jc w:val="right"/>
              <w:textAlignment w:val="bottom"/>
            </w:pPr>
            <w:r>
              <w:rPr>
                <w:rFonts w:ascii="Arial" w:eastAsia="宋体" w:hAnsi="Arial" w:cs="Arial"/>
                <w:color w:val="000000"/>
                <w:sz w:val="18"/>
                <w:szCs w:val="18"/>
              </w:rPr>
              <w:t>15,749 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11" w14:textId="77777777" w:rsidR="005F762A" w:rsidRDefault="005F762A">
            <w:pPr>
              <w:jc w:val="right"/>
              <w:rPr>
                <w:rFonts w:ascii="宋体"/>
              </w:rPr>
            </w:pPr>
          </w:p>
        </w:tc>
      </w:tr>
      <w:tr w:rsidR="005F762A" w14:paraId="7268DB17" w14:textId="77777777">
        <w:trPr>
          <w:jc w:val="center"/>
        </w:trPr>
        <w:tc>
          <w:tcPr>
            <w:tcW w:w="0" w:type="auto"/>
            <w:gridSpan w:val="3"/>
            <w:shd w:val="clear" w:color="auto" w:fill="E2E2E2"/>
            <w:tcMar>
              <w:top w:w="40" w:type="dxa"/>
              <w:left w:w="20" w:type="dxa"/>
              <w:bottom w:w="40" w:type="dxa"/>
              <w:right w:w="20" w:type="dxa"/>
            </w:tcMar>
            <w:vAlign w:val="bottom"/>
          </w:tcPr>
          <w:p w14:paraId="7268DB13" w14:textId="77777777" w:rsidR="005F762A" w:rsidRDefault="00D74111">
            <w:pPr>
              <w:textAlignment w:val="bottom"/>
            </w:pPr>
            <w:r>
              <w:rPr>
                <w:rFonts w:ascii="Arial" w:eastAsia="宋体" w:hAnsi="Arial" w:cs="Arial"/>
                <w:color w:val="000000"/>
                <w:sz w:val="18"/>
                <w:szCs w:val="18"/>
              </w:rPr>
              <w:t>Commitments and Contingencies (Note 11)</w:t>
            </w:r>
          </w:p>
        </w:tc>
        <w:tc>
          <w:tcPr>
            <w:tcW w:w="0" w:type="auto"/>
            <w:gridSpan w:val="3"/>
            <w:shd w:val="clear" w:color="auto" w:fill="E2E2E2"/>
            <w:tcMar>
              <w:top w:w="0" w:type="dxa"/>
              <w:left w:w="20" w:type="dxa"/>
              <w:bottom w:w="0" w:type="dxa"/>
              <w:right w:w="20" w:type="dxa"/>
            </w:tcMar>
          </w:tcPr>
          <w:p w14:paraId="7268DB1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B1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B16" w14:textId="77777777" w:rsidR="005F762A" w:rsidRDefault="005F762A">
            <w:pPr>
              <w:rPr>
                <w:rFonts w:ascii="宋体"/>
              </w:rPr>
            </w:pPr>
          </w:p>
        </w:tc>
      </w:tr>
      <w:tr w:rsidR="005F762A" w14:paraId="7268DB1C" w14:textId="77777777">
        <w:trPr>
          <w:jc w:val="center"/>
        </w:trPr>
        <w:tc>
          <w:tcPr>
            <w:tcW w:w="0" w:type="auto"/>
            <w:gridSpan w:val="3"/>
            <w:shd w:val="clear" w:color="auto" w:fill="FFFFFF"/>
            <w:tcMar>
              <w:top w:w="40" w:type="dxa"/>
              <w:left w:w="20" w:type="dxa"/>
              <w:bottom w:w="40" w:type="dxa"/>
              <w:right w:w="20" w:type="dxa"/>
            </w:tcMar>
            <w:vAlign w:val="bottom"/>
          </w:tcPr>
          <w:p w14:paraId="7268DB18" w14:textId="77777777" w:rsidR="005F762A" w:rsidRDefault="00D74111">
            <w:pPr>
              <w:textAlignment w:val="bottom"/>
            </w:pPr>
            <w:r>
              <w:rPr>
                <w:rFonts w:ascii="Arial" w:eastAsia="宋体" w:hAnsi="Arial" w:cs="Arial"/>
                <w:color w:val="000000"/>
                <w:sz w:val="18"/>
                <w:szCs w:val="18"/>
              </w:rPr>
              <w:t>Stockholders’ equity:</w:t>
            </w:r>
          </w:p>
        </w:tc>
        <w:tc>
          <w:tcPr>
            <w:tcW w:w="0" w:type="auto"/>
            <w:gridSpan w:val="3"/>
            <w:shd w:val="clear" w:color="auto" w:fill="FFFFFF"/>
            <w:tcMar>
              <w:top w:w="0" w:type="dxa"/>
              <w:left w:w="20" w:type="dxa"/>
              <w:bottom w:w="0" w:type="dxa"/>
              <w:right w:w="20" w:type="dxa"/>
            </w:tcMar>
          </w:tcPr>
          <w:p w14:paraId="7268DB1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B1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B1B" w14:textId="77777777" w:rsidR="005F762A" w:rsidRDefault="005F762A">
            <w:pPr>
              <w:rPr>
                <w:rFonts w:ascii="宋体"/>
              </w:rPr>
            </w:pPr>
          </w:p>
        </w:tc>
      </w:tr>
      <w:tr w:rsidR="005F762A" w14:paraId="7268DB23" w14:textId="77777777">
        <w:trPr>
          <w:jc w:val="center"/>
        </w:trPr>
        <w:tc>
          <w:tcPr>
            <w:tcW w:w="0" w:type="auto"/>
            <w:gridSpan w:val="3"/>
            <w:shd w:val="clear" w:color="auto" w:fill="E2E2E2"/>
            <w:tcMar>
              <w:top w:w="40" w:type="dxa"/>
              <w:left w:w="20" w:type="dxa"/>
              <w:bottom w:w="40" w:type="dxa"/>
              <w:right w:w="20" w:type="dxa"/>
            </w:tcMar>
            <w:vAlign w:val="bottom"/>
          </w:tcPr>
          <w:p w14:paraId="7268DB1D" w14:textId="77777777" w:rsidR="005F762A" w:rsidRDefault="00D74111">
            <w:pPr>
              <w:textAlignment w:val="bottom"/>
            </w:pPr>
            <w:r>
              <w:rPr>
                <w:rFonts w:ascii="Arial" w:eastAsia="宋体" w:hAnsi="Arial" w:cs="Arial"/>
                <w:color w:val="000000"/>
                <w:sz w:val="18"/>
                <w:szCs w:val="18"/>
              </w:rPr>
              <w:t>Common stock, $0.001 par value; 3,580 shares authorized; 681 and 684 shares outstanding</w:t>
            </w:r>
          </w:p>
        </w:tc>
        <w:tc>
          <w:tcPr>
            <w:tcW w:w="0" w:type="auto"/>
            <w:gridSpan w:val="2"/>
            <w:shd w:val="clear" w:color="auto" w:fill="E2E2E2"/>
            <w:tcMar>
              <w:top w:w="40" w:type="dxa"/>
              <w:left w:w="20" w:type="dxa"/>
              <w:bottom w:w="40" w:type="dxa"/>
              <w:right w:w="0" w:type="dxa"/>
            </w:tcMar>
            <w:vAlign w:val="bottom"/>
          </w:tcPr>
          <w:p w14:paraId="7268DB1E"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7268DB1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2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21"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7268DB22" w14:textId="77777777" w:rsidR="005F762A" w:rsidRDefault="005F762A">
            <w:pPr>
              <w:jc w:val="right"/>
              <w:rPr>
                <w:rFonts w:ascii="宋体"/>
              </w:rPr>
            </w:pPr>
          </w:p>
        </w:tc>
      </w:tr>
      <w:tr w:rsidR="005F762A" w14:paraId="7268DB2A" w14:textId="77777777">
        <w:trPr>
          <w:jc w:val="center"/>
        </w:trPr>
        <w:tc>
          <w:tcPr>
            <w:tcW w:w="0" w:type="auto"/>
            <w:gridSpan w:val="3"/>
            <w:shd w:val="clear" w:color="auto" w:fill="FFFFFF"/>
            <w:tcMar>
              <w:top w:w="40" w:type="dxa"/>
              <w:left w:w="20" w:type="dxa"/>
              <w:bottom w:w="40" w:type="dxa"/>
              <w:right w:w="20" w:type="dxa"/>
            </w:tcMar>
            <w:vAlign w:val="bottom"/>
          </w:tcPr>
          <w:p w14:paraId="7268DB24" w14:textId="77777777" w:rsidR="005F762A" w:rsidRDefault="00D74111">
            <w:pPr>
              <w:textAlignment w:val="bottom"/>
            </w:pPr>
            <w:r>
              <w:rPr>
                <w:rFonts w:ascii="Arial" w:eastAsia="宋体" w:hAnsi="Arial" w:cs="Arial"/>
                <w:color w:val="000000"/>
                <w:sz w:val="18"/>
                <w:szCs w:val="18"/>
              </w:rPr>
              <w:t>Additional paid-in capital</w:t>
            </w:r>
          </w:p>
        </w:tc>
        <w:tc>
          <w:tcPr>
            <w:tcW w:w="0" w:type="auto"/>
            <w:gridSpan w:val="2"/>
            <w:shd w:val="clear" w:color="auto" w:fill="FFFFFF"/>
            <w:tcMar>
              <w:top w:w="40" w:type="dxa"/>
              <w:left w:w="20" w:type="dxa"/>
              <w:bottom w:w="40" w:type="dxa"/>
              <w:right w:w="0" w:type="dxa"/>
            </w:tcMar>
            <w:vAlign w:val="bottom"/>
          </w:tcPr>
          <w:p w14:paraId="7268DB25" w14:textId="77777777" w:rsidR="005F762A" w:rsidRDefault="00D74111">
            <w:pPr>
              <w:jc w:val="right"/>
              <w:textAlignment w:val="bottom"/>
            </w:pPr>
            <w:r>
              <w:rPr>
                <w:rFonts w:ascii="Arial" w:eastAsia="宋体" w:hAnsi="Arial" w:cs="Arial"/>
                <w:color w:val="000000"/>
                <w:sz w:val="18"/>
                <w:szCs w:val="18"/>
              </w:rPr>
              <w:t>16,546 </w:t>
            </w:r>
          </w:p>
        </w:tc>
        <w:tc>
          <w:tcPr>
            <w:tcW w:w="0" w:type="auto"/>
            <w:shd w:val="clear" w:color="auto" w:fill="FFFFFF"/>
            <w:tcMar>
              <w:top w:w="40" w:type="dxa"/>
              <w:left w:w="0" w:type="dxa"/>
              <w:bottom w:w="40" w:type="dxa"/>
              <w:right w:w="20" w:type="dxa"/>
            </w:tcMar>
            <w:vAlign w:val="bottom"/>
          </w:tcPr>
          <w:p w14:paraId="7268DB2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2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28" w14:textId="77777777" w:rsidR="005F762A" w:rsidRDefault="00D74111">
            <w:pPr>
              <w:jc w:val="right"/>
              <w:textAlignment w:val="bottom"/>
            </w:pPr>
            <w:r>
              <w:rPr>
                <w:rFonts w:ascii="Arial" w:eastAsia="宋体" w:hAnsi="Arial" w:cs="Arial"/>
                <w:color w:val="000000"/>
                <w:sz w:val="18"/>
                <w:szCs w:val="18"/>
              </w:rPr>
              <w:t>16,497 </w:t>
            </w:r>
          </w:p>
        </w:tc>
        <w:tc>
          <w:tcPr>
            <w:tcW w:w="0" w:type="auto"/>
            <w:shd w:val="clear" w:color="auto" w:fill="FFFFFF"/>
            <w:tcMar>
              <w:top w:w="40" w:type="dxa"/>
              <w:left w:w="0" w:type="dxa"/>
              <w:bottom w:w="40" w:type="dxa"/>
              <w:right w:w="20" w:type="dxa"/>
            </w:tcMar>
            <w:vAlign w:val="bottom"/>
          </w:tcPr>
          <w:p w14:paraId="7268DB29" w14:textId="77777777" w:rsidR="005F762A" w:rsidRDefault="005F762A">
            <w:pPr>
              <w:jc w:val="right"/>
              <w:rPr>
                <w:rFonts w:ascii="宋体"/>
              </w:rPr>
            </w:pPr>
          </w:p>
        </w:tc>
      </w:tr>
      <w:tr w:rsidR="005F762A" w14:paraId="7268DB31" w14:textId="77777777">
        <w:trPr>
          <w:jc w:val="center"/>
        </w:trPr>
        <w:tc>
          <w:tcPr>
            <w:tcW w:w="0" w:type="auto"/>
            <w:gridSpan w:val="3"/>
            <w:shd w:val="clear" w:color="auto" w:fill="E2E2E2"/>
            <w:tcMar>
              <w:top w:w="40" w:type="dxa"/>
              <w:left w:w="20" w:type="dxa"/>
              <w:bottom w:w="40" w:type="dxa"/>
              <w:right w:w="20" w:type="dxa"/>
            </w:tcMar>
            <w:vAlign w:val="bottom"/>
          </w:tcPr>
          <w:p w14:paraId="7268DB2B" w14:textId="77777777" w:rsidR="005F762A" w:rsidRDefault="00D74111">
            <w:pPr>
              <w:textAlignment w:val="bottom"/>
            </w:pPr>
            <w:r>
              <w:rPr>
                <w:rFonts w:ascii="Arial" w:eastAsia="宋体" w:hAnsi="Arial" w:cs="Arial"/>
                <w:color w:val="000000"/>
                <w:sz w:val="18"/>
                <w:szCs w:val="18"/>
              </w:rPr>
              <w:t>Treasury stock at cost, 1,027 and 1,021 shares</w:t>
            </w:r>
          </w:p>
        </w:tc>
        <w:tc>
          <w:tcPr>
            <w:tcW w:w="0" w:type="auto"/>
            <w:gridSpan w:val="2"/>
            <w:shd w:val="clear" w:color="auto" w:fill="E2E2E2"/>
            <w:tcMar>
              <w:top w:w="40" w:type="dxa"/>
              <w:left w:w="20" w:type="dxa"/>
              <w:bottom w:w="40" w:type="dxa"/>
              <w:right w:w="0" w:type="dxa"/>
            </w:tcMar>
            <w:vAlign w:val="bottom"/>
          </w:tcPr>
          <w:p w14:paraId="7268DB2C" w14:textId="77777777" w:rsidR="005F762A" w:rsidRDefault="00D74111">
            <w:pPr>
              <w:jc w:val="right"/>
              <w:textAlignment w:val="bottom"/>
            </w:pPr>
            <w:r>
              <w:rPr>
                <w:rFonts w:ascii="Arial" w:eastAsia="宋体" w:hAnsi="Arial" w:cs="Arial"/>
                <w:color w:val="000000"/>
                <w:sz w:val="18"/>
                <w:szCs w:val="18"/>
              </w:rPr>
              <w:t>(36,807)</w:t>
            </w:r>
          </w:p>
        </w:tc>
        <w:tc>
          <w:tcPr>
            <w:tcW w:w="0" w:type="auto"/>
            <w:shd w:val="clear" w:color="auto" w:fill="E2E2E2"/>
            <w:tcMar>
              <w:top w:w="40" w:type="dxa"/>
              <w:left w:w="0" w:type="dxa"/>
              <w:bottom w:w="40" w:type="dxa"/>
              <w:right w:w="20" w:type="dxa"/>
            </w:tcMar>
            <w:vAlign w:val="bottom"/>
          </w:tcPr>
          <w:p w14:paraId="7268DB2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2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2F" w14:textId="77777777" w:rsidR="005F762A" w:rsidRDefault="00D74111">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7268DB30" w14:textId="77777777" w:rsidR="005F762A" w:rsidRDefault="005F762A">
            <w:pPr>
              <w:jc w:val="right"/>
              <w:rPr>
                <w:rFonts w:ascii="宋体"/>
              </w:rPr>
            </w:pPr>
          </w:p>
        </w:tc>
      </w:tr>
      <w:tr w:rsidR="005F762A" w14:paraId="7268DB38" w14:textId="77777777">
        <w:trPr>
          <w:jc w:val="center"/>
        </w:trPr>
        <w:tc>
          <w:tcPr>
            <w:tcW w:w="0" w:type="auto"/>
            <w:gridSpan w:val="3"/>
            <w:shd w:val="clear" w:color="auto" w:fill="FFFFFF"/>
            <w:tcMar>
              <w:top w:w="40" w:type="dxa"/>
              <w:left w:w="20" w:type="dxa"/>
              <w:bottom w:w="40" w:type="dxa"/>
              <w:right w:w="20" w:type="dxa"/>
            </w:tcMar>
            <w:vAlign w:val="bottom"/>
          </w:tcPr>
          <w:p w14:paraId="7268DB32" w14:textId="77777777" w:rsidR="005F762A" w:rsidRDefault="00D74111">
            <w:pPr>
              <w:textAlignment w:val="bottom"/>
            </w:pPr>
            <w:r>
              <w:rPr>
                <w:rFonts w:ascii="Arial" w:eastAsia="宋体" w:hAnsi="Arial" w:cs="Arial"/>
                <w:color w:val="000000"/>
                <w:sz w:val="18"/>
                <w:szCs w:val="18"/>
              </w:rPr>
              <w:t>Retained earnings</w:t>
            </w:r>
          </w:p>
        </w:tc>
        <w:tc>
          <w:tcPr>
            <w:tcW w:w="0" w:type="auto"/>
            <w:gridSpan w:val="2"/>
            <w:shd w:val="clear" w:color="auto" w:fill="FFFFFF"/>
            <w:tcMar>
              <w:top w:w="40" w:type="dxa"/>
              <w:left w:w="20" w:type="dxa"/>
              <w:bottom w:w="40" w:type="dxa"/>
              <w:right w:w="0" w:type="dxa"/>
            </w:tcMar>
            <w:vAlign w:val="bottom"/>
          </w:tcPr>
          <w:p w14:paraId="7268DB33" w14:textId="77777777" w:rsidR="005F762A" w:rsidRDefault="00D74111">
            <w:pPr>
              <w:jc w:val="right"/>
              <w:textAlignment w:val="bottom"/>
            </w:pPr>
            <w:r>
              <w:rPr>
                <w:rFonts w:ascii="Arial" w:eastAsia="宋体" w:hAnsi="Arial" w:cs="Arial"/>
                <w:color w:val="000000"/>
                <w:sz w:val="18"/>
                <w:szCs w:val="18"/>
              </w:rPr>
              <w:t>23,476 </w:t>
            </w:r>
          </w:p>
        </w:tc>
        <w:tc>
          <w:tcPr>
            <w:tcW w:w="0" w:type="auto"/>
            <w:shd w:val="clear" w:color="auto" w:fill="FFFFFF"/>
            <w:tcMar>
              <w:top w:w="40" w:type="dxa"/>
              <w:left w:w="0" w:type="dxa"/>
              <w:bottom w:w="40" w:type="dxa"/>
              <w:right w:w="20" w:type="dxa"/>
            </w:tcMar>
            <w:vAlign w:val="bottom"/>
          </w:tcPr>
          <w:p w14:paraId="7268DB3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3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36" w14:textId="77777777" w:rsidR="005F762A" w:rsidRDefault="00D74111">
            <w:pPr>
              <w:jc w:val="right"/>
              <w:textAlignment w:val="bottom"/>
            </w:pPr>
            <w:r>
              <w:rPr>
                <w:rFonts w:ascii="Arial" w:eastAsia="宋体" w:hAnsi="Arial" w:cs="Arial"/>
                <w:color w:val="000000"/>
                <w:sz w:val="18"/>
                <w:szCs w:val="18"/>
              </w:rPr>
              <w:t>22,961 </w:t>
            </w:r>
          </w:p>
        </w:tc>
        <w:tc>
          <w:tcPr>
            <w:tcW w:w="0" w:type="auto"/>
            <w:shd w:val="clear" w:color="auto" w:fill="FFFFFF"/>
            <w:tcMar>
              <w:top w:w="40" w:type="dxa"/>
              <w:left w:w="0" w:type="dxa"/>
              <w:bottom w:w="40" w:type="dxa"/>
              <w:right w:w="20" w:type="dxa"/>
            </w:tcMar>
            <w:vAlign w:val="bottom"/>
          </w:tcPr>
          <w:p w14:paraId="7268DB37" w14:textId="77777777" w:rsidR="005F762A" w:rsidRDefault="005F762A">
            <w:pPr>
              <w:jc w:val="right"/>
              <w:rPr>
                <w:rFonts w:ascii="宋体"/>
              </w:rPr>
            </w:pPr>
          </w:p>
        </w:tc>
      </w:tr>
      <w:tr w:rsidR="005F762A" w14:paraId="7268DB3F" w14:textId="77777777">
        <w:trPr>
          <w:jc w:val="center"/>
        </w:trPr>
        <w:tc>
          <w:tcPr>
            <w:tcW w:w="0" w:type="auto"/>
            <w:gridSpan w:val="3"/>
            <w:shd w:val="clear" w:color="auto" w:fill="E2E2E2"/>
            <w:tcMar>
              <w:top w:w="40" w:type="dxa"/>
              <w:left w:w="20" w:type="dxa"/>
              <w:bottom w:w="40" w:type="dxa"/>
              <w:right w:w="20" w:type="dxa"/>
            </w:tcMar>
            <w:vAlign w:val="bottom"/>
          </w:tcPr>
          <w:p w14:paraId="7268DB39" w14:textId="77777777" w:rsidR="005F762A" w:rsidRDefault="00D74111">
            <w:pPr>
              <w:textAlignment w:val="bottom"/>
            </w:pPr>
            <w:r>
              <w:rPr>
                <w:rFonts w:ascii="Arial" w:eastAsia="宋体" w:hAnsi="Arial" w:cs="Arial"/>
                <w:color w:val="000000"/>
                <w:sz w:val="18"/>
                <w:szCs w:val="18"/>
              </w:rPr>
              <w:t>Accumulated other comprehensive income</w:t>
            </w:r>
          </w:p>
        </w:tc>
        <w:tc>
          <w:tcPr>
            <w:tcW w:w="0" w:type="auto"/>
            <w:gridSpan w:val="2"/>
            <w:shd w:val="clear" w:color="auto" w:fill="E2E2E2"/>
            <w:tcMar>
              <w:top w:w="40" w:type="dxa"/>
              <w:left w:w="20" w:type="dxa"/>
              <w:bottom w:w="40" w:type="dxa"/>
              <w:right w:w="0" w:type="dxa"/>
            </w:tcMar>
            <w:vAlign w:val="bottom"/>
          </w:tcPr>
          <w:p w14:paraId="7268DB3A" w14:textId="77777777" w:rsidR="005F762A" w:rsidRDefault="00D74111">
            <w:pPr>
              <w:jc w:val="right"/>
              <w:textAlignment w:val="bottom"/>
            </w:pPr>
            <w:r>
              <w:rPr>
                <w:rFonts w:ascii="Arial" w:eastAsia="宋体" w:hAnsi="Arial" w:cs="Arial"/>
                <w:color w:val="000000"/>
                <w:sz w:val="18"/>
                <w:szCs w:val="18"/>
              </w:rPr>
              <w:t>553 </w:t>
            </w:r>
          </w:p>
        </w:tc>
        <w:tc>
          <w:tcPr>
            <w:tcW w:w="0" w:type="auto"/>
            <w:shd w:val="clear" w:color="auto" w:fill="E2E2E2"/>
            <w:tcMar>
              <w:top w:w="40" w:type="dxa"/>
              <w:left w:w="0" w:type="dxa"/>
              <w:bottom w:w="40" w:type="dxa"/>
              <w:right w:w="20" w:type="dxa"/>
            </w:tcMar>
            <w:vAlign w:val="bottom"/>
          </w:tcPr>
          <w:p w14:paraId="7268DB3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3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3D" w14:textId="77777777" w:rsidR="005F762A" w:rsidRDefault="00D74111">
            <w:pPr>
              <w:jc w:val="right"/>
              <w:textAlignment w:val="bottom"/>
            </w:pPr>
            <w:r>
              <w:rPr>
                <w:rFonts w:ascii="Arial" w:eastAsia="宋体" w:hAnsi="Arial" w:cs="Arial"/>
                <w:color w:val="000000"/>
                <w:sz w:val="18"/>
                <w:szCs w:val="18"/>
              </w:rPr>
              <w:t>616 </w:t>
            </w:r>
          </w:p>
        </w:tc>
        <w:tc>
          <w:tcPr>
            <w:tcW w:w="0" w:type="auto"/>
            <w:shd w:val="clear" w:color="auto" w:fill="E2E2E2"/>
            <w:tcMar>
              <w:top w:w="40" w:type="dxa"/>
              <w:left w:w="0" w:type="dxa"/>
              <w:bottom w:w="40" w:type="dxa"/>
              <w:right w:w="20" w:type="dxa"/>
            </w:tcMar>
            <w:vAlign w:val="bottom"/>
          </w:tcPr>
          <w:p w14:paraId="7268DB3E" w14:textId="77777777" w:rsidR="005F762A" w:rsidRDefault="005F762A">
            <w:pPr>
              <w:jc w:val="right"/>
              <w:rPr>
                <w:rFonts w:ascii="宋体"/>
              </w:rPr>
            </w:pPr>
          </w:p>
        </w:tc>
      </w:tr>
      <w:tr w:rsidR="005F762A" w14:paraId="7268DB46" w14:textId="77777777">
        <w:trPr>
          <w:jc w:val="center"/>
        </w:trPr>
        <w:tc>
          <w:tcPr>
            <w:tcW w:w="0" w:type="auto"/>
            <w:gridSpan w:val="3"/>
            <w:shd w:val="clear" w:color="auto" w:fill="FFFFFF"/>
            <w:tcMar>
              <w:top w:w="40" w:type="dxa"/>
              <w:left w:w="965" w:type="dxa"/>
              <w:bottom w:w="40" w:type="dxa"/>
              <w:right w:w="20" w:type="dxa"/>
            </w:tcMar>
            <w:vAlign w:val="bottom"/>
          </w:tcPr>
          <w:p w14:paraId="7268DB40" w14:textId="77777777" w:rsidR="005F762A" w:rsidRDefault="00D74111">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41" w14:textId="77777777" w:rsidR="005F762A" w:rsidRDefault="00D74111">
            <w:pPr>
              <w:jc w:val="right"/>
              <w:textAlignment w:val="bottom"/>
            </w:pPr>
            <w:r>
              <w:rPr>
                <w:rFonts w:ascii="Arial" w:eastAsia="宋体" w:hAnsi="Arial" w:cs="Arial"/>
                <w:color w:val="000000"/>
                <w:sz w:val="18"/>
                <w:szCs w:val="18"/>
              </w:rPr>
              <w:t>3,770 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4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43"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44" w14:textId="77777777" w:rsidR="005F762A" w:rsidRDefault="00D74111">
            <w:pPr>
              <w:jc w:val="right"/>
              <w:textAlignment w:val="bottom"/>
            </w:pPr>
            <w:r>
              <w:rPr>
                <w:rFonts w:ascii="Arial" w:eastAsia="宋体" w:hAnsi="Arial" w:cs="Arial"/>
                <w:color w:val="000000"/>
                <w:sz w:val="18"/>
                <w:szCs w:val="18"/>
              </w:rPr>
              <w:t>3,561 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45" w14:textId="77777777" w:rsidR="005F762A" w:rsidRDefault="005F762A">
            <w:pPr>
              <w:jc w:val="right"/>
              <w:rPr>
                <w:rFonts w:ascii="宋体"/>
              </w:rPr>
            </w:pPr>
          </w:p>
        </w:tc>
      </w:tr>
      <w:tr w:rsidR="005F762A" w14:paraId="7268DB4F" w14:textId="77777777">
        <w:trPr>
          <w:jc w:val="center"/>
        </w:trPr>
        <w:tc>
          <w:tcPr>
            <w:tcW w:w="0" w:type="auto"/>
            <w:gridSpan w:val="3"/>
            <w:shd w:val="clear" w:color="auto" w:fill="E2E2E2"/>
            <w:tcMar>
              <w:top w:w="40" w:type="dxa"/>
              <w:left w:w="515" w:type="dxa"/>
              <w:bottom w:w="40" w:type="dxa"/>
              <w:right w:w="20" w:type="dxa"/>
            </w:tcMar>
            <w:vAlign w:val="bottom"/>
          </w:tcPr>
          <w:p w14:paraId="7268DB47" w14:textId="77777777" w:rsidR="005F762A" w:rsidRDefault="00D74111">
            <w:pPr>
              <w:textAlignment w:val="bottom"/>
            </w:pPr>
            <w:r>
              <w:rPr>
                <w:rFonts w:ascii="Arial" w:eastAsia="宋体" w:hAnsi="Arial" w:cs="Arial"/>
                <w:color w:val="000000"/>
                <w:sz w:val="18"/>
                <w:szCs w:val="18"/>
              </w:rPr>
              <w:t xml:space="preserve">Total liabilities and </w:t>
            </w:r>
            <w:r>
              <w:rPr>
                <w:rFonts w:ascii="Arial" w:eastAsia="宋体" w:hAnsi="Arial" w:cs="Arial"/>
                <w:color w:val="000000"/>
                <w:sz w:val="18"/>
                <w:szCs w:val="18"/>
              </w:rPr>
              <w:t>stockholders’ equity</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DB4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DB49" w14:textId="77777777" w:rsidR="005F762A" w:rsidRDefault="00D74111">
            <w:pPr>
              <w:jc w:val="right"/>
              <w:textAlignment w:val="bottom"/>
            </w:pPr>
            <w:r>
              <w:rPr>
                <w:rFonts w:ascii="Arial" w:eastAsia="宋体" w:hAnsi="Arial" w:cs="Arial"/>
                <w:color w:val="000000"/>
                <w:sz w:val="18"/>
                <w:szCs w:val="18"/>
              </w:rPr>
              <w:t>18,731 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DB4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4B"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DB4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DB4D" w14:textId="77777777" w:rsidR="005F762A" w:rsidRDefault="00D74111">
            <w:pPr>
              <w:jc w:val="right"/>
              <w:textAlignment w:val="bottom"/>
            </w:pPr>
            <w:r>
              <w:rPr>
                <w:rFonts w:ascii="Arial" w:eastAsia="宋体" w:hAnsi="Arial" w:cs="Arial"/>
                <w:color w:val="000000"/>
                <w:sz w:val="18"/>
                <w:szCs w:val="18"/>
              </w:rPr>
              <w:t>19,310 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DB4E" w14:textId="77777777" w:rsidR="005F762A" w:rsidRDefault="005F762A">
            <w:pPr>
              <w:jc w:val="right"/>
              <w:rPr>
                <w:rFonts w:ascii="宋体"/>
              </w:rPr>
            </w:pPr>
          </w:p>
        </w:tc>
      </w:tr>
    </w:tbl>
    <w:p w14:paraId="7268DB50" w14:textId="77777777" w:rsidR="005F762A" w:rsidRDefault="005F762A">
      <w:pPr>
        <w:jc w:val="center"/>
      </w:pPr>
    </w:p>
    <w:p w14:paraId="7268DB51" w14:textId="77777777" w:rsidR="005F762A" w:rsidRDefault="00D74111">
      <w:pPr>
        <w:jc w:val="center"/>
      </w:pPr>
      <w:r>
        <w:rPr>
          <w:rFonts w:ascii="Arial" w:eastAsia="宋体" w:hAnsi="Arial" w:cs="Arial"/>
          <w:color w:val="000000"/>
          <w:sz w:val="18"/>
          <w:szCs w:val="18"/>
        </w:rPr>
        <w:t>The accompanying notes are an integral part of these condensed consolidated financial statements.</w:t>
      </w:r>
    </w:p>
    <w:p w14:paraId="7268DB52" w14:textId="77777777" w:rsidR="005F762A" w:rsidRDefault="005F762A">
      <w:pPr>
        <w:jc w:val="center"/>
      </w:pPr>
    </w:p>
    <w:p w14:paraId="7268DB53" w14:textId="77777777" w:rsidR="005F762A" w:rsidRDefault="00D74111">
      <w:pPr>
        <w:jc w:val="center"/>
      </w:pPr>
      <w:r>
        <w:rPr>
          <w:rFonts w:ascii="Arial" w:eastAsia="宋体" w:hAnsi="Arial" w:cs="Arial"/>
          <w:color w:val="000000"/>
          <w:sz w:val="20"/>
          <w:szCs w:val="20"/>
        </w:rPr>
        <w:t>2</w:t>
      </w:r>
    </w:p>
    <w:p w14:paraId="7268DB54" w14:textId="77777777" w:rsidR="005F762A" w:rsidRDefault="00D74111">
      <w:r>
        <w:pict w14:anchorId="72690141">
          <v:rect id="_x0000_i1026" style="width:415.3pt;height:1.5pt" o:hralign="center" o:hrstd="t" o:hr="t" fillcolor="#a0a0a0" stroked="f"/>
        </w:pict>
      </w:r>
    </w:p>
    <w:p w14:paraId="7268DB55" w14:textId="77777777" w:rsidR="005F762A" w:rsidRDefault="005F762A"/>
    <w:p w14:paraId="7268DB56" w14:textId="77777777" w:rsidR="005F762A" w:rsidRDefault="00D74111">
      <w:pPr>
        <w:jc w:val="center"/>
      </w:pPr>
      <w:r>
        <w:rPr>
          <w:rFonts w:ascii="Arial" w:eastAsia="宋体" w:hAnsi="Arial" w:cs="Arial"/>
          <w:b/>
          <w:bCs/>
          <w:color w:val="000000"/>
          <w:sz w:val="20"/>
          <w:szCs w:val="20"/>
        </w:rPr>
        <w:t xml:space="preserve">eBay Inc. </w:t>
      </w:r>
    </w:p>
    <w:p w14:paraId="7268DB57" w14:textId="77777777" w:rsidR="005F762A" w:rsidRDefault="00D74111">
      <w:pPr>
        <w:spacing w:before="80"/>
        <w:jc w:val="center"/>
      </w:pPr>
      <w:r>
        <w:rPr>
          <w:rFonts w:ascii="Arial" w:eastAsia="宋体" w:hAnsi="Arial" w:cs="Arial"/>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69"/>
        <w:gridCol w:w="39"/>
        <w:gridCol w:w="36"/>
        <w:gridCol w:w="46"/>
        <w:gridCol w:w="36"/>
        <w:gridCol w:w="36"/>
        <w:gridCol w:w="36"/>
        <w:gridCol w:w="36"/>
        <w:gridCol w:w="121"/>
        <w:gridCol w:w="869"/>
        <w:gridCol w:w="36"/>
        <w:gridCol w:w="36"/>
        <w:gridCol w:w="36"/>
        <w:gridCol w:w="36"/>
        <w:gridCol w:w="121"/>
        <w:gridCol w:w="871"/>
        <w:gridCol w:w="36"/>
      </w:tblGrid>
      <w:tr w:rsidR="005F762A" w14:paraId="7268DB6A" w14:textId="77777777">
        <w:trPr>
          <w:jc w:val="center"/>
        </w:trPr>
        <w:tc>
          <w:tcPr>
            <w:tcW w:w="50" w:type="pct"/>
            <w:shd w:val="clear" w:color="auto" w:fill="auto"/>
          </w:tcPr>
          <w:p w14:paraId="7268DB58" w14:textId="77777777" w:rsidR="005F762A" w:rsidRDefault="005F762A">
            <w:pPr>
              <w:rPr>
                <w:rFonts w:ascii="宋体"/>
              </w:rPr>
            </w:pPr>
          </w:p>
        </w:tc>
        <w:tc>
          <w:tcPr>
            <w:tcW w:w="3599" w:type="pct"/>
            <w:shd w:val="clear" w:color="auto" w:fill="auto"/>
          </w:tcPr>
          <w:p w14:paraId="7268DB59" w14:textId="77777777" w:rsidR="005F762A" w:rsidRDefault="005F762A">
            <w:pPr>
              <w:rPr>
                <w:rFonts w:ascii="宋体"/>
              </w:rPr>
            </w:pPr>
          </w:p>
        </w:tc>
        <w:tc>
          <w:tcPr>
            <w:tcW w:w="5" w:type="pct"/>
            <w:shd w:val="clear" w:color="auto" w:fill="auto"/>
          </w:tcPr>
          <w:p w14:paraId="7268DB5A" w14:textId="77777777" w:rsidR="005F762A" w:rsidRDefault="005F762A">
            <w:pPr>
              <w:rPr>
                <w:rFonts w:ascii="宋体"/>
              </w:rPr>
            </w:pPr>
          </w:p>
        </w:tc>
        <w:tc>
          <w:tcPr>
            <w:tcW w:w="0" w:type="auto"/>
            <w:shd w:val="clear" w:color="auto" w:fill="auto"/>
          </w:tcPr>
          <w:p w14:paraId="7268DB5B" w14:textId="77777777" w:rsidR="005F762A" w:rsidRDefault="005F762A">
            <w:pPr>
              <w:rPr>
                <w:rFonts w:ascii="宋体"/>
                <w:vanish/>
              </w:rPr>
            </w:pPr>
          </w:p>
        </w:tc>
        <w:tc>
          <w:tcPr>
            <w:tcW w:w="0" w:type="auto"/>
            <w:shd w:val="clear" w:color="auto" w:fill="auto"/>
          </w:tcPr>
          <w:p w14:paraId="7268DB5C" w14:textId="77777777" w:rsidR="005F762A" w:rsidRDefault="005F762A">
            <w:pPr>
              <w:rPr>
                <w:rFonts w:ascii="宋体"/>
                <w:vanish/>
              </w:rPr>
            </w:pPr>
          </w:p>
        </w:tc>
        <w:tc>
          <w:tcPr>
            <w:tcW w:w="0" w:type="auto"/>
            <w:shd w:val="clear" w:color="auto" w:fill="auto"/>
          </w:tcPr>
          <w:p w14:paraId="7268DB5D" w14:textId="77777777" w:rsidR="005F762A" w:rsidRDefault="005F762A">
            <w:pPr>
              <w:rPr>
                <w:rFonts w:ascii="宋体"/>
                <w:vanish/>
              </w:rPr>
            </w:pPr>
          </w:p>
        </w:tc>
        <w:tc>
          <w:tcPr>
            <w:tcW w:w="5" w:type="pct"/>
            <w:shd w:val="clear" w:color="auto" w:fill="auto"/>
          </w:tcPr>
          <w:p w14:paraId="7268DB5E" w14:textId="77777777" w:rsidR="005F762A" w:rsidRDefault="005F762A">
            <w:pPr>
              <w:rPr>
                <w:rFonts w:ascii="宋体"/>
              </w:rPr>
            </w:pPr>
          </w:p>
        </w:tc>
        <w:tc>
          <w:tcPr>
            <w:tcW w:w="26" w:type="pct"/>
            <w:shd w:val="clear" w:color="auto" w:fill="auto"/>
          </w:tcPr>
          <w:p w14:paraId="7268DB5F" w14:textId="77777777" w:rsidR="005F762A" w:rsidRDefault="005F762A">
            <w:pPr>
              <w:rPr>
                <w:rFonts w:ascii="宋体"/>
              </w:rPr>
            </w:pPr>
          </w:p>
        </w:tc>
        <w:tc>
          <w:tcPr>
            <w:tcW w:w="5" w:type="pct"/>
            <w:shd w:val="clear" w:color="auto" w:fill="auto"/>
          </w:tcPr>
          <w:p w14:paraId="7268DB60" w14:textId="77777777" w:rsidR="005F762A" w:rsidRDefault="005F762A">
            <w:pPr>
              <w:rPr>
                <w:rFonts w:ascii="宋体"/>
              </w:rPr>
            </w:pPr>
          </w:p>
        </w:tc>
        <w:tc>
          <w:tcPr>
            <w:tcW w:w="50" w:type="pct"/>
            <w:shd w:val="clear" w:color="auto" w:fill="auto"/>
          </w:tcPr>
          <w:p w14:paraId="7268DB61" w14:textId="77777777" w:rsidR="005F762A" w:rsidRDefault="005F762A">
            <w:pPr>
              <w:rPr>
                <w:rFonts w:ascii="宋体"/>
              </w:rPr>
            </w:pPr>
          </w:p>
        </w:tc>
        <w:tc>
          <w:tcPr>
            <w:tcW w:w="580" w:type="pct"/>
            <w:shd w:val="clear" w:color="auto" w:fill="auto"/>
          </w:tcPr>
          <w:p w14:paraId="7268DB62" w14:textId="77777777" w:rsidR="005F762A" w:rsidRDefault="005F762A">
            <w:pPr>
              <w:rPr>
                <w:rFonts w:ascii="宋体"/>
              </w:rPr>
            </w:pPr>
          </w:p>
        </w:tc>
        <w:tc>
          <w:tcPr>
            <w:tcW w:w="5" w:type="pct"/>
            <w:shd w:val="clear" w:color="auto" w:fill="auto"/>
          </w:tcPr>
          <w:p w14:paraId="7268DB63" w14:textId="77777777" w:rsidR="005F762A" w:rsidRDefault="005F762A">
            <w:pPr>
              <w:rPr>
                <w:rFonts w:ascii="宋体"/>
              </w:rPr>
            </w:pPr>
          </w:p>
        </w:tc>
        <w:tc>
          <w:tcPr>
            <w:tcW w:w="5" w:type="pct"/>
            <w:shd w:val="clear" w:color="auto" w:fill="auto"/>
          </w:tcPr>
          <w:p w14:paraId="7268DB64" w14:textId="77777777" w:rsidR="005F762A" w:rsidRDefault="005F762A">
            <w:pPr>
              <w:rPr>
                <w:rFonts w:ascii="宋体"/>
              </w:rPr>
            </w:pPr>
          </w:p>
        </w:tc>
        <w:tc>
          <w:tcPr>
            <w:tcW w:w="26" w:type="pct"/>
            <w:shd w:val="clear" w:color="auto" w:fill="auto"/>
          </w:tcPr>
          <w:p w14:paraId="7268DB65" w14:textId="77777777" w:rsidR="005F762A" w:rsidRDefault="005F762A">
            <w:pPr>
              <w:rPr>
                <w:rFonts w:ascii="宋体"/>
              </w:rPr>
            </w:pPr>
          </w:p>
        </w:tc>
        <w:tc>
          <w:tcPr>
            <w:tcW w:w="5" w:type="pct"/>
            <w:shd w:val="clear" w:color="auto" w:fill="auto"/>
          </w:tcPr>
          <w:p w14:paraId="7268DB66" w14:textId="77777777" w:rsidR="005F762A" w:rsidRDefault="005F762A">
            <w:pPr>
              <w:rPr>
                <w:rFonts w:ascii="宋体"/>
              </w:rPr>
            </w:pPr>
          </w:p>
        </w:tc>
        <w:tc>
          <w:tcPr>
            <w:tcW w:w="50" w:type="pct"/>
            <w:shd w:val="clear" w:color="auto" w:fill="auto"/>
          </w:tcPr>
          <w:p w14:paraId="7268DB67" w14:textId="77777777" w:rsidR="005F762A" w:rsidRDefault="005F762A">
            <w:pPr>
              <w:rPr>
                <w:rFonts w:ascii="宋体"/>
              </w:rPr>
            </w:pPr>
          </w:p>
        </w:tc>
        <w:tc>
          <w:tcPr>
            <w:tcW w:w="581" w:type="pct"/>
            <w:shd w:val="clear" w:color="auto" w:fill="auto"/>
          </w:tcPr>
          <w:p w14:paraId="7268DB68" w14:textId="77777777" w:rsidR="005F762A" w:rsidRDefault="005F762A">
            <w:pPr>
              <w:rPr>
                <w:rFonts w:ascii="宋体"/>
              </w:rPr>
            </w:pPr>
          </w:p>
        </w:tc>
        <w:tc>
          <w:tcPr>
            <w:tcW w:w="5" w:type="pct"/>
            <w:shd w:val="clear" w:color="auto" w:fill="auto"/>
          </w:tcPr>
          <w:p w14:paraId="7268DB69" w14:textId="77777777" w:rsidR="005F762A" w:rsidRDefault="005F762A">
            <w:pPr>
              <w:rPr>
                <w:rFonts w:ascii="宋体"/>
              </w:rPr>
            </w:pPr>
          </w:p>
        </w:tc>
      </w:tr>
      <w:tr w:rsidR="005F762A" w14:paraId="7268DB75" w14:textId="77777777">
        <w:trPr>
          <w:jc w:val="center"/>
        </w:trPr>
        <w:tc>
          <w:tcPr>
            <w:tcW w:w="0" w:type="auto"/>
            <w:gridSpan w:val="3"/>
            <w:shd w:val="clear" w:color="auto" w:fill="auto"/>
            <w:tcMar>
              <w:top w:w="40" w:type="dxa"/>
              <w:left w:w="20" w:type="dxa"/>
              <w:bottom w:w="40" w:type="dxa"/>
              <w:right w:w="20" w:type="dxa"/>
            </w:tcMar>
            <w:vAlign w:val="bottom"/>
          </w:tcPr>
          <w:p w14:paraId="7268DB6B" w14:textId="77777777" w:rsidR="005F762A" w:rsidRDefault="00D74111">
            <w:pPr>
              <w:textAlignment w:val="bottom"/>
            </w:pPr>
            <w:r>
              <w:rPr>
                <w:rFonts w:ascii="Arial" w:eastAsia="宋体" w:hAnsi="Arial" w:cs="Arial"/>
                <w:b/>
                <w:bCs/>
                <w:color w:val="000000"/>
                <w:sz w:val="16"/>
                <w:szCs w:val="16"/>
              </w:rPr>
              <w:t> </w:t>
            </w:r>
          </w:p>
        </w:tc>
        <w:tc>
          <w:tcPr>
            <w:tcW w:w="0" w:type="auto"/>
            <w:shd w:val="clear" w:color="auto" w:fill="auto"/>
          </w:tcPr>
          <w:p w14:paraId="7268DB6C"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DB6D"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DB6E"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r>
            <w:r>
              <w:rPr>
                <w:rFonts w:ascii="Arial" w:eastAsia="宋体" w:hAnsi="Arial" w:cs="Arial"/>
                <w:b/>
                <w:bCs/>
                <w:color w:val="000000"/>
                <w:sz w:val="16"/>
                <w:szCs w:val="16"/>
              </w:rPr>
              <w:t>March 31,</w:t>
            </w:r>
          </w:p>
        </w:tc>
        <w:tc>
          <w:tcPr>
            <w:tcW w:w="0" w:type="auto"/>
            <w:shd w:val="clear" w:color="auto" w:fill="auto"/>
          </w:tcPr>
          <w:p w14:paraId="7268DB6F" w14:textId="77777777" w:rsidR="005F762A" w:rsidRDefault="005F762A">
            <w:pPr>
              <w:rPr>
                <w:rFonts w:ascii="宋体"/>
              </w:rPr>
            </w:pPr>
          </w:p>
        </w:tc>
        <w:tc>
          <w:tcPr>
            <w:tcW w:w="0" w:type="auto"/>
            <w:shd w:val="clear" w:color="auto" w:fill="auto"/>
          </w:tcPr>
          <w:p w14:paraId="7268DB70" w14:textId="77777777" w:rsidR="005F762A" w:rsidRDefault="005F762A">
            <w:pPr>
              <w:rPr>
                <w:rFonts w:ascii="宋体"/>
              </w:rPr>
            </w:pPr>
          </w:p>
        </w:tc>
        <w:tc>
          <w:tcPr>
            <w:tcW w:w="0" w:type="auto"/>
            <w:shd w:val="clear" w:color="auto" w:fill="auto"/>
          </w:tcPr>
          <w:p w14:paraId="7268DB71" w14:textId="77777777" w:rsidR="005F762A" w:rsidRDefault="005F762A">
            <w:pPr>
              <w:rPr>
                <w:rFonts w:ascii="宋体"/>
              </w:rPr>
            </w:pPr>
          </w:p>
        </w:tc>
        <w:tc>
          <w:tcPr>
            <w:tcW w:w="0" w:type="auto"/>
            <w:shd w:val="clear" w:color="auto" w:fill="auto"/>
          </w:tcPr>
          <w:p w14:paraId="7268DB72" w14:textId="77777777" w:rsidR="005F762A" w:rsidRDefault="005F762A">
            <w:pPr>
              <w:rPr>
                <w:rFonts w:ascii="宋体"/>
              </w:rPr>
            </w:pPr>
          </w:p>
        </w:tc>
        <w:tc>
          <w:tcPr>
            <w:tcW w:w="0" w:type="auto"/>
            <w:shd w:val="clear" w:color="auto" w:fill="auto"/>
          </w:tcPr>
          <w:p w14:paraId="7268DB73" w14:textId="77777777" w:rsidR="005F762A" w:rsidRDefault="005F762A">
            <w:pPr>
              <w:rPr>
                <w:rFonts w:ascii="宋体"/>
              </w:rPr>
            </w:pPr>
          </w:p>
        </w:tc>
        <w:tc>
          <w:tcPr>
            <w:tcW w:w="0" w:type="auto"/>
            <w:shd w:val="clear" w:color="auto" w:fill="auto"/>
          </w:tcPr>
          <w:p w14:paraId="7268DB74" w14:textId="77777777" w:rsidR="005F762A" w:rsidRDefault="005F762A">
            <w:pPr>
              <w:rPr>
                <w:rFonts w:ascii="宋体"/>
              </w:rPr>
            </w:pPr>
          </w:p>
        </w:tc>
      </w:tr>
      <w:tr w:rsidR="005F762A" w14:paraId="7268DB7E" w14:textId="77777777">
        <w:trPr>
          <w:jc w:val="center"/>
        </w:trPr>
        <w:tc>
          <w:tcPr>
            <w:tcW w:w="0" w:type="auto"/>
            <w:gridSpan w:val="3"/>
            <w:shd w:val="clear" w:color="auto" w:fill="auto"/>
            <w:tcMar>
              <w:top w:w="40" w:type="dxa"/>
              <w:left w:w="20" w:type="dxa"/>
              <w:bottom w:w="40" w:type="dxa"/>
              <w:right w:w="20" w:type="dxa"/>
            </w:tcMar>
            <w:vAlign w:val="bottom"/>
          </w:tcPr>
          <w:p w14:paraId="7268DB76" w14:textId="77777777" w:rsidR="005F762A" w:rsidRDefault="00D74111">
            <w:pPr>
              <w:textAlignment w:val="bottom"/>
            </w:pPr>
            <w:r>
              <w:rPr>
                <w:rFonts w:ascii="Arial" w:eastAsia="宋体" w:hAnsi="Arial" w:cs="Arial"/>
                <w:b/>
                <w:bCs/>
                <w:color w:val="000000"/>
                <w:sz w:val="16"/>
                <w:szCs w:val="16"/>
              </w:rPr>
              <w:t> </w:t>
            </w:r>
          </w:p>
        </w:tc>
        <w:tc>
          <w:tcPr>
            <w:tcW w:w="0" w:type="auto"/>
            <w:shd w:val="clear" w:color="auto" w:fill="auto"/>
          </w:tcPr>
          <w:p w14:paraId="7268DB77" w14:textId="77777777" w:rsidR="005F762A" w:rsidRDefault="005F762A">
            <w:pPr>
              <w:rPr>
                <w:rFonts w:ascii="宋体"/>
                <w:vanish/>
              </w:rPr>
            </w:pPr>
          </w:p>
        </w:tc>
        <w:tc>
          <w:tcPr>
            <w:tcW w:w="0" w:type="auto"/>
            <w:shd w:val="clear" w:color="auto" w:fill="auto"/>
          </w:tcPr>
          <w:p w14:paraId="7268DB78" w14:textId="77777777" w:rsidR="005F762A" w:rsidRDefault="005F762A">
            <w:pPr>
              <w:rPr>
                <w:rFonts w:ascii="宋体"/>
                <w:vanish/>
              </w:rPr>
            </w:pPr>
          </w:p>
        </w:tc>
        <w:tc>
          <w:tcPr>
            <w:tcW w:w="0" w:type="auto"/>
            <w:shd w:val="clear" w:color="auto" w:fill="auto"/>
          </w:tcPr>
          <w:p w14:paraId="7268DB79"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DB7A"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B7B"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DB7C"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B7D"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DB84" w14:textId="77777777">
        <w:trPr>
          <w:jc w:val="center"/>
        </w:trPr>
        <w:tc>
          <w:tcPr>
            <w:tcW w:w="0" w:type="auto"/>
            <w:gridSpan w:val="3"/>
            <w:shd w:val="clear" w:color="auto" w:fill="auto"/>
            <w:tcMar>
              <w:top w:w="40" w:type="dxa"/>
              <w:left w:w="20" w:type="dxa"/>
              <w:bottom w:w="40" w:type="dxa"/>
              <w:right w:w="20" w:type="dxa"/>
            </w:tcMar>
            <w:vAlign w:val="bottom"/>
          </w:tcPr>
          <w:p w14:paraId="7268DB7F" w14:textId="77777777" w:rsidR="005F762A" w:rsidRDefault="00D74111">
            <w:pPr>
              <w:textAlignment w:val="bottom"/>
            </w:pPr>
            <w:r>
              <w:rPr>
                <w:rFonts w:ascii="Arial" w:eastAsia="宋体" w:hAnsi="Arial" w:cs="Arial"/>
                <w:b/>
                <w:bCs/>
                <w:color w:val="000000"/>
                <w:sz w:val="16"/>
                <w:szCs w:val="16"/>
              </w:rPr>
              <w:t> </w:t>
            </w:r>
          </w:p>
        </w:tc>
        <w:tc>
          <w:tcPr>
            <w:tcW w:w="0" w:type="auto"/>
            <w:shd w:val="clear" w:color="auto" w:fill="auto"/>
          </w:tcPr>
          <w:p w14:paraId="7268DB80" w14:textId="77777777" w:rsidR="005F762A" w:rsidRDefault="005F762A">
            <w:pPr>
              <w:rPr>
                <w:rFonts w:ascii="宋体"/>
                <w:vanish/>
              </w:rPr>
            </w:pPr>
          </w:p>
        </w:tc>
        <w:tc>
          <w:tcPr>
            <w:tcW w:w="0" w:type="auto"/>
            <w:shd w:val="clear" w:color="auto" w:fill="auto"/>
          </w:tcPr>
          <w:p w14:paraId="7268DB81" w14:textId="77777777" w:rsidR="005F762A" w:rsidRDefault="005F762A">
            <w:pPr>
              <w:rPr>
                <w:rFonts w:ascii="宋体"/>
                <w:vanish/>
              </w:rPr>
            </w:pPr>
          </w:p>
        </w:tc>
        <w:tc>
          <w:tcPr>
            <w:tcW w:w="0" w:type="auto"/>
            <w:shd w:val="clear" w:color="auto" w:fill="auto"/>
          </w:tcPr>
          <w:p w14:paraId="7268DB82"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B83" w14:textId="77777777" w:rsidR="005F762A" w:rsidRDefault="00D74111">
            <w:pPr>
              <w:jc w:val="center"/>
              <w:textAlignment w:val="bottom"/>
            </w:pPr>
            <w:r>
              <w:rPr>
                <w:rFonts w:ascii="Arial" w:eastAsia="宋体" w:hAnsi="Arial" w:cs="Arial"/>
                <w:b/>
                <w:bCs/>
                <w:color w:val="000000"/>
                <w:sz w:val="16"/>
                <w:szCs w:val="16"/>
              </w:rPr>
              <w:t>(In millions, except per share amounts)</w:t>
            </w:r>
          </w:p>
        </w:tc>
      </w:tr>
      <w:tr w:rsidR="005F762A" w14:paraId="7268DB8A" w14:textId="77777777">
        <w:trPr>
          <w:jc w:val="center"/>
        </w:trPr>
        <w:tc>
          <w:tcPr>
            <w:tcW w:w="0" w:type="auto"/>
            <w:gridSpan w:val="3"/>
            <w:shd w:val="clear" w:color="auto" w:fill="auto"/>
            <w:tcMar>
              <w:top w:w="40" w:type="dxa"/>
              <w:left w:w="20" w:type="dxa"/>
              <w:bottom w:w="40" w:type="dxa"/>
              <w:right w:w="20" w:type="dxa"/>
            </w:tcMar>
            <w:vAlign w:val="bottom"/>
          </w:tcPr>
          <w:p w14:paraId="7268DB85" w14:textId="77777777" w:rsidR="005F762A" w:rsidRDefault="00D74111">
            <w:pPr>
              <w:textAlignment w:val="bottom"/>
            </w:pPr>
            <w:r>
              <w:rPr>
                <w:rFonts w:ascii="Arial" w:eastAsia="宋体" w:hAnsi="Arial" w:cs="Arial"/>
                <w:b/>
                <w:bCs/>
                <w:color w:val="000000"/>
                <w:sz w:val="16"/>
                <w:szCs w:val="16"/>
              </w:rPr>
              <w:t> </w:t>
            </w:r>
          </w:p>
        </w:tc>
        <w:tc>
          <w:tcPr>
            <w:tcW w:w="0" w:type="auto"/>
            <w:shd w:val="clear" w:color="auto" w:fill="auto"/>
          </w:tcPr>
          <w:p w14:paraId="7268DB86" w14:textId="77777777" w:rsidR="005F762A" w:rsidRDefault="005F762A">
            <w:pPr>
              <w:rPr>
                <w:rFonts w:ascii="宋体"/>
                <w:vanish/>
              </w:rPr>
            </w:pPr>
          </w:p>
        </w:tc>
        <w:tc>
          <w:tcPr>
            <w:tcW w:w="0" w:type="auto"/>
            <w:shd w:val="clear" w:color="auto" w:fill="auto"/>
          </w:tcPr>
          <w:p w14:paraId="7268DB87" w14:textId="77777777" w:rsidR="005F762A" w:rsidRDefault="005F762A">
            <w:pPr>
              <w:rPr>
                <w:rFonts w:ascii="宋体"/>
                <w:vanish/>
              </w:rPr>
            </w:pPr>
          </w:p>
        </w:tc>
        <w:tc>
          <w:tcPr>
            <w:tcW w:w="0" w:type="auto"/>
            <w:shd w:val="clear" w:color="auto" w:fill="auto"/>
          </w:tcPr>
          <w:p w14:paraId="7268DB88"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B89" w14:textId="77777777" w:rsidR="005F762A" w:rsidRDefault="00D74111">
            <w:pPr>
              <w:jc w:val="center"/>
              <w:textAlignment w:val="bottom"/>
            </w:pPr>
            <w:r>
              <w:rPr>
                <w:rFonts w:ascii="Arial" w:eastAsia="宋体" w:hAnsi="Arial" w:cs="Arial"/>
                <w:b/>
                <w:bCs/>
                <w:color w:val="000000"/>
                <w:sz w:val="16"/>
                <w:szCs w:val="16"/>
              </w:rPr>
              <w:t>(Unaudited)</w:t>
            </w:r>
          </w:p>
        </w:tc>
      </w:tr>
      <w:tr w:rsidR="005F762A" w14:paraId="7268DB97" w14:textId="77777777">
        <w:trPr>
          <w:jc w:val="center"/>
        </w:trPr>
        <w:tc>
          <w:tcPr>
            <w:tcW w:w="0" w:type="auto"/>
            <w:gridSpan w:val="3"/>
            <w:shd w:val="clear" w:color="auto" w:fill="E2E2E2"/>
            <w:tcMar>
              <w:top w:w="40" w:type="dxa"/>
              <w:left w:w="20" w:type="dxa"/>
              <w:bottom w:w="40" w:type="dxa"/>
              <w:right w:w="20" w:type="dxa"/>
            </w:tcMar>
            <w:vAlign w:val="bottom"/>
          </w:tcPr>
          <w:p w14:paraId="7268DB8B" w14:textId="77777777" w:rsidR="005F762A" w:rsidRDefault="00D74111">
            <w:pPr>
              <w:textAlignment w:val="bottom"/>
            </w:pPr>
            <w:r>
              <w:rPr>
                <w:rFonts w:ascii="Arial" w:eastAsia="宋体" w:hAnsi="Arial" w:cs="Arial"/>
                <w:color w:val="000000"/>
                <w:sz w:val="18"/>
                <w:szCs w:val="18"/>
              </w:rPr>
              <w:t>Net revenues</w:t>
            </w:r>
          </w:p>
        </w:tc>
        <w:tc>
          <w:tcPr>
            <w:tcW w:w="0" w:type="auto"/>
            <w:shd w:val="clear" w:color="auto" w:fill="auto"/>
          </w:tcPr>
          <w:p w14:paraId="7268DB8C" w14:textId="77777777" w:rsidR="005F762A" w:rsidRDefault="005F762A">
            <w:pPr>
              <w:rPr>
                <w:rFonts w:ascii="宋体"/>
                <w:vanish/>
              </w:rPr>
            </w:pPr>
          </w:p>
        </w:tc>
        <w:tc>
          <w:tcPr>
            <w:tcW w:w="0" w:type="auto"/>
            <w:shd w:val="clear" w:color="auto" w:fill="auto"/>
          </w:tcPr>
          <w:p w14:paraId="7268DB8D" w14:textId="77777777" w:rsidR="005F762A" w:rsidRDefault="005F762A">
            <w:pPr>
              <w:rPr>
                <w:rFonts w:ascii="宋体"/>
                <w:vanish/>
              </w:rPr>
            </w:pPr>
          </w:p>
        </w:tc>
        <w:tc>
          <w:tcPr>
            <w:tcW w:w="0" w:type="auto"/>
            <w:shd w:val="clear" w:color="auto" w:fill="auto"/>
          </w:tcPr>
          <w:p w14:paraId="7268DB8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8F"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B90"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B91" w14:textId="77777777" w:rsidR="005F762A" w:rsidRDefault="00D74111">
            <w:pPr>
              <w:jc w:val="right"/>
              <w:textAlignment w:val="bottom"/>
            </w:pPr>
            <w:r>
              <w:rPr>
                <w:rFonts w:ascii="Arial" w:eastAsia="宋体" w:hAnsi="Arial" w:cs="Arial"/>
                <w:color w:val="000000"/>
                <w:sz w:val="18"/>
                <w:szCs w:val="18"/>
              </w:rPr>
              <w:t>3,023 </w:t>
            </w:r>
          </w:p>
        </w:tc>
        <w:tc>
          <w:tcPr>
            <w:tcW w:w="0" w:type="auto"/>
            <w:shd w:val="clear" w:color="auto" w:fill="E2E2E2"/>
            <w:tcMar>
              <w:top w:w="40" w:type="dxa"/>
              <w:left w:w="0" w:type="dxa"/>
              <w:bottom w:w="40" w:type="dxa"/>
              <w:right w:w="20" w:type="dxa"/>
            </w:tcMar>
            <w:vAlign w:val="bottom"/>
          </w:tcPr>
          <w:p w14:paraId="7268DB9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93"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B9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B95" w14:textId="77777777" w:rsidR="005F762A" w:rsidRDefault="00D74111">
            <w:pPr>
              <w:jc w:val="right"/>
              <w:textAlignment w:val="bottom"/>
            </w:pPr>
            <w:r>
              <w:rPr>
                <w:rFonts w:ascii="Arial" w:eastAsia="宋体" w:hAnsi="Arial" w:cs="Arial"/>
                <w:color w:val="000000"/>
                <w:sz w:val="18"/>
                <w:szCs w:val="18"/>
              </w:rPr>
              <w:t>2,129 </w:t>
            </w:r>
          </w:p>
        </w:tc>
        <w:tc>
          <w:tcPr>
            <w:tcW w:w="0" w:type="auto"/>
            <w:shd w:val="clear" w:color="auto" w:fill="E2E2E2"/>
            <w:tcMar>
              <w:top w:w="40" w:type="dxa"/>
              <w:left w:w="0" w:type="dxa"/>
              <w:bottom w:w="40" w:type="dxa"/>
              <w:right w:w="20" w:type="dxa"/>
            </w:tcMar>
            <w:vAlign w:val="bottom"/>
          </w:tcPr>
          <w:p w14:paraId="7268DB96" w14:textId="77777777" w:rsidR="005F762A" w:rsidRDefault="005F762A">
            <w:pPr>
              <w:jc w:val="right"/>
              <w:rPr>
                <w:rFonts w:ascii="宋体"/>
              </w:rPr>
            </w:pPr>
          </w:p>
        </w:tc>
      </w:tr>
      <w:tr w:rsidR="005F762A" w14:paraId="7268DBA2" w14:textId="77777777">
        <w:trPr>
          <w:jc w:val="center"/>
        </w:trPr>
        <w:tc>
          <w:tcPr>
            <w:tcW w:w="0" w:type="auto"/>
            <w:gridSpan w:val="3"/>
            <w:shd w:val="clear" w:color="auto" w:fill="FFFFFF"/>
            <w:tcMar>
              <w:top w:w="40" w:type="dxa"/>
              <w:left w:w="20" w:type="dxa"/>
              <w:bottom w:w="40" w:type="dxa"/>
              <w:right w:w="20" w:type="dxa"/>
            </w:tcMar>
            <w:vAlign w:val="bottom"/>
          </w:tcPr>
          <w:p w14:paraId="7268DB98" w14:textId="77777777" w:rsidR="005F762A" w:rsidRDefault="00D74111">
            <w:pPr>
              <w:textAlignment w:val="bottom"/>
            </w:pPr>
            <w:r>
              <w:rPr>
                <w:rFonts w:ascii="Arial" w:eastAsia="宋体" w:hAnsi="Arial" w:cs="Arial"/>
                <w:color w:val="000000"/>
                <w:sz w:val="18"/>
                <w:szCs w:val="18"/>
              </w:rPr>
              <w:t>Cost of net revenues</w:t>
            </w:r>
          </w:p>
        </w:tc>
        <w:tc>
          <w:tcPr>
            <w:tcW w:w="0" w:type="auto"/>
            <w:shd w:val="clear" w:color="auto" w:fill="auto"/>
          </w:tcPr>
          <w:p w14:paraId="7268DB99" w14:textId="77777777" w:rsidR="005F762A" w:rsidRDefault="005F762A">
            <w:pPr>
              <w:rPr>
                <w:rFonts w:ascii="宋体"/>
                <w:vanish/>
              </w:rPr>
            </w:pPr>
          </w:p>
        </w:tc>
        <w:tc>
          <w:tcPr>
            <w:tcW w:w="0" w:type="auto"/>
            <w:shd w:val="clear" w:color="auto" w:fill="auto"/>
          </w:tcPr>
          <w:p w14:paraId="7268DB9A" w14:textId="77777777" w:rsidR="005F762A" w:rsidRDefault="005F762A">
            <w:pPr>
              <w:rPr>
                <w:rFonts w:ascii="宋体"/>
                <w:vanish/>
              </w:rPr>
            </w:pPr>
          </w:p>
        </w:tc>
        <w:tc>
          <w:tcPr>
            <w:tcW w:w="0" w:type="auto"/>
            <w:shd w:val="clear" w:color="auto" w:fill="auto"/>
          </w:tcPr>
          <w:p w14:paraId="7268DB9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B9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9D" w14:textId="77777777" w:rsidR="005F762A" w:rsidRDefault="00D74111">
            <w:pPr>
              <w:jc w:val="right"/>
              <w:textAlignment w:val="bottom"/>
            </w:pPr>
            <w:r>
              <w:rPr>
                <w:rFonts w:ascii="Arial" w:eastAsia="宋体" w:hAnsi="Arial" w:cs="Arial"/>
                <w:color w:val="000000"/>
                <w:sz w:val="18"/>
                <w:szCs w:val="18"/>
              </w:rPr>
              <w:t>823 </w:t>
            </w:r>
          </w:p>
        </w:tc>
        <w:tc>
          <w:tcPr>
            <w:tcW w:w="0" w:type="auto"/>
            <w:shd w:val="clear" w:color="auto" w:fill="FFFFFF"/>
            <w:tcMar>
              <w:top w:w="40" w:type="dxa"/>
              <w:left w:w="0" w:type="dxa"/>
              <w:bottom w:w="40" w:type="dxa"/>
              <w:right w:w="20" w:type="dxa"/>
            </w:tcMar>
            <w:vAlign w:val="bottom"/>
          </w:tcPr>
          <w:p w14:paraId="7268DB9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9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A0" w14:textId="77777777" w:rsidR="005F762A" w:rsidRDefault="00D74111">
            <w:pPr>
              <w:jc w:val="right"/>
              <w:textAlignment w:val="bottom"/>
            </w:pPr>
            <w:r>
              <w:rPr>
                <w:rFonts w:ascii="Arial" w:eastAsia="宋体" w:hAnsi="Arial" w:cs="Arial"/>
                <w:color w:val="000000"/>
                <w:sz w:val="18"/>
                <w:szCs w:val="18"/>
              </w:rPr>
              <w:t>502 </w:t>
            </w:r>
          </w:p>
        </w:tc>
        <w:tc>
          <w:tcPr>
            <w:tcW w:w="0" w:type="auto"/>
            <w:shd w:val="clear" w:color="auto" w:fill="FFFFFF"/>
            <w:tcMar>
              <w:top w:w="40" w:type="dxa"/>
              <w:left w:w="0" w:type="dxa"/>
              <w:bottom w:w="40" w:type="dxa"/>
              <w:right w:w="20" w:type="dxa"/>
            </w:tcMar>
            <w:vAlign w:val="bottom"/>
          </w:tcPr>
          <w:p w14:paraId="7268DBA1" w14:textId="77777777" w:rsidR="005F762A" w:rsidRDefault="005F762A">
            <w:pPr>
              <w:jc w:val="right"/>
              <w:rPr>
                <w:rFonts w:ascii="宋体"/>
              </w:rPr>
            </w:pPr>
          </w:p>
        </w:tc>
      </w:tr>
      <w:tr w:rsidR="005F762A" w14:paraId="7268DBAD" w14:textId="77777777">
        <w:trPr>
          <w:jc w:val="center"/>
        </w:trPr>
        <w:tc>
          <w:tcPr>
            <w:tcW w:w="0" w:type="auto"/>
            <w:gridSpan w:val="3"/>
            <w:shd w:val="clear" w:color="auto" w:fill="E2E2E2"/>
            <w:tcMar>
              <w:top w:w="40" w:type="dxa"/>
              <w:left w:w="875" w:type="dxa"/>
              <w:bottom w:w="40" w:type="dxa"/>
              <w:right w:w="20" w:type="dxa"/>
            </w:tcMar>
            <w:vAlign w:val="bottom"/>
          </w:tcPr>
          <w:p w14:paraId="7268DBA3" w14:textId="77777777" w:rsidR="005F762A" w:rsidRDefault="00D74111">
            <w:pPr>
              <w:textAlignment w:val="bottom"/>
            </w:pPr>
            <w:r>
              <w:rPr>
                <w:rFonts w:ascii="Arial" w:eastAsia="宋体" w:hAnsi="Arial" w:cs="Arial"/>
                <w:color w:val="000000"/>
                <w:sz w:val="18"/>
                <w:szCs w:val="18"/>
              </w:rPr>
              <w:t>Gross profit</w:t>
            </w:r>
          </w:p>
        </w:tc>
        <w:tc>
          <w:tcPr>
            <w:tcW w:w="0" w:type="auto"/>
            <w:shd w:val="clear" w:color="auto" w:fill="auto"/>
          </w:tcPr>
          <w:p w14:paraId="7268DBA4" w14:textId="77777777" w:rsidR="005F762A" w:rsidRDefault="005F762A">
            <w:pPr>
              <w:rPr>
                <w:rFonts w:ascii="宋体"/>
                <w:vanish/>
              </w:rPr>
            </w:pPr>
          </w:p>
        </w:tc>
        <w:tc>
          <w:tcPr>
            <w:tcW w:w="0" w:type="auto"/>
            <w:shd w:val="clear" w:color="auto" w:fill="auto"/>
          </w:tcPr>
          <w:p w14:paraId="7268DBA5" w14:textId="77777777" w:rsidR="005F762A" w:rsidRDefault="005F762A">
            <w:pPr>
              <w:rPr>
                <w:rFonts w:ascii="宋体"/>
                <w:vanish/>
              </w:rPr>
            </w:pPr>
          </w:p>
        </w:tc>
        <w:tc>
          <w:tcPr>
            <w:tcW w:w="0" w:type="auto"/>
            <w:shd w:val="clear" w:color="auto" w:fill="auto"/>
          </w:tcPr>
          <w:p w14:paraId="7268DBA6"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A7"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BA8" w14:textId="77777777" w:rsidR="005F762A" w:rsidRDefault="00D74111">
            <w:pPr>
              <w:jc w:val="right"/>
              <w:textAlignment w:val="bottom"/>
            </w:pPr>
            <w:r>
              <w:rPr>
                <w:rFonts w:ascii="Arial" w:eastAsia="宋体" w:hAnsi="Arial" w:cs="Arial"/>
                <w:color w:val="000000"/>
                <w:sz w:val="18"/>
                <w:szCs w:val="18"/>
              </w:rPr>
              <w:t>2,200 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BA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AA"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BAB" w14:textId="77777777" w:rsidR="005F762A" w:rsidRDefault="00D74111">
            <w:pPr>
              <w:jc w:val="right"/>
              <w:textAlignment w:val="bottom"/>
            </w:pPr>
            <w:r>
              <w:rPr>
                <w:rFonts w:ascii="Arial" w:eastAsia="宋体" w:hAnsi="Arial" w:cs="Arial"/>
                <w:color w:val="000000"/>
                <w:sz w:val="18"/>
                <w:szCs w:val="18"/>
              </w:rPr>
              <w:t>1,627 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BAC" w14:textId="77777777" w:rsidR="005F762A" w:rsidRDefault="005F762A">
            <w:pPr>
              <w:jc w:val="right"/>
              <w:rPr>
                <w:rFonts w:ascii="宋体"/>
              </w:rPr>
            </w:pPr>
          </w:p>
        </w:tc>
      </w:tr>
      <w:tr w:rsidR="005F762A" w14:paraId="7268DBB6" w14:textId="77777777">
        <w:trPr>
          <w:jc w:val="center"/>
        </w:trPr>
        <w:tc>
          <w:tcPr>
            <w:tcW w:w="0" w:type="auto"/>
            <w:gridSpan w:val="3"/>
            <w:shd w:val="clear" w:color="auto" w:fill="FFFFFF"/>
            <w:tcMar>
              <w:top w:w="40" w:type="dxa"/>
              <w:left w:w="20" w:type="dxa"/>
              <w:bottom w:w="40" w:type="dxa"/>
              <w:right w:w="20" w:type="dxa"/>
            </w:tcMar>
            <w:vAlign w:val="bottom"/>
          </w:tcPr>
          <w:p w14:paraId="7268DBAE" w14:textId="77777777" w:rsidR="005F762A" w:rsidRDefault="00D74111">
            <w:pPr>
              <w:textAlignment w:val="bottom"/>
            </w:pPr>
            <w:r>
              <w:rPr>
                <w:rFonts w:ascii="Arial" w:eastAsia="宋体" w:hAnsi="Arial" w:cs="Arial"/>
                <w:color w:val="000000"/>
                <w:sz w:val="18"/>
                <w:szCs w:val="18"/>
              </w:rPr>
              <w:t>Operating expenses:</w:t>
            </w:r>
          </w:p>
        </w:tc>
        <w:tc>
          <w:tcPr>
            <w:tcW w:w="0" w:type="auto"/>
            <w:shd w:val="clear" w:color="auto" w:fill="auto"/>
          </w:tcPr>
          <w:p w14:paraId="7268DBAF" w14:textId="77777777" w:rsidR="005F762A" w:rsidRDefault="005F762A">
            <w:pPr>
              <w:rPr>
                <w:rFonts w:ascii="宋体"/>
                <w:vanish/>
              </w:rPr>
            </w:pPr>
          </w:p>
        </w:tc>
        <w:tc>
          <w:tcPr>
            <w:tcW w:w="0" w:type="auto"/>
            <w:shd w:val="clear" w:color="auto" w:fill="auto"/>
          </w:tcPr>
          <w:p w14:paraId="7268DBB0" w14:textId="77777777" w:rsidR="005F762A" w:rsidRDefault="005F762A">
            <w:pPr>
              <w:rPr>
                <w:rFonts w:ascii="宋体"/>
                <w:vanish/>
              </w:rPr>
            </w:pPr>
          </w:p>
        </w:tc>
        <w:tc>
          <w:tcPr>
            <w:tcW w:w="0" w:type="auto"/>
            <w:shd w:val="clear" w:color="auto" w:fill="auto"/>
          </w:tcPr>
          <w:p w14:paraId="7268DBB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BB2"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BB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BB4"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BB5" w14:textId="77777777" w:rsidR="005F762A" w:rsidRDefault="005F762A">
            <w:pPr>
              <w:rPr>
                <w:rFonts w:ascii="宋体"/>
              </w:rPr>
            </w:pPr>
          </w:p>
        </w:tc>
      </w:tr>
      <w:tr w:rsidR="005F762A" w14:paraId="7268DBC1" w14:textId="77777777">
        <w:trPr>
          <w:jc w:val="center"/>
        </w:trPr>
        <w:tc>
          <w:tcPr>
            <w:tcW w:w="0" w:type="auto"/>
            <w:gridSpan w:val="3"/>
            <w:shd w:val="clear" w:color="auto" w:fill="E2E2E2"/>
            <w:tcMar>
              <w:top w:w="40" w:type="dxa"/>
              <w:left w:w="515" w:type="dxa"/>
              <w:bottom w:w="40" w:type="dxa"/>
              <w:right w:w="20" w:type="dxa"/>
            </w:tcMar>
            <w:vAlign w:val="bottom"/>
          </w:tcPr>
          <w:p w14:paraId="7268DBB7" w14:textId="77777777" w:rsidR="005F762A" w:rsidRDefault="00D74111">
            <w:pPr>
              <w:textAlignment w:val="bottom"/>
            </w:pPr>
            <w:r>
              <w:rPr>
                <w:rFonts w:ascii="Arial" w:eastAsia="宋体" w:hAnsi="Arial" w:cs="Arial"/>
                <w:color w:val="000000"/>
                <w:sz w:val="18"/>
                <w:szCs w:val="18"/>
              </w:rPr>
              <w:t xml:space="preserve">Sales and </w:t>
            </w:r>
            <w:r>
              <w:rPr>
                <w:rFonts w:ascii="Arial" w:eastAsia="宋体" w:hAnsi="Arial" w:cs="Arial"/>
                <w:color w:val="000000"/>
                <w:sz w:val="18"/>
                <w:szCs w:val="18"/>
              </w:rPr>
              <w:t>marketing</w:t>
            </w:r>
          </w:p>
        </w:tc>
        <w:tc>
          <w:tcPr>
            <w:tcW w:w="0" w:type="auto"/>
            <w:shd w:val="clear" w:color="auto" w:fill="auto"/>
          </w:tcPr>
          <w:p w14:paraId="7268DBB8" w14:textId="77777777" w:rsidR="005F762A" w:rsidRDefault="005F762A">
            <w:pPr>
              <w:rPr>
                <w:rFonts w:ascii="宋体"/>
                <w:vanish/>
              </w:rPr>
            </w:pPr>
          </w:p>
        </w:tc>
        <w:tc>
          <w:tcPr>
            <w:tcW w:w="0" w:type="auto"/>
            <w:shd w:val="clear" w:color="auto" w:fill="auto"/>
          </w:tcPr>
          <w:p w14:paraId="7268DBB9" w14:textId="77777777" w:rsidR="005F762A" w:rsidRDefault="005F762A">
            <w:pPr>
              <w:rPr>
                <w:rFonts w:ascii="宋体"/>
                <w:vanish/>
              </w:rPr>
            </w:pPr>
          </w:p>
        </w:tc>
        <w:tc>
          <w:tcPr>
            <w:tcW w:w="0" w:type="auto"/>
            <w:shd w:val="clear" w:color="auto" w:fill="auto"/>
          </w:tcPr>
          <w:p w14:paraId="7268DBBA"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B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BC" w14:textId="77777777" w:rsidR="005F762A" w:rsidRDefault="00D74111">
            <w:pPr>
              <w:jc w:val="right"/>
              <w:textAlignment w:val="bottom"/>
            </w:pPr>
            <w:r>
              <w:rPr>
                <w:rFonts w:ascii="Arial" w:eastAsia="宋体" w:hAnsi="Arial" w:cs="Arial"/>
                <w:color w:val="000000"/>
                <w:sz w:val="18"/>
                <w:szCs w:val="18"/>
              </w:rPr>
              <w:t>687 </w:t>
            </w:r>
          </w:p>
        </w:tc>
        <w:tc>
          <w:tcPr>
            <w:tcW w:w="0" w:type="auto"/>
            <w:shd w:val="clear" w:color="auto" w:fill="E2E2E2"/>
            <w:tcMar>
              <w:top w:w="40" w:type="dxa"/>
              <w:left w:w="0" w:type="dxa"/>
              <w:bottom w:w="40" w:type="dxa"/>
              <w:right w:w="20" w:type="dxa"/>
            </w:tcMar>
            <w:vAlign w:val="bottom"/>
          </w:tcPr>
          <w:p w14:paraId="7268DBB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B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BF" w14:textId="77777777" w:rsidR="005F762A" w:rsidRDefault="00D74111">
            <w:pPr>
              <w:jc w:val="right"/>
              <w:textAlignment w:val="bottom"/>
            </w:pPr>
            <w:r>
              <w:rPr>
                <w:rFonts w:ascii="Arial" w:eastAsia="宋体" w:hAnsi="Arial" w:cs="Arial"/>
                <w:color w:val="000000"/>
                <w:sz w:val="18"/>
                <w:szCs w:val="18"/>
              </w:rPr>
              <w:t>520 </w:t>
            </w:r>
          </w:p>
        </w:tc>
        <w:tc>
          <w:tcPr>
            <w:tcW w:w="0" w:type="auto"/>
            <w:shd w:val="clear" w:color="auto" w:fill="E2E2E2"/>
            <w:tcMar>
              <w:top w:w="40" w:type="dxa"/>
              <w:left w:w="0" w:type="dxa"/>
              <w:bottom w:w="40" w:type="dxa"/>
              <w:right w:w="20" w:type="dxa"/>
            </w:tcMar>
            <w:vAlign w:val="bottom"/>
          </w:tcPr>
          <w:p w14:paraId="7268DBC0" w14:textId="77777777" w:rsidR="005F762A" w:rsidRDefault="005F762A">
            <w:pPr>
              <w:jc w:val="right"/>
              <w:rPr>
                <w:rFonts w:ascii="宋体"/>
              </w:rPr>
            </w:pPr>
          </w:p>
        </w:tc>
      </w:tr>
      <w:tr w:rsidR="005F762A" w14:paraId="7268DBCC" w14:textId="77777777">
        <w:trPr>
          <w:jc w:val="center"/>
        </w:trPr>
        <w:tc>
          <w:tcPr>
            <w:tcW w:w="0" w:type="auto"/>
            <w:gridSpan w:val="3"/>
            <w:shd w:val="clear" w:color="auto" w:fill="FFFFFF"/>
            <w:tcMar>
              <w:top w:w="40" w:type="dxa"/>
              <w:left w:w="515" w:type="dxa"/>
              <w:bottom w:w="40" w:type="dxa"/>
              <w:right w:w="20" w:type="dxa"/>
            </w:tcMar>
            <w:vAlign w:val="bottom"/>
          </w:tcPr>
          <w:p w14:paraId="7268DBC2" w14:textId="77777777" w:rsidR="005F762A" w:rsidRDefault="00D74111">
            <w:pPr>
              <w:textAlignment w:val="bottom"/>
            </w:pPr>
            <w:r>
              <w:rPr>
                <w:rFonts w:ascii="Arial" w:eastAsia="宋体" w:hAnsi="Arial" w:cs="Arial"/>
                <w:color w:val="000000"/>
                <w:sz w:val="18"/>
                <w:szCs w:val="18"/>
              </w:rPr>
              <w:t>Product development</w:t>
            </w:r>
          </w:p>
        </w:tc>
        <w:tc>
          <w:tcPr>
            <w:tcW w:w="0" w:type="auto"/>
            <w:shd w:val="clear" w:color="auto" w:fill="auto"/>
          </w:tcPr>
          <w:p w14:paraId="7268DBC3" w14:textId="77777777" w:rsidR="005F762A" w:rsidRDefault="005F762A">
            <w:pPr>
              <w:rPr>
                <w:rFonts w:ascii="宋体"/>
                <w:vanish/>
              </w:rPr>
            </w:pPr>
          </w:p>
        </w:tc>
        <w:tc>
          <w:tcPr>
            <w:tcW w:w="0" w:type="auto"/>
            <w:shd w:val="clear" w:color="auto" w:fill="auto"/>
          </w:tcPr>
          <w:p w14:paraId="7268DBC4" w14:textId="77777777" w:rsidR="005F762A" w:rsidRDefault="005F762A">
            <w:pPr>
              <w:rPr>
                <w:rFonts w:ascii="宋体"/>
                <w:vanish/>
              </w:rPr>
            </w:pPr>
          </w:p>
        </w:tc>
        <w:tc>
          <w:tcPr>
            <w:tcW w:w="0" w:type="auto"/>
            <w:shd w:val="clear" w:color="auto" w:fill="auto"/>
          </w:tcPr>
          <w:p w14:paraId="7268DBC5"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BC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C7" w14:textId="77777777" w:rsidR="005F762A" w:rsidRDefault="00D74111">
            <w:pPr>
              <w:jc w:val="right"/>
              <w:textAlignment w:val="bottom"/>
            </w:pPr>
            <w:r>
              <w:rPr>
                <w:rFonts w:ascii="Arial" w:eastAsia="宋体" w:hAnsi="Arial" w:cs="Arial"/>
                <w:color w:val="000000"/>
                <w:sz w:val="18"/>
                <w:szCs w:val="18"/>
              </w:rPr>
              <w:t>318 </w:t>
            </w:r>
          </w:p>
        </w:tc>
        <w:tc>
          <w:tcPr>
            <w:tcW w:w="0" w:type="auto"/>
            <w:shd w:val="clear" w:color="auto" w:fill="FFFFFF"/>
            <w:tcMar>
              <w:top w:w="40" w:type="dxa"/>
              <w:left w:w="0" w:type="dxa"/>
              <w:bottom w:w="40" w:type="dxa"/>
              <w:right w:w="20" w:type="dxa"/>
            </w:tcMar>
            <w:vAlign w:val="bottom"/>
          </w:tcPr>
          <w:p w14:paraId="7268DBC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C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CA" w14:textId="77777777" w:rsidR="005F762A" w:rsidRDefault="00D74111">
            <w:pPr>
              <w:jc w:val="right"/>
              <w:textAlignment w:val="bottom"/>
            </w:pPr>
            <w:r>
              <w:rPr>
                <w:rFonts w:ascii="Arial" w:eastAsia="宋体" w:hAnsi="Arial" w:cs="Arial"/>
                <w:color w:val="000000"/>
                <w:sz w:val="18"/>
                <w:szCs w:val="18"/>
              </w:rPr>
              <w:t>232 </w:t>
            </w:r>
          </w:p>
        </w:tc>
        <w:tc>
          <w:tcPr>
            <w:tcW w:w="0" w:type="auto"/>
            <w:shd w:val="clear" w:color="auto" w:fill="FFFFFF"/>
            <w:tcMar>
              <w:top w:w="40" w:type="dxa"/>
              <w:left w:w="0" w:type="dxa"/>
              <w:bottom w:w="40" w:type="dxa"/>
              <w:right w:w="20" w:type="dxa"/>
            </w:tcMar>
            <w:vAlign w:val="bottom"/>
          </w:tcPr>
          <w:p w14:paraId="7268DBCB" w14:textId="77777777" w:rsidR="005F762A" w:rsidRDefault="005F762A">
            <w:pPr>
              <w:jc w:val="right"/>
              <w:rPr>
                <w:rFonts w:ascii="宋体"/>
              </w:rPr>
            </w:pPr>
          </w:p>
        </w:tc>
      </w:tr>
      <w:tr w:rsidR="005F762A" w14:paraId="7268DBD7" w14:textId="77777777">
        <w:trPr>
          <w:jc w:val="center"/>
        </w:trPr>
        <w:tc>
          <w:tcPr>
            <w:tcW w:w="0" w:type="auto"/>
            <w:gridSpan w:val="3"/>
            <w:shd w:val="clear" w:color="auto" w:fill="E2E2E2"/>
            <w:tcMar>
              <w:top w:w="40" w:type="dxa"/>
              <w:left w:w="515" w:type="dxa"/>
              <w:bottom w:w="40" w:type="dxa"/>
              <w:right w:w="20" w:type="dxa"/>
            </w:tcMar>
            <w:vAlign w:val="bottom"/>
          </w:tcPr>
          <w:p w14:paraId="7268DBCD" w14:textId="77777777" w:rsidR="005F762A" w:rsidRDefault="00D74111">
            <w:pPr>
              <w:textAlignment w:val="bottom"/>
            </w:pPr>
            <w:r>
              <w:rPr>
                <w:rFonts w:ascii="Arial" w:eastAsia="宋体" w:hAnsi="Arial" w:cs="Arial"/>
                <w:color w:val="000000"/>
                <w:sz w:val="18"/>
                <w:szCs w:val="18"/>
              </w:rPr>
              <w:t>General and administrative</w:t>
            </w:r>
          </w:p>
        </w:tc>
        <w:tc>
          <w:tcPr>
            <w:tcW w:w="0" w:type="auto"/>
            <w:shd w:val="clear" w:color="auto" w:fill="auto"/>
          </w:tcPr>
          <w:p w14:paraId="7268DBCE" w14:textId="77777777" w:rsidR="005F762A" w:rsidRDefault="005F762A">
            <w:pPr>
              <w:rPr>
                <w:rFonts w:ascii="宋体"/>
                <w:vanish/>
              </w:rPr>
            </w:pPr>
          </w:p>
        </w:tc>
        <w:tc>
          <w:tcPr>
            <w:tcW w:w="0" w:type="auto"/>
            <w:shd w:val="clear" w:color="auto" w:fill="auto"/>
          </w:tcPr>
          <w:p w14:paraId="7268DBCF" w14:textId="77777777" w:rsidR="005F762A" w:rsidRDefault="005F762A">
            <w:pPr>
              <w:rPr>
                <w:rFonts w:ascii="宋体"/>
                <w:vanish/>
              </w:rPr>
            </w:pPr>
          </w:p>
        </w:tc>
        <w:tc>
          <w:tcPr>
            <w:tcW w:w="0" w:type="auto"/>
            <w:shd w:val="clear" w:color="auto" w:fill="auto"/>
          </w:tcPr>
          <w:p w14:paraId="7268DBD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D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D2" w14:textId="77777777" w:rsidR="005F762A" w:rsidRDefault="00D74111">
            <w:pPr>
              <w:jc w:val="right"/>
              <w:textAlignment w:val="bottom"/>
            </w:pPr>
            <w:r>
              <w:rPr>
                <w:rFonts w:ascii="Arial" w:eastAsia="宋体" w:hAnsi="Arial" w:cs="Arial"/>
                <w:color w:val="000000"/>
                <w:sz w:val="18"/>
                <w:szCs w:val="18"/>
              </w:rPr>
              <w:t>258 </w:t>
            </w:r>
          </w:p>
        </w:tc>
        <w:tc>
          <w:tcPr>
            <w:tcW w:w="0" w:type="auto"/>
            <w:shd w:val="clear" w:color="auto" w:fill="E2E2E2"/>
            <w:tcMar>
              <w:top w:w="40" w:type="dxa"/>
              <w:left w:w="0" w:type="dxa"/>
              <w:bottom w:w="40" w:type="dxa"/>
              <w:right w:w="20" w:type="dxa"/>
            </w:tcMar>
            <w:vAlign w:val="bottom"/>
          </w:tcPr>
          <w:p w14:paraId="7268DBD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D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D5" w14:textId="77777777" w:rsidR="005F762A" w:rsidRDefault="00D74111">
            <w:pPr>
              <w:jc w:val="right"/>
              <w:textAlignment w:val="bottom"/>
            </w:pPr>
            <w:r>
              <w:rPr>
                <w:rFonts w:ascii="Arial" w:eastAsia="宋体" w:hAnsi="Arial" w:cs="Arial"/>
                <w:color w:val="000000"/>
                <w:sz w:val="18"/>
                <w:szCs w:val="18"/>
              </w:rPr>
              <w:t>207 </w:t>
            </w:r>
          </w:p>
        </w:tc>
        <w:tc>
          <w:tcPr>
            <w:tcW w:w="0" w:type="auto"/>
            <w:shd w:val="clear" w:color="auto" w:fill="E2E2E2"/>
            <w:tcMar>
              <w:top w:w="40" w:type="dxa"/>
              <w:left w:w="0" w:type="dxa"/>
              <w:bottom w:w="40" w:type="dxa"/>
              <w:right w:w="20" w:type="dxa"/>
            </w:tcMar>
            <w:vAlign w:val="bottom"/>
          </w:tcPr>
          <w:p w14:paraId="7268DBD6" w14:textId="77777777" w:rsidR="005F762A" w:rsidRDefault="005F762A">
            <w:pPr>
              <w:jc w:val="right"/>
              <w:rPr>
                <w:rFonts w:ascii="宋体"/>
              </w:rPr>
            </w:pPr>
          </w:p>
        </w:tc>
      </w:tr>
      <w:tr w:rsidR="005F762A" w14:paraId="7268DBE2" w14:textId="77777777">
        <w:trPr>
          <w:jc w:val="center"/>
        </w:trPr>
        <w:tc>
          <w:tcPr>
            <w:tcW w:w="0" w:type="auto"/>
            <w:gridSpan w:val="3"/>
            <w:shd w:val="clear" w:color="auto" w:fill="FFFFFF"/>
            <w:tcMar>
              <w:top w:w="40" w:type="dxa"/>
              <w:left w:w="515" w:type="dxa"/>
              <w:bottom w:w="40" w:type="dxa"/>
              <w:right w:w="20" w:type="dxa"/>
            </w:tcMar>
            <w:vAlign w:val="bottom"/>
          </w:tcPr>
          <w:p w14:paraId="7268DBD8" w14:textId="77777777" w:rsidR="005F762A" w:rsidRDefault="00D74111">
            <w:pPr>
              <w:textAlignment w:val="bottom"/>
            </w:pPr>
            <w:r>
              <w:rPr>
                <w:rFonts w:ascii="Arial" w:eastAsia="宋体" w:hAnsi="Arial" w:cs="Arial"/>
                <w:color w:val="000000"/>
                <w:sz w:val="18"/>
                <w:szCs w:val="18"/>
              </w:rPr>
              <w:t>Provision for transaction losses</w:t>
            </w:r>
          </w:p>
        </w:tc>
        <w:tc>
          <w:tcPr>
            <w:tcW w:w="0" w:type="auto"/>
            <w:shd w:val="clear" w:color="auto" w:fill="auto"/>
          </w:tcPr>
          <w:p w14:paraId="7268DBD9" w14:textId="77777777" w:rsidR="005F762A" w:rsidRDefault="005F762A">
            <w:pPr>
              <w:rPr>
                <w:rFonts w:ascii="宋体"/>
                <w:vanish/>
              </w:rPr>
            </w:pPr>
          </w:p>
        </w:tc>
        <w:tc>
          <w:tcPr>
            <w:tcW w:w="0" w:type="auto"/>
            <w:shd w:val="clear" w:color="auto" w:fill="auto"/>
          </w:tcPr>
          <w:p w14:paraId="7268DBDA" w14:textId="77777777" w:rsidR="005F762A" w:rsidRDefault="005F762A">
            <w:pPr>
              <w:rPr>
                <w:rFonts w:ascii="宋体"/>
                <w:vanish/>
              </w:rPr>
            </w:pPr>
          </w:p>
        </w:tc>
        <w:tc>
          <w:tcPr>
            <w:tcW w:w="0" w:type="auto"/>
            <w:shd w:val="clear" w:color="auto" w:fill="auto"/>
          </w:tcPr>
          <w:p w14:paraId="7268DBD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BD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DD" w14:textId="77777777" w:rsidR="005F762A" w:rsidRDefault="00D74111">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7268DBD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D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BE0" w14:textId="77777777" w:rsidR="005F762A" w:rsidRDefault="00D74111">
            <w:pPr>
              <w:jc w:val="right"/>
              <w:textAlignment w:val="bottom"/>
            </w:pPr>
            <w:r>
              <w:rPr>
                <w:rFonts w:ascii="Arial" w:eastAsia="宋体" w:hAnsi="Arial" w:cs="Arial"/>
                <w:color w:val="000000"/>
                <w:sz w:val="18"/>
                <w:szCs w:val="18"/>
              </w:rPr>
              <w:t>96 </w:t>
            </w:r>
          </w:p>
        </w:tc>
        <w:tc>
          <w:tcPr>
            <w:tcW w:w="0" w:type="auto"/>
            <w:shd w:val="clear" w:color="auto" w:fill="FFFFFF"/>
            <w:tcMar>
              <w:top w:w="40" w:type="dxa"/>
              <w:left w:w="0" w:type="dxa"/>
              <w:bottom w:w="40" w:type="dxa"/>
              <w:right w:w="20" w:type="dxa"/>
            </w:tcMar>
            <w:vAlign w:val="bottom"/>
          </w:tcPr>
          <w:p w14:paraId="7268DBE1" w14:textId="77777777" w:rsidR="005F762A" w:rsidRDefault="005F762A">
            <w:pPr>
              <w:jc w:val="right"/>
              <w:rPr>
                <w:rFonts w:ascii="宋体"/>
              </w:rPr>
            </w:pPr>
          </w:p>
        </w:tc>
      </w:tr>
      <w:tr w:rsidR="005F762A" w14:paraId="7268DBED" w14:textId="77777777">
        <w:trPr>
          <w:jc w:val="center"/>
        </w:trPr>
        <w:tc>
          <w:tcPr>
            <w:tcW w:w="0" w:type="auto"/>
            <w:gridSpan w:val="3"/>
            <w:shd w:val="clear" w:color="auto" w:fill="E2E2E2"/>
            <w:tcMar>
              <w:top w:w="40" w:type="dxa"/>
              <w:left w:w="515" w:type="dxa"/>
              <w:bottom w:w="40" w:type="dxa"/>
              <w:right w:w="20" w:type="dxa"/>
            </w:tcMar>
            <w:vAlign w:val="bottom"/>
          </w:tcPr>
          <w:p w14:paraId="7268DBE3" w14:textId="77777777" w:rsidR="005F762A" w:rsidRDefault="00D74111">
            <w:pPr>
              <w:textAlignment w:val="bottom"/>
            </w:pPr>
            <w:r>
              <w:rPr>
                <w:rFonts w:ascii="Arial" w:eastAsia="宋体" w:hAnsi="Arial" w:cs="Arial"/>
                <w:color w:val="000000"/>
                <w:sz w:val="18"/>
                <w:szCs w:val="18"/>
              </w:rPr>
              <w:t>Amortization of acquired intangible assets</w:t>
            </w:r>
          </w:p>
        </w:tc>
        <w:tc>
          <w:tcPr>
            <w:tcW w:w="0" w:type="auto"/>
            <w:shd w:val="clear" w:color="auto" w:fill="auto"/>
          </w:tcPr>
          <w:p w14:paraId="7268DBE4" w14:textId="77777777" w:rsidR="005F762A" w:rsidRDefault="005F762A">
            <w:pPr>
              <w:rPr>
                <w:rFonts w:ascii="宋体"/>
                <w:vanish/>
              </w:rPr>
            </w:pPr>
          </w:p>
        </w:tc>
        <w:tc>
          <w:tcPr>
            <w:tcW w:w="0" w:type="auto"/>
            <w:shd w:val="clear" w:color="auto" w:fill="auto"/>
          </w:tcPr>
          <w:p w14:paraId="7268DBE5" w14:textId="77777777" w:rsidR="005F762A" w:rsidRDefault="005F762A">
            <w:pPr>
              <w:rPr>
                <w:rFonts w:ascii="宋体"/>
                <w:vanish/>
              </w:rPr>
            </w:pPr>
          </w:p>
        </w:tc>
        <w:tc>
          <w:tcPr>
            <w:tcW w:w="0" w:type="auto"/>
            <w:shd w:val="clear" w:color="auto" w:fill="auto"/>
          </w:tcPr>
          <w:p w14:paraId="7268DBE6"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E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E8" w14:textId="77777777" w:rsidR="005F762A" w:rsidRDefault="00D74111">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7268DBE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BE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BEB" w14:textId="77777777" w:rsidR="005F762A" w:rsidRDefault="00D74111">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7268DBEC" w14:textId="77777777" w:rsidR="005F762A" w:rsidRDefault="005F762A">
            <w:pPr>
              <w:jc w:val="right"/>
              <w:rPr>
                <w:rFonts w:ascii="宋体"/>
              </w:rPr>
            </w:pPr>
          </w:p>
        </w:tc>
      </w:tr>
      <w:tr w:rsidR="005F762A" w14:paraId="7268DBF8" w14:textId="77777777">
        <w:trPr>
          <w:jc w:val="center"/>
        </w:trPr>
        <w:tc>
          <w:tcPr>
            <w:tcW w:w="0" w:type="auto"/>
            <w:gridSpan w:val="3"/>
            <w:shd w:val="clear" w:color="auto" w:fill="FFFFFF"/>
            <w:tcMar>
              <w:top w:w="40" w:type="dxa"/>
              <w:left w:w="875" w:type="dxa"/>
              <w:bottom w:w="40" w:type="dxa"/>
              <w:right w:w="20" w:type="dxa"/>
            </w:tcMar>
            <w:vAlign w:val="bottom"/>
          </w:tcPr>
          <w:p w14:paraId="7268DBEE" w14:textId="77777777" w:rsidR="005F762A" w:rsidRDefault="00D74111">
            <w:pPr>
              <w:textAlignment w:val="bottom"/>
            </w:pPr>
            <w:r>
              <w:rPr>
                <w:rFonts w:ascii="Arial" w:eastAsia="宋体" w:hAnsi="Arial" w:cs="Arial"/>
                <w:color w:val="000000"/>
                <w:sz w:val="18"/>
                <w:szCs w:val="18"/>
              </w:rPr>
              <w:t>Total operating expenses</w:t>
            </w:r>
          </w:p>
        </w:tc>
        <w:tc>
          <w:tcPr>
            <w:tcW w:w="0" w:type="auto"/>
            <w:shd w:val="clear" w:color="auto" w:fill="auto"/>
          </w:tcPr>
          <w:p w14:paraId="7268DBEF" w14:textId="77777777" w:rsidR="005F762A" w:rsidRDefault="005F762A">
            <w:pPr>
              <w:rPr>
                <w:rFonts w:ascii="宋体"/>
                <w:vanish/>
              </w:rPr>
            </w:pPr>
          </w:p>
        </w:tc>
        <w:tc>
          <w:tcPr>
            <w:tcW w:w="0" w:type="auto"/>
            <w:shd w:val="clear" w:color="auto" w:fill="auto"/>
          </w:tcPr>
          <w:p w14:paraId="7268DBF0" w14:textId="77777777" w:rsidR="005F762A" w:rsidRDefault="005F762A">
            <w:pPr>
              <w:rPr>
                <w:rFonts w:ascii="宋体"/>
                <w:vanish/>
              </w:rPr>
            </w:pPr>
          </w:p>
        </w:tc>
        <w:tc>
          <w:tcPr>
            <w:tcW w:w="0" w:type="auto"/>
            <w:shd w:val="clear" w:color="auto" w:fill="auto"/>
          </w:tcPr>
          <w:p w14:paraId="7268DBF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BF2"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F3" w14:textId="77777777" w:rsidR="005F762A" w:rsidRDefault="00D74111">
            <w:pPr>
              <w:jc w:val="right"/>
              <w:textAlignment w:val="bottom"/>
            </w:pPr>
            <w:r>
              <w:rPr>
                <w:rFonts w:ascii="Arial" w:eastAsia="宋体" w:hAnsi="Arial" w:cs="Arial"/>
                <w:color w:val="000000"/>
                <w:sz w:val="18"/>
                <w:szCs w:val="18"/>
              </w:rPr>
              <w:t>1,358 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F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BF5"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BF6" w14:textId="77777777" w:rsidR="005F762A" w:rsidRDefault="00D74111">
            <w:pPr>
              <w:jc w:val="right"/>
              <w:textAlignment w:val="bottom"/>
            </w:pPr>
            <w:r>
              <w:rPr>
                <w:rFonts w:ascii="Arial" w:eastAsia="宋体" w:hAnsi="Arial" w:cs="Arial"/>
                <w:color w:val="000000"/>
                <w:sz w:val="18"/>
                <w:szCs w:val="18"/>
              </w:rPr>
              <w:t>1,062 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BF7" w14:textId="77777777" w:rsidR="005F762A" w:rsidRDefault="005F762A">
            <w:pPr>
              <w:jc w:val="right"/>
              <w:rPr>
                <w:rFonts w:ascii="宋体"/>
              </w:rPr>
            </w:pPr>
          </w:p>
        </w:tc>
      </w:tr>
      <w:tr w:rsidR="005F762A" w14:paraId="7268DC03" w14:textId="77777777">
        <w:trPr>
          <w:jc w:val="center"/>
        </w:trPr>
        <w:tc>
          <w:tcPr>
            <w:tcW w:w="0" w:type="auto"/>
            <w:gridSpan w:val="3"/>
            <w:shd w:val="clear" w:color="auto" w:fill="E2E2E2"/>
            <w:tcMar>
              <w:top w:w="40" w:type="dxa"/>
              <w:left w:w="20" w:type="dxa"/>
              <w:bottom w:w="40" w:type="dxa"/>
              <w:right w:w="20" w:type="dxa"/>
            </w:tcMar>
            <w:vAlign w:val="bottom"/>
          </w:tcPr>
          <w:p w14:paraId="7268DBF9" w14:textId="77777777" w:rsidR="005F762A" w:rsidRDefault="00D74111">
            <w:pPr>
              <w:textAlignment w:val="bottom"/>
            </w:pPr>
            <w:r>
              <w:rPr>
                <w:rFonts w:ascii="Arial" w:eastAsia="宋体" w:hAnsi="Arial" w:cs="Arial"/>
                <w:color w:val="000000"/>
                <w:sz w:val="18"/>
                <w:szCs w:val="18"/>
              </w:rPr>
              <w:t>Income from operations</w:t>
            </w:r>
          </w:p>
        </w:tc>
        <w:tc>
          <w:tcPr>
            <w:tcW w:w="0" w:type="auto"/>
            <w:shd w:val="clear" w:color="auto" w:fill="auto"/>
          </w:tcPr>
          <w:p w14:paraId="7268DBFA" w14:textId="77777777" w:rsidR="005F762A" w:rsidRDefault="005F762A">
            <w:pPr>
              <w:rPr>
                <w:rFonts w:ascii="宋体"/>
                <w:vanish/>
              </w:rPr>
            </w:pPr>
          </w:p>
        </w:tc>
        <w:tc>
          <w:tcPr>
            <w:tcW w:w="0" w:type="auto"/>
            <w:shd w:val="clear" w:color="auto" w:fill="auto"/>
          </w:tcPr>
          <w:p w14:paraId="7268DBFB" w14:textId="77777777" w:rsidR="005F762A" w:rsidRDefault="005F762A">
            <w:pPr>
              <w:rPr>
                <w:rFonts w:ascii="宋体"/>
                <w:vanish/>
              </w:rPr>
            </w:pPr>
          </w:p>
        </w:tc>
        <w:tc>
          <w:tcPr>
            <w:tcW w:w="0" w:type="auto"/>
            <w:shd w:val="clear" w:color="auto" w:fill="auto"/>
          </w:tcPr>
          <w:p w14:paraId="7268DBF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BFD"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BFE" w14:textId="77777777" w:rsidR="005F762A" w:rsidRDefault="00D74111">
            <w:pPr>
              <w:jc w:val="right"/>
              <w:textAlignment w:val="bottom"/>
            </w:pPr>
            <w:r>
              <w:rPr>
                <w:rFonts w:ascii="Arial" w:eastAsia="宋体" w:hAnsi="Arial" w:cs="Arial"/>
                <w:color w:val="000000"/>
                <w:sz w:val="18"/>
                <w:szCs w:val="18"/>
              </w:rPr>
              <w:t>842 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BF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00"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C01" w14:textId="77777777" w:rsidR="005F762A" w:rsidRDefault="00D74111">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02" w14:textId="77777777" w:rsidR="005F762A" w:rsidRDefault="005F762A">
            <w:pPr>
              <w:jc w:val="right"/>
              <w:rPr>
                <w:rFonts w:ascii="宋体"/>
              </w:rPr>
            </w:pPr>
          </w:p>
        </w:tc>
      </w:tr>
      <w:tr w:rsidR="005F762A" w14:paraId="7268DC0E" w14:textId="77777777">
        <w:trPr>
          <w:jc w:val="center"/>
        </w:trPr>
        <w:tc>
          <w:tcPr>
            <w:tcW w:w="0" w:type="auto"/>
            <w:gridSpan w:val="3"/>
            <w:shd w:val="clear" w:color="auto" w:fill="FFFFFF"/>
            <w:tcMar>
              <w:top w:w="40" w:type="dxa"/>
              <w:left w:w="20" w:type="dxa"/>
              <w:bottom w:w="40" w:type="dxa"/>
              <w:right w:w="20" w:type="dxa"/>
            </w:tcMar>
            <w:vAlign w:val="bottom"/>
          </w:tcPr>
          <w:p w14:paraId="7268DC04" w14:textId="77777777" w:rsidR="005F762A" w:rsidRDefault="00D74111">
            <w:pPr>
              <w:textAlignment w:val="bottom"/>
            </w:pPr>
            <w:r>
              <w:rPr>
                <w:rFonts w:ascii="Arial" w:eastAsia="宋体" w:hAnsi="Arial" w:cs="Arial"/>
                <w:color w:val="000000"/>
                <w:sz w:val="18"/>
                <w:szCs w:val="18"/>
              </w:rPr>
              <w:t>Interest and other, net</w:t>
            </w:r>
          </w:p>
        </w:tc>
        <w:tc>
          <w:tcPr>
            <w:tcW w:w="0" w:type="auto"/>
            <w:shd w:val="clear" w:color="auto" w:fill="auto"/>
          </w:tcPr>
          <w:p w14:paraId="7268DC05" w14:textId="77777777" w:rsidR="005F762A" w:rsidRDefault="005F762A">
            <w:pPr>
              <w:rPr>
                <w:rFonts w:ascii="宋体"/>
                <w:vanish/>
              </w:rPr>
            </w:pPr>
          </w:p>
        </w:tc>
        <w:tc>
          <w:tcPr>
            <w:tcW w:w="0" w:type="auto"/>
            <w:shd w:val="clear" w:color="auto" w:fill="auto"/>
          </w:tcPr>
          <w:p w14:paraId="7268DC06" w14:textId="77777777" w:rsidR="005F762A" w:rsidRDefault="005F762A">
            <w:pPr>
              <w:rPr>
                <w:rFonts w:ascii="宋体"/>
                <w:vanish/>
              </w:rPr>
            </w:pPr>
          </w:p>
        </w:tc>
        <w:tc>
          <w:tcPr>
            <w:tcW w:w="0" w:type="auto"/>
            <w:shd w:val="clear" w:color="auto" w:fill="auto"/>
          </w:tcPr>
          <w:p w14:paraId="7268DC0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0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09" w14:textId="77777777" w:rsidR="005F762A" w:rsidRDefault="00D74111">
            <w:pPr>
              <w:jc w:val="right"/>
              <w:textAlignment w:val="bottom"/>
            </w:pPr>
            <w:r>
              <w:rPr>
                <w:rFonts w:ascii="Arial" w:eastAsia="宋体" w:hAnsi="Arial" w:cs="Arial"/>
                <w:color w:val="000000"/>
                <w:sz w:val="18"/>
                <w:szCs w:val="18"/>
              </w:rPr>
              <w:t>(117)</w:t>
            </w:r>
          </w:p>
        </w:tc>
        <w:tc>
          <w:tcPr>
            <w:tcW w:w="0" w:type="auto"/>
            <w:shd w:val="clear" w:color="auto" w:fill="FFFFFF"/>
            <w:tcMar>
              <w:top w:w="40" w:type="dxa"/>
              <w:left w:w="0" w:type="dxa"/>
              <w:bottom w:w="40" w:type="dxa"/>
              <w:right w:w="20" w:type="dxa"/>
            </w:tcMar>
            <w:vAlign w:val="bottom"/>
          </w:tcPr>
          <w:p w14:paraId="7268DC0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0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0C"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DC0D" w14:textId="77777777" w:rsidR="005F762A" w:rsidRDefault="005F762A">
            <w:pPr>
              <w:jc w:val="right"/>
              <w:rPr>
                <w:rFonts w:ascii="宋体"/>
              </w:rPr>
            </w:pPr>
          </w:p>
        </w:tc>
      </w:tr>
      <w:tr w:rsidR="005F762A" w14:paraId="7268DC19" w14:textId="77777777">
        <w:trPr>
          <w:jc w:val="center"/>
        </w:trPr>
        <w:tc>
          <w:tcPr>
            <w:tcW w:w="0" w:type="auto"/>
            <w:gridSpan w:val="3"/>
            <w:shd w:val="clear" w:color="auto" w:fill="E2E2E2"/>
            <w:tcMar>
              <w:top w:w="40" w:type="dxa"/>
              <w:left w:w="20" w:type="dxa"/>
              <w:bottom w:w="40" w:type="dxa"/>
              <w:right w:w="20" w:type="dxa"/>
            </w:tcMar>
            <w:vAlign w:val="bottom"/>
          </w:tcPr>
          <w:p w14:paraId="7268DC0F" w14:textId="77777777" w:rsidR="005F762A" w:rsidRDefault="00D74111">
            <w:pPr>
              <w:textAlignment w:val="bottom"/>
            </w:pPr>
            <w:r>
              <w:rPr>
                <w:rFonts w:ascii="Arial" w:eastAsia="宋体" w:hAnsi="Arial" w:cs="Arial"/>
                <w:color w:val="000000"/>
                <w:sz w:val="18"/>
                <w:szCs w:val="18"/>
              </w:rPr>
              <w:t>Income from continuing operations before income taxes</w:t>
            </w:r>
          </w:p>
        </w:tc>
        <w:tc>
          <w:tcPr>
            <w:tcW w:w="0" w:type="auto"/>
            <w:shd w:val="clear" w:color="auto" w:fill="auto"/>
          </w:tcPr>
          <w:p w14:paraId="7268DC10" w14:textId="77777777" w:rsidR="005F762A" w:rsidRDefault="005F762A">
            <w:pPr>
              <w:rPr>
                <w:rFonts w:ascii="宋体"/>
                <w:vanish/>
              </w:rPr>
            </w:pPr>
          </w:p>
        </w:tc>
        <w:tc>
          <w:tcPr>
            <w:tcW w:w="0" w:type="auto"/>
            <w:shd w:val="clear" w:color="auto" w:fill="auto"/>
          </w:tcPr>
          <w:p w14:paraId="7268DC11" w14:textId="77777777" w:rsidR="005F762A" w:rsidRDefault="005F762A">
            <w:pPr>
              <w:rPr>
                <w:rFonts w:ascii="宋体"/>
                <w:vanish/>
              </w:rPr>
            </w:pPr>
          </w:p>
        </w:tc>
        <w:tc>
          <w:tcPr>
            <w:tcW w:w="0" w:type="auto"/>
            <w:shd w:val="clear" w:color="auto" w:fill="auto"/>
          </w:tcPr>
          <w:p w14:paraId="7268DC1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13"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C14" w14:textId="77777777" w:rsidR="005F762A" w:rsidRDefault="00D74111">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1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16"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C17" w14:textId="77777777" w:rsidR="005F762A" w:rsidRDefault="00D74111">
            <w:pPr>
              <w:jc w:val="right"/>
              <w:textAlignment w:val="bottom"/>
            </w:pPr>
            <w:r>
              <w:rPr>
                <w:rFonts w:ascii="Arial" w:eastAsia="宋体" w:hAnsi="Arial" w:cs="Arial"/>
                <w:color w:val="000000"/>
                <w:sz w:val="18"/>
                <w:szCs w:val="18"/>
              </w:rPr>
              <w:t>566 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18" w14:textId="77777777" w:rsidR="005F762A" w:rsidRDefault="005F762A">
            <w:pPr>
              <w:jc w:val="right"/>
              <w:rPr>
                <w:rFonts w:ascii="宋体"/>
              </w:rPr>
            </w:pPr>
          </w:p>
        </w:tc>
      </w:tr>
      <w:tr w:rsidR="005F762A" w14:paraId="7268DC24" w14:textId="77777777">
        <w:trPr>
          <w:jc w:val="center"/>
        </w:trPr>
        <w:tc>
          <w:tcPr>
            <w:tcW w:w="0" w:type="auto"/>
            <w:gridSpan w:val="3"/>
            <w:shd w:val="clear" w:color="auto" w:fill="FFFFFF"/>
            <w:tcMar>
              <w:top w:w="40" w:type="dxa"/>
              <w:left w:w="20" w:type="dxa"/>
              <w:bottom w:w="40" w:type="dxa"/>
              <w:right w:w="20" w:type="dxa"/>
            </w:tcMar>
            <w:vAlign w:val="bottom"/>
          </w:tcPr>
          <w:p w14:paraId="7268DC1A" w14:textId="77777777" w:rsidR="005F762A" w:rsidRDefault="00D74111">
            <w:pPr>
              <w:textAlignment w:val="bottom"/>
            </w:pPr>
            <w:r>
              <w:rPr>
                <w:rFonts w:ascii="Arial" w:eastAsia="宋体" w:hAnsi="Arial" w:cs="Arial"/>
                <w:color w:val="000000"/>
                <w:sz w:val="18"/>
                <w:szCs w:val="18"/>
              </w:rPr>
              <w:t>Income tax provision</w:t>
            </w:r>
          </w:p>
        </w:tc>
        <w:tc>
          <w:tcPr>
            <w:tcW w:w="0" w:type="auto"/>
            <w:shd w:val="clear" w:color="auto" w:fill="auto"/>
          </w:tcPr>
          <w:p w14:paraId="7268DC1B" w14:textId="77777777" w:rsidR="005F762A" w:rsidRDefault="005F762A">
            <w:pPr>
              <w:rPr>
                <w:rFonts w:ascii="宋体"/>
                <w:vanish/>
              </w:rPr>
            </w:pPr>
          </w:p>
        </w:tc>
        <w:tc>
          <w:tcPr>
            <w:tcW w:w="0" w:type="auto"/>
            <w:shd w:val="clear" w:color="auto" w:fill="auto"/>
          </w:tcPr>
          <w:p w14:paraId="7268DC1C" w14:textId="77777777" w:rsidR="005F762A" w:rsidRDefault="005F762A">
            <w:pPr>
              <w:rPr>
                <w:rFonts w:ascii="宋体"/>
                <w:vanish/>
              </w:rPr>
            </w:pPr>
          </w:p>
        </w:tc>
        <w:tc>
          <w:tcPr>
            <w:tcW w:w="0" w:type="auto"/>
            <w:shd w:val="clear" w:color="auto" w:fill="auto"/>
          </w:tcPr>
          <w:p w14:paraId="7268DC1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1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1F" w14:textId="77777777" w:rsidR="005F762A" w:rsidRDefault="00D74111">
            <w:pPr>
              <w:jc w:val="right"/>
              <w:textAlignment w:val="bottom"/>
            </w:pPr>
            <w:r>
              <w:rPr>
                <w:rFonts w:ascii="Arial" w:eastAsia="宋体" w:hAnsi="Arial" w:cs="Arial"/>
                <w:color w:val="000000"/>
                <w:sz w:val="18"/>
                <w:szCs w:val="18"/>
              </w:rPr>
              <w:t>(156)</w:t>
            </w:r>
          </w:p>
        </w:tc>
        <w:tc>
          <w:tcPr>
            <w:tcW w:w="0" w:type="auto"/>
            <w:shd w:val="clear" w:color="auto" w:fill="FFFFFF"/>
            <w:tcMar>
              <w:top w:w="40" w:type="dxa"/>
              <w:left w:w="0" w:type="dxa"/>
              <w:bottom w:w="40" w:type="dxa"/>
              <w:right w:w="20" w:type="dxa"/>
            </w:tcMar>
            <w:vAlign w:val="bottom"/>
          </w:tcPr>
          <w:p w14:paraId="7268DC2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2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22" w14:textId="77777777" w:rsidR="005F762A" w:rsidRDefault="00D74111">
            <w:pPr>
              <w:jc w:val="right"/>
              <w:textAlignment w:val="bottom"/>
            </w:pPr>
            <w:r>
              <w:rPr>
                <w:rFonts w:ascii="Arial" w:eastAsia="宋体" w:hAnsi="Arial" w:cs="Arial"/>
                <w:color w:val="000000"/>
                <w:sz w:val="18"/>
                <w:szCs w:val="18"/>
              </w:rPr>
              <w:t>(135)</w:t>
            </w:r>
          </w:p>
        </w:tc>
        <w:tc>
          <w:tcPr>
            <w:tcW w:w="0" w:type="auto"/>
            <w:shd w:val="clear" w:color="auto" w:fill="FFFFFF"/>
            <w:tcMar>
              <w:top w:w="40" w:type="dxa"/>
              <w:left w:w="0" w:type="dxa"/>
              <w:bottom w:w="40" w:type="dxa"/>
              <w:right w:w="20" w:type="dxa"/>
            </w:tcMar>
            <w:vAlign w:val="bottom"/>
          </w:tcPr>
          <w:p w14:paraId="7268DC23" w14:textId="77777777" w:rsidR="005F762A" w:rsidRDefault="005F762A">
            <w:pPr>
              <w:jc w:val="right"/>
              <w:rPr>
                <w:rFonts w:ascii="宋体"/>
              </w:rPr>
            </w:pPr>
          </w:p>
        </w:tc>
      </w:tr>
      <w:tr w:rsidR="005F762A" w14:paraId="7268DC2F" w14:textId="77777777">
        <w:trPr>
          <w:jc w:val="center"/>
        </w:trPr>
        <w:tc>
          <w:tcPr>
            <w:tcW w:w="0" w:type="auto"/>
            <w:gridSpan w:val="3"/>
            <w:shd w:val="clear" w:color="auto" w:fill="E2E2E2"/>
            <w:tcMar>
              <w:top w:w="40" w:type="dxa"/>
              <w:left w:w="20" w:type="dxa"/>
              <w:bottom w:w="40" w:type="dxa"/>
              <w:right w:w="20" w:type="dxa"/>
            </w:tcMar>
            <w:vAlign w:val="bottom"/>
          </w:tcPr>
          <w:p w14:paraId="7268DC25" w14:textId="77777777" w:rsidR="005F762A" w:rsidRDefault="00D74111">
            <w:pPr>
              <w:textAlignment w:val="bottom"/>
            </w:pPr>
            <w:r>
              <w:rPr>
                <w:rFonts w:ascii="Arial" w:eastAsia="宋体" w:hAnsi="Arial" w:cs="Arial"/>
                <w:color w:val="000000"/>
                <w:sz w:val="18"/>
                <w:szCs w:val="18"/>
              </w:rPr>
              <w:t>Income from continuing operations</w:t>
            </w:r>
          </w:p>
        </w:tc>
        <w:tc>
          <w:tcPr>
            <w:tcW w:w="0" w:type="auto"/>
            <w:shd w:val="clear" w:color="auto" w:fill="auto"/>
          </w:tcPr>
          <w:p w14:paraId="7268DC26" w14:textId="77777777" w:rsidR="005F762A" w:rsidRDefault="005F762A">
            <w:pPr>
              <w:rPr>
                <w:rFonts w:ascii="宋体"/>
                <w:vanish/>
              </w:rPr>
            </w:pPr>
          </w:p>
        </w:tc>
        <w:tc>
          <w:tcPr>
            <w:tcW w:w="0" w:type="auto"/>
            <w:shd w:val="clear" w:color="auto" w:fill="auto"/>
          </w:tcPr>
          <w:p w14:paraId="7268DC27" w14:textId="77777777" w:rsidR="005F762A" w:rsidRDefault="005F762A">
            <w:pPr>
              <w:rPr>
                <w:rFonts w:ascii="宋体"/>
                <w:vanish/>
              </w:rPr>
            </w:pPr>
          </w:p>
        </w:tc>
        <w:tc>
          <w:tcPr>
            <w:tcW w:w="0" w:type="auto"/>
            <w:shd w:val="clear" w:color="auto" w:fill="auto"/>
          </w:tcPr>
          <w:p w14:paraId="7268DC2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29"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C2A" w14:textId="77777777" w:rsidR="005F762A" w:rsidRDefault="00D74111">
            <w:pPr>
              <w:jc w:val="right"/>
              <w:textAlignment w:val="bottom"/>
            </w:pPr>
            <w:r>
              <w:rPr>
                <w:rFonts w:ascii="Arial" w:eastAsia="宋体" w:hAnsi="Arial" w:cs="Arial"/>
                <w:color w:val="000000"/>
                <w:sz w:val="18"/>
                <w:szCs w:val="18"/>
              </w:rPr>
              <w:t>569 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2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2C"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C2D" w14:textId="77777777" w:rsidR="005F762A" w:rsidRDefault="00D74111">
            <w:pPr>
              <w:jc w:val="right"/>
              <w:textAlignment w:val="bottom"/>
            </w:pPr>
            <w:r>
              <w:rPr>
                <w:rFonts w:ascii="Arial" w:eastAsia="宋体" w:hAnsi="Arial" w:cs="Arial"/>
                <w:color w:val="000000"/>
                <w:sz w:val="18"/>
                <w:szCs w:val="18"/>
              </w:rPr>
              <w:t>431 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2E" w14:textId="77777777" w:rsidR="005F762A" w:rsidRDefault="005F762A">
            <w:pPr>
              <w:jc w:val="right"/>
              <w:rPr>
                <w:rFonts w:ascii="宋体"/>
              </w:rPr>
            </w:pPr>
          </w:p>
        </w:tc>
      </w:tr>
      <w:tr w:rsidR="005F762A" w14:paraId="7268DC3A" w14:textId="77777777">
        <w:trPr>
          <w:jc w:val="center"/>
        </w:trPr>
        <w:tc>
          <w:tcPr>
            <w:tcW w:w="0" w:type="auto"/>
            <w:gridSpan w:val="3"/>
            <w:shd w:val="clear" w:color="auto" w:fill="FFFFFF"/>
            <w:tcMar>
              <w:top w:w="40" w:type="dxa"/>
              <w:left w:w="20" w:type="dxa"/>
              <w:bottom w:w="40" w:type="dxa"/>
              <w:right w:w="20" w:type="dxa"/>
            </w:tcMar>
            <w:vAlign w:val="bottom"/>
          </w:tcPr>
          <w:p w14:paraId="7268DC30" w14:textId="77777777" w:rsidR="005F762A" w:rsidRDefault="00D74111">
            <w:pPr>
              <w:textAlignment w:val="bottom"/>
            </w:pPr>
            <w:r>
              <w:rPr>
                <w:rFonts w:ascii="Arial" w:eastAsia="宋体" w:hAnsi="Arial" w:cs="Arial"/>
                <w:color w:val="000000"/>
                <w:sz w:val="18"/>
                <w:szCs w:val="18"/>
              </w:rPr>
              <w:t>Income from discontinued operations, net of income taxes</w:t>
            </w:r>
          </w:p>
        </w:tc>
        <w:tc>
          <w:tcPr>
            <w:tcW w:w="0" w:type="auto"/>
            <w:shd w:val="clear" w:color="auto" w:fill="auto"/>
          </w:tcPr>
          <w:p w14:paraId="7268DC31" w14:textId="77777777" w:rsidR="005F762A" w:rsidRDefault="005F762A">
            <w:pPr>
              <w:rPr>
                <w:rFonts w:ascii="宋体"/>
                <w:vanish/>
              </w:rPr>
            </w:pPr>
          </w:p>
        </w:tc>
        <w:tc>
          <w:tcPr>
            <w:tcW w:w="0" w:type="auto"/>
            <w:shd w:val="clear" w:color="auto" w:fill="auto"/>
          </w:tcPr>
          <w:p w14:paraId="7268DC32" w14:textId="77777777" w:rsidR="005F762A" w:rsidRDefault="005F762A">
            <w:pPr>
              <w:rPr>
                <w:rFonts w:ascii="宋体"/>
                <w:vanish/>
              </w:rPr>
            </w:pPr>
          </w:p>
        </w:tc>
        <w:tc>
          <w:tcPr>
            <w:tcW w:w="0" w:type="auto"/>
            <w:shd w:val="clear" w:color="auto" w:fill="auto"/>
          </w:tcPr>
          <w:p w14:paraId="7268DC3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3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35" w14:textId="77777777" w:rsidR="005F762A" w:rsidRDefault="00D74111">
            <w:pPr>
              <w:jc w:val="right"/>
              <w:textAlignment w:val="bottom"/>
            </w:pPr>
            <w:r>
              <w:rPr>
                <w:rFonts w:ascii="Arial" w:eastAsia="宋体" w:hAnsi="Arial" w:cs="Arial"/>
                <w:color w:val="000000"/>
                <w:sz w:val="18"/>
                <w:szCs w:val="18"/>
              </w:rPr>
              <w:t>72 </w:t>
            </w:r>
          </w:p>
        </w:tc>
        <w:tc>
          <w:tcPr>
            <w:tcW w:w="0" w:type="auto"/>
            <w:shd w:val="clear" w:color="auto" w:fill="FFFFFF"/>
            <w:tcMar>
              <w:top w:w="40" w:type="dxa"/>
              <w:left w:w="0" w:type="dxa"/>
              <w:bottom w:w="40" w:type="dxa"/>
              <w:right w:w="20" w:type="dxa"/>
            </w:tcMar>
            <w:vAlign w:val="bottom"/>
          </w:tcPr>
          <w:p w14:paraId="7268DC3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3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38" w14:textId="77777777" w:rsidR="005F762A" w:rsidRDefault="00D74111">
            <w:pPr>
              <w:jc w:val="right"/>
              <w:textAlignment w:val="bottom"/>
            </w:pPr>
            <w:r>
              <w:rPr>
                <w:rFonts w:ascii="Arial" w:eastAsia="宋体" w:hAnsi="Arial" w:cs="Arial"/>
                <w:color w:val="000000"/>
                <w:sz w:val="18"/>
                <w:szCs w:val="18"/>
              </w:rPr>
              <w:t>2,981 </w:t>
            </w:r>
          </w:p>
        </w:tc>
        <w:tc>
          <w:tcPr>
            <w:tcW w:w="0" w:type="auto"/>
            <w:shd w:val="clear" w:color="auto" w:fill="FFFFFF"/>
            <w:tcMar>
              <w:top w:w="40" w:type="dxa"/>
              <w:left w:w="0" w:type="dxa"/>
              <w:bottom w:w="40" w:type="dxa"/>
              <w:right w:w="20" w:type="dxa"/>
            </w:tcMar>
            <w:vAlign w:val="bottom"/>
          </w:tcPr>
          <w:p w14:paraId="7268DC39" w14:textId="77777777" w:rsidR="005F762A" w:rsidRDefault="005F762A">
            <w:pPr>
              <w:jc w:val="right"/>
              <w:rPr>
                <w:rFonts w:ascii="宋体"/>
              </w:rPr>
            </w:pPr>
          </w:p>
        </w:tc>
      </w:tr>
      <w:tr w:rsidR="005F762A" w14:paraId="7268DC47" w14:textId="77777777">
        <w:trPr>
          <w:jc w:val="center"/>
        </w:trPr>
        <w:tc>
          <w:tcPr>
            <w:tcW w:w="0" w:type="auto"/>
            <w:gridSpan w:val="3"/>
            <w:shd w:val="clear" w:color="auto" w:fill="E2E2E2"/>
            <w:tcMar>
              <w:top w:w="40" w:type="dxa"/>
              <w:left w:w="20" w:type="dxa"/>
              <w:bottom w:w="40" w:type="dxa"/>
              <w:right w:w="20" w:type="dxa"/>
            </w:tcMar>
            <w:vAlign w:val="bottom"/>
          </w:tcPr>
          <w:p w14:paraId="7268DC3B" w14:textId="77777777" w:rsidR="005F762A" w:rsidRDefault="00D74111">
            <w:pPr>
              <w:textAlignment w:val="bottom"/>
            </w:pPr>
            <w:r>
              <w:rPr>
                <w:rFonts w:ascii="Arial" w:eastAsia="宋体" w:hAnsi="Arial" w:cs="Arial"/>
                <w:color w:val="000000"/>
                <w:sz w:val="18"/>
                <w:szCs w:val="18"/>
              </w:rPr>
              <w:t>Net income</w:t>
            </w:r>
          </w:p>
        </w:tc>
        <w:tc>
          <w:tcPr>
            <w:tcW w:w="0" w:type="auto"/>
            <w:shd w:val="clear" w:color="auto" w:fill="auto"/>
          </w:tcPr>
          <w:p w14:paraId="7268DC3C" w14:textId="77777777" w:rsidR="005F762A" w:rsidRDefault="005F762A">
            <w:pPr>
              <w:rPr>
                <w:rFonts w:ascii="宋体"/>
                <w:vanish/>
              </w:rPr>
            </w:pPr>
          </w:p>
        </w:tc>
        <w:tc>
          <w:tcPr>
            <w:tcW w:w="0" w:type="auto"/>
            <w:shd w:val="clear" w:color="auto" w:fill="auto"/>
          </w:tcPr>
          <w:p w14:paraId="7268DC3D" w14:textId="77777777" w:rsidR="005F762A" w:rsidRDefault="005F762A">
            <w:pPr>
              <w:rPr>
                <w:rFonts w:ascii="宋体"/>
                <w:vanish/>
              </w:rPr>
            </w:pPr>
          </w:p>
        </w:tc>
        <w:tc>
          <w:tcPr>
            <w:tcW w:w="0" w:type="auto"/>
            <w:shd w:val="clear" w:color="auto" w:fill="auto"/>
          </w:tcPr>
          <w:p w14:paraId="7268DC3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3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DC4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C41" w14:textId="77777777" w:rsidR="005F762A" w:rsidRDefault="00D74111">
            <w:pPr>
              <w:jc w:val="right"/>
              <w:textAlignment w:val="bottom"/>
            </w:pPr>
            <w:r>
              <w:rPr>
                <w:rFonts w:ascii="Arial" w:eastAsia="宋体" w:hAnsi="Arial" w:cs="Arial"/>
                <w:color w:val="000000"/>
                <w:sz w:val="18"/>
                <w:szCs w:val="18"/>
              </w:rPr>
              <w:t>641 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4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4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DC4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C45" w14:textId="77777777" w:rsidR="005F762A" w:rsidRDefault="00D74111">
            <w:pPr>
              <w:jc w:val="right"/>
              <w:textAlignment w:val="bottom"/>
            </w:pPr>
            <w:r>
              <w:rPr>
                <w:rFonts w:ascii="Arial" w:eastAsia="宋体" w:hAnsi="Arial" w:cs="Arial"/>
                <w:color w:val="000000"/>
                <w:sz w:val="18"/>
                <w:szCs w:val="18"/>
              </w:rPr>
              <w:t>3,412 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46" w14:textId="77777777" w:rsidR="005F762A" w:rsidRDefault="005F762A">
            <w:pPr>
              <w:jc w:val="right"/>
              <w:rPr>
                <w:rFonts w:ascii="宋体"/>
              </w:rPr>
            </w:pPr>
          </w:p>
        </w:tc>
      </w:tr>
      <w:tr w:rsidR="005F762A" w14:paraId="7268DC50" w14:textId="77777777">
        <w:trPr>
          <w:trHeight w:val="300"/>
          <w:jc w:val="center"/>
        </w:trPr>
        <w:tc>
          <w:tcPr>
            <w:tcW w:w="0" w:type="auto"/>
            <w:gridSpan w:val="3"/>
            <w:shd w:val="clear" w:color="auto" w:fill="FFFFFF"/>
            <w:tcMar>
              <w:top w:w="0" w:type="dxa"/>
              <w:left w:w="20" w:type="dxa"/>
              <w:bottom w:w="0" w:type="dxa"/>
              <w:right w:w="20" w:type="dxa"/>
            </w:tcMar>
          </w:tcPr>
          <w:p w14:paraId="7268DC48" w14:textId="77777777" w:rsidR="005F762A" w:rsidRDefault="005F762A">
            <w:pPr>
              <w:rPr>
                <w:rFonts w:ascii="宋体"/>
              </w:rPr>
            </w:pPr>
          </w:p>
        </w:tc>
        <w:tc>
          <w:tcPr>
            <w:tcW w:w="0" w:type="auto"/>
            <w:shd w:val="clear" w:color="auto" w:fill="auto"/>
          </w:tcPr>
          <w:p w14:paraId="7268DC49" w14:textId="77777777" w:rsidR="005F762A" w:rsidRDefault="005F762A">
            <w:pPr>
              <w:rPr>
                <w:rFonts w:ascii="宋体"/>
                <w:vanish/>
              </w:rPr>
            </w:pPr>
          </w:p>
        </w:tc>
        <w:tc>
          <w:tcPr>
            <w:tcW w:w="0" w:type="auto"/>
            <w:shd w:val="clear" w:color="auto" w:fill="auto"/>
          </w:tcPr>
          <w:p w14:paraId="7268DC4A" w14:textId="77777777" w:rsidR="005F762A" w:rsidRDefault="005F762A">
            <w:pPr>
              <w:rPr>
                <w:rFonts w:ascii="宋体"/>
                <w:vanish/>
              </w:rPr>
            </w:pPr>
          </w:p>
        </w:tc>
        <w:tc>
          <w:tcPr>
            <w:tcW w:w="0" w:type="auto"/>
            <w:shd w:val="clear" w:color="auto" w:fill="auto"/>
          </w:tcPr>
          <w:p w14:paraId="7268DC4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4C"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DC4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C4E"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DC4F" w14:textId="77777777" w:rsidR="005F762A" w:rsidRDefault="005F762A">
            <w:pPr>
              <w:rPr>
                <w:rFonts w:ascii="宋体"/>
              </w:rPr>
            </w:pPr>
          </w:p>
        </w:tc>
      </w:tr>
      <w:tr w:rsidR="005F762A" w14:paraId="7268DC59" w14:textId="77777777">
        <w:trPr>
          <w:jc w:val="center"/>
          <w:hidden/>
        </w:trPr>
        <w:tc>
          <w:tcPr>
            <w:tcW w:w="0" w:type="auto"/>
            <w:gridSpan w:val="3"/>
            <w:shd w:val="clear" w:color="auto" w:fill="auto"/>
          </w:tcPr>
          <w:p w14:paraId="7268DC51" w14:textId="77777777" w:rsidR="005F762A" w:rsidRDefault="005F762A">
            <w:pPr>
              <w:rPr>
                <w:rFonts w:ascii="宋体"/>
                <w:vanish/>
              </w:rPr>
            </w:pPr>
          </w:p>
        </w:tc>
        <w:tc>
          <w:tcPr>
            <w:tcW w:w="0" w:type="auto"/>
            <w:shd w:val="clear" w:color="auto" w:fill="auto"/>
          </w:tcPr>
          <w:p w14:paraId="7268DC52" w14:textId="77777777" w:rsidR="005F762A" w:rsidRDefault="005F762A">
            <w:pPr>
              <w:rPr>
                <w:rFonts w:ascii="宋体"/>
                <w:vanish/>
              </w:rPr>
            </w:pPr>
          </w:p>
        </w:tc>
        <w:tc>
          <w:tcPr>
            <w:tcW w:w="0" w:type="auto"/>
            <w:shd w:val="clear" w:color="auto" w:fill="auto"/>
          </w:tcPr>
          <w:p w14:paraId="7268DC53" w14:textId="77777777" w:rsidR="005F762A" w:rsidRDefault="005F762A">
            <w:pPr>
              <w:rPr>
                <w:rFonts w:ascii="宋体"/>
                <w:vanish/>
              </w:rPr>
            </w:pPr>
          </w:p>
        </w:tc>
        <w:tc>
          <w:tcPr>
            <w:tcW w:w="0" w:type="auto"/>
            <w:shd w:val="clear" w:color="auto" w:fill="auto"/>
          </w:tcPr>
          <w:p w14:paraId="7268DC54" w14:textId="77777777" w:rsidR="005F762A" w:rsidRDefault="005F762A">
            <w:pPr>
              <w:rPr>
                <w:rFonts w:ascii="宋体"/>
                <w:vanish/>
              </w:rPr>
            </w:pPr>
          </w:p>
        </w:tc>
        <w:tc>
          <w:tcPr>
            <w:tcW w:w="0" w:type="auto"/>
            <w:gridSpan w:val="3"/>
            <w:shd w:val="clear" w:color="auto" w:fill="auto"/>
          </w:tcPr>
          <w:p w14:paraId="7268DC55" w14:textId="77777777" w:rsidR="005F762A" w:rsidRDefault="005F762A">
            <w:pPr>
              <w:rPr>
                <w:rFonts w:ascii="宋体"/>
                <w:vanish/>
              </w:rPr>
            </w:pPr>
          </w:p>
        </w:tc>
        <w:tc>
          <w:tcPr>
            <w:tcW w:w="0" w:type="auto"/>
            <w:gridSpan w:val="3"/>
            <w:shd w:val="clear" w:color="auto" w:fill="auto"/>
          </w:tcPr>
          <w:p w14:paraId="7268DC56" w14:textId="77777777" w:rsidR="005F762A" w:rsidRDefault="005F762A">
            <w:pPr>
              <w:rPr>
                <w:rFonts w:ascii="宋体"/>
                <w:vanish/>
              </w:rPr>
            </w:pPr>
          </w:p>
        </w:tc>
        <w:tc>
          <w:tcPr>
            <w:tcW w:w="0" w:type="auto"/>
            <w:gridSpan w:val="3"/>
            <w:shd w:val="clear" w:color="auto" w:fill="auto"/>
          </w:tcPr>
          <w:p w14:paraId="7268DC57" w14:textId="77777777" w:rsidR="005F762A" w:rsidRDefault="005F762A">
            <w:pPr>
              <w:rPr>
                <w:rFonts w:ascii="宋体"/>
                <w:vanish/>
              </w:rPr>
            </w:pPr>
          </w:p>
        </w:tc>
        <w:tc>
          <w:tcPr>
            <w:tcW w:w="0" w:type="auto"/>
            <w:gridSpan w:val="3"/>
            <w:shd w:val="clear" w:color="auto" w:fill="auto"/>
          </w:tcPr>
          <w:p w14:paraId="7268DC58" w14:textId="77777777" w:rsidR="005F762A" w:rsidRDefault="005F762A">
            <w:pPr>
              <w:rPr>
                <w:rFonts w:ascii="宋体"/>
                <w:vanish/>
              </w:rPr>
            </w:pPr>
          </w:p>
        </w:tc>
      </w:tr>
      <w:tr w:rsidR="005F762A" w14:paraId="7268DC62" w14:textId="77777777">
        <w:trPr>
          <w:jc w:val="center"/>
        </w:trPr>
        <w:tc>
          <w:tcPr>
            <w:tcW w:w="0" w:type="auto"/>
            <w:gridSpan w:val="3"/>
            <w:shd w:val="clear" w:color="auto" w:fill="E2E2E2"/>
            <w:tcMar>
              <w:top w:w="40" w:type="dxa"/>
              <w:left w:w="20" w:type="dxa"/>
              <w:bottom w:w="40" w:type="dxa"/>
              <w:right w:w="20" w:type="dxa"/>
            </w:tcMar>
            <w:vAlign w:val="bottom"/>
          </w:tcPr>
          <w:p w14:paraId="7268DC5A" w14:textId="77777777" w:rsidR="005F762A" w:rsidRDefault="00D74111">
            <w:pPr>
              <w:textAlignment w:val="bottom"/>
            </w:pPr>
            <w:r>
              <w:rPr>
                <w:rFonts w:ascii="Arial" w:eastAsia="宋体" w:hAnsi="Arial" w:cs="Arial"/>
                <w:color w:val="000000"/>
                <w:sz w:val="18"/>
                <w:szCs w:val="18"/>
              </w:rPr>
              <w:t>Income per share - basic:</w:t>
            </w:r>
          </w:p>
        </w:tc>
        <w:tc>
          <w:tcPr>
            <w:tcW w:w="0" w:type="auto"/>
            <w:shd w:val="clear" w:color="auto" w:fill="auto"/>
          </w:tcPr>
          <w:p w14:paraId="7268DC5B" w14:textId="77777777" w:rsidR="005F762A" w:rsidRDefault="005F762A">
            <w:pPr>
              <w:rPr>
                <w:rFonts w:ascii="宋体"/>
                <w:vanish/>
              </w:rPr>
            </w:pPr>
          </w:p>
        </w:tc>
        <w:tc>
          <w:tcPr>
            <w:tcW w:w="0" w:type="auto"/>
            <w:shd w:val="clear" w:color="auto" w:fill="auto"/>
          </w:tcPr>
          <w:p w14:paraId="7268DC5C" w14:textId="77777777" w:rsidR="005F762A" w:rsidRDefault="005F762A">
            <w:pPr>
              <w:rPr>
                <w:rFonts w:ascii="宋体"/>
                <w:vanish/>
              </w:rPr>
            </w:pPr>
          </w:p>
        </w:tc>
        <w:tc>
          <w:tcPr>
            <w:tcW w:w="0" w:type="auto"/>
            <w:shd w:val="clear" w:color="auto" w:fill="auto"/>
          </w:tcPr>
          <w:p w14:paraId="7268DC5D"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5E"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DC5F"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DC60"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DC61" w14:textId="77777777" w:rsidR="005F762A" w:rsidRDefault="00D74111">
            <w:pPr>
              <w:textAlignment w:val="bottom"/>
            </w:pPr>
            <w:r>
              <w:rPr>
                <w:rFonts w:ascii="Arial" w:eastAsia="宋体" w:hAnsi="Arial" w:cs="Arial"/>
                <w:color w:val="000000"/>
                <w:sz w:val="18"/>
                <w:szCs w:val="18"/>
              </w:rPr>
              <w:t> </w:t>
            </w:r>
          </w:p>
        </w:tc>
      </w:tr>
      <w:tr w:rsidR="005F762A" w14:paraId="7268DC6F" w14:textId="77777777">
        <w:trPr>
          <w:jc w:val="center"/>
        </w:trPr>
        <w:tc>
          <w:tcPr>
            <w:tcW w:w="0" w:type="auto"/>
            <w:gridSpan w:val="3"/>
            <w:shd w:val="clear" w:color="auto" w:fill="FFFFFF"/>
            <w:tcMar>
              <w:top w:w="40" w:type="dxa"/>
              <w:left w:w="515" w:type="dxa"/>
              <w:bottom w:w="40" w:type="dxa"/>
              <w:right w:w="20" w:type="dxa"/>
            </w:tcMar>
            <w:vAlign w:val="bottom"/>
          </w:tcPr>
          <w:p w14:paraId="7268DC63" w14:textId="77777777" w:rsidR="005F762A" w:rsidRDefault="00D74111">
            <w:pPr>
              <w:textAlignment w:val="bottom"/>
            </w:pPr>
            <w:r>
              <w:rPr>
                <w:rFonts w:ascii="Arial" w:eastAsia="宋体" w:hAnsi="Arial" w:cs="Arial"/>
                <w:color w:val="000000"/>
                <w:sz w:val="18"/>
                <w:szCs w:val="18"/>
              </w:rPr>
              <w:t>Continuing operations</w:t>
            </w:r>
          </w:p>
        </w:tc>
        <w:tc>
          <w:tcPr>
            <w:tcW w:w="0" w:type="auto"/>
            <w:shd w:val="clear" w:color="auto" w:fill="auto"/>
          </w:tcPr>
          <w:p w14:paraId="7268DC64" w14:textId="77777777" w:rsidR="005F762A" w:rsidRDefault="005F762A">
            <w:pPr>
              <w:rPr>
                <w:rFonts w:ascii="宋体"/>
                <w:vanish/>
              </w:rPr>
            </w:pPr>
          </w:p>
        </w:tc>
        <w:tc>
          <w:tcPr>
            <w:tcW w:w="0" w:type="auto"/>
            <w:shd w:val="clear" w:color="auto" w:fill="auto"/>
          </w:tcPr>
          <w:p w14:paraId="7268DC65" w14:textId="77777777" w:rsidR="005F762A" w:rsidRDefault="005F762A">
            <w:pPr>
              <w:rPr>
                <w:rFonts w:ascii="宋体"/>
                <w:vanish/>
              </w:rPr>
            </w:pPr>
          </w:p>
        </w:tc>
        <w:tc>
          <w:tcPr>
            <w:tcW w:w="0" w:type="auto"/>
            <w:shd w:val="clear" w:color="auto" w:fill="auto"/>
          </w:tcPr>
          <w:p w14:paraId="7268DC66"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67"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C6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C69" w14:textId="77777777" w:rsidR="005F762A" w:rsidRDefault="00D74111">
            <w:pPr>
              <w:jc w:val="right"/>
              <w:textAlignment w:val="bottom"/>
            </w:pPr>
            <w:r>
              <w:rPr>
                <w:rFonts w:ascii="Arial" w:eastAsia="宋体" w:hAnsi="Arial" w:cs="Arial"/>
                <w:color w:val="000000"/>
                <w:sz w:val="18"/>
                <w:szCs w:val="18"/>
              </w:rPr>
              <w:t>0.84 </w:t>
            </w:r>
          </w:p>
        </w:tc>
        <w:tc>
          <w:tcPr>
            <w:tcW w:w="0" w:type="auto"/>
            <w:shd w:val="clear" w:color="auto" w:fill="FFFFFF"/>
            <w:tcMar>
              <w:top w:w="40" w:type="dxa"/>
              <w:left w:w="0" w:type="dxa"/>
              <w:bottom w:w="40" w:type="dxa"/>
              <w:right w:w="20" w:type="dxa"/>
            </w:tcMar>
            <w:vAlign w:val="bottom"/>
          </w:tcPr>
          <w:p w14:paraId="7268DC6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6B"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C6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C6D" w14:textId="77777777" w:rsidR="005F762A" w:rsidRDefault="00D74111">
            <w:pPr>
              <w:jc w:val="right"/>
              <w:textAlignment w:val="bottom"/>
            </w:pPr>
            <w:r>
              <w:rPr>
                <w:rFonts w:ascii="Arial" w:eastAsia="宋体" w:hAnsi="Arial" w:cs="Arial"/>
                <w:color w:val="000000"/>
                <w:sz w:val="18"/>
                <w:szCs w:val="18"/>
              </w:rPr>
              <w:t>0.57 </w:t>
            </w:r>
          </w:p>
        </w:tc>
        <w:tc>
          <w:tcPr>
            <w:tcW w:w="0" w:type="auto"/>
            <w:shd w:val="clear" w:color="auto" w:fill="FFFFFF"/>
            <w:tcMar>
              <w:top w:w="40" w:type="dxa"/>
              <w:left w:w="0" w:type="dxa"/>
              <w:bottom w:w="40" w:type="dxa"/>
              <w:right w:w="20" w:type="dxa"/>
            </w:tcMar>
            <w:vAlign w:val="bottom"/>
          </w:tcPr>
          <w:p w14:paraId="7268DC6E" w14:textId="77777777" w:rsidR="005F762A" w:rsidRDefault="005F762A">
            <w:pPr>
              <w:jc w:val="right"/>
              <w:rPr>
                <w:rFonts w:ascii="宋体"/>
              </w:rPr>
            </w:pPr>
          </w:p>
        </w:tc>
      </w:tr>
      <w:tr w:rsidR="005F762A" w14:paraId="7268DC7A" w14:textId="77777777">
        <w:trPr>
          <w:jc w:val="center"/>
        </w:trPr>
        <w:tc>
          <w:tcPr>
            <w:tcW w:w="0" w:type="auto"/>
            <w:gridSpan w:val="3"/>
            <w:shd w:val="clear" w:color="auto" w:fill="E2E2E2"/>
            <w:tcMar>
              <w:top w:w="40" w:type="dxa"/>
              <w:left w:w="515" w:type="dxa"/>
              <w:bottom w:w="40" w:type="dxa"/>
              <w:right w:w="20" w:type="dxa"/>
            </w:tcMar>
            <w:vAlign w:val="bottom"/>
          </w:tcPr>
          <w:p w14:paraId="7268DC70" w14:textId="77777777" w:rsidR="005F762A" w:rsidRDefault="00D74111">
            <w:pPr>
              <w:textAlignment w:val="bottom"/>
            </w:pPr>
            <w:r>
              <w:rPr>
                <w:rFonts w:ascii="Arial" w:eastAsia="宋体" w:hAnsi="Arial" w:cs="Arial"/>
                <w:color w:val="000000"/>
                <w:sz w:val="18"/>
                <w:szCs w:val="18"/>
              </w:rPr>
              <w:t>Discontinued operations</w:t>
            </w:r>
          </w:p>
        </w:tc>
        <w:tc>
          <w:tcPr>
            <w:tcW w:w="0" w:type="auto"/>
            <w:shd w:val="clear" w:color="auto" w:fill="auto"/>
          </w:tcPr>
          <w:p w14:paraId="7268DC71" w14:textId="77777777" w:rsidR="005F762A" w:rsidRDefault="005F762A">
            <w:pPr>
              <w:rPr>
                <w:rFonts w:ascii="宋体"/>
                <w:vanish/>
              </w:rPr>
            </w:pPr>
          </w:p>
        </w:tc>
        <w:tc>
          <w:tcPr>
            <w:tcW w:w="0" w:type="auto"/>
            <w:shd w:val="clear" w:color="auto" w:fill="auto"/>
          </w:tcPr>
          <w:p w14:paraId="7268DC72" w14:textId="77777777" w:rsidR="005F762A" w:rsidRDefault="005F762A">
            <w:pPr>
              <w:rPr>
                <w:rFonts w:ascii="宋体"/>
                <w:vanish/>
              </w:rPr>
            </w:pPr>
          </w:p>
        </w:tc>
        <w:tc>
          <w:tcPr>
            <w:tcW w:w="0" w:type="auto"/>
            <w:shd w:val="clear" w:color="auto" w:fill="auto"/>
          </w:tcPr>
          <w:p w14:paraId="7268DC73"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7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C75" w14:textId="77777777" w:rsidR="005F762A" w:rsidRDefault="00D74111">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7268DC7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7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C78" w14:textId="77777777" w:rsidR="005F762A" w:rsidRDefault="00D74111">
            <w:pPr>
              <w:jc w:val="right"/>
              <w:textAlignment w:val="bottom"/>
            </w:pPr>
            <w:r>
              <w:rPr>
                <w:rFonts w:ascii="Arial" w:eastAsia="宋体" w:hAnsi="Arial" w:cs="Arial"/>
                <w:color w:val="000000"/>
                <w:sz w:val="18"/>
                <w:szCs w:val="18"/>
              </w:rPr>
              <w:t>3.96 </w:t>
            </w:r>
          </w:p>
        </w:tc>
        <w:tc>
          <w:tcPr>
            <w:tcW w:w="0" w:type="auto"/>
            <w:shd w:val="clear" w:color="auto" w:fill="E2E2E2"/>
            <w:tcMar>
              <w:top w:w="40" w:type="dxa"/>
              <w:left w:w="0" w:type="dxa"/>
              <w:bottom w:w="40" w:type="dxa"/>
              <w:right w:w="20" w:type="dxa"/>
            </w:tcMar>
            <w:vAlign w:val="bottom"/>
          </w:tcPr>
          <w:p w14:paraId="7268DC79" w14:textId="77777777" w:rsidR="005F762A" w:rsidRDefault="005F762A">
            <w:pPr>
              <w:jc w:val="right"/>
              <w:rPr>
                <w:rFonts w:ascii="宋体"/>
              </w:rPr>
            </w:pPr>
          </w:p>
        </w:tc>
      </w:tr>
      <w:tr w:rsidR="005F762A" w14:paraId="7268DC87" w14:textId="77777777">
        <w:trPr>
          <w:jc w:val="center"/>
        </w:trPr>
        <w:tc>
          <w:tcPr>
            <w:tcW w:w="0" w:type="auto"/>
            <w:gridSpan w:val="3"/>
            <w:shd w:val="clear" w:color="auto" w:fill="FFFFFF"/>
            <w:tcMar>
              <w:top w:w="40" w:type="dxa"/>
              <w:left w:w="20" w:type="dxa"/>
              <w:bottom w:w="40" w:type="dxa"/>
              <w:right w:w="20" w:type="dxa"/>
            </w:tcMar>
            <w:vAlign w:val="bottom"/>
          </w:tcPr>
          <w:p w14:paraId="7268DC7B" w14:textId="77777777" w:rsidR="005F762A" w:rsidRDefault="00D74111">
            <w:pPr>
              <w:textAlignment w:val="bottom"/>
            </w:pPr>
            <w:r>
              <w:rPr>
                <w:rFonts w:ascii="Arial" w:eastAsia="宋体" w:hAnsi="Arial" w:cs="Arial"/>
                <w:color w:val="000000"/>
                <w:sz w:val="18"/>
                <w:szCs w:val="18"/>
              </w:rPr>
              <w:t>Net income per share - basic</w:t>
            </w:r>
          </w:p>
        </w:tc>
        <w:tc>
          <w:tcPr>
            <w:tcW w:w="0" w:type="auto"/>
            <w:shd w:val="clear" w:color="auto" w:fill="auto"/>
          </w:tcPr>
          <w:p w14:paraId="7268DC7C" w14:textId="77777777" w:rsidR="005F762A" w:rsidRDefault="005F762A">
            <w:pPr>
              <w:rPr>
                <w:rFonts w:ascii="宋体"/>
                <w:vanish/>
              </w:rPr>
            </w:pPr>
          </w:p>
        </w:tc>
        <w:tc>
          <w:tcPr>
            <w:tcW w:w="0" w:type="auto"/>
            <w:shd w:val="clear" w:color="auto" w:fill="auto"/>
          </w:tcPr>
          <w:p w14:paraId="7268DC7D" w14:textId="77777777" w:rsidR="005F762A" w:rsidRDefault="005F762A">
            <w:pPr>
              <w:rPr>
                <w:rFonts w:ascii="宋体"/>
                <w:vanish/>
              </w:rPr>
            </w:pPr>
          </w:p>
        </w:tc>
        <w:tc>
          <w:tcPr>
            <w:tcW w:w="0" w:type="auto"/>
            <w:shd w:val="clear" w:color="auto" w:fill="auto"/>
          </w:tcPr>
          <w:p w14:paraId="7268DC7E"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7F"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DC8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DC81" w14:textId="77777777" w:rsidR="005F762A" w:rsidRDefault="00D74111">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C8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83"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DC8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DC85" w14:textId="77777777" w:rsidR="005F762A" w:rsidRDefault="00D74111">
            <w:pPr>
              <w:jc w:val="right"/>
              <w:textAlignment w:val="bottom"/>
            </w:pPr>
            <w:r>
              <w:rPr>
                <w:rFonts w:ascii="Arial" w:eastAsia="宋体" w:hAnsi="Arial" w:cs="Arial"/>
                <w:color w:val="000000"/>
                <w:sz w:val="18"/>
                <w:szCs w:val="18"/>
              </w:rPr>
              <w:t>4.53 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C86" w14:textId="77777777" w:rsidR="005F762A" w:rsidRDefault="005F762A">
            <w:pPr>
              <w:jc w:val="right"/>
              <w:rPr>
                <w:rFonts w:ascii="宋体"/>
              </w:rPr>
            </w:pPr>
          </w:p>
        </w:tc>
      </w:tr>
      <w:tr w:rsidR="005F762A" w14:paraId="7268DC90" w14:textId="77777777">
        <w:trPr>
          <w:trHeight w:val="300"/>
          <w:jc w:val="center"/>
        </w:trPr>
        <w:tc>
          <w:tcPr>
            <w:tcW w:w="0" w:type="auto"/>
            <w:gridSpan w:val="3"/>
            <w:shd w:val="clear" w:color="auto" w:fill="E2E2E2"/>
            <w:tcMar>
              <w:top w:w="0" w:type="dxa"/>
              <w:left w:w="20" w:type="dxa"/>
              <w:bottom w:w="0" w:type="dxa"/>
              <w:right w:w="20" w:type="dxa"/>
            </w:tcMar>
          </w:tcPr>
          <w:p w14:paraId="7268DC88" w14:textId="77777777" w:rsidR="005F762A" w:rsidRDefault="005F762A">
            <w:pPr>
              <w:rPr>
                <w:rFonts w:ascii="宋体"/>
              </w:rPr>
            </w:pPr>
          </w:p>
        </w:tc>
        <w:tc>
          <w:tcPr>
            <w:tcW w:w="0" w:type="auto"/>
            <w:shd w:val="clear" w:color="auto" w:fill="auto"/>
          </w:tcPr>
          <w:p w14:paraId="7268DC89" w14:textId="77777777" w:rsidR="005F762A" w:rsidRDefault="005F762A">
            <w:pPr>
              <w:rPr>
                <w:rFonts w:ascii="宋体"/>
                <w:vanish/>
              </w:rPr>
            </w:pPr>
          </w:p>
        </w:tc>
        <w:tc>
          <w:tcPr>
            <w:tcW w:w="0" w:type="auto"/>
            <w:shd w:val="clear" w:color="auto" w:fill="auto"/>
          </w:tcPr>
          <w:p w14:paraId="7268DC8A" w14:textId="77777777" w:rsidR="005F762A" w:rsidRDefault="005F762A">
            <w:pPr>
              <w:rPr>
                <w:rFonts w:ascii="宋体"/>
                <w:vanish/>
              </w:rPr>
            </w:pPr>
          </w:p>
        </w:tc>
        <w:tc>
          <w:tcPr>
            <w:tcW w:w="0" w:type="auto"/>
            <w:shd w:val="clear" w:color="auto" w:fill="auto"/>
          </w:tcPr>
          <w:p w14:paraId="7268DC8B"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8C"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DC8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C8E"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DC8F" w14:textId="77777777" w:rsidR="005F762A" w:rsidRDefault="005F762A">
            <w:pPr>
              <w:rPr>
                <w:rFonts w:ascii="宋体"/>
              </w:rPr>
            </w:pPr>
          </w:p>
        </w:tc>
      </w:tr>
      <w:tr w:rsidR="005F762A" w14:paraId="7268DC99" w14:textId="77777777">
        <w:trPr>
          <w:jc w:val="center"/>
        </w:trPr>
        <w:tc>
          <w:tcPr>
            <w:tcW w:w="0" w:type="auto"/>
            <w:gridSpan w:val="3"/>
            <w:shd w:val="clear" w:color="auto" w:fill="FFFFFF"/>
            <w:tcMar>
              <w:top w:w="40" w:type="dxa"/>
              <w:left w:w="20" w:type="dxa"/>
              <w:bottom w:w="40" w:type="dxa"/>
              <w:right w:w="20" w:type="dxa"/>
            </w:tcMar>
            <w:vAlign w:val="bottom"/>
          </w:tcPr>
          <w:p w14:paraId="7268DC91" w14:textId="77777777" w:rsidR="005F762A" w:rsidRDefault="00D74111">
            <w:pPr>
              <w:textAlignment w:val="bottom"/>
            </w:pPr>
            <w:r>
              <w:rPr>
                <w:rFonts w:ascii="Arial" w:eastAsia="宋体" w:hAnsi="Arial" w:cs="Arial"/>
                <w:color w:val="000000"/>
                <w:sz w:val="18"/>
                <w:szCs w:val="18"/>
              </w:rPr>
              <w:t>Income per share - diluted:</w:t>
            </w:r>
          </w:p>
        </w:tc>
        <w:tc>
          <w:tcPr>
            <w:tcW w:w="0" w:type="auto"/>
            <w:shd w:val="clear" w:color="auto" w:fill="auto"/>
          </w:tcPr>
          <w:p w14:paraId="7268DC92" w14:textId="77777777" w:rsidR="005F762A" w:rsidRDefault="005F762A">
            <w:pPr>
              <w:rPr>
                <w:rFonts w:ascii="宋体"/>
                <w:vanish/>
              </w:rPr>
            </w:pPr>
          </w:p>
        </w:tc>
        <w:tc>
          <w:tcPr>
            <w:tcW w:w="0" w:type="auto"/>
            <w:shd w:val="clear" w:color="auto" w:fill="auto"/>
          </w:tcPr>
          <w:p w14:paraId="7268DC93" w14:textId="77777777" w:rsidR="005F762A" w:rsidRDefault="005F762A">
            <w:pPr>
              <w:rPr>
                <w:rFonts w:ascii="宋体"/>
                <w:vanish/>
              </w:rPr>
            </w:pPr>
          </w:p>
        </w:tc>
        <w:tc>
          <w:tcPr>
            <w:tcW w:w="0" w:type="auto"/>
            <w:shd w:val="clear" w:color="auto" w:fill="auto"/>
          </w:tcPr>
          <w:p w14:paraId="7268DC9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9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C9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C9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C98" w14:textId="77777777" w:rsidR="005F762A" w:rsidRDefault="005F762A">
            <w:pPr>
              <w:rPr>
                <w:rFonts w:ascii="宋体"/>
              </w:rPr>
            </w:pPr>
          </w:p>
        </w:tc>
      </w:tr>
      <w:tr w:rsidR="005F762A" w14:paraId="7268DCA6" w14:textId="77777777">
        <w:trPr>
          <w:jc w:val="center"/>
        </w:trPr>
        <w:tc>
          <w:tcPr>
            <w:tcW w:w="0" w:type="auto"/>
            <w:gridSpan w:val="3"/>
            <w:shd w:val="clear" w:color="auto" w:fill="E2E2E2"/>
            <w:tcMar>
              <w:top w:w="40" w:type="dxa"/>
              <w:left w:w="515" w:type="dxa"/>
              <w:bottom w:w="40" w:type="dxa"/>
              <w:right w:w="20" w:type="dxa"/>
            </w:tcMar>
            <w:vAlign w:val="bottom"/>
          </w:tcPr>
          <w:p w14:paraId="7268DC9A" w14:textId="77777777" w:rsidR="005F762A" w:rsidRDefault="00D74111">
            <w:pPr>
              <w:textAlignment w:val="bottom"/>
            </w:pPr>
            <w:r>
              <w:rPr>
                <w:rFonts w:ascii="Arial" w:eastAsia="宋体" w:hAnsi="Arial" w:cs="Arial"/>
                <w:color w:val="000000"/>
                <w:sz w:val="18"/>
                <w:szCs w:val="18"/>
              </w:rPr>
              <w:t>Continuing operations</w:t>
            </w:r>
          </w:p>
        </w:tc>
        <w:tc>
          <w:tcPr>
            <w:tcW w:w="0" w:type="auto"/>
            <w:shd w:val="clear" w:color="auto" w:fill="auto"/>
          </w:tcPr>
          <w:p w14:paraId="7268DC9B" w14:textId="77777777" w:rsidR="005F762A" w:rsidRDefault="005F762A">
            <w:pPr>
              <w:rPr>
                <w:rFonts w:ascii="宋体"/>
                <w:vanish/>
              </w:rPr>
            </w:pPr>
          </w:p>
        </w:tc>
        <w:tc>
          <w:tcPr>
            <w:tcW w:w="0" w:type="auto"/>
            <w:shd w:val="clear" w:color="auto" w:fill="auto"/>
          </w:tcPr>
          <w:p w14:paraId="7268DC9C" w14:textId="77777777" w:rsidR="005F762A" w:rsidRDefault="005F762A">
            <w:pPr>
              <w:rPr>
                <w:rFonts w:ascii="宋体"/>
                <w:vanish/>
              </w:rPr>
            </w:pPr>
          </w:p>
        </w:tc>
        <w:tc>
          <w:tcPr>
            <w:tcW w:w="0" w:type="auto"/>
            <w:shd w:val="clear" w:color="auto" w:fill="auto"/>
          </w:tcPr>
          <w:p w14:paraId="7268DC9D"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9E"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C9F"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CA0" w14:textId="77777777" w:rsidR="005F762A" w:rsidRDefault="00D74111">
            <w:pPr>
              <w:jc w:val="right"/>
              <w:textAlignment w:val="bottom"/>
            </w:pPr>
            <w:r>
              <w:rPr>
                <w:rFonts w:ascii="Arial" w:eastAsia="宋体" w:hAnsi="Arial" w:cs="Arial"/>
                <w:color w:val="000000"/>
                <w:sz w:val="18"/>
                <w:szCs w:val="18"/>
              </w:rPr>
              <w:t>0.82 </w:t>
            </w:r>
          </w:p>
        </w:tc>
        <w:tc>
          <w:tcPr>
            <w:tcW w:w="0" w:type="auto"/>
            <w:shd w:val="clear" w:color="auto" w:fill="E2E2E2"/>
            <w:tcMar>
              <w:top w:w="40" w:type="dxa"/>
              <w:left w:w="0" w:type="dxa"/>
              <w:bottom w:w="40" w:type="dxa"/>
              <w:right w:w="20" w:type="dxa"/>
            </w:tcMar>
            <w:vAlign w:val="bottom"/>
          </w:tcPr>
          <w:p w14:paraId="7268DCA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A2"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CA3"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CA4" w14:textId="77777777" w:rsidR="005F762A" w:rsidRDefault="00D74111">
            <w:pPr>
              <w:jc w:val="right"/>
              <w:textAlignment w:val="bottom"/>
            </w:pPr>
            <w:r>
              <w:rPr>
                <w:rFonts w:ascii="Arial" w:eastAsia="宋体" w:hAnsi="Arial" w:cs="Arial"/>
                <w:color w:val="000000"/>
                <w:sz w:val="18"/>
                <w:szCs w:val="18"/>
              </w:rPr>
              <w:t>0.57 </w:t>
            </w:r>
          </w:p>
        </w:tc>
        <w:tc>
          <w:tcPr>
            <w:tcW w:w="0" w:type="auto"/>
            <w:shd w:val="clear" w:color="auto" w:fill="E2E2E2"/>
            <w:tcMar>
              <w:top w:w="40" w:type="dxa"/>
              <w:left w:w="0" w:type="dxa"/>
              <w:bottom w:w="40" w:type="dxa"/>
              <w:right w:w="20" w:type="dxa"/>
            </w:tcMar>
            <w:vAlign w:val="bottom"/>
          </w:tcPr>
          <w:p w14:paraId="7268DCA5" w14:textId="77777777" w:rsidR="005F762A" w:rsidRDefault="005F762A">
            <w:pPr>
              <w:jc w:val="right"/>
              <w:rPr>
                <w:rFonts w:ascii="宋体"/>
              </w:rPr>
            </w:pPr>
          </w:p>
        </w:tc>
      </w:tr>
      <w:tr w:rsidR="005F762A" w14:paraId="7268DCB1" w14:textId="77777777">
        <w:trPr>
          <w:jc w:val="center"/>
        </w:trPr>
        <w:tc>
          <w:tcPr>
            <w:tcW w:w="0" w:type="auto"/>
            <w:gridSpan w:val="3"/>
            <w:shd w:val="clear" w:color="auto" w:fill="FFFFFF"/>
            <w:tcMar>
              <w:top w:w="40" w:type="dxa"/>
              <w:left w:w="515" w:type="dxa"/>
              <w:bottom w:w="40" w:type="dxa"/>
              <w:right w:w="20" w:type="dxa"/>
            </w:tcMar>
            <w:vAlign w:val="bottom"/>
          </w:tcPr>
          <w:p w14:paraId="7268DCA7" w14:textId="77777777" w:rsidR="005F762A" w:rsidRDefault="00D74111">
            <w:pPr>
              <w:textAlignment w:val="bottom"/>
            </w:pPr>
            <w:r>
              <w:rPr>
                <w:rFonts w:ascii="Arial" w:eastAsia="宋体" w:hAnsi="Arial" w:cs="Arial"/>
                <w:color w:val="000000"/>
                <w:sz w:val="18"/>
                <w:szCs w:val="18"/>
              </w:rPr>
              <w:t>Discontinued operations</w:t>
            </w:r>
          </w:p>
        </w:tc>
        <w:tc>
          <w:tcPr>
            <w:tcW w:w="0" w:type="auto"/>
            <w:shd w:val="clear" w:color="auto" w:fill="auto"/>
          </w:tcPr>
          <w:p w14:paraId="7268DCA8" w14:textId="77777777" w:rsidR="005F762A" w:rsidRDefault="005F762A">
            <w:pPr>
              <w:rPr>
                <w:rFonts w:ascii="宋体"/>
                <w:vanish/>
              </w:rPr>
            </w:pPr>
          </w:p>
        </w:tc>
        <w:tc>
          <w:tcPr>
            <w:tcW w:w="0" w:type="auto"/>
            <w:shd w:val="clear" w:color="auto" w:fill="auto"/>
          </w:tcPr>
          <w:p w14:paraId="7268DCA9" w14:textId="77777777" w:rsidR="005F762A" w:rsidRDefault="005F762A">
            <w:pPr>
              <w:rPr>
                <w:rFonts w:ascii="宋体"/>
                <w:vanish/>
              </w:rPr>
            </w:pPr>
          </w:p>
        </w:tc>
        <w:tc>
          <w:tcPr>
            <w:tcW w:w="0" w:type="auto"/>
            <w:shd w:val="clear" w:color="auto" w:fill="auto"/>
          </w:tcPr>
          <w:p w14:paraId="7268DCAA"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A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AC" w14:textId="77777777" w:rsidR="005F762A" w:rsidRDefault="00D74111">
            <w:pPr>
              <w:jc w:val="right"/>
              <w:textAlignment w:val="bottom"/>
            </w:pPr>
            <w:r>
              <w:rPr>
                <w:rFonts w:ascii="Arial" w:eastAsia="宋体" w:hAnsi="Arial" w:cs="Arial"/>
                <w:color w:val="000000"/>
                <w:sz w:val="18"/>
                <w:szCs w:val="18"/>
              </w:rPr>
              <w:t>0.10 </w:t>
            </w:r>
          </w:p>
        </w:tc>
        <w:tc>
          <w:tcPr>
            <w:tcW w:w="0" w:type="auto"/>
            <w:shd w:val="clear" w:color="auto" w:fill="FFFFFF"/>
            <w:tcMar>
              <w:top w:w="40" w:type="dxa"/>
              <w:left w:w="0" w:type="dxa"/>
              <w:bottom w:w="40" w:type="dxa"/>
              <w:right w:w="20" w:type="dxa"/>
            </w:tcMar>
            <w:vAlign w:val="bottom"/>
          </w:tcPr>
          <w:p w14:paraId="7268DCA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A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AF" w14:textId="77777777" w:rsidR="005F762A" w:rsidRDefault="00D74111">
            <w:pPr>
              <w:jc w:val="right"/>
              <w:textAlignment w:val="bottom"/>
            </w:pPr>
            <w:r>
              <w:rPr>
                <w:rFonts w:ascii="Arial" w:eastAsia="宋体" w:hAnsi="Arial" w:cs="Arial"/>
                <w:color w:val="000000"/>
                <w:sz w:val="18"/>
                <w:szCs w:val="18"/>
              </w:rPr>
              <w:t>3.94 </w:t>
            </w:r>
          </w:p>
        </w:tc>
        <w:tc>
          <w:tcPr>
            <w:tcW w:w="0" w:type="auto"/>
            <w:shd w:val="clear" w:color="auto" w:fill="FFFFFF"/>
            <w:tcMar>
              <w:top w:w="40" w:type="dxa"/>
              <w:left w:w="0" w:type="dxa"/>
              <w:bottom w:w="40" w:type="dxa"/>
              <w:right w:w="20" w:type="dxa"/>
            </w:tcMar>
            <w:vAlign w:val="bottom"/>
          </w:tcPr>
          <w:p w14:paraId="7268DCB0" w14:textId="77777777" w:rsidR="005F762A" w:rsidRDefault="005F762A">
            <w:pPr>
              <w:jc w:val="right"/>
              <w:rPr>
                <w:rFonts w:ascii="宋体"/>
              </w:rPr>
            </w:pPr>
          </w:p>
        </w:tc>
      </w:tr>
      <w:tr w:rsidR="005F762A" w14:paraId="7268DCBE" w14:textId="77777777">
        <w:trPr>
          <w:jc w:val="center"/>
        </w:trPr>
        <w:tc>
          <w:tcPr>
            <w:tcW w:w="0" w:type="auto"/>
            <w:gridSpan w:val="3"/>
            <w:shd w:val="clear" w:color="auto" w:fill="E2E2E2"/>
            <w:tcMar>
              <w:top w:w="40" w:type="dxa"/>
              <w:left w:w="20" w:type="dxa"/>
              <w:bottom w:w="40" w:type="dxa"/>
              <w:right w:w="20" w:type="dxa"/>
            </w:tcMar>
            <w:vAlign w:val="bottom"/>
          </w:tcPr>
          <w:p w14:paraId="7268DCB2" w14:textId="77777777" w:rsidR="005F762A" w:rsidRDefault="00D74111">
            <w:pPr>
              <w:textAlignment w:val="bottom"/>
            </w:pPr>
            <w:r>
              <w:rPr>
                <w:rFonts w:ascii="Arial" w:eastAsia="宋体" w:hAnsi="Arial" w:cs="Arial"/>
                <w:color w:val="000000"/>
                <w:sz w:val="18"/>
                <w:szCs w:val="18"/>
              </w:rPr>
              <w:t>Net income per share - diluted</w:t>
            </w:r>
          </w:p>
        </w:tc>
        <w:tc>
          <w:tcPr>
            <w:tcW w:w="0" w:type="auto"/>
            <w:shd w:val="clear" w:color="auto" w:fill="auto"/>
          </w:tcPr>
          <w:p w14:paraId="7268DCB3" w14:textId="77777777" w:rsidR="005F762A" w:rsidRDefault="005F762A">
            <w:pPr>
              <w:rPr>
                <w:rFonts w:ascii="宋体"/>
                <w:vanish/>
              </w:rPr>
            </w:pPr>
          </w:p>
        </w:tc>
        <w:tc>
          <w:tcPr>
            <w:tcW w:w="0" w:type="auto"/>
            <w:shd w:val="clear" w:color="auto" w:fill="auto"/>
          </w:tcPr>
          <w:p w14:paraId="7268DCB4" w14:textId="77777777" w:rsidR="005F762A" w:rsidRDefault="005F762A">
            <w:pPr>
              <w:rPr>
                <w:rFonts w:ascii="宋体"/>
                <w:vanish/>
              </w:rPr>
            </w:pPr>
          </w:p>
        </w:tc>
        <w:tc>
          <w:tcPr>
            <w:tcW w:w="0" w:type="auto"/>
            <w:shd w:val="clear" w:color="auto" w:fill="auto"/>
          </w:tcPr>
          <w:p w14:paraId="7268DCB5"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B6"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DCB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CB8" w14:textId="77777777" w:rsidR="005F762A" w:rsidRDefault="00D74111">
            <w:pPr>
              <w:jc w:val="right"/>
              <w:textAlignment w:val="bottom"/>
            </w:pPr>
            <w:r>
              <w:rPr>
                <w:rFonts w:ascii="Arial" w:eastAsia="宋体" w:hAnsi="Arial" w:cs="Arial"/>
                <w:color w:val="000000"/>
                <w:sz w:val="18"/>
                <w:szCs w:val="18"/>
              </w:rPr>
              <w:t>0.92 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B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BA"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DCBB"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DCBC" w14:textId="77777777" w:rsidR="005F762A" w:rsidRDefault="00D74111">
            <w:pPr>
              <w:jc w:val="right"/>
              <w:textAlignment w:val="bottom"/>
            </w:pPr>
            <w:r>
              <w:rPr>
                <w:rFonts w:ascii="Arial" w:eastAsia="宋体" w:hAnsi="Arial" w:cs="Arial"/>
                <w:color w:val="000000"/>
                <w:sz w:val="18"/>
                <w:szCs w:val="18"/>
              </w:rPr>
              <w:t>4.51 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CBD" w14:textId="77777777" w:rsidR="005F762A" w:rsidRDefault="005F762A">
            <w:pPr>
              <w:jc w:val="right"/>
              <w:rPr>
                <w:rFonts w:ascii="宋体"/>
              </w:rPr>
            </w:pPr>
          </w:p>
        </w:tc>
      </w:tr>
      <w:tr w:rsidR="005F762A" w14:paraId="7268DCC7" w14:textId="77777777">
        <w:trPr>
          <w:trHeight w:val="300"/>
          <w:jc w:val="center"/>
        </w:trPr>
        <w:tc>
          <w:tcPr>
            <w:tcW w:w="0" w:type="auto"/>
            <w:gridSpan w:val="3"/>
            <w:shd w:val="clear" w:color="auto" w:fill="FFFFFF"/>
            <w:tcMar>
              <w:top w:w="0" w:type="dxa"/>
              <w:left w:w="20" w:type="dxa"/>
              <w:bottom w:w="0" w:type="dxa"/>
              <w:right w:w="20" w:type="dxa"/>
            </w:tcMar>
          </w:tcPr>
          <w:p w14:paraId="7268DCBF" w14:textId="77777777" w:rsidR="005F762A" w:rsidRDefault="005F762A">
            <w:pPr>
              <w:rPr>
                <w:rFonts w:ascii="宋体"/>
              </w:rPr>
            </w:pPr>
          </w:p>
        </w:tc>
        <w:tc>
          <w:tcPr>
            <w:tcW w:w="0" w:type="auto"/>
            <w:shd w:val="clear" w:color="auto" w:fill="auto"/>
          </w:tcPr>
          <w:p w14:paraId="7268DCC0" w14:textId="77777777" w:rsidR="005F762A" w:rsidRDefault="005F762A">
            <w:pPr>
              <w:rPr>
                <w:rFonts w:ascii="宋体"/>
                <w:vanish/>
              </w:rPr>
            </w:pPr>
          </w:p>
        </w:tc>
        <w:tc>
          <w:tcPr>
            <w:tcW w:w="0" w:type="auto"/>
            <w:shd w:val="clear" w:color="auto" w:fill="auto"/>
          </w:tcPr>
          <w:p w14:paraId="7268DCC1" w14:textId="77777777" w:rsidR="005F762A" w:rsidRDefault="005F762A">
            <w:pPr>
              <w:rPr>
                <w:rFonts w:ascii="宋体"/>
                <w:vanish/>
              </w:rPr>
            </w:pPr>
          </w:p>
        </w:tc>
        <w:tc>
          <w:tcPr>
            <w:tcW w:w="0" w:type="auto"/>
            <w:shd w:val="clear" w:color="auto" w:fill="auto"/>
          </w:tcPr>
          <w:p w14:paraId="7268DCC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C3"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DCC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CC5"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DCC6" w14:textId="77777777" w:rsidR="005F762A" w:rsidRDefault="005F762A">
            <w:pPr>
              <w:rPr>
                <w:rFonts w:ascii="宋体"/>
              </w:rPr>
            </w:pPr>
          </w:p>
        </w:tc>
      </w:tr>
      <w:tr w:rsidR="005F762A" w14:paraId="7268DCD0" w14:textId="77777777">
        <w:trPr>
          <w:jc w:val="center"/>
        </w:trPr>
        <w:tc>
          <w:tcPr>
            <w:tcW w:w="0" w:type="auto"/>
            <w:gridSpan w:val="3"/>
            <w:shd w:val="clear" w:color="auto" w:fill="E2E2E2"/>
            <w:tcMar>
              <w:top w:w="40" w:type="dxa"/>
              <w:left w:w="20" w:type="dxa"/>
              <w:bottom w:w="40" w:type="dxa"/>
              <w:right w:w="20" w:type="dxa"/>
            </w:tcMar>
            <w:vAlign w:val="bottom"/>
          </w:tcPr>
          <w:p w14:paraId="7268DCC8" w14:textId="77777777" w:rsidR="005F762A" w:rsidRDefault="00D74111">
            <w:pPr>
              <w:textAlignment w:val="bottom"/>
            </w:pPr>
            <w:r>
              <w:rPr>
                <w:rFonts w:ascii="Arial" w:eastAsia="宋体" w:hAnsi="Arial" w:cs="Arial"/>
                <w:color w:val="000000"/>
                <w:sz w:val="18"/>
                <w:szCs w:val="18"/>
              </w:rPr>
              <w:t>Weighted-average shares:</w:t>
            </w:r>
          </w:p>
        </w:tc>
        <w:tc>
          <w:tcPr>
            <w:tcW w:w="0" w:type="auto"/>
            <w:shd w:val="clear" w:color="auto" w:fill="auto"/>
          </w:tcPr>
          <w:p w14:paraId="7268DCC9" w14:textId="77777777" w:rsidR="005F762A" w:rsidRDefault="005F762A">
            <w:pPr>
              <w:rPr>
                <w:rFonts w:ascii="宋体"/>
                <w:vanish/>
              </w:rPr>
            </w:pPr>
          </w:p>
        </w:tc>
        <w:tc>
          <w:tcPr>
            <w:tcW w:w="0" w:type="auto"/>
            <w:shd w:val="clear" w:color="auto" w:fill="auto"/>
          </w:tcPr>
          <w:p w14:paraId="7268DCCA" w14:textId="77777777" w:rsidR="005F762A" w:rsidRDefault="005F762A">
            <w:pPr>
              <w:rPr>
                <w:rFonts w:ascii="宋体"/>
                <w:vanish/>
              </w:rPr>
            </w:pPr>
          </w:p>
        </w:tc>
        <w:tc>
          <w:tcPr>
            <w:tcW w:w="0" w:type="auto"/>
            <w:shd w:val="clear" w:color="auto" w:fill="auto"/>
          </w:tcPr>
          <w:p w14:paraId="7268DCCB"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CC"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DCCD"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DCCE"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DCCF" w14:textId="77777777" w:rsidR="005F762A" w:rsidRDefault="00D74111">
            <w:pPr>
              <w:textAlignment w:val="bottom"/>
            </w:pPr>
            <w:r>
              <w:rPr>
                <w:rFonts w:ascii="Arial" w:eastAsia="宋体" w:hAnsi="Arial" w:cs="Arial"/>
                <w:color w:val="000000"/>
                <w:sz w:val="18"/>
                <w:szCs w:val="18"/>
              </w:rPr>
              <w:t> </w:t>
            </w:r>
          </w:p>
        </w:tc>
      </w:tr>
      <w:tr w:rsidR="005F762A" w14:paraId="7268DCDB" w14:textId="77777777">
        <w:trPr>
          <w:jc w:val="center"/>
        </w:trPr>
        <w:tc>
          <w:tcPr>
            <w:tcW w:w="0" w:type="auto"/>
            <w:gridSpan w:val="3"/>
            <w:shd w:val="clear" w:color="auto" w:fill="FFFFFF"/>
            <w:tcMar>
              <w:top w:w="40" w:type="dxa"/>
              <w:left w:w="515" w:type="dxa"/>
              <w:bottom w:w="40" w:type="dxa"/>
              <w:right w:w="20" w:type="dxa"/>
            </w:tcMar>
            <w:vAlign w:val="bottom"/>
          </w:tcPr>
          <w:p w14:paraId="7268DCD1" w14:textId="77777777" w:rsidR="005F762A" w:rsidRDefault="00D74111">
            <w:pPr>
              <w:textAlignment w:val="bottom"/>
            </w:pPr>
            <w:r>
              <w:rPr>
                <w:rFonts w:ascii="Arial" w:eastAsia="宋体" w:hAnsi="Arial" w:cs="Arial"/>
                <w:color w:val="000000"/>
                <w:sz w:val="18"/>
                <w:szCs w:val="18"/>
              </w:rPr>
              <w:t>Basic</w:t>
            </w:r>
          </w:p>
        </w:tc>
        <w:tc>
          <w:tcPr>
            <w:tcW w:w="0" w:type="auto"/>
            <w:shd w:val="clear" w:color="auto" w:fill="auto"/>
          </w:tcPr>
          <w:p w14:paraId="7268DCD2" w14:textId="77777777" w:rsidR="005F762A" w:rsidRDefault="005F762A">
            <w:pPr>
              <w:rPr>
                <w:rFonts w:ascii="宋体"/>
                <w:vanish/>
              </w:rPr>
            </w:pPr>
          </w:p>
        </w:tc>
        <w:tc>
          <w:tcPr>
            <w:tcW w:w="0" w:type="auto"/>
            <w:shd w:val="clear" w:color="auto" w:fill="auto"/>
          </w:tcPr>
          <w:p w14:paraId="7268DCD3" w14:textId="77777777" w:rsidR="005F762A" w:rsidRDefault="005F762A">
            <w:pPr>
              <w:rPr>
                <w:rFonts w:ascii="宋体"/>
                <w:vanish/>
              </w:rPr>
            </w:pPr>
          </w:p>
        </w:tc>
        <w:tc>
          <w:tcPr>
            <w:tcW w:w="0" w:type="auto"/>
            <w:shd w:val="clear" w:color="auto" w:fill="auto"/>
          </w:tcPr>
          <w:p w14:paraId="7268DCD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CD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D6" w14:textId="77777777" w:rsidR="005F762A" w:rsidRDefault="00D74111">
            <w:pPr>
              <w:jc w:val="right"/>
              <w:textAlignment w:val="bottom"/>
            </w:pPr>
            <w:r>
              <w:rPr>
                <w:rFonts w:ascii="Arial" w:eastAsia="宋体" w:hAnsi="Arial" w:cs="Arial"/>
                <w:color w:val="000000"/>
                <w:sz w:val="18"/>
                <w:szCs w:val="18"/>
              </w:rPr>
              <w:t>681 </w:t>
            </w:r>
          </w:p>
        </w:tc>
        <w:tc>
          <w:tcPr>
            <w:tcW w:w="0" w:type="auto"/>
            <w:shd w:val="clear" w:color="auto" w:fill="FFFFFF"/>
            <w:tcMar>
              <w:top w:w="40" w:type="dxa"/>
              <w:left w:w="0" w:type="dxa"/>
              <w:bottom w:w="40" w:type="dxa"/>
              <w:right w:w="20" w:type="dxa"/>
            </w:tcMar>
            <w:vAlign w:val="bottom"/>
          </w:tcPr>
          <w:p w14:paraId="7268DCD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CD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CD9" w14:textId="77777777" w:rsidR="005F762A" w:rsidRDefault="00D74111">
            <w:pPr>
              <w:jc w:val="right"/>
              <w:textAlignment w:val="bottom"/>
            </w:pPr>
            <w:r>
              <w:rPr>
                <w:rFonts w:ascii="Arial" w:eastAsia="宋体" w:hAnsi="Arial" w:cs="Arial"/>
                <w:color w:val="000000"/>
                <w:sz w:val="18"/>
                <w:szCs w:val="18"/>
              </w:rPr>
              <w:t>753 </w:t>
            </w:r>
          </w:p>
        </w:tc>
        <w:tc>
          <w:tcPr>
            <w:tcW w:w="0" w:type="auto"/>
            <w:shd w:val="clear" w:color="auto" w:fill="FFFFFF"/>
            <w:tcMar>
              <w:top w:w="40" w:type="dxa"/>
              <w:left w:w="0" w:type="dxa"/>
              <w:bottom w:w="40" w:type="dxa"/>
              <w:right w:w="20" w:type="dxa"/>
            </w:tcMar>
            <w:vAlign w:val="bottom"/>
          </w:tcPr>
          <w:p w14:paraId="7268DCDA" w14:textId="77777777" w:rsidR="005F762A" w:rsidRDefault="005F762A">
            <w:pPr>
              <w:jc w:val="right"/>
              <w:rPr>
                <w:rFonts w:ascii="宋体"/>
              </w:rPr>
            </w:pPr>
          </w:p>
        </w:tc>
      </w:tr>
      <w:tr w:rsidR="005F762A" w14:paraId="7268DCE6" w14:textId="77777777">
        <w:trPr>
          <w:jc w:val="center"/>
        </w:trPr>
        <w:tc>
          <w:tcPr>
            <w:tcW w:w="0" w:type="auto"/>
            <w:gridSpan w:val="3"/>
            <w:shd w:val="clear" w:color="auto" w:fill="E2E2E2"/>
            <w:tcMar>
              <w:top w:w="40" w:type="dxa"/>
              <w:left w:w="515" w:type="dxa"/>
              <w:bottom w:w="40" w:type="dxa"/>
              <w:right w:w="20" w:type="dxa"/>
            </w:tcMar>
            <w:vAlign w:val="bottom"/>
          </w:tcPr>
          <w:p w14:paraId="7268DCDC" w14:textId="77777777" w:rsidR="005F762A" w:rsidRDefault="00D74111">
            <w:pPr>
              <w:textAlignment w:val="bottom"/>
            </w:pPr>
            <w:r>
              <w:rPr>
                <w:rFonts w:ascii="Arial" w:eastAsia="宋体" w:hAnsi="Arial" w:cs="Arial"/>
                <w:color w:val="000000"/>
                <w:sz w:val="18"/>
                <w:szCs w:val="18"/>
              </w:rPr>
              <w:t>Diluted</w:t>
            </w:r>
          </w:p>
        </w:tc>
        <w:tc>
          <w:tcPr>
            <w:tcW w:w="0" w:type="auto"/>
            <w:shd w:val="clear" w:color="auto" w:fill="auto"/>
          </w:tcPr>
          <w:p w14:paraId="7268DCDD" w14:textId="77777777" w:rsidR="005F762A" w:rsidRDefault="005F762A">
            <w:pPr>
              <w:rPr>
                <w:rFonts w:ascii="宋体"/>
                <w:vanish/>
              </w:rPr>
            </w:pPr>
          </w:p>
        </w:tc>
        <w:tc>
          <w:tcPr>
            <w:tcW w:w="0" w:type="auto"/>
            <w:shd w:val="clear" w:color="auto" w:fill="auto"/>
          </w:tcPr>
          <w:p w14:paraId="7268DCDE" w14:textId="77777777" w:rsidR="005F762A" w:rsidRDefault="005F762A">
            <w:pPr>
              <w:rPr>
                <w:rFonts w:ascii="宋体"/>
                <w:vanish/>
              </w:rPr>
            </w:pPr>
          </w:p>
        </w:tc>
        <w:tc>
          <w:tcPr>
            <w:tcW w:w="0" w:type="auto"/>
            <w:shd w:val="clear" w:color="auto" w:fill="auto"/>
          </w:tcPr>
          <w:p w14:paraId="7268DCDF"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CE0" w14:textId="77777777" w:rsidR="005F762A" w:rsidRDefault="005F762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7268DCE1" w14:textId="77777777" w:rsidR="005F762A" w:rsidRDefault="00D74111">
            <w:pPr>
              <w:jc w:val="right"/>
              <w:textAlignment w:val="bottom"/>
            </w:pPr>
            <w:r>
              <w:rPr>
                <w:rFonts w:ascii="Arial" w:eastAsia="宋体" w:hAnsi="Arial" w:cs="Arial"/>
                <w:color w:val="000000"/>
                <w:sz w:val="18"/>
                <w:szCs w:val="18"/>
              </w:rPr>
              <w:t>693 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7268DCE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CE3" w14:textId="77777777" w:rsidR="005F762A" w:rsidRDefault="005F762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7268DCE4" w14:textId="77777777" w:rsidR="005F762A" w:rsidRDefault="00D74111">
            <w:pPr>
              <w:jc w:val="right"/>
              <w:textAlignment w:val="bottom"/>
            </w:pPr>
            <w:r>
              <w:rPr>
                <w:rFonts w:ascii="Arial" w:eastAsia="宋体" w:hAnsi="Arial" w:cs="Arial"/>
                <w:color w:val="000000"/>
                <w:sz w:val="18"/>
                <w:szCs w:val="18"/>
              </w:rPr>
              <w:t>757 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7268DCE5" w14:textId="77777777" w:rsidR="005F762A" w:rsidRDefault="005F762A">
            <w:pPr>
              <w:jc w:val="right"/>
              <w:rPr>
                <w:rFonts w:ascii="宋体"/>
              </w:rPr>
            </w:pPr>
          </w:p>
        </w:tc>
      </w:tr>
    </w:tbl>
    <w:p w14:paraId="7268DCE7" w14:textId="77777777" w:rsidR="005F762A" w:rsidRDefault="005F762A">
      <w:pPr>
        <w:jc w:val="center"/>
      </w:pPr>
    </w:p>
    <w:p w14:paraId="7268DCE8" w14:textId="77777777" w:rsidR="005F762A" w:rsidRDefault="00D74111">
      <w:pPr>
        <w:jc w:val="center"/>
      </w:pPr>
      <w:r>
        <w:rPr>
          <w:rFonts w:ascii="Arial" w:eastAsia="宋体" w:hAnsi="Arial" w:cs="Arial"/>
          <w:color w:val="000000"/>
          <w:sz w:val="18"/>
          <w:szCs w:val="18"/>
        </w:rPr>
        <w:t xml:space="preserve">The accompanying notes are an integral part of these condensed consolidated financial statements. </w:t>
      </w:r>
    </w:p>
    <w:p w14:paraId="7268DCE9" w14:textId="77777777" w:rsidR="005F762A" w:rsidRDefault="005F762A">
      <w:pPr>
        <w:jc w:val="center"/>
      </w:pPr>
    </w:p>
    <w:p w14:paraId="7268DCEA" w14:textId="77777777" w:rsidR="005F762A" w:rsidRDefault="005F762A">
      <w:pPr>
        <w:jc w:val="center"/>
      </w:pPr>
    </w:p>
    <w:p w14:paraId="7268DCEB" w14:textId="77777777" w:rsidR="005F762A" w:rsidRDefault="00D74111">
      <w:pPr>
        <w:jc w:val="center"/>
      </w:pPr>
      <w:r>
        <w:rPr>
          <w:rFonts w:ascii="Arial" w:eastAsia="宋体" w:hAnsi="Arial" w:cs="Arial"/>
          <w:color w:val="000000"/>
          <w:sz w:val="20"/>
          <w:szCs w:val="20"/>
        </w:rPr>
        <w:t>3</w:t>
      </w:r>
    </w:p>
    <w:p w14:paraId="7268DCEC" w14:textId="77777777" w:rsidR="005F762A" w:rsidRDefault="00D74111">
      <w:r>
        <w:pict w14:anchorId="72690142">
          <v:rect id="_x0000_i1027" style="width:415.3pt;height:1.5pt" o:hralign="center" o:hrstd="t" o:hr="t" fillcolor="#a0a0a0" stroked="f"/>
        </w:pict>
      </w:r>
    </w:p>
    <w:p w14:paraId="7268DCED" w14:textId="77777777" w:rsidR="005F762A" w:rsidRDefault="005F762A"/>
    <w:p w14:paraId="7268DCEE" w14:textId="77777777" w:rsidR="005F762A" w:rsidRDefault="00D74111">
      <w:pPr>
        <w:jc w:val="center"/>
      </w:pPr>
      <w:r>
        <w:rPr>
          <w:rFonts w:ascii="Arial" w:eastAsia="宋体" w:hAnsi="Arial" w:cs="Arial"/>
          <w:b/>
          <w:bCs/>
          <w:color w:val="000000"/>
          <w:sz w:val="20"/>
          <w:szCs w:val="20"/>
        </w:rPr>
        <w:t>eBay Inc.</w:t>
      </w:r>
    </w:p>
    <w:p w14:paraId="7268DCEF" w14:textId="77777777" w:rsidR="005F762A" w:rsidRDefault="00D74111">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69"/>
        <w:gridCol w:w="38"/>
        <w:gridCol w:w="36"/>
        <w:gridCol w:w="46"/>
        <w:gridCol w:w="36"/>
        <w:gridCol w:w="36"/>
        <w:gridCol w:w="36"/>
        <w:gridCol w:w="36"/>
        <w:gridCol w:w="121"/>
        <w:gridCol w:w="869"/>
        <w:gridCol w:w="36"/>
        <w:gridCol w:w="36"/>
        <w:gridCol w:w="36"/>
        <w:gridCol w:w="36"/>
        <w:gridCol w:w="121"/>
        <w:gridCol w:w="872"/>
        <w:gridCol w:w="36"/>
      </w:tblGrid>
      <w:tr w:rsidR="005F762A" w14:paraId="7268DD02" w14:textId="77777777">
        <w:trPr>
          <w:jc w:val="center"/>
        </w:trPr>
        <w:tc>
          <w:tcPr>
            <w:tcW w:w="50" w:type="pct"/>
            <w:shd w:val="clear" w:color="auto" w:fill="auto"/>
          </w:tcPr>
          <w:p w14:paraId="7268DCF0" w14:textId="77777777" w:rsidR="005F762A" w:rsidRDefault="005F762A">
            <w:pPr>
              <w:rPr>
                <w:rFonts w:ascii="宋体"/>
              </w:rPr>
            </w:pPr>
          </w:p>
        </w:tc>
        <w:tc>
          <w:tcPr>
            <w:tcW w:w="3599" w:type="pct"/>
            <w:shd w:val="clear" w:color="auto" w:fill="auto"/>
          </w:tcPr>
          <w:p w14:paraId="7268DCF1" w14:textId="77777777" w:rsidR="005F762A" w:rsidRDefault="005F762A">
            <w:pPr>
              <w:rPr>
                <w:rFonts w:ascii="宋体"/>
              </w:rPr>
            </w:pPr>
          </w:p>
        </w:tc>
        <w:tc>
          <w:tcPr>
            <w:tcW w:w="5" w:type="pct"/>
            <w:shd w:val="clear" w:color="auto" w:fill="auto"/>
          </w:tcPr>
          <w:p w14:paraId="7268DCF2" w14:textId="77777777" w:rsidR="005F762A" w:rsidRDefault="005F762A">
            <w:pPr>
              <w:rPr>
                <w:rFonts w:ascii="宋体"/>
              </w:rPr>
            </w:pPr>
          </w:p>
        </w:tc>
        <w:tc>
          <w:tcPr>
            <w:tcW w:w="0" w:type="auto"/>
            <w:shd w:val="clear" w:color="auto" w:fill="auto"/>
          </w:tcPr>
          <w:p w14:paraId="7268DCF3" w14:textId="77777777" w:rsidR="005F762A" w:rsidRDefault="005F762A">
            <w:pPr>
              <w:rPr>
                <w:rFonts w:ascii="宋体"/>
                <w:vanish/>
              </w:rPr>
            </w:pPr>
          </w:p>
        </w:tc>
        <w:tc>
          <w:tcPr>
            <w:tcW w:w="0" w:type="auto"/>
            <w:shd w:val="clear" w:color="auto" w:fill="auto"/>
          </w:tcPr>
          <w:p w14:paraId="7268DCF4" w14:textId="77777777" w:rsidR="005F762A" w:rsidRDefault="005F762A">
            <w:pPr>
              <w:rPr>
                <w:rFonts w:ascii="宋体"/>
                <w:vanish/>
              </w:rPr>
            </w:pPr>
          </w:p>
        </w:tc>
        <w:tc>
          <w:tcPr>
            <w:tcW w:w="0" w:type="auto"/>
            <w:shd w:val="clear" w:color="auto" w:fill="auto"/>
          </w:tcPr>
          <w:p w14:paraId="7268DCF5" w14:textId="77777777" w:rsidR="005F762A" w:rsidRDefault="005F762A">
            <w:pPr>
              <w:rPr>
                <w:rFonts w:ascii="宋体"/>
                <w:vanish/>
              </w:rPr>
            </w:pPr>
          </w:p>
        </w:tc>
        <w:tc>
          <w:tcPr>
            <w:tcW w:w="5" w:type="pct"/>
            <w:shd w:val="clear" w:color="auto" w:fill="auto"/>
          </w:tcPr>
          <w:p w14:paraId="7268DCF6" w14:textId="77777777" w:rsidR="005F762A" w:rsidRDefault="005F762A">
            <w:pPr>
              <w:rPr>
                <w:rFonts w:ascii="宋体"/>
              </w:rPr>
            </w:pPr>
          </w:p>
        </w:tc>
        <w:tc>
          <w:tcPr>
            <w:tcW w:w="26" w:type="pct"/>
            <w:shd w:val="clear" w:color="auto" w:fill="auto"/>
          </w:tcPr>
          <w:p w14:paraId="7268DCF7" w14:textId="77777777" w:rsidR="005F762A" w:rsidRDefault="005F762A">
            <w:pPr>
              <w:rPr>
                <w:rFonts w:ascii="宋体"/>
              </w:rPr>
            </w:pPr>
          </w:p>
        </w:tc>
        <w:tc>
          <w:tcPr>
            <w:tcW w:w="5" w:type="pct"/>
            <w:shd w:val="clear" w:color="auto" w:fill="auto"/>
          </w:tcPr>
          <w:p w14:paraId="7268DCF8" w14:textId="77777777" w:rsidR="005F762A" w:rsidRDefault="005F762A">
            <w:pPr>
              <w:rPr>
                <w:rFonts w:ascii="宋体"/>
              </w:rPr>
            </w:pPr>
          </w:p>
        </w:tc>
        <w:tc>
          <w:tcPr>
            <w:tcW w:w="50" w:type="pct"/>
            <w:shd w:val="clear" w:color="auto" w:fill="auto"/>
          </w:tcPr>
          <w:p w14:paraId="7268DCF9" w14:textId="77777777" w:rsidR="005F762A" w:rsidRDefault="005F762A">
            <w:pPr>
              <w:rPr>
                <w:rFonts w:ascii="宋体"/>
              </w:rPr>
            </w:pPr>
          </w:p>
        </w:tc>
        <w:tc>
          <w:tcPr>
            <w:tcW w:w="580" w:type="pct"/>
            <w:shd w:val="clear" w:color="auto" w:fill="auto"/>
          </w:tcPr>
          <w:p w14:paraId="7268DCFA" w14:textId="77777777" w:rsidR="005F762A" w:rsidRDefault="005F762A">
            <w:pPr>
              <w:rPr>
                <w:rFonts w:ascii="宋体"/>
              </w:rPr>
            </w:pPr>
          </w:p>
        </w:tc>
        <w:tc>
          <w:tcPr>
            <w:tcW w:w="5" w:type="pct"/>
            <w:shd w:val="clear" w:color="auto" w:fill="auto"/>
          </w:tcPr>
          <w:p w14:paraId="7268DCFB" w14:textId="77777777" w:rsidR="005F762A" w:rsidRDefault="005F762A">
            <w:pPr>
              <w:rPr>
                <w:rFonts w:ascii="宋体"/>
              </w:rPr>
            </w:pPr>
          </w:p>
        </w:tc>
        <w:tc>
          <w:tcPr>
            <w:tcW w:w="5" w:type="pct"/>
            <w:shd w:val="clear" w:color="auto" w:fill="auto"/>
          </w:tcPr>
          <w:p w14:paraId="7268DCFC" w14:textId="77777777" w:rsidR="005F762A" w:rsidRDefault="005F762A">
            <w:pPr>
              <w:rPr>
                <w:rFonts w:ascii="宋体"/>
              </w:rPr>
            </w:pPr>
          </w:p>
        </w:tc>
        <w:tc>
          <w:tcPr>
            <w:tcW w:w="26" w:type="pct"/>
            <w:shd w:val="clear" w:color="auto" w:fill="auto"/>
          </w:tcPr>
          <w:p w14:paraId="7268DCFD" w14:textId="77777777" w:rsidR="005F762A" w:rsidRDefault="005F762A">
            <w:pPr>
              <w:rPr>
                <w:rFonts w:ascii="宋体"/>
              </w:rPr>
            </w:pPr>
          </w:p>
        </w:tc>
        <w:tc>
          <w:tcPr>
            <w:tcW w:w="5" w:type="pct"/>
            <w:shd w:val="clear" w:color="auto" w:fill="auto"/>
          </w:tcPr>
          <w:p w14:paraId="7268DCFE" w14:textId="77777777" w:rsidR="005F762A" w:rsidRDefault="005F762A">
            <w:pPr>
              <w:rPr>
                <w:rFonts w:ascii="宋体"/>
              </w:rPr>
            </w:pPr>
          </w:p>
        </w:tc>
        <w:tc>
          <w:tcPr>
            <w:tcW w:w="50" w:type="pct"/>
            <w:shd w:val="clear" w:color="auto" w:fill="auto"/>
          </w:tcPr>
          <w:p w14:paraId="7268DCFF" w14:textId="77777777" w:rsidR="005F762A" w:rsidRDefault="005F762A">
            <w:pPr>
              <w:rPr>
                <w:rFonts w:ascii="宋体"/>
              </w:rPr>
            </w:pPr>
          </w:p>
        </w:tc>
        <w:tc>
          <w:tcPr>
            <w:tcW w:w="581" w:type="pct"/>
            <w:shd w:val="clear" w:color="auto" w:fill="auto"/>
          </w:tcPr>
          <w:p w14:paraId="7268DD00" w14:textId="77777777" w:rsidR="005F762A" w:rsidRDefault="005F762A">
            <w:pPr>
              <w:rPr>
                <w:rFonts w:ascii="宋体"/>
              </w:rPr>
            </w:pPr>
          </w:p>
        </w:tc>
        <w:tc>
          <w:tcPr>
            <w:tcW w:w="5" w:type="pct"/>
            <w:shd w:val="clear" w:color="auto" w:fill="auto"/>
          </w:tcPr>
          <w:p w14:paraId="7268DD01" w14:textId="77777777" w:rsidR="005F762A" w:rsidRDefault="005F762A">
            <w:pPr>
              <w:rPr>
                <w:rFonts w:ascii="宋体"/>
              </w:rPr>
            </w:pPr>
          </w:p>
        </w:tc>
      </w:tr>
      <w:tr w:rsidR="005F762A" w14:paraId="7268DD0D" w14:textId="77777777">
        <w:trPr>
          <w:jc w:val="center"/>
        </w:trPr>
        <w:tc>
          <w:tcPr>
            <w:tcW w:w="0" w:type="auto"/>
            <w:gridSpan w:val="3"/>
            <w:shd w:val="clear" w:color="auto" w:fill="auto"/>
            <w:tcMar>
              <w:top w:w="0" w:type="dxa"/>
              <w:left w:w="20" w:type="dxa"/>
              <w:bottom w:w="0" w:type="dxa"/>
              <w:right w:w="20" w:type="dxa"/>
            </w:tcMar>
          </w:tcPr>
          <w:p w14:paraId="7268DD03" w14:textId="77777777" w:rsidR="005F762A" w:rsidRDefault="005F762A">
            <w:pPr>
              <w:rPr>
                <w:rFonts w:ascii="宋体"/>
              </w:rPr>
            </w:pPr>
          </w:p>
        </w:tc>
        <w:tc>
          <w:tcPr>
            <w:tcW w:w="0" w:type="auto"/>
            <w:shd w:val="clear" w:color="auto" w:fill="auto"/>
          </w:tcPr>
          <w:p w14:paraId="7268DD04"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DD05"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DD06"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DD07" w14:textId="77777777" w:rsidR="005F762A" w:rsidRDefault="005F762A">
            <w:pPr>
              <w:rPr>
                <w:rFonts w:ascii="宋体"/>
              </w:rPr>
            </w:pPr>
          </w:p>
        </w:tc>
        <w:tc>
          <w:tcPr>
            <w:tcW w:w="0" w:type="auto"/>
            <w:shd w:val="clear" w:color="auto" w:fill="auto"/>
          </w:tcPr>
          <w:p w14:paraId="7268DD08" w14:textId="77777777" w:rsidR="005F762A" w:rsidRDefault="005F762A">
            <w:pPr>
              <w:rPr>
                <w:rFonts w:ascii="宋体"/>
              </w:rPr>
            </w:pPr>
          </w:p>
        </w:tc>
        <w:tc>
          <w:tcPr>
            <w:tcW w:w="0" w:type="auto"/>
            <w:shd w:val="clear" w:color="auto" w:fill="auto"/>
          </w:tcPr>
          <w:p w14:paraId="7268DD09" w14:textId="77777777" w:rsidR="005F762A" w:rsidRDefault="005F762A">
            <w:pPr>
              <w:rPr>
                <w:rFonts w:ascii="宋体"/>
              </w:rPr>
            </w:pPr>
          </w:p>
        </w:tc>
        <w:tc>
          <w:tcPr>
            <w:tcW w:w="0" w:type="auto"/>
            <w:shd w:val="clear" w:color="auto" w:fill="auto"/>
          </w:tcPr>
          <w:p w14:paraId="7268DD0A" w14:textId="77777777" w:rsidR="005F762A" w:rsidRDefault="005F762A">
            <w:pPr>
              <w:rPr>
                <w:rFonts w:ascii="宋体"/>
              </w:rPr>
            </w:pPr>
          </w:p>
        </w:tc>
        <w:tc>
          <w:tcPr>
            <w:tcW w:w="0" w:type="auto"/>
            <w:shd w:val="clear" w:color="auto" w:fill="auto"/>
          </w:tcPr>
          <w:p w14:paraId="7268DD0B" w14:textId="77777777" w:rsidR="005F762A" w:rsidRDefault="005F762A">
            <w:pPr>
              <w:rPr>
                <w:rFonts w:ascii="宋体"/>
              </w:rPr>
            </w:pPr>
          </w:p>
        </w:tc>
        <w:tc>
          <w:tcPr>
            <w:tcW w:w="0" w:type="auto"/>
            <w:shd w:val="clear" w:color="auto" w:fill="auto"/>
          </w:tcPr>
          <w:p w14:paraId="7268DD0C" w14:textId="77777777" w:rsidR="005F762A" w:rsidRDefault="005F762A">
            <w:pPr>
              <w:rPr>
                <w:rFonts w:ascii="宋体"/>
              </w:rPr>
            </w:pPr>
          </w:p>
        </w:tc>
      </w:tr>
      <w:tr w:rsidR="005F762A" w14:paraId="7268DD16" w14:textId="77777777">
        <w:trPr>
          <w:jc w:val="center"/>
        </w:trPr>
        <w:tc>
          <w:tcPr>
            <w:tcW w:w="0" w:type="auto"/>
            <w:gridSpan w:val="3"/>
            <w:shd w:val="clear" w:color="auto" w:fill="auto"/>
            <w:tcMar>
              <w:top w:w="40" w:type="dxa"/>
              <w:left w:w="20" w:type="dxa"/>
              <w:bottom w:w="40" w:type="dxa"/>
              <w:right w:w="20" w:type="dxa"/>
            </w:tcMar>
            <w:vAlign w:val="bottom"/>
          </w:tcPr>
          <w:p w14:paraId="7268DD0E" w14:textId="77777777" w:rsidR="005F762A" w:rsidRDefault="00D74111">
            <w:pPr>
              <w:jc w:val="center"/>
              <w:textAlignment w:val="bottom"/>
            </w:pPr>
            <w:r>
              <w:rPr>
                <w:rFonts w:ascii="Arial" w:eastAsia="宋体" w:hAnsi="Arial" w:cs="Arial"/>
                <w:b/>
                <w:bCs/>
                <w:color w:val="000000"/>
                <w:sz w:val="16"/>
                <w:szCs w:val="16"/>
              </w:rPr>
              <w:t> </w:t>
            </w:r>
          </w:p>
        </w:tc>
        <w:tc>
          <w:tcPr>
            <w:tcW w:w="0" w:type="auto"/>
            <w:shd w:val="clear" w:color="auto" w:fill="auto"/>
          </w:tcPr>
          <w:p w14:paraId="7268DD0F" w14:textId="77777777" w:rsidR="005F762A" w:rsidRDefault="005F762A">
            <w:pPr>
              <w:rPr>
                <w:rFonts w:ascii="宋体"/>
                <w:vanish/>
              </w:rPr>
            </w:pPr>
          </w:p>
        </w:tc>
        <w:tc>
          <w:tcPr>
            <w:tcW w:w="0" w:type="auto"/>
            <w:shd w:val="clear" w:color="auto" w:fill="auto"/>
          </w:tcPr>
          <w:p w14:paraId="7268DD10" w14:textId="77777777" w:rsidR="005F762A" w:rsidRDefault="005F762A">
            <w:pPr>
              <w:rPr>
                <w:rFonts w:ascii="宋体"/>
                <w:vanish/>
              </w:rPr>
            </w:pPr>
          </w:p>
        </w:tc>
        <w:tc>
          <w:tcPr>
            <w:tcW w:w="0" w:type="auto"/>
            <w:shd w:val="clear" w:color="auto" w:fill="auto"/>
          </w:tcPr>
          <w:p w14:paraId="7268DD11"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DD12"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D13"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DD14"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D15"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DD1C" w14:textId="77777777">
        <w:trPr>
          <w:jc w:val="center"/>
        </w:trPr>
        <w:tc>
          <w:tcPr>
            <w:tcW w:w="0" w:type="auto"/>
            <w:gridSpan w:val="3"/>
            <w:shd w:val="clear" w:color="auto" w:fill="auto"/>
            <w:tcMar>
              <w:top w:w="40" w:type="dxa"/>
              <w:left w:w="20" w:type="dxa"/>
              <w:bottom w:w="40" w:type="dxa"/>
              <w:right w:w="20" w:type="dxa"/>
            </w:tcMar>
            <w:vAlign w:val="bottom"/>
          </w:tcPr>
          <w:p w14:paraId="7268DD17" w14:textId="77777777" w:rsidR="005F762A" w:rsidRDefault="00D74111">
            <w:pPr>
              <w:jc w:val="center"/>
              <w:textAlignment w:val="bottom"/>
            </w:pPr>
            <w:r>
              <w:rPr>
                <w:rFonts w:ascii="Arial" w:eastAsia="宋体" w:hAnsi="Arial" w:cs="Arial"/>
                <w:b/>
                <w:bCs/>
                <w:color w:val="000000"/>
                <w:sz w:val="16"/>
                <w:szCs w:val="16"/>
              </w:rPr>
              <w:t> </w:t>
            </w:r>
          </w:p>
        </w:tc>
        <w:tc>
          <w:tcPr>
            <w:tcW w:w="0" w:type="auto"/>
            <w:shd w:val="clear" w:color="auto" w:fill="auto"/>
          </w:tcPr>
          <w:p w14:paraId="7268DD18" w14:textId="77777777" w:rsidR="005F762A" w:rsidRDefault="005F762A">
            <w:pPr>
              <w:rPr>
                <w:rFonts w:ascii="宋体"/>
                <w:vanish/>
              </w:rPr>
            </w:pPr>
          </w:p>
        </w:tc>
        <w:tc>
          <w:tcPr>
            <w:tcW w:w="0" w:type="auto"/>
            <w:shd w:val="clear" w:color="auto" w:fill="auto"/>
          </w:tcPr>
          <w:p w14:paraId="7268DD19" w14:textId="77777777" w:rsidR="005F762A" w:rsidRDefault="005F762A">
            <w:pPr>
              <w:rPr>
                <w:rFonts w:ascii="宋体"/>
                <w:vanish/>
              </w:rPr>
            </w:pPr>
          </w:p>
        </w:tc>
        <w:tc>
          <w:tcPr>
            <w:tcW w:w="0" w:type="auto"/>
            <w:shd w:val="clear" w:color="auto" w:fill="auto"/>
          </w:tcPr>
          <w:p w14:paraId="7268DD1A"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D1B" w14:textId="77777777" w:rsidR="005F762A" w:rsidRDefault="00D74111">
            <w:pPr>
              <w:jc w:val="center"/>
              <w:textAlignment w:val="bottom"/>
            </w:pPr>
            <w:r>
              <w:rPr>
                <w:rFonts w:ascii="Arial" w:eastAsia="宋体" w:hAnsi="Arial" w:cs="Arial"/>
                <w:b/>
                <w:bCs/>
                <w:color w:val="000000"/>
                <w:sz w:val="16"/>
                <w:szCs w:val="16"/>
              </w:rPr>
              <w:t>(In millions)</w:t>
            </w:r>
          </w:p>
        </w:tc>
      </w:tr>
      <w:tr w:rsidR="005F762A" w14:paraId="7268DD22" w14:textId="77777777">
        <w:trPr>
          <w:jc w:val="center"/>
        </w:trPr>
        <w:tc>
          <w:tcPr>
            <w:tcW w:w="0" w:type="auto"/>
            <w:gridSpan w:val="3"/>
            <w:shd w:val="clear" w:color="auto" w:fill="auto"/>
            <w:tcMar>
              <w:top w:w="40" w:type="dxa"/>
              <w:left w:w="20" w:type="dxa"/>
              <w:bottom w:w="40" w:type="dxa"/>
              <w:right w:w="20" w:type="dxa"/>
            </w:tcMar>
            <w:vAlign w:val="bottom"/>
          </w:tcPr>
          <w:p w14:paraId="7268DD1D" w14:textId="77777777" w:rsidR="005F762A" w:rsidRDefault="00D74111">
            <w:pPr>
              <w:jc w:val="center"/>
              <w:textAlignment w:val="bottom"/>
            </w:pPr>
            <w:r>
              <w:rPr>
                <w:rFonts w:ascii="Arial" w:eastAsia="宋体" w:hAnsi="Arial" w:cs="Arial"/>
                <w:b/>
                <w:bCs/>
                <w:color w:val="000000"/>
                <w:sz w:val="16"/>
                <w:szCs w:val="16"/>
              </w:rPr>
              <w:t> </w:t>
            </w:r>
          </w:p>
        </w:tc>
        <w:tc>
          <w:tcPr>
            <w:tcW w:w="0" w:type="auto"/>
            <w:shd w:val="clear" w:color="auto" w:fill="auto"/>
          </w:tcPr>
          <w:p w14:paraId="7268DD1E" w14:textId="77777777" w:rsidR="005F762A" w:rsidRDefault="005F762A">
            <w:pPr>
              <w:rPr>
                <w:rFonts w:ascii="宋体"/>
                <w:vanish/>
              </w:rPr>
            </w:pPr>
          </w:p>
        </w:tc>
        <w:tc>
          <w:tcPr>
            <w:tcW w:w="0" w:type="auto"/>
            <w:shd w:val="clear" w:color="auto" w:fill="auto"/>
          </w:tcPr>
          <w:p w14:paraId="7268DD1F" w14:textId="77777777" w:rsidR="005F762A" w:rsidRDefault="005F762A">
            <w:pPr>
              <w:rPr>
                <w:rFonts w:ascii="宋体"/>
                <w:vanish/>
              </w:rPr>
            </w:pPr>
          </w:p>
        </w:tc>
        <w:tc>
          <w:tcPr>
            <w:tcW w:w="0" w:type="auto"/>
            <w:shd w:val="clear" w:color="auto" w:fill="auto"/>
          </w:tcPr>
          <w:p w14:paraId="7268DD20"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D21" w14:textId="77777777" w:rsidR="005F762A" w:rsidRDefault="00D74111">
            <w:pPr>
              <w:jc w:val="center"/>
              <w:textAlignment w:val="bottom"/>
            </w:pPr>
            <w:r>
              <w:rPr>
                <w:rFonts w:ascii="Arial" w:eastAsia="宋体" w:hAnsi="Arial" w:cs="Arial"/>
                <w:b/>
                <w:bCs/>
                <w:color w:val="000000"/>
                <w:sz w:val="16"/>
                <w:szCs w:val="16"/>
              </w:rPr>
              <w:t>(Unaudited)</w:t>
            </w:r>
          </w:p>
        </w:tc>
      </w:tr>
      <w:tr w:rsidR="005F762A" w14:paraId="7268DD2F" w14:textId="77777777">
        <w:trPr>
          <w:jc w:val="center"/>
        </w:trPr>
        <w:tc>
          <w:tcPr>
            <w:tcW w:w="0" w:type="auto"/>
            <w:gridSpan w:val="3"/>
            <w:shd w:val="clear" w:color="auto" w:fill="E2E2E2"/>
            <w:tcMar>
              <w:top w:w="40" w:type="dxa"/>
              <w:left w:w="20" w:type="dxa"/>
              <w:bottom w:w="40" w:type="dxa"/>
              <w:right w:w="20" w:type="dxa"/>
            </w:tcMar>
            <w:vAlign w:val="bottom"/>
          </w:tcPr>
          <w:p w14:paraId="7268DD23" w14:textId="77777777" w:rsidR="005F762A" w:rsidRDefault="00D74111">
            <w:pPr>
              <w:textAlignment w:val="bottom"/>
            </w:pPr>
            <w:r>
              <w:rPr>
                <w:rFonts w:ascii="Arial" w:eastAsia="宋体" w:hAnsi="Arial" w:cs="Arial"/>
                <w:color w:val="000000"/>
                <w:sz w:val="18"/>
                <w:szCs w:val="18"/>
              </w:rPr>
              <w:t>Net income</w:t>
            </w:r>
          </w:p>
        </w:tc>
        <w:tc>
          <w:tcPr>
            <w:tcW w:w="0" w:type="auto"/>
            <w:shd w:val="clear" w:color="auto" w:fill="auto"/>
          </w:tcPr>
          <w:p w14:paraId="7268DD24" w14:textId="77777777" w:rsidR="005F762A" w:rsidRDefault="005F762A">
            <w:pPr>
              <w:rPr>
                <w:rFonts w:ascii="宋体"/>
                <w:vanish/>
              </w:rPr>
            </w:pPr>
          </w:p>
        </w:tc>
        <w:tc>
          <w:tcPr>
            <w:tcW w:w="0" w:type="auto"/>
            <w:shd w:val="clear" w:color="auto" w:fill="auto"/>
          </w:tcPr>
          <w:p w14:paraId="7268DD25" w14:textId="77777777" w:rsidR="005F762A" w:rsidRDefault="005F762A">
            <w:pPr>
              <w:rPr>
                <w:rFonts w:ascii="宋体"/>
                <w:vanish/>
              </w:rPr>
            </w:pPr>
          </w:p>
        </w:tc>
        <w:tc>
          <w:tcPr>
            <w:tcW w:w="0" w:type="auto"/>
            <w:shd w:val="clear" w:color="auto" w:fill="auto"/>
          </w:tcPr>
          <w:p w14:paraId="7268DD26"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27"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D2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D29" w14:textId="77777777" w:rsidR="005F762A" w:rsidRDefault="00D74111">
            <w:pPr>
              <w:jc w:val="right"/>
              <w:textAlignment w:val="bottom"/>
            </w:pPr>
            <w:r>
              <w:rPr>
                <w:rFonts w:ascii="Arial" w:eastAsia="宋体" w:hAnsi="Arial" w:cs="Arial"/>
                <w:color w:val="000000"/>
                <w:sz w:val="18"/>
                <w:szCs w:val="18"/>
              </w:rPr>
              <w:t>641 </w:t>
            </w:r>
          </w:p>
        </w:tc>
        <w:tc>
          <w:tcPr>
            <w:tcW w:w="0" w:type="auto"/>
            <w:shd w:val="clear" w:color="auto" w:fill="E2E2E2"/>
            <w:tcMar>
              <w:top w:w="40" w:type="dxa"/>
              <w:left w:w="0" w:type="dxa"/>
              <w:bottom w:w="40" w:type="dxa"/>
              <w:right w:w="20" w:type="dxa"/>
            </w:tcMar>
            <w:vAlign w:val="bottom"/>
          </w:tcPr>
          <w:p w14:paraId="7268DD2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2B"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DD2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DD2D" w14:textId="77777777" w:rsidR="005F762A" w:rsidRDefault="00D74111">
            <w:pPr>
              <w:jc w:val="right"/>
              <w:textAlignment w:val="bottom"/>
            </w:pPr>
            <w:r>
              <w:rPr>
                <w:rFonts w:ascii="Arial" w:eastAsia="宋体" w:hAnsi="Arial" w:cs="Arial"/>
                <w:color w:val="000000"/>
                <w:sz w:val="18"/>
                <w:szCs w:val="18"/>
              </w:rPr>
              <w:t>3,412 </w:t>
            </w:r>
          </w:p>
        </w:tc>
        <w:tc>
          <w:tcPr>
            <w:tcW w:w="0" w:type="auto"/>
            <w:shd w:val="clear" w:color="auto" w:fill="E2E2E2"/>
            <w:tcMar>
              <w:top w:w="40" w:type="dxa"/>
              <w:left w:w="0" w:type="dxa"/>
              <w:bottom w:w="40" w:type="dxa"/>
              <w:right w:w="20" w:type="dxa"/>
            </w:tcMar>
            <w:vAlign w:val="bottom"/>
          </w:tcPr>
          <w:p w14:paraId="7268DD2E" w14:textId="77777777" w:rsidR="005F762A" w:rsidRDefault="005F762A">
            <w:pPr>
              <w:jc w:val="right"/>
              <w:rPr>
                <w:rFonts w:ascii="宋体"/>
              </w:rPr>
            </w:pPr>
          </w:p>
        </w:tc>
      </w:tr>
      <w:tr w:rsidR="005F762A" w14:paraId="7268DD38" w14:textId="77777777">
        <w:trPr>
          <w:jc w:val="center"/>
        </w:trPr>
        <w:tc>
          <w:tcPr>
            <w:tcW w:w="0" w:type="auto"/>
            <w:gridSpan w:val="3"/>
            <w:shd w:val="clear" w:color="auto" w:fill="FFFFFF"/>
            <w:tcMar>
              <w:top w:w="40" w:type="dxa"/>
              <w:left w:w="20" w:type="dxa"/>
              <w:bottom w:w="40" w:type="dxa"/>
              <w:right w:w="20" w:type="dxa"/>
            </w:tcMar>
            <w:vAlign w:val="bottom"/>
          </w:tcPr>
          <w:p w14:paraId="7268DD30" w14:textId="77777777" w:rsidR="005F762A" w:rsidRDefault="00D74111">
            <w:pPr>
              <w:textAlignment w:val="bottom"/>
            </w:pPr>
            <w:r>
              <w:rPr>
                <w:rFonts w:ascii="Arial" w:eastAsia="宋体" w:hAnsi="Arial" w:cs="Arial"/>
                <w:color w:val="000000"/>
                <w:sz w:val="18"/>
                <w:szCs w:val="18"/>
              </w:rPr>
              <w:t>Other comprehensive income (loss), net of reclassification adjustments:</w:t>
            </w:r>
          </w:p>
        </w:tc>
        <w:tc>
          <w:tcPr>
            <w:tcW w:w="0" w:type="auto"/>
            <w:shd w:val="clear" w:color="auto" w:fill="auto"/>
          </w:tcPr>
          <w:p w14:paraId="7268DD31" w14:textId="77777777" w:rsidR="005F762A" w:rsidRDefault="005F762A">
            <w:pPr>
              <w:rPr>
                <w:rFonts w:ascii="宋体"/>
                <w:vanish/>
              </w:rPr>
            </w:pPr>
          </w:p>
        </w:tc>
        <w:tc>
          <w:tcPr>
            <w:tcW w:w="0" w:type="auto"/>
            <w:shd w:val="clear" w:color="auto" w:fill="auto"/>
          </w:tcPr>
          <w:p w14:paraId="7268DD32" w14:textId="77777777" w:rsidR="005F762A" w:rsidRDefault="005F762A">
            <w:pPr>
              <w:rPr>
                <w:rFonts w:ascii="宋体"/>
                <w:vanish/>
              </w:rPr>
            </w:pPr>
          </w:p>
        </w:tc>
        <w:tc>
          <w:tcPr>
            <w:tcW w:w="0" w:type="auto"/>
            <w:shd w:val="clear" w:color="auto" w:fill="auto"/>
          </w:tcPr>
          <w:p w14:paraId="7268DD3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34"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D3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D36"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D37" w14:textId="77777777" w:rsidR="005F762A" w:rsidRDefault="005F762A">
            <w:pPr>
              <w:rPr>
                <w:rFonts w:ascii="宋体"/>
              </w:rPr>
            </w:pPr>
          </w:p>
        </w:tc>
      </w:tr>
      <w:tr w:rsidR="005F762A" w14:paraId="7268DD43" w14:textId="77777777">
        <w:trPr>
          <w:jc w:val="center"/>
        </w:trPr>
        <w:tc>
          <w:tcPr>
            <w:tcW w:w="0" w:type="auto"/>
            <w:gridSpan w:val="3"/>
            <w:shd w:val="clear" w:color="auto" w:fill="E2E2E2"/>
            <w:tcMar>
              <w:top w:w="40" w:type="dxa"/>
              <w:left w:w="515" w:type="dxa"/>
              <w:bottom w:w="40" w:type="dxa"/>
              <w:right w:w="20" w:type="dxa"/>
            </w:tcMar>
            <w:vAlign w:val="bottom"/>
          </w:tcPr>
          <w:p w14:paraId="7268DD39" w14:textId="77777777" w:rsidR="005F762A" w:rsidRDefault="00D74111">
            <w:pPr>
              <w:textAlignment w:val="bottom"/>
            </w:pPr>
            <w:r>
              <w:rPr>
                <w:rFonts w:ascii="Arial" w:eastAsia="宋体" w:hAnsi="Arial" w:cs="Arial"/>
                <w:color w:val="000000"/>
                <w:sz w:val="18"/>
                <w:szCs w:val="18"/>
              </w:rPr>
              <w:t>Foreign currency translation gains (losses)</w:t>
            </w:r>
          </w:p>
        </w:tc>
        <w:tc>
          <w:tcPr>
            <w:tcW w:w="0" w:type="auto"/>
            <w:shd w:val="clear" w:color="auto" w:fill="auto"/>
          </w:tcPr>
          <w:p w14:paraId="7268DD3A" w14:textId="77777777" w:rsidR="005F762A" w:rsidRDefault="005F762A">
            <w:pPr>
              <w:rPr>
                <w:rFonts w:ascii="宋体"/>
                <w:vanish/>
              </w:rPr>
            </w:pPr>
          </w:p>
        </w:tc>
        <w:tc>
          <w:tcPr>
            <w:tcW w:w="0" w:type="auto"/>
            <w:shd w:val="clear" w:color="auto" w:fill="auto"/>
          </w:tcPr>
          <w:p w14:paraId="7268DD3B" w14:textId="77777777" w:rsidR="005F762A" w:rsidRDefault="005F762A">
            <w:pPr>
              <w:rPr>
                <w:rFonts w:ascii="宋体"/>
                <w:vanish/>
              </w:rPr>
            </w:pPr>
          </w:p>
        </w:tc>
        <w:tc>
          <w:tcPr>
            <w:tcW w:w="0" w:type="auto"/>
            <w:shd w:val="clear" w:color="auto" w:fill="auto"/>
          </w:tcPr>
          <w:p w14:paraId="7268DD3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3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3E" w14:textId="77777777" w:rsidR="005F762A" w:rsidRDefault="00D74111">
            <w:pPr>
              <w:jc w:val="right"/>
              <w:textAlignment w:val="bottom"/>
            </w:pPr>
            <w:r>
              <w:rPr>
                <w:rFonts w:ascii="Arial" w:eastAsia="宋体" w:hAnsi="Arial" w:cs="Arial"/>
                <w:color w:val="000000"/>
                <w:sz w:val="18"/>
                <w:szCs w:val="18"/>
              </w:rPr>
              <w:t>(117)</w:t>
            </w:r>
          </w:p>
        </w:tc>
        <w:tc>
          <w:tcPr>
            <w:tcW w:w="0" w:type="auto"/>
            <w:shd w:val="clear" w:color="auto" w:fill="E2E2E2"/>
            <w:tcMar>
              <w:top w:w="40" w:type="dxa"/>
              <w:left w:w="0" w:type="dxa"/>
              <w:bottom w:w="40" w:type="dxa"/>
              <w:right w:w="20" w:type="dxa"/>
            </w:tcMar>
            <w:vAlign w:val="bottom"/>
          </w:tcPr>
          <w:p w14:paraId="7268DD3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4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41" w14:textId="77777777" w:rsidR="005F762A" w:rsidRDefault="00D74111">
            <w:pPr>
              <w:jc w:val="right"/>
              <w:textAlignment w:val="bottom"/>
            </w:pPr>
            <w:r>
              <w:rPr>
                <w:rFonts w:ascii="Arial" w:eastAsia="宋体" w:hAnsi="Arial" w:cs="Arial"/>
                <w:color w:val="000000"/>
                <w:sz w:val="18"/>
                <w:szCs w:val="18"/>
              </w:rPr>
              <w:t>(113)</w:t>
            </w:r>
          </w:p>
        </w:tc>
        <w:tc>
          <w:tcPr>
            <w:tcW w:w="0" w:type="auto"/>
            <w:shd w:val="clear" w:color="auto" w:fill="E2E2E2"/>
            <w:tcMar>
              <w:top w:w="40" w:type="dxa"/>
              <w:left w:w="0" w:type="dxa"/>
              <w:bottom w:w="40" w:type="dxa"/>
              <w:right w:w="20" w:type="dxa"/>
            </w:tcMar>
            <w:vAlign w:val="bottom"/>
          </w:tcPr>
          <w:p w14:paraId="7268DD42" w14:textId="77777777" w:rsidR="005F762A" w:rsidRDefault="005F762A">
            <w:pPr>
              <w:jc w:val="right"/>
              <w:rPr>
                <w:rFonts w:ascii="宋体"/>
              </w:rPr>
            </w:pPr>
          </w:p>
        </w:tc>
      </w:tr>
      <w:tr w:rsidR="005F762A" w14:paraId="7268DD4E" w14:textId="77777777">
        <w:trPr>
          <w:jc w:val="center"/>
        </w:trPr>
        <w:tc>
          <w:tcPr>
            <w:tcW w:w="0" w:type="auto"/>
            <w:gridSpan w:val="3"/>
            <w:shd w:val="clear" w:color="auto" w:fill="FFFFFF"/>
            <w:tcMar>
              <w:top w:w="40" w:type="dxa"/>
              <w:left w:w="515" w:type="dxa"/>
              <w:bottom w:w="40" w:type="dxa"/>
              <w:right w:w="20" w:type="dxa"/>
            </w:tcMar>
            <w:vAlign w:val="bottom"/>
          </w:tcPr>
          <w:p w14:paraId="7268DD44" w14:textId="77777777" w:rsidR="005F762A" w:rsidRDefault="00D74111">
            <w:pPr>
              <w:textAlignment w:val="bottom"/>
            </w:pPr>
            <w:r>
              <w:rPr>
                <w:rFonts w:ascii="Arial" w:eastAsia="宋体" w:hAnsi="Arial" w:cs="Arial"/>
                <w:color w:val="000000"/>
                <w:sz w:val="18"/>
                <w:szCs w:val="18"/>
              </w:rPr>
              <w:t xml:space="preserve">Unrealized gains (losses) on </w:t>
            </w:r>
            <w:r>
              <w:rPr>
                <w:rFonts w:ascii="Arial" w:eastAsia="宋体" w:hAnsi="Arial" w:cs="Arial"/>
                <w:color w:val="000000"/>
                <w:sz w:val="18"/>
                <w:szCs w:val="18"/>
              </w:rPr>
              <w:t>investments, net</w:t>
            </w:r>
          </w:p>
        </w:tc>
        <w:tc>
          <w:tcPr>
            <w:tcW w:w="0" w:type="auto"/>
            <w:shd w:val="clear" w:color="auto" w:fill="auto"/>
          </w:tcPr>
          <w:p w14:paraId="7268DD45" w14:textId="77777777" w:rsidR="005F762A" w:rsidRDefault="005F762A">
            <w:pPr>
              <w:rPr>
                <w:rFonts w:ascii="宋体"/>
                <w:vanish/>
              </w:rPr>
            </w:pPr>
          </w:p>
        </w:tc>
        <w:tc>
          <w:tcPr>
            <w:tcW w:w="0" w:type="auto"/>
            <w:shd w:val="clear" w:color="auto" w:fill="auto"/>
          </w:tcPr>
          <w:p w14:paraId="7268DD46" w14:textId="77777777" w:rsidR="005F762A" w:rsidRDefault="005F762A">
            <w:pPr>
              <w:rPr>
                <w:rFonts w:ascii="宋体"/>
                <w:vanish/>
              </w:rPr>
            </w:pPr>
          </w:p>
        </w:tc>
        <w:tc>
          <w:tcPr>
            <w:tcW w:w="0" w:type="auto"/>
            <w:shd w:val="clear" w:color="auto" w:fill="auto"/>
          </w:tcPr>
          <w:p w14:paraId="7268DD4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4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49" w14:textId="77777777" w:rsidR="005F762A" w:rsidRDefault="00D74111">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7268DD4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D4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4C" w14:textId="77777777" w:rsidR="005F762A" w:rsidRDefault="00D74111">
            <w:pPr>
              <w:jc w:val="right"/>
              <w:textAlignment w:val="bottom"/>
            </w:pPr>
            <w:r>
              <w:rPr>
                <w:rFonts w:ascii="Arial" w:eastAsia="宋体" w:hAnsi="Arial" w:cs="Arial"/>
                <w:color w:val="000000"/>
                <w:sz w:val="18"/>
                <w:szCs w:val="18"/>
              </w:rPr>
              <w:t>(31)</w:t>
            </w:r>
          </w:p>
        </w:tc>
        <w:tc>
          <w:tcPr>
            <w:tcW w:w="0" w:type="auto"/>
            <w:shd w:val="clear" w:color="auto" w:fill="FFFFFF"/>
            <w:tcMar>
              <w:top w:w="40" w:type="dxa"/>
              <w:left w:w="0" w:type="dxa"/>
              <w:bottom w:w="40" w:type="dxa"/>
              <w:right w:w="20" w:type="dxa"/>
            </w:tcMar>
            <w:vAlign w:val="bottom"/>
          </w:tcPr>
          <w:p w14:paraId="7268DD4D" w14:textId="77777777" w:rsidR="005F762A" w:rsidRDefault="005F762A">
            <w:pPr>
              <w:jc w:val="right"/>
              <w:rPr>
                <w:rFonts w:ascii="宋体"/>
              </w:rPr>
            </w:pPr>
          </w:p>
        </w:tc>
      </w:tr>
      <w:tr w:rsidR="005F762A" w14:paraId="7268DD59" w14:textId="77777777">
        <w:trPr>
          <w:jc w:val="center"/>
        </w:trPr>
        <w:tc>
          <w:tcPr>
            <w:tcW w:w="0" w:type="auto"/>
            <w:gridSpan w:val="3"/>
            <w:shd w:val="clear" w:color="auto" w:fill="E2E2E2"/>
            <w:tcMar>
              <w:top w:w="40" w:type="dxa"/>
              <w:left w:w="515" w:type="dxa"/>
              <w:bottom w:w="40" w:type="dxa"/>
              <w:right w:w="20" w:type="dxa"/>
            </w:tcMar>
            <w:vAlign w:val="bottom"/>
          </w:tcPr>
          <w:p w14:paraId="7268DD4F" w14:textId="77777777" w:rsidR="005F762A" w:rsidRDefault="00D74111">
            <w:pPr>
              <w:textAlignment w:val="bottom"/>
            </w:pPr>
            <w:r>
              <w:rPr>
                <w:rFonts w:ascii="Arial" w:eastAsia="宋体" w:hAnsi="Arial" w:cs="Arial"/>
                <w:color w:val="000000"/>
                <w:sz w:val="18"/>
                <w:szCs w:val="18"/>
              </w:rPr>
              <w:t>Tax benefit (expense) on unrealized gains (losses) on investments, net</w:t>
            </w:r>
          </w:p>
        </w:tc>
        <w:tc>
          <w:tcPr>
            <w:tcW w:w="0" w:type="auto"/>
            <w:shd w:val="clear" w:color="auto" w:fill="auto"/>
          </w:tcPr>
          <w:p w14:paraId="7268DD50" w14:textId="77777777" w:rsidR="005F762A" w:rsidRDefault="005F762A">
            <w:pPr>
              <w:rPr>
                <w:rFonts w:ascii="宋体"/>
                <w:vanish/>
              </w:rPr>
            </w:pPr>
          </w:p>
        </w:tc>
        <w:tc>
          <w:tcPr>
            <w:tcW w:w="0" w:type="auto"/>
            <w:shd w:val="clear" w:color="auto" w:fill="auto"/>
          </w:tcPr>
          <w:p w14:paraId="7268DD51" w14:textId="77777777" w:rsidR="005F762A" w:rsidRDefault="005F762A">
            <w:pPr>
              <w:rPr>
                <w:rFonts w:ascii="宋体"/>
                <w:vanish/>
              </w:rPr>
            </w:pPr>
          </w:p>
        </w:tc>
        <w:tc>
          <w:tcPr>
            <w:tcW w:w="0" w:type="auto"/>
            <w:shd w:val="clear" w:color="auto" w:fill="auto"/>
          </w:tcPr>
          <w:p w14:paraId="7268DD5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5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54"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DD5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5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57" w14:textId="77777777" w:rsidR="005F762A" w:rsidRDefault="00D74111">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7268DD58" w14:textId="77777777" w:rsidR="005F762A" w:rsidRDefault="005F762A">
            <w:pPr>
              <w:jc w:val="right"/>
              <w:rPr>
                <w:rFonts w:ascii="宋体"/>
              </w:rPr>
            </w:pPr>
          </w:p>
        </w:tc>
      </w:tr>
      <w:tr w:rsidR="005F762A" w14:paraId="7268DD64" w14:textId="77777777">
        <w:trPr>
          <w:jc w:val="center"/>
        </w:trPr>
        <w:tc>
          <w:tcPr>
            <w:tcW w:w="0" w:type="auto"/>
            <w:gridSpan w:val="3"/>
            <w:shd w:val="clear" w:color="auto" w:fill="FFFFFF"/>
            <w:tcMar>
              <w:top w:w="40" w:type="dxa"/>
              <w:left w:w="515" w:type="dxa"/>
              <w:bottom w:w="40" w:type="dxa"/>
              <w:right w:w="20" w:type="dxa"/>
            </w:tcMar>
            <w:vAlign w:val="bottom"/>
          </w:tcPr>
          <w:p w14:paraId="7268DD5A" w14:textId="77777777" w:rsidR="005F762A" w:rsidRDefault="00D74111">
            <w:pPr>
              <w:textAlignment w:val="bottom"/>
            </w:pPr>
            <w:r>
              <w:rPr>
                <w:rFonts w:ascii="Arial" w:eastAsia="宋体" w:hAnsi="Arial" w:cs="Arial"/>
                <w:color w:val="000000"/>
                <w:sz w:val="18"/>
                <w:szCs w:val="18"/>
              </w:rPr>
              <w:t>Unrealized gains (losses) on hedging activities, net</w:t>
            </w:r>
          </w:p>
        </w:tc>
        <w:tc>
          <w:tcPr>
            <w:tcW w:w="0" w:type="auto"/>
            <w:shd w:val="clear" w:color="auto" w:fill="auto"/>
          </w:tcPr>
          <w:p w14:paraId="7268DD5B" w14:textId="77777777" w:rsidR="005F762A" w:rsidRDefault="005F762A">
            <w:pPr>
              <w:rPr>
                <w:rFonts w:ascii="宋体"/>
                <w:vanish/>
              </w:rPr>
            </w:pPr>
          </w:p>
        </w:tc>
        <w:tc>
          <w:tcPr>
            <w:tcW w:w="0" w:type="auto"/>
            <w:shd w:val="clear" w:color="auto" w:fill="auto"/>
          </w:tcPr>
          <w:p w14:paraId="7268DD5C" w14:textId="77777777" w:rsidR="005F762A" w:rsidRDefault="005F762A">
            <w:pPr>
              <w:rPr>
                <w:rFonts w:ascii="宋体"/>
                <w:vanish/>
              </w:rPr>
            </w:pPr>
          </w:p>
        </w:tc>
        <w:tc>
          <w:tcPr>
            <w:tcW w:w="0" w:type="auto"/>
            <w:shd w:val="clear" w:color="auto" w:fill="auto"/>
          </w:tcPr>
          <w:p w14:paraId="7268DD5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5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5F" w14:textId="77777777" w:rsidR="005F762A" w:rsidRDefault="00D74111">
            <w:pPr>
              <w:jc w:val="right"/>
              <w:textAlignment w:val="bottom"/>
            </w:pPr>
            <w:r>
              <w:rPr>
                <w:rFonts w:ascii="Arial" w:eastAsia="宋体" w:hAnsi="Arial" w:cs="Arial"/>
                <w:color w:val="000000"/>
                <w:sz w:val="18"/>
                <w:szCs w:val="18"/>
              </w:rPr>
              <w:t>74 </w:t>
            </w:r>
          </w:p>
        </w:tc>
        <w:tc>
          <w:tcPr>
            <w:tcW w:w="0" w:type="auto"/>
            <w:shd w:val="clear" w:color="auto" w:fill="FFFFFF"/>
            <w:tcMar>
              <w:top w:w="40" w:type="dxa"/>
              <w:left w:w="0" w:type="dxa"/>
              <w:bottom w:w="40" w:type="dxa"/>
              <w:right w:w="20" w:type="dxa"/>
            </w:tcMar>
            <w:vAlign w:val="bottom"/>
          </w:tcPr>
          <w:p w14:paraId="7268DD6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D6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62" w14:textId="77777777" w:rsidR="005F762A" w:rsidRDefault="00D74111">
            <w:pPr>
              <w:jc w:val="right"/>
              <w:textAlignment w:val="bottom"/>
            </w:pPr>
            <w:r>
              <w:rPr>
                <w:rFonts w:ascii="Arial" w:eastAsia="宋体" w:hAnsi="Arial" w:cs="Arial"/>
                <w:color w:val="000000"/>
                <w:sz w:val="18"/>
                <w:szCs w:val="18"/>
              </w:rPr>
              <w:t>47 </w:t>
            </w:r>
          </w:p>
        </w:tc>
        <w:tc>
          <w:tcPr>
            <w:tcW w:w="0" w:type="auto"/>
            <w:shd w:val="clear" w:color="auto" w:fill="FFFFFF"/>
            <w:tcMar>
              <w:top w:w="40" w:type="dxa"/>
              <w:left w:w="0" w:type="dxa"/>
              <w:bottom w:w="40" w:type="dxa"/>
              <w:right w:w="20" w:type="dxa"/>
            </w:tcMar>
            <w:vAlign w:val="bottom"/>
          </w:tcPr>
          <w:p w14:paraId="7268DD63" w14:textId="77777777" w:rsidR="005F762A" w:rsidRDefault="005F762A">
            <w:pPr>
              <w:jc w:val="right"/>
              <w:rPr>
                <w:rFonts w:ascii="宋体"/>
              </w:rPr>
            </w:pPr>
          </w:p>
        </w:tc>
      </w:tr>
      <w:tr w:rsidR="005F762A" w14:paraId="7268DD6F" w14:textId="77777777">
        <w:trPr>
          <w:jc w:val="center"/>
        </w:trPr>
        <w:tc>
          <w:tcPr>
            <w:tcW w:w="0" w:type="auto"/>
            <w:gridSpan w:val="3"/>
            <w:shd w:val="clear" w:color="auto" w:fill="E2E2E2"/>
            <w:tcMar>
              <w:top w:w="40" w:type="dxa"/>
              <w:left w:w="515" w:type="dxa"/>
              <w:bottom w:w="40" w:type="dxa"/>
              <w:right w:w="20" w:type="dxa"/>
            </w:tcMar>
            <w:vAlign w:val="bottom"/>
          </w:tcPr>
          <w:p w14:paraId="7268DD65" w14:textId="77777777" w:rsidR="005F762A" w:rsidRDefault="00D74111">
            <w:pPr>
              <w:textAlignment w:val="bottom"/>
            </w:pPr>
            <w:r>
              <w:rPr>
                <w:rFonts w:ascii="Arial" w:eastAsia="宋体" w:hAnsi="Arial" w:cs="Arial"/>
                <w:color w:val="000000"/>
                <w:sz w:val="18"/>
                <w:szCs w:val="18"/>
              </w:rPr>
              <w:t xml:space="preserve">Tax benefit (expense) on unrealized gains (losses) on hedging </w:t>
            </w:r>
            <w:r>
              <w:rPr>
                <w:rFonts w:ascii="Arial" w:eastAsia="宋体" w:hAnsi="Arial" w:cs="Arial"/>
                <w:color w:val="000000"/>
                <w:sz w:val="18"/>
                <w:szCs w:val="18"/>
              </w:rPr>
              <w:t>activities, net</w:t>
            </w:r>
          </w:p>
        </w:tc>
        <w:tc>
          <w:tcPr>
            <w:tcW w:w="0" w:type="auto"/>
            <w:shd w:val="clear" w:color="auto" w:fill="auto"/>
          </w:tcPr>
          <w:p w14:paraId="7268DD66" w14:textId="77777777" w:rsidR="005F762A" w:rsidRDefault="005F762A">
            <w:pPr>
              <w:rPr>
                <w:rFonts w:ascii="宋体"/>
                <w:vanish/>
              </w:rPr>
            </w:pPr>
          </w:p>
        </w:tc>
        <w:tc>
          <w:tcPr>
            <w:tcW w:w="0" w:type="auto"/>
            <w:shd w:val="clear" w:color="auto" w:fill="auto"/>
          </w:tcPr>
          <w:p w14:paraId="7268DD67" w14:textId="77777777" w:rsidR="005F762A" w:rsidRDefault="005F762A">
            <w:pPr>
              <w:rPr>
                <w:rFonts w:ascii="宋体"/>
                <w:vanish/>
              </w:rPr>
            </w:pPr>
          </w:p>
        </w:tc>
        <w:tc>
          <w:tcPr>
            <w:tcW w:w="0" w:type="auto"/>
            <w:shd w:val="clear" w:color="auto" w:fill="auto"/>
          </w:tcPr>
          <w:p w14:paraId="7268DD6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69"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6A" w14:textId="77777777" w:rsidR="005F762A" w:rsidRDefault="00D74111">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7268DD6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6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6D" w14:textId="77777777" w:rsidR="005F762A" w:rsidRDefault="00D74111">
            <w:pPr>
              <w:jc w:val="right"/>
              <w:textAlignment w:val="bottom"/>
            </w:pPr>
            <w:r>
              <w:rPr>
                <w:rFonts w:ascii="Arial" w:eastAsia="宋体" w:hAnsi="Arial" w:cs="Arial"/>
                <w:color w:val="000000"/>
                <w:sz w:val="18"/>
                <w:szCs w:val="18"/>
              </w:rPr>
              <w:t>(10)</w:t>
            </w:r>
          </w:p>
        </w:tc>
        <w:tc>
          <w:tcPr>
            <w:tcW w:w="0" w:type="auto"/>
            <w:shd w:val="clear" w:color="auto" w:fill="E2E2E2"/>
            <w:tcMar>
              <w:top w:w="40" w:type="dxa"/>
              <w:left w:w="0" w:type="dxa"/>
              <w:bottom w:w="40" w:type="dxa"/>
              <w:right w:w="20" w:type="dxa"/>
            </w:tcMar>
            <w:vAlign w:val="bottom"/>
          </w:tcPr>
          <w:p w14:paraId="7268DD6E" w14:textId="77777777" w:rsidR="005F762A" w:rsidRDefault="005F762A">
            <w:pPr>
              <w:jc w:val="right"/>
              <w:rPr>
                <w:rFonts w:ascii="宋体"/>
              </w:rPr>
            </w:pPr>
          </w:p>
        </w:tc>
      </w:tr>
      <w:tr w:rsidR="005F762A" w14:paraId="7268DD7A" w14:textId="77777777">
        <w:trPr>
          <w:jc w:val="center"/>
        </w:trPr>
        <w:tc>
          <w:tcPr>
            <w:tcW w:w="0" w:type="auto"/>
            <w:gridSpan w:val="3"/>
            <w:shd w:val="clear" w:color="auto" w:fill="FFFFFF"/>
            <w:tcMar>
              <w:top w:w="40" w:type="dxa"/>
              <w:left w:w="20" w:type="dxa"/>
              <w:bottom w:w="40" w:type="dxa"/>
              <w:right w:w="20" w:type="dxa"/>
            </w:tcMar>
            <w:vAlign w:val="bottom"/>
          </w:tcPr>
          <w:p w14:paraId="7268DD70" w14:textId="77777777" w:rsidR="005F762A" w:rsidRDefault="00D74111">
            <w:pPr>
              <w:textAlignment w:val="bottom"/>
            </w:pPr>
            <w:r>
              <w:rPr>
                <w:rFonts w:ascii="Arial" w:eastAsia="宋体" w:hAnsi="Arial" w:cs="Arial"/>
                <w:color w:val="000000"/>
                <w:sz w:val="18"/>
                <w:szCs w:val="18"/>
              </w:rPr>
              <w:t>Other comprehensive income (loss), net of tax</w:t>
            </w:r>
          </w:p>
        </w:tc>
        <w:tc>
          <w:tcPr>
            <w:tcW w:w="0" w:type="auto"/>
            <w:shd w:val="clear" w:color="auto" w:fill="auto"/>
          </w:tcPr>
          <w:p w14:paraId="7268DD71" w14:textId="77777777" w:rsidR="005F762A" w:rsidRDefault="005F762A">
            <w:pPr>
              <w:rPr>
                <w:rFonts w:ascii="宋体"/>
                <w:vanish/>
              </w:rPr>
            </w:pPr>
          </w:p>
        </w:tc>
        <w:tc>
          <w:tcPr>
            <w:tcW w:w="0" w:type="auto"/>
            <w:shd w:val="clear" w:color="auto" w:fill="auto"/>
          </w:tcPr>
          <w:p w14:paraId="7268DD72" w14:textId="77777777" w:rsidR="005F762A" w:rsidRDefault="005F762A">
            <w:pPr>
              <w:rPr>
                <w:rFonts w:ascii="宋体"/>
                <w:vanish/>
              </w:rPr>
            </w:pPr>
          </w:p>
        </w:tc>
        <w:tc>
          <w:tcPr>
            <w:tcW w:w="0" w:type="auto"/>
            <w:shd w:val="clear" w:color="auto" w:fill="auto"/>
          </w:tcPr>
          <w:p w14:paraId="7268DD7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74"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D75" w14:textId="77777777" w:rsidR="005F762A" w:rsidRDefault="00D74111">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D7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D77"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D78" w14:textId="77777777" w:rsidR="005F762A" w:rsidRDefault="00D74111">
            <w:pPr>
              <w:jc w:val="right"/>
              <w:textAlignment w:val="bottom"/>
            </w:pPr>
            <w:r>
              <w:rPr>
                <w:rFonts w:ascii="Arial" w:eastAsia="宋体" w:hAnsi="Arial" w:cs="Arial"/>
                <w:color w:val="000000"/>
                <w:sz w:val="18"/>
                <w:szCs w:val="18"/>
              </w:rPr>
              <w:t>(99)</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D79" w14:textId="77777777" w:rsidR="005F762A" w:rsidRDefault="005F762A">
            <w:pPr>
              <w:jc w:val="right"/>
              <w:rPr>
                <w:rFonts w:ascii="宋体"/>
              </w:rPr>
            </w:pPr>
          </w:p>
        </w:tc>
      </w:tr>
      <w:tr w:rsidR="005F762A" w14:paraId="7268DD87" w14:textId="77777777">
        <w:trPr>
          <w:jc w:val="center"/>
        </w:trPr>
        <w:tc>
          <w:tcPr>
            <w:tcW w:w="0" w:type="auto"/>
            <w:gridSpan w:val="3"/>
            <w:shd w:val="clear" w:color="auto" w:fill="E2E2E2"/>
            <w:tcMar>
              <w:top w:w="40" w:type="dxa"/>
              <w:left w:w="20" w:type="dxa"/>
              <w:bottom w:w="40" w:type="dxa"/>
              <w:right w:w="20" w:type="dxa"/>
            </w:tcMar>
            <w:vAlign w:val="bottom"/>
          </w:tcPr>
          <w:p w14:paraId="7268DD7B" w14:textId="77777777" w:rsidR="005F762A" w:rsidRDefault="00D74111">
            <w:pPr>
              <w:textAlignment w:val="bottom"/>
            </w:pPr>
            <w:r>
              <w:rPr>
                <w:rFonts w:ascii="Arial" w:eastAsia="宋体" w:hAnsi="Arial" w:cs="Arial"/>
                <w:color w:val="000000"/>
                <w:sz w:val="18"/>
                <w:szCs w:val="18"/>
              </w:rPr>
              <w:t xml:space="preserve">Comprehensive income </w:t>
            </w:r>
          </w:p>
        </w:tc>
        <w:tc>
          <w:tcPr>
            <w:tcW w:w="0" w:type="auto"/>
            <w:shd w:val="clear" w:color="auto" w:fill="auto"/>
          </w:tcPr>
          <w:p w14:paraId="7268DD7C" w14:textId="77777777" w:rsidR="005F762A" w:rsidRDefault="005F762A">
            <w:pPr>
              <w:rPr>
                <w:rFonts w:ascii="宋体"/>
                <w:vanish/>
              </w:rPr>
            </w:pPr>
          </w:p>
        </w:tc>
        <w:tc>
          <w:tcPr>
            <w:tcW w:w="0" w:type="auto"/>
            <w:shd w:val="clear" w:color="auto" w:fill="auto"/>
          </w:tcPr>
          <w:p w14:paraId="7268DD7D" w14:textId="77777777" w:rsidR="005F762A" w:rsidRDefault="005F762A">
            <w:pPr>
              <w:rPr>
                <w:rFonts w:ascii="宋体"/>
                <w:vanish/>
              </w:rPr>
            </w:pPr>
          </w:p>
        </w:tc>
        <w:tc>
          <w:tcPr>
            <w:tcW w:w="0" w:type="auto"/>
            <w:shd w:val="clear" w:color="auto" w:fill="auto"/>
          </w:tcPr>
          <w:p w14:paraId="7268DD7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7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DD8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DD81" w14:textId="77777777" w:rsidR="005F762A" w:rsidRDefault="00D74111">
            <w:pPr>
              <w:jc w:val="right"/>
              <w:textAlignment w:val="bottom"/>
            </w:pPr>
            <w:r>
              <w:rPr>
                <w:rFonts w:ascii="Arial" w:eastAsia="宋体" w:hAnsi="Arial" w:cs="Arial"/>
                <w:color w:val="000000"/>
                <w:sz w:val="18"/>
                <w:szCs w:val="18"/>
              </w:rPr>
              <w:t>578 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DD8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83"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DD8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DD85" w14:textId="77777777" w:rsidR="005F762A" w:rsidRDefault="00D74111">
            <w:pPr>
              <w:jc w:val="right"/>
              <w:textAlignment w:val="bottom"/>
            </w:pPr>
            <w:r>
              <w:rPr>
                <w:rFonts w:ascii="Arial" w:eastAsia="宋体" w:hAnsi="Arial" w:cs="Arial"/>
                <w:color w:val="000000"/>
                <w:sz w:val="18"/>
                <w:szCs w:val="18"/>
              </w:rPr>
              <w:t>3,313 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DD86" w14:textId="77777777" w:rsidR="005F762A" w:rsidRDefault="005F762A">
            <w:pPr>
              <w:jc w:val="right"/>
              <w:rPr>
                <w:rFonts w:ascii="宋体"/>
              </w:rPr>
            </w:pPr>
          </w:p>
        </w:tc>
      </w:tr>
    </w:tbl>
    <w:p w14:paraId="7268DD88" w14:textId="77777777" w:rsidR="005F762A" w:rsidRDefault="005F762A">
      <w:pPr>
        <w:jc w:val="center"/>
      </w:pPr>
    </w:p>
    <w:p w14:paraId="7268DD89" w14:textId="77777777" w:rsidR="005F762A" w:rsidRDefault="00D74111">
      <w:pPr>
        <w:jc w:val="center"/>
      </w:pPr>
      <w:r>
        <w:rPr>
          <w:rFonts w:ascii="Arial" w:eastAsia="宋体" w:hAnsi="Arial" w:cs="Arial"/>
          <w:color w:val="000000"/>
          <w:sz w:val="18"/>
          <w:szCs w:val="18"/>
        </w:rPr>
        <w:t xml:space="preserve">The accompanying notes are an integral part of these condensed consolidated financial statements. </w:t>
      </w:r>
    </w:p>
    <w:p w14:paraId="7268DD8A" w14:textId="77777777" w:rsidR="005F762A" w:rsidRDefault="005F762A">
      <w:pPr>
        <w:jc w:val="center"/>
      </w:pPr>
    </w:p>
    <w:p w14:paraId="7268DD8B" w14:textId="77777777" w:rsidR="005F762A" w:rsidRDefault="005F762A">
      <w:pPr>
        <w:jc w:val="center"/>
      </w:pPr>
    </w:p>
    <w:p w14:paraId="7268DD8C" w14:textId="77777777" w:rsidR="005F762A" w:rsidRDefault="00D74111">
      <w:pPr>
        <w:jc w:val="center"/>
      </w:pPr>
      <w:r>
        <w:rPr>
          <w:rFonts w:ascii="Arial" w:eastAsia="宋体" w:hAnsi="Arial" w:cs="Arial"/>
          <w:color w:val="000000"/>
          <w:sz w:val="20"/>
          <w:szCs w:val="20"/>
        </w:rPr>
        <w:t>4</w:t>
      </w:r>
    </w:p>
    <w:p w14:paraId="7268DD8D" w14:textId="77777777" w:rsidR="005F762A" w:rsidRDefault="00D74111">
      <w:r>
        <w:pict w14:anchorId="72690143">
          <v:rect id="_x0000_i1028" style="width:415.3pt;height:1.5pt" o:hralign="center" o:hrstd="t" o:hr="t" fillcolor="#a0a0a0" stroked="f"/>
        </w:pict>
      </w:r>
    </w:p>
    <w:p w14:paraId="7268DD8E" w14:textId="77777777" w:rsidR="005F762A" w:rsidRDefault="005F762A"/>
    <w:p w14:paraId="7268DD8F" w14:textId="77777777" w:rsidR="005F762A" w:rsidRDefault="00D74111">
      <w:pPr>
        <w:jc w:val="center"/>
      </w:pPr>
      <w:r>
        <w:rPr>
          <w:rFonts w:ascii="Arial" w:eastAsia="宋体" w:hAnsi="Arial" w:cs="Arial"/>
          <w:b/>
          <w:bCs/>
          <w:color w:val="000000"/>
          <w:sz w:val="20"/>
          <w:szCs w:val="20"/>
        </w:rPr>
        <w:t xml:space="preserve">eBay Inc. </w:t>
      </w:r>
    </w:p>
    <w:p w14:paraId="7268DD90" w14:textId="77777777" w:rsidR="005F762A" w:rsidRDefault="00D74111">
      <w:pPr>
        <w:spacing w:before="60"/>
        <w:jc w:val="center"/>
      </w:pPr>
      <w:r>
        <w:rPr>
          <w:rFonts w:ascii="Arial" w:eastAsia="宋体" w:hAnsi="Arial" w:cs="Arial"/>
          <w:b/>
          <w:bCs/>
          <w:color w:val="000000"/>
          <w:sz w:val="20"/>
          <w:szCs w:val="20"/>
        </w:rPr>
        <w:t>CONDENSED CONSOLIDATED STATEMENT OF STOCKHOLDERS’ EQUITY</w:t>
      </w:r>
    </w:p>
    <w:p w14:paraId="7268DD91" w14:textId="77777777" w:rsidR="005F762A" w:rsidRDefault="00D74111">
      <w:r>
        <w:rPr>
          <w:rFonts w:ascii="Arial" w:eastAsia="宋体" w:hAnsi="Arial" w:cs="Arial"/>
          <w:color w:val="000000"/>
          <w:sz w:val="14"/>
          <w:szCs w:val="14"/>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68"/>
        <w:gridCol w:w="39"/>
        <w:gridCol w:w="36"/>
        <w:gridCol w:w="46"/>
        <w:gridCol w:w="36"/>
        <w:gridCol w:w="36"/>
        <w:gridCol w:w="36"/>
        <w:gridCol w:w="36"/>
        <w:gridCol w:w="122"/>
        <w:gridCol w:w="869"/>
        <w:gridCol w:w="36"/>
        <w:gridCol w:w="36"/>
        <w:gridCol w:w="36"/>
        <w:gridCol w:w="36"/>
        <w:gridCol w:w="122"/>
        <w:gridCol w:w="870"/>
        <w:gridCol w:w="36"/>
      </w:tblGrid>
      <w:tr w:rsidR="005F762A" w14:paraId="7268DDA4" w14:textId="77777777">
        <w:trPr>
          <w:jc w:val="center"/>
        </w:trPr>
        <w:tc>
          <w:tcPr>
            <w:tcW w:w="50" w:type="pct"/>
            <w:shd w:val="clear" w:color="auto" w:fill="auto"/>
          </w:tcPr>
          <w:p w14:paraId="7268DD92" w14:textId="77777777" w:rsidR="005F762A" w:rsidRDefault="005F762A">
            <w:pPr>
              <w:rPr>
                <w:rFonts w:ascii="宋体"/>
              </w:rPr>
            </w:pPr>
          </w:p>
        </w:tc>
        <w:tc>
          <w:tcPr>
            <w:tcW w:w="3599" w:type="pct"/>
            <w:shd w:val="clear" w:color="auto" w:fill="auto"/>
          </w:tcPr>
          <w:p w14:paraId="7268DD93" w14:textId="77777777" w:rsidR="005F762A" w:rsidRDefault="005F762A">
            <w:pPr>
              <w:rPr>
                <w:rFonts w:ascii="宋体"/>
              </w:rPr>
            </w:pPr>
          </w:p>
        </w:tc>
        <w:tc>
          <w:tcPr>
            <w:tcW w:w="5" w:type="pct"/>
            <w:shd w:val="clear" w:color="auto" w:fill="auto"/>
          </w:tcPr>
          <w:p w14:paraId="7268DD94" w14:textId="77777777" w:rsidR="005F762A" w:rsidRDefault="005F762A">
            <w:pPr>
              <w:rPr>
                <w:rFonts w:ascii="宋体"/>
              </w:rPr>
            </w:pPr>
          </w:p>
        </w:tc>
        <w:tc>
          <w:tcPr>
            <w:tcW w:w="0" w:type="auto"/>
            <w:shd w:val="clear" w:color="auto" w:fill="auto"/>
          </w:tcPr>
          <w:p w14:paraId="7268DD95" w14:textId="77777777" w:rsidR="005F762A" w:rsidRDefault="005F762A">
            <w:pPr>
              <w:rPr>
                <w:rFonts w:ascii="宋体"/>
                <w:vanish/>
              </w:rPr>
            </w:pPr>
          </w:p>
        </w:tc>
        <w:tc>
          <w:tcPr>
            <w:tcW w:w="0" w:type="auto"/>
            <w:shd w:val="clear" w:color="auto" w:fill="auto"/>
          </w:tcPr>
          <w:p w14:paraId="7268DD96" w14:textId="77777777" w:rsidR="005F762A" w:rsidRDefault="005F762A">
            <w:pPr>
              <w:rPr>
                <w:rFonts w:ascii="宋体"/>
                <w:vanish/>
              </w:rPr>
            </w:pPr>
          </w:p>
        </w:tc>
        <w:tc>
          <w:tcPr>
            <w:tcW w:w="0" w:type="auto"/>
            <w:shd w:val="clear" w:color="auto" w:fill="auto"/>
          </w:tcPr>
          <w:p w14:paraId="7268DD97" w14:textId="77777777" w:rsidR="005F762A" w:rsidRDefault="005F762A">
            <w:pPr>
              <w:rPr>
                <w:rFonts w:ascii="宋体"/>
                <w:vanish/>
              </w:rPr>
            </w:pPr>
          </w:p>
        </w:tc>
        <w:tc>
          <w:tcPr>
            <w:tcW w:w="5" w:type="pct"/>
            <w:shd w:val="clear" w:color="auto" w:fill="auto"/>
          </w:tcPr>
          <w:p w14:paraId="7268DD98" w14:textId="77777777" w:rsidR="005F762A" w:rsidRDefault="005F762A">
            <w:pPr>
              <w:rPr>
                <w:rFonts w:ascii="宋体"/>
              </w:rPr>
            </w:pPr>
          </w:p>
        </w:tc>
        <w:tc>
          <w:tcPr>
            <w:tcW w:w="26" w:type="pct"/>
            <w:shd w:val="clear" w:color="auto" w:fill="auto"/>
          </w:tcPr>
          <w:p w14:paraId="7268DD99" w14:textId="77777777" w:rsidR="005F762A" w:rsidRDefault="005F762A">
            <w:pPr>
              <w:rPr>
                <w:rFonts w:ascii="宋体"/>
              </w:rPr>
            </w:pPr>
          </w:p>
        </w:tc>
        <w:tc>
          <w:tcPr>
            <w:tcW w:w="5" w:type="pct"/>
            <w:shd w:val="clear" w:color="auto" w:fill="auto"/>
          </w:tcPr>
          <w:p w14:paraId="7268DD9A" w14:textId="77777777" w:rsidR="005F762A" w:rsidRDefault="005F762A">
            <w:pPr>
              <w:rPr>
                <w:rFonts w:ascii="宋体"/>
              </w:rPr>
            </w:pPr>
          </w:p>
        </w:tc>
        <w:tc>
          <w:tcPr>
            <w:tcW w:w="50" w:type="pct"/>
            <w:shd w:val="clear" w:color="auto" w:fill="auto"/>
          </w:tcPr>
          <w:p w14:paraId="7268DD9B" w14:textId="77777777" w:rsidR="005F762A" w:rsidRDefault="005F762A">
            <w:pPr>
              <w:rPr>
                <w:rFonts w:ascii="宋体"/>
              </w:rPr>
            </w:pPr>
          </w:p>
        </w:tc>
        <w:tc>
          <w:tcPr>
            <w:tcW w:w="580" w:type="pct"/>
            <w:shd w:val="clear" w:color="auto" w:fill="auto"/>
          </w:tcPr>
          <w:p w14:paraId="7268DD9C" w14:textId="77777777" w:rsidR="005F762A" w:rsidRDefault="005F762A">
            <w:pPr>
              <w:rPr>
                <w:rFonts w:ascii="宋体"/>
              </w:rPr>
            </w:pPr>
          </w:p>
        </w:tc>
        <w:tc>
          <w:tcPr>
            <w:tcW w:w="5" w:type="pct"/>
            <w:shd w:val="clear" w:color="auto" w:fill="auto"/>
          </w:tcPr>
          <w:p w14:paraId="7268DD9D" w14:textId="77777777" w:rsidR="005F762A" w:rsidRDefault="005F762A">
            <w:pPr>
              <w:rPr>
                <w:rFonts w:ascii="宋体"/>
              </w:rPr>
            </w:pPr>
          </w:p>
        </w:tc>
        <w:tc>
          <w:tcPr>
            <w:tcW w:w="5" w:type="pct"/>
            <w:shd w:val="clear" w:color="auto" w:fill="auto"/>
          </w:tcPr>
          <w:p w14:paraId="7268DD9E" w14:textId="77777777" w:rsidR="005F762A" w:rsidRDefault="005F762A">
            <w:pPr>
              <w:rPr>
                <w:rFonts w:ascii="宋体"/>
              </w:rPr>
            </w:pPr>
          </w:p>
        </w:tc>
        <w:tc>
          <w:tcPr>
            <w:tcW w:w="26" w:type="pct"/>
            <w:shd w:val="clear" w:color="auto" w:fill="auto"/>
          </w:tcPr>
          <w:p w14:paraId="7268DD9F" w14:textId="77777777" w:rsidR="005F762A" w:rsidRDefault="005F762A">
            <w:pPr>
              <w:rPr>
                <w:rFonts w:ascii="宋体"/>
              </w:rPr>
            </w:pPr>
          </w:p>
        </w:tc>
        <w:tc>
          <w:tcPr>
            <w:tcW w:w="5" w:type="pct"/>
            <w:shd w:val="clear" w:color="auto" w:fill="auto"/>
          </w:tcPr>
          <w:p w14:paraId="7268DDA0" w14:textId="77777777" w:rsidR="005F762A" w:rsidRDefault="005F762A">
            <w:pPr>
              <w:rPr>
                <w:rFonts w:ascii="宋体"/>
              </w:rPr>
            </w:pPr>
          </w:p>
        </w:tc>
        <w:tc>
          <w:tcPr>
            <w:tcW w:w="50" w:type="pct"/>
            <w:shd w:val="clear" w:color="auto" w:fill="auto"/>
          </w:tcPr>
          <w:p w14:paraId="7268DDA1" w14:textId="77777777" w:rsidR="005F762A" w:rsidRDefault="005F762A">
            <w:pPr>
              <w:rPr>
                <w:rFonts w:ascii="宋体"/>
              </w:rPr>
            </w:pPr>
          </w:p>
        </w:tc>
        <w:tc>
          <w:tcPr>
            <w:tcW w:w="581" w:type="pct"/>
            <w:shd w:val="clear" w:color="auto" w:fill="auto"/>
          </w:tcPr>
          <w:p w14:paraId="7268DDA2" w14:textId="77777777" w:rsidR="005F762A" w:rsidRDefault="005F762A">
            <w:pPr>
              <w:rPr>
                <w:rFonts w:ascii="宋体"/>
              </w:rPr>
            </w:pPr>
          </w:p>
        </w:tc>
        <w:tc>
          <w:tcPr>
            <w:tcW w:w="5" w:type="pct"/>
            <w:shd w:val="clear" w:color="auto" w:fill="auto"/>
          </w:tcPr>
          <w:p w14:paraId="7268DDA3" w14:textId="77777777" w:rsidR="005F762A" w:rsidRDefault="005F762A">
            <w:pPr>
              <w:rPr>
                <w:rFonts w:ascii="宋体"/>
              </w:rPr>
            </w:pPr>
          </w:p>
        </w:tc>
      </w:tr>
      <w:tr w:rsidR="005F762A" w14:paraId="7268DDAF" w14:textId="77777777">
        <w:trPr>
          <w:jc w:val="center"/>
        </w:trPr>
        <w:tc>
          <w:tcPr>
            <w:tcW w:w="0" w:type="auto"/>
            <w:gridSpan w:val="3"/>
            <w:shd w:val="clear" w:color="auto" w:fill="auto"/>
            <w:tcMar>
              <w:top w:w="40" w:type="dxa"/>
              <w:left w:w="20" w:type="dxa"/>
              <w:bottom w:w="40" w:type="dxa"/>
              <w:right w:w="20" w:type="dxa"/>
            </w:tcMar>
            <w:vAlign w:val="bottom"/>
          </w:tcPr>
          <w:p w14:paraId="7268DDA5"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DDA6"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DDA7"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DDA8"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DDA9" w14:textId="77777777" w:rsidR="005F762A" w:rsidRDefault="005F762A">
            <w:pPr>
              <w:rPr>
                <w:rFonts w:ascii="宋体"/>
              </w:rPr>
            </w:pPr>
          </w:p>
        </w:tc>
        <w:tc>
          <w:tcPr>
            <w:tcW w:w="0" w:type="auto"/>
            <w:shd w:val="clear" w:color="auto" w:fill="auto"/>
          </w:tcPr>
          <w:p w14:paraId="7268DDAA" w14:textId="77777777" w:rsidR="005F762A" w:rsidRDefault="005F762A">
            <w:pPr>
              <w:rPr>
                <w:rFonts w:ascii="宋体"/>
              </w:rPr>
            </w:pPr>
          </w:p>
        </w:tc>
        <w:tc>
          <w:tcPr>
            <w:tcW w:w="0" w:type="auto"/>
            <w:shd w:val="clear" w:color="auto" w:fill="auto"/>
          </w:tcPr>
          <w:p w14:paraId="7268DDAB" w14:textId="77777777" w:rsidR="005F762A" w:rsidRDefault="005F762A">
            <w:pPr>
              <w:rPr>
                <w:rFonts w:ascii="宋体"/>
              </w:rPr>
            </w:pPr>
          </w:p>
        </w:tc>
        <w:tc>
          <w:tcPr>
            <w:tcW w:w="0" w:type="auto"/>
            <w:shd w:val="clear" w:color="auto" w:fill="auto"/>
          </w:tcPr>
          <w:p w14:paraId="7268DDAC" w14:textId="77777777" w:rsidR="005F762A" w:rsidRDefault="005F762A">
            <w:pPr>
              <w:rPr>
                <w:rFonts w:ascii="宋体"/>
              </w:rPr>
            </w:pPr>
          </w:p>
        </w:tc>
        <w:tc>
          <w:tcPr>
            <w:tcW w:w="0" w:type="auto"/>
            <w:shd w:val="clear" w:color="auto" w:fill="auto"/>
          </w:tcPr>
          <w:p w14:paraId="7268DDAD" w14:textId="77777777" w:rsidR="005F762A" w:rsidRDefault="005F762A">
            <w:pPr>
              <w:rPr>
                <w:rFonts w:ascii="宋体"/>
              </w:rPr>
            </w:pPr>
          </w:p>
        </w:tc>
        <w:tc>
          <w:tcPr>
            <w:tcW w:w="0" w:type="auto"/>
            <w:shd w:val="clear" w:color="auto" w:fill="auto"/>
          </w:tcPr>
          <w:p w14:paraId="7268DDAE" w14:textId="77777777" w:rsidR="005F762A" w:rsidRDefault="005F762A">
            <w:pPr>
              <w:rPr>
                <w:rFonts w:ascii="宋体"/>
              </w:rPr>
            </w:pPr>
          </w:p>
        </w:tc>
      </w:tr>
      <w:tr w:rsidR="005F762A" w14:paraId="7268DDB8" w14:textId="77777777">
        <w:trPr>
          <w:jc w:val="center"/>
        </w:trPr>
        <w:tc>
          <w:tcPr>
            <w:tcW w:w="0" w:type="auto"/>
            <w:gridSpan w:val="3"/>
            <w:shd w:val="clear" w:color="auto" w:fill="auto"/>
            <w:tcMar>
              <w:top w:w="40" w:type="dxa"/>
              <w:left w:w="20" w:type="dxa"/>
              <w:bottom w:w="40" w:type="dxa"/>
              <w:right w:w="20" w:type="dxa"/>
            </w:tcMar>
            <w:vAlign w:val="bottom"/>
          </w:tcPr>
          <w:p w14:paraId="7268DDB0"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DDB1" w14:textId="77777777" w:rsidR="005F762A" w:rsidRDefault="005F762A">
            <w:pPr>
              <w:rPr>
                <w:rFonts w:ascii="宋体"/>
                <w:vanish/>
              </w:rPr>
            </w:pPr>
          </w:p>
        </w:tc>
        <w:tc>
          <w:tcPr>
            <w:tcW w:w="0" w:type="auto"/>
            <w:shd w:val="clear" w:color="auto" w:fill="auto"/>
          </w:tcPr>
          <w:p w14:paraId="7268DDB2" w14:textId="77777777" w:rsidR="005F762A" w:rsidRDefault="005F762A">
            <w:pPr>
              <w:rPr>
                <w:rFonts w:ascii="宋体"/>
                <w:vanish/>
              </w:rPr>
            </w:pPr>
          </w:p>
        </w:tc>
        <w:tc>
          <w:tcPr>
            <w:tcW w:w="0" w:type="auto"/>
            <w:shd w:val="clear" w:color="auto" w:fill="auto"/>
          </w:tcPr>
          <w:p w14:paraId="7268DDB3"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DDB4"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DB5" w14:textId="77777777" w:rsidR="005F762A" w:rsidRDefault="00D74111">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DDB6"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DB7" w14:textId="77777777" w:rsidR="005F762A" w:rsidRDefault="00D74111">
            <w:pPr>
              <w:jc w:val="center"/>
              <w:textAlignment w:val="bottom"/>
            </w:pPr>
            <w:r>
              <w:rPr>
                <w:rFonts w:ascii="Arial" w:eastAsia="宋体" w:hAnsi="Arial" w:cs="Arial"/>
                <w:b/>
                <w:bCs/>
                <w:color w:val="000000"/>
                <w:sz w:val="18"/>
                <w:szCs w:val="18"/>
              </w:rPr>
              <w:t>2020</w:t>
            </w:r>
          </w:p>
        </w:tc>
      </w:tr>
      <w:tr w:rsidR="005F762A" w14:paraId="7268DDBE" w14:textId="77777777">
        <w:trPr>
          <w:jc w:val="center"/>
        </w:trPr>
        <w:tc>
          <w:tcPr>
            <w:tcW w:w="0" w:type="auto"/>
            <w:gridSpan w:val="3"/>
            <w:shd w:val="clear" w:color="auto" w:fill="auto"/>
            <w:tcMar>
              <w:top w:w="40" w:type="dxa"/>
              <w:left w:w="20" w:type="dxa"/>
              <w:bottom w:w="40" w:type="dxa"/>
              <w:right w:w="20" w:type="dxa"/>
            </w:tcMar>
            <w:vAlign w:val="bottom"/>
          </w:tcPr>
          <w:p w14:paraId="7268DDB9"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DDBA" w14:textId="77777777" w:rsidR="005F762A" w:rsidRDefault="005F762A">
            <w:pPr>
              <w:rPr>
                <w:rFonts w:ascii="宋体"/>
                <w:vanish/>
              </w:rPr>
            </w:pPr>
          </w:p>
        </w:tc>
        <w:tc>
          <w:tcPr>
            <w:tcW w:w="0" w:type="auto"/>
            <w:shd w:val="clear" w:color="auto" w:fill="auto"/>
          </w:tcPr>
          <w:p w14:paraId="7268DDBB" w14:textId="77777777" w:rsidR="005F762A" w:rsidRDefault="005F762A">
            <w:pPr>
              <w:rPr>
                <w:rFonts w:ascii="宋体"/>
                <w:vanish/>
              </w:rPr>
            </w:pPr>
          </w:p>
        </w:tc>
        <w:tc>
          <w:tcPr>
            <w:tcW w:w="0" w:type="auto"/>
            <w:shd w:val="clear" w:color="auto" w:fill="auto"/>
          </w:tcPr>
          <w:p w14:paraId="7268DDBC"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DBD" w14:textId="77777777" w:rsidR="005F762A" w:rsidRDefault="00D74111">
            <w:pPr>
              <w:jc w:val="center"/>
              <w:textAlignment w:val="bottom"/>
            </w:pPr>
            <w:r>
              <w:rPr>
                <w:rFonts w:ascii="Arial" w:eastAsia="宋体" w:hAnsi="Arial" w:cs="Arial"/>
                <w:b/>
                <w:bCs/>
                <w:color w:val="000000"/>
                <w:sz w:val="16"/>
                <w:szCs w:val="16"/>
              </w:rPr>
              <w:t>(In millions, except per share amounts)</w:t>
            </w:r>
          </w:p>
        </w:tc>
      </w:tr>
      <w:tr w:rsidR="005F762A" w14:paraId="7268DDC4" w14:textId="77777777">
        <w:trPr>
          <w:jc w:val="center"/>
        </w:trPr>
        <w:tc>
          <w:tcPr>
            <w:tcW w:w="0" w:type="auto"/>
            <w:gridSpan w:val="3"/>
            <w:shd w:val="clear" w:color="auto" w:fill="auto"/>
            <w:tcMar>
              <w:top w:w="0" w:type="dxa"/>
              <w:left w:w="20" w:type="dxa"/>
              <w:bottom w:w="0" w:type="dxa"/>
              <w:right w:w="20" w:type="dxa"/>
            </w:tcMar>
          </w:tcPr>
          <w:p w14:paraId="7268DDBF" w14:textId="77777777" w:rsidR="005F762A" w:rsidRDefault="005F762A">
            <w:pPr>
              <w:rPr>
                <w:rFonts w:ascii="宋体"/>
              </w:rPr>
            </w:pPr>
          </w:p>
        </w:tc>
        <w:tc>
          <w:tcPr>
            <w:tcW w:w="0" w:type="auto"/>
            <w:shd w:val="clear" w:color="auto" w:fill="auto"/>
          </w:tcPr>
          <w:p w14:paraId="7268DDC0" w14:textId="77777777" w:rsidR="005F762A" w:rsidRDefault="005F762A">
            <w:pPr>
              <w:rPr>
                <w:rFonts w:ascii="宋体"/>
                <w:vanish/>
              </w:rPr>
            </w:pPr>
          </w:p>
        </w:tc>
        <w:tc>
          <w:tcPr>
            <w:tcW w:w="0" w:type="auto"/>
            <w:shd w:val="clear" w:color="auto" w:fill="auto"/>
          </w:tcPr>
          <w:p w14:paraId="7268DDC1" w14:textId="77777777" w:rsidR="005F762A" w:rsidRDefault="005F762A">
            <w:pPr>
              <w:rPr>
                <w:rFonts w:ascii="宋体"/>
                <w:vanish/>
              </w:rPr>
            </w:pPr>
          </w:p>
        </w:tc>
        <w:tc>
          <w:tcPr>
            <w:tcW w:w="0" w:type="auto"/>
            <w:shd w:val="clear" w:color="auto" w:fill="auto"/>
          </w:tcPr>
          <w:p w14:paraId="7268DDC2" w14:textId="77777777" w:rsidR="005F762A" w:rsidRDefault="005F762A">
            <w:pPr>
              <w:rPr>
                <w:rFonts w:ascii="宋体"/>
                <w:vanish/>
              </w:rPr>
            </w:pPr>
          </w:p>
        </w:tc>
        <w:tc>
          <w:tcPr>
            <w:tcW w:w="0" w:type="auto"/>
            <w:gridSpan w:val="12"/>
            <w:shd w:val="clear" w:color="auto" w:fill="auto"/>
            <w:tcMar>
              <w:top w:w="40" w:type="dxa"/>
              <w:left w:w="20" w:type="dxa"/>
              <w:bottom w:w="40" w:type="dxa"/>
              <w:right w:w="20" w:type="dxa"/>
            </w:tcMar>
            <w:vAlign w:val="bottom"/>
          </w:tcPr>
          <w:p w14:paraId="7268DDC3" w14:textId="77777777" w:rsidR="005F762A" w:rsidRDefault="00D74111">
            <w:pPr>
              <w:jc w:val="center"/>
              <w:textAlignment w:val="bottom"/>
            </w:pPr>
            <w:r>
              <w:rPr>
                <w:rFonts w:ascii="Arial" w:eastAsia="宋体" w:hAnsi="Arial" w:cs="Arial"/>
                <w:b/>
                <w:bCs/>
                <w:color w:val="000000"/>
                <w:sz w:val="16"/>
                <w:szCs w:val="16"/>
              </w:rPr>
              <w:t>(Unaudited)</w:t>
            </w:r>
          </w:p>
        </w:tc>
      </w:tr>
      <w:tr w:rsidR="005F762A" w14:paraId="7268DDCD" w14:textId="77777777">
        <w:trPr>
          <w:jc w:val="center"/>
        </w:trPr>
        <w:tc>
          <w:tcPr>
            <w:tcW w:w="0" w:type="auto"/>
            <w:gridSpan w:val="3"/>
            <w:shd w:val="clear" w:color="auto" w:fill="E2E2E2"/>
            <w:tcMar>
              <w:top w:w="40" w:type="dxa"/>
              <w:left w:w="20" w:type="dxa"/>
              <w:bottom w:w="40" w:type="dxa"/>
              <w:right w:w="20" w:type="dxa"/>
            </w:tcMar>
            <w:vAlign w:val="bottom"/>
          </w:tcPr>
          <w:p w14:paraId="7268DDC5" w14:textId="77777777" w:rsidR="005F762A" w:rsidRDefault="00D74111">
            <w:pPr>
              <w:textAlignment w:val="bottom"/>
            </w:pPr>
            <w:r>
              <w:rPr>
                <w:rFonts w:ascii="Arial" w:eastAsia="宋体" w:hAnsi="Arial" w:cs="Arial"/>
                <w:color w:val="000000"/>
                <w:sz w:val="18"/>
                <w:szCs w:val="18"/>
              </w:rPr>
              <w:t>Common stock:</w:t>
            </w:r>
          </w:p>
        </w:tc>
        <w:tc>
          <w:tcPr>
            <w:tcW w:w="0" w:type="auto"/>
            <w:shd w:val="clear" w:color="auto" w:fill="auto"/>
          </w:tcPr>
          <w:p w14:paraId="7268DDC6" w14:textId="77777777" w:rsidR="005F762A" w:rsidRDefault="005F762A">
            <w:pPr>
              <w:rPr>
                <w:rFonts w:ascii="宋体"/>
                <w:vanish/>
              </w:rPr>
            </w:pPr>
          </w:p>
        </w:tc>
        <w:tc>
          <w:tcPr>
            <w:tcW w:w="0" w:type="auto"/>
            <w:shd w:val="clear" w:color="auto" w:fill="auto"/>
          </w:tcPr>
          <w:p w14:paraId="7268DDC7" w14:textId="77777777" w:rsidR="005F762A" w:rsidRDefault="005F762A">
            <w:pPr>
              <w:rPr>
                <w:rFonts w:ascii="宋体"/>
                <w:vanish/>
              </w:rPr>
            </w:pPr>
          </w:p>
        </w:tc>
        <w:tc>
          <w:tcPr>
            <w:tcW w:w="0" w:type="auto"/>
            <w:shd w:val="clear" w:color="auto" w:fill="auto"/>
          </w:tcPr>
          <w:p w14:paraId="7268DDC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C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DC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DC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DCC" w14:textId="77777777" w:rsidR="005F762A" w:rsidRDefault="005F762A">
            <w:pPr>
              <w:rPr>
                <w:rFonts w:ascii="宋体"/>
              </w:rPr>
            </w:pPr>
          </w:p>
        </w:tc>
      </w:tr>
      <w:tr w:rsidR="005F762A" w14:paraId="7268DDDA" w14:textId="77777777">
        <w:trPr>
          <w:jc w:val="center"/>
        </w:trPr>
        <w:tc>
          <w:tcPr>
            <w:tcW w:w="0" w:type="auto"/>
            <w:gridSpan w:val="3"/>
            <w:shd w:val="clear" w:color="auto" w:fill="FFFFFF"/>
            <w:tcMar>
              <w:top w:w="40" w:type="dxa"/>
              <w:left w:w="245" w:type="dxa"/>
              <w:bottom w:w="40" w:type="dxa"/>
              <w:right w:w="20" w:type="dxa"/>
            </w:tcMar>
            <w:vAlign w:val="bottom"/>
          </w:tcPr>
          <w:p w14:paraId="7268DDCE" w14:textId="77777777" w:rsidR="005F762A" w:rsidRDefault="00D74111">
            <w:pPr>
              <w:textAlignment w:val="bottom"/>
            </w:pPr>
            <w:r>
              <w:rPr>
                <w:rFonts w:ascii="Arial" w:eastAsia="宋体" w:hAnsi="Arial" w:cs="Arial"/>
                <w:color w:val="000000"/>
                <w:sz w:val="18"/>
                <w:szCs w:val="18"/>
              </w:rPr>
              <w:t>Balance, beginning of period</w:t>
            </w:r>
          </w:p>
        </w:tc>
        <w:tc>
          <w:tcPr>
            <w:tcW w:w="0" w:type="auto"/>
            <w:shd w:val="clear" w:color="auto" w:fill="auto"/>
          </w:tcPr>
          <w:p w14:paraId="7268DDCF" w14:textId="77777777" w:rsidR="005F762A" w:rsidRDefault="005F762A">
            <w:pPr>
              <w:rPr>
                <w:rFonts w:ascii="宋体"/>
                <w:vanish/>
              </w:rPr>
            </w:pPr>
          </w:p>
        </w:tc>
        <w:tc>
          <w:tcPr>
            <w:tcW w:w="0" w:type="auto"/>
            <w:shd w:val="clear" w:color="auto" w:fill="auto"/>
          </w:tcPr>
          <w:p w14:paraId="7268DDD0" w14:textId="77777777" w:rsidR="005F762A" w:rsidRDefault="005F762A">
            <w:pPr>
              <w:rPr>
                <w:rFonts w:ascii="宋体"/>
                <w:vanish/>
              </w:rPr>
            </w:pPr>
          </w:p>
        </w:tc>
        <w:tc>
          <w:tcPr>
            <w:tcW w:w="0" w:type="auto"/>
            <w:shd w:val="clear" w:color="auto" w:fill="auto"/>
          </w:tcPr>
          <w:p w14:paraId="7268DDD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D2"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DD3"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DD4"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DDD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DD6"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DD7"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DD8"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DDD9" w14:textId="77777777" w:rsidR="005F762A" w:rsidRDefault="005F762A">
            <w:pPr>
              <w:jc w:val="right"/>
              <w:rPr>
                <w:rFonts w:ascii="宋体"/>
              </w:rPr>
            </w:pPr>
          </w:p>
        </w:tc>
      </w:tr>
      <w:tr w:rsidR="005F762A" w14:paraId="7268DDE5" w14:textId="77777777">
        <w:trPr>
          <w:jc w:val="center"/>
        </w:trPr>
        <w:tc>
          <w:tcPr>
            <w:tcW w:w="0" w:type="auto"/>
            <w:gridSpan w:val="3"/>
            <w:shd w:val="clear" w:color="auto" w:fill="E2E2E2"/>
            <w:tcMar>
              <w:top w:w="40" w:type="dxa"/>
              <w:left w:w="245" w:type="dxa"/>
              <w:bottom w:w="40" w:type="dxa"/>
              <w:right w:w="20" w:type="dxa"/>
            </w:tcMar>
            <w:vAlign w:val="bottom"/>
          </w:tcPr>
          <w:p w14:paraId="7268DDDB" w14:textId="77777777" w:rsidR="005F762A" w:rsidRDefault="00D74111">
            <w:pPr>
              <w:textAlignment w:val="bottom"/>
            </w:pPr>
            <w:r>
              <w:rPr>
                <w:rFonts w:ascii="Arial" w:eastAsia="宋体" w:hAnsi="Arial" w:cs="Arial"/>
                <w:color w:val="000000"/>
                <w:sz w:val="18"/>
                <w:szCs w:val="18"/>
              </w:rPr>
              <w:t>Common stock issued</w:t>
            </w:r>
          </w:p>
        </w:tc>
        <w:tc>
          <w:tcPr>
            <w:tcW w:w="0" w:type="auto"/>
            <w:shd w:val="clear" w:color="auto" w:fill="auto"/>
          </w:tcPr>
          <w:p w14:paraId="7268DDDC" w14:textId="77777777" w:rsidR="005F762A" w:rsidRDefault="005F762A">
            <w:pPr>
              <w:rPr>
                <w:rFonts w:ascii="宋体"/>
                <w:vanish/>
              </w:rPr>
            </w:pPr>
          </w:p>
        </w:tc>
        <w:tc>
          <w:tcPr>
            <w:tcW w:w="0" w:type="auto"/>
            <w:shd w:val="clear" w:color="auto" w:fill="auto"/>
          </w:tcPr>
          <w:p w14:paraId="7268DDDD" w14:textId="77777777" w:rsidR="005F762A" w:rsidRDefault="005F762A">
            <w:pPr>
              <w:rPr>
                <w:rFonts w:ascii="宋体"/>
                <w:vanish/>
              </w:rPr>
            </w:pPr>
          </w:p>
        </w:tc>
        <w:tc>
          <w:tcPr>
            <w:tcW w:w="0" w:type="auto"/>
            <w:shd w:val="clear" w:color="auto" w:fill="auto"/>
          </w:tcPr>
          <w:p w14:paraId="7268DDD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D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E0"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DDE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E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DE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DDE4" w14:textId="77777777" w:rsidR="005F762A" w:rsidRDefault="005F762A">
            <w:pPr>
              <w:jc w:val="right"/>
              <w:rPr>
                <w:rFonts w:ascii="宋体"/>
              </w:rPr>
            </w:pPr>
          </w:p>
        </w:tc>
      </w:tr>
      <w:tr w:rsidR="005F762A" w14:paraId="7268DDF0" w14:textId="77777777">
        <w:trPr>
          <w:jc w:val="center"/>
        </w:trPr>
        <w:tc>
          <w:tcPr>
            <w:tcW w:w="0" w:type="auto"/>
            <w:gridSpan w:val="3"/>
            <w:shd w:val="clear" w:color="auto" w:fill="FFFFFF"/>
            <w:tcMar>
              <w:top w:w="40" w:type="dxa"/>
              <w:left w:w="245" w:type="dxa"/>
              <w:bottom w:w="40" w:type="dxa"/>
              <w:right w:w="20" w:type="dxa"/>
            </w:tcMar>
            <w:vAlign w:val="bottom"/>
          </w:tcPr>
          <w:p w14:paraId="7268DDE6" w14:textId="77777777" w:rsidR="005F762A" w:rsidRDefault="00D74111">
            <w:pPr>
              <w:textAlignment w:val="bottom"/>
            </w:pPr>
            <w:r>
              <w:rPr>
                <w:rFonts w:ascii="Arial" w:eastAsia="宋体" w:hAnsi="Arial" w:cs="Arial"/>
                <w:color w:val="000000"/>
                <w:sz w:val="18"/>
                <w:szCs w:val="18"/>
              </w:rPr>
              <w:t>Common stock repurchased</w:t>
            </w:r>
          </w:p>
        </w:tc>
        <w:tc>
          <w:tcPr>
            <w:tcW w:w="0" w:type="auto"/>
            <w:shd w:val="clear" w:color="auto" w:fill="auto"/>
          </w:tcPr>
          <w:p w14:paraId="7268DDE7" w14:textId="77777777" w:rsidR="005F762A" w:rsidRDefault="005F762A">
            <w:pPr>
              <w:rPr>
                <w:rFonts w:ascii="宋体"/>
                <w:vanish/>
              </w:rPr>
            </w:pPr>
          </w:p>
        </w:tc>
        <w:tc>
          <w:tcPr>
            <w:tcW w:w="0" w:type="auto"/>
            <w:shd w:val="clear" w:color="auto" w:fill="auto"/>
          </w:tcPr>
          <w:p w14:paraId="7268DDE8" w14:textId="77777777" w:rsidR="005F762A" w:rsidRDefault="005F762A">
            <w:pPr>
              <w:rPr>
                <w:rFonts w:ascii="宋体"/>
                <w:vanish/>
              </w:rPr>
            </w:pPr>
          </w:p>
        </w:tc>
        <w:tc>
          <w:tcPr>
            <w:tcW w:w="0" w:type="auto"/>
            <w:shd w:val="clear" w:color="auto" w:fill="auto"/>
          </w:tcPr>
          <w:p w14:paraId="7268DDE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DE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E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DDE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DE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DE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DDEF" w14:textId="77777777" w:rsidR="005F762A" w:rsidRDefault="005F762A">
            <w:pPr>
              <w:jc w:val="right"/>
              <w:rPr>
                <w:rFonts w:ascii="宋体"/>
              </w:rPr>
            </w:pPr>
          </w:p>
        </w:tc>
      </w:tr>
      <w:tr w:rsidR="005F762A" w14:paraId="7268DDFB" w14:textId="77777777">
        <w:trPr>
          <w:jc w:val="center"/>
        </w:trPr>
        <w:tc>
          <w:tcPr>
            <w:tcW w:w="0" w:type="auto"/>
            <w:gridSpan w:val="3"/>
            <w:shd w:val="clear" w:color="auto" w:fill="E2E2E2"/>
            <w:tcMar>
              <w:top w:w="40" w:type="dxa"/>
              <w:left w:w="740" w:type="dxa"/>
              <w:bottom w:w="40" w:type="dxa"/>
              <w:right w:w="20" w:type="dxa"/>
            </w:tcMar>
            <w:vAlign w:val="bottom"/>
          </w:tcPr>
          <w:p w14:paraId="7268DDF1" w14:textId="77777777" w:rsidR="005F762A" w:rsidRDefault="00D74111">
            <w:pPr>
              <w:textAlignment w:val="bottom"/>
            </w:pPr>
            <w:r>
              <w:rPr>
                <w:rFonts w:ascii="Arial" w:eastAsia="宋体" w:hAnsi="Arial" w:cs="Arial"/>
                <w:color w:val="000000"/>
                <w:sz w:val="18"/>
                <w:szCs w:val="18"/>
              </w:rPr>
              <w:t>Balance, end of period</w:t>
            </w:r>
          </w:p>
        </w:tc>
        <w:tc>
          <w:tcPr>
            <w:tcW w:w="0" w:type="auto"/>
            <w:shd w:val="clear" w:color="auto" w:fill="auto"/>
          </w:tcPr>
          <w:p w14:paraId="7268DDF2" w14:textId="77777777" w:rsidR="005F762A" w:rsidRDefault="005F762A">
            <w:pPr>
              <w:rPr>
                <w:rFonts w:ascii="宋体"/>
                <w:vanish/>
              </w:rPr>
            </w:pPr>
          </w:p>
        </w:tc>
        <w:tc>
          <w:tcPr>
            <w:tcW w:w="0" w:type="auto"/>
            <w:shd w:val="clear" w:color="auto" w:fill="auto"/>
          </w:tcPr>
          <w:p w14:paraId="7268DDF3" w14:textId="77777777" w:rsidR="005F762A" w:rsidRDefault="005F762A">
            <w:pPr>
              <w:rPr>
                <w:rFonts w:ascii="宋体"/>
                <w:vanish/>
              </w:rPr>
            </w:pPr>
          </w:p>
        </w:tc>
        <w:tc>
          <w:tcPr>
            <w:tcW w:w="0" w:type="auto"/>
            <w:shd w:val="clear" w:color="auto" w:fill="auto"/>
          </w:tcPr>
          <w:p w14:paraId="7268DDF4"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DF5"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DF6"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DF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DF8"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DF9"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DFA" w14:textId="77777777" w:rsidR="005F762A" w:rsidRDefault="005F762A">
            <w:pPr>
              <w:jc w:val="right"/>
              <w:rPr>
                <w:rFonts w:ascii="宋体"/>
              </w:rPr>
            </w:pPr>
          </w:p>
        </w:tc>
      </w:tr>
      <w:tr w:rsidR="005F762A" w14:paraId="7268DE04" w14:textId="77777777">
        <w:trPr>
          <w:jc w:val="center"/>
        </w:trPr>
        <w:tc>
          <w:tcPr>
            <w:tcW w:w="0" w:type="auto"/>
            <w:gridSpan w:val="3"/>
            <w:shd w:val="clear" w:color="auto" w:fill="FFFFFF"/>
            <w:tcMar>
              <w:top w:w="40" w:type="dxa"/>
              <w:left w:w="20" w:type="dxa"/>
              <w:bottom w:w="40" w:type="dxa"/>
              <w:right w:w="20" w:type="dxa"/>
            </w:tcMar>
            <w:vAlign w:val="bottom"/>
          </w:tcPr>
          <w:p w14:paraId="7268DDFC" w14:textId="77777777" w:rsidR="005F762A" w:rsidRDefault="00D74111">
            <w:pPr>
              <w:textAlignment w:val="bottom"/>
            </w:pPr>
            <w:r>
              <w:rPr>
                <w:rFonts w:ascii="Arial" w:eastAsia="宋体" w:hAnsi="Arial" w:cs="Arial"/>
                <w:color w:val="000000"/>
                <w:sz w:val="18"/>
                <w:szCs w:val="18"/>
              </w:rPr>
              <w:t>Additional paid-in-capital:</w:t>
            </w:r>
          </w:p>
        </w:tc>
        <w:tc>
          <w:tcPr>
            <w:tcW w:w="0" w:type="auto"/>
            <w:shd w:val="clear" w:color="auto" w:fill="auto"/>
          </w:tcPr>
          <w:p w14:paraId="7268DDFD" w14:textId="77777777" w:rsidR="005F762A" w:rsidRDefault="005F762A">
            <w:pPr>
              <w:rPr>
                <w:rFonts w:ascii="宋体"/>
                <w:vanish/>
              </w:rPr>
            </w:pPr>
          </w:p>
        </w:tc>
        <w:tc>
          <w:tcPr>
            <w:tcW w:w="0" w:type="auto"/>
            <w:shd w:val="clear" w:color="auto" w:fill="auto"/>
          </w:tcPr>
          <w:p w14:paraId="7268DDFE" w14:textId="77777777" w:rsidR="005F762A" w:rsidRDefault="005F762A">
            <w:pPr>
              <w:rPr>
                <w:rFonts w:ascii="宋体"/>
                <w:vanish/>
              </w:rPr>
            </w:pPr>
          </w:p>
        </w:tc>
        <w:tc>
          <w:tcPr>
            <w:tcW w:w="0" w:type="auto"/>
            <w:shd w:val="clear" w:color="auto" w:fill="auto"/>
          </w:tcPr>
          <w:p w14:paraId="7268DDFF"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00"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0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E02"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03" w14:textId="77777777" w:rsidR="005F762A" w:rsidRDefault="005F762A">
            <w:pPr>
              <w:rPr>
                <w:rFonts w:ascii="宋体"/>
              </w:rPr>
            </w:pPr>
          </w:p>
        </w:tc>
      </w:tr>
      <w:tr w:rsidR="005F762A" w14:paraId="7268DE0F" w14:textId="77777777">
        <w:trPr>
          <w:jc w:val="center"/>
        </w:trPr>
        <w:tc>
          <w:tcPr>
            <w:tcW w:w="0" w:type="auto"/>
            <w:gridSpan w:val="3"/>
            <w:shd w:val="clear" w:color="auto" w:fill="E2E2E2"/>
            <w:tcMar>
              <w:top w:w="40" w:type="dxa"/>
              <w:left w:w="245" w:type="dxa"/>
              <w:bottom w:w="40" w:type="dxa"/>
              <w:right w:w="20" w:type="dxa"/>
            </w:tcMar>
            <w:vAlign w:val="bottom"/>
          </w:tcPr>
          <w:p w14:paraId="7268DE05" w14:textId="77777777" w:rsidR="005F762A" w:rsidRDefault="00D74111">
            <w:pPr>
              <w:textAlignment w:val="bottom"/>
            </w:pPr>
            <w:r>
              <w:rPr>
                <w:rFonts w:ascii="Arial" w:eastAsia="宋体" w:hAnsi="Arial" w:cs="Arial"/>
                <w:color w:val="000000"/>
                <w:sz w:val="18"/>
                <w:szCs w:val="18"/>
              </w:rPr>
              <w:t>Balance, beginning of period</w:t>
            </w:r>
          </w:p>
        </w:tc>
        <w:tc>
          <w:tcPr>
            <w:tcW w:w="0" w:type="auto"/>
            <w:shd w:val="clear" w:color="auto" w:fill="auto"/>
          </w:tcPr>
          <w:p w14:paraId="7268DE06" w14:textId="77777777" w:rsidR="005F762A" w:rsidRDefault="005F762A">
            <w:pPr>
              <w:rPr>
                <w:rFonts w:ascii="宋体"/>
                <w:vanish/>
              </w:rPr>
            </w:pPr>
          </w:p>
        </w:tc>
        <w:tc>
          <w:tcPr>
            <w:tcW w:w="0" w:type="auto"/>
            <w:shd w:val="clear" w:color="auto" w:fill="auto"/>
          </w:tcPr>
          <w:p w14:paraId="7268DE07" w14:textId="77777777" w:rsidR="005F762A" w:rsidRDefault="005F762A">
            <w:pPr>
              <w:rPr>
                <w:rFonts w:ascii="宋体"/>
                <w:vanish/>
              </w:rPr>
            </w:pPr>
          </w:p>
        </w:tc>
        <w:tc>
          <w:tcPr>
            <w:tcW w:w="0" w:type="auto"/>
            <w:shd w:val="clear" w:color="auto" w:fill="auto"/>
          </w:tcPr>
          <w:p w14:paraId="7268DE0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09"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0A" w14:textId="77777777" w:rsidR="005F762A" w:rsidRDefault="00D74111">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7268DE0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0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0D" w14:textId="77777777" w:rsidR="005F762A" w:rsidRDefault="00D74111">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7268DE0E" w14:textId="77777777" w:rsidR="005F762A" w:rsidRDefault="005F762A">
            <w:pPr>
              <w:jc w:val="right"/>
              <w:rPr>
                <w:rFonts w:ascii="宋体"/>
              </w:rPr>
            </w:pPr>
          </w:p>
        </w:tc>
      </w:tr>
      <w:tr w:rsidR="005F762A" w14:paraId="7268DE1A" w14:textId="77777777">
        <w:trPr>
          <w:jc w:val="center"/>
        </w:trPr>
        <w:tc>
          <w:tcPr>
            <w:tcW w:w="0" w:type="auto"/>
            <w:gridSpan w:val="3"/>
            <w:shd w:val="clear" w:color="auto" w:fill="FFFFFF"/>
            <w:tcMar>
              <w:top w:w="40" w:type="dxa"/>
              <w:left w:w="245" w:type="dxa"/>
              <w:bottom w:w="40" w:type="dxa"/>
              <w:right w:w="20" w:type="dxa"/>
            </w:tcMar>
            <w:vAlign w:val="bottom"/>
          </w:tcPr>
          <w:p w14:paraId="7268DE10" w14:textId="77777777" w:rsidR="005F762A" w:rsidRDefault="00D74111">
            <w:pPr>
              <w:textAlignment w:val="bottom"/>
            </w:pPr>
            <w:r>
              <w:rPr>
                <w:rFonts w:ascii="Arial" w:eastAsia="宋体" w:hAnsi="Arial" w:cs="Arial"/>
                <w:color w:val="000000"/>
                <w:sz w:val="18"/>
                <w:szCs w:val="18"/>
              </w:rPr>
              <w:t>Common stock and stock-based awards issued</w:t>
            </w:r>
          </w:p>
        </w:tc>
        <w:tc>
          <w:tcPr>
            <w:tcW w:w="0" w:type="auto"/>
            <w:shd w:val="clear" w:color="auto" w:fill="auto"/>
          </w:tcPr>
          <w:p w14:paraId="7268DE11" w14:textId="77777777" w:rsidR="005F762A" w:rsidRDefault="005F762A">
            <w:pPr>
              <w:rPr>
                <w:rFonts w:ascii="宋体"/>
                <w:vanish/>
              </w:rPr>
            </w:pPr>
          </w:p>
        </w:tc>
        <w:tc>
          <w:tcPr>
            <w:tcW w:w="0" w:type="auto"/>
            <w:shd w:val="clear" w:color="auto" w:fill="auto"/>
          </w:tcPr>
          <w:p w14:paraId="7268DE12" w14:textId="77777777" w:rsidR="005F762A" w:rsidRDefault="005F762A">
            <w:pPr>
              <w:rPr>
                <w:rFonts w:ascii="宋体"/>
                <w:vanish/>
              </w:rPr>
            </w:pPr>
          </w:p>
        </w:tc>
        <w:tc>
          <w:tcPr>
            <w:tcW w:w="0" w:type="auto"/>
            <w:shd w:val="clear" w:color="auto" w:fill="auto"/>
          </w:tcPr>
          <w:p w14:paraId="7268DE1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1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15"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DE1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1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18" w14:textId="77777777" w:rsidR="005F762A" w:rsidRDefault="00D74111">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7268DE19" w14:textId="77777777" w:rsidR="005F762A" w:rsidRDefault="005F762A">
            <w:pPr>
              <w:jc w:val="right"/>
              <w:rPr>
                <w:rFonts w:ascii="宋体"/>
              </w:rPr>
            </w:pPr>
          </w:p>
        </w:tc>
      </w:tr>
      <w:tr w:rsidR="005F762A" w14:paraId="7268DE25" w14:textId="77777777">
        <w:trPr>
          <w:jc w:val="center"/>
        </w:trPr>
        <w:tc>
          <w:tcPr>
            <w:tcW w:w="0" w:type="auto"/>
            <w:gridSpan w:val="3"/>
            <w:shd w:val="clear" w:color="auto" w:fill="E2E2E2"/>
            <w:tcMar>
              <w:top w:w="40" w:type="dxa"/>
              <w:left w:w="245" w:type="dxa"/>
              <w:bottom w:w="40" w:type="dxa"/>
              <w:right w:w="20" w:type="dxa"/>
            </w:tcMar>
            <w:vAlign w:val="bottom"/>
          </w:tcPr>
          <w:p w14:paraId="7268DE1B" w14:textId="77777777" w:rsidR="005F762A" w:rsidRDefault="00D74111">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shd w:val="clear" w:color="auto" w:fill="auto"/>
          </w:tcPr>
          <w:p w14:paraId="7268DE1C" w14:textId="77777777" w:rsidR="005F762A" w:rsidRDefault="005F762A">
            <w:pPr>
              <w:rPr>
                <w:rFonts w:ascii="宋体"/>
                <w:vanish/>
              </w:rPr>
            </w:pPr>
          </w:p>
        </w:tc>
        <w:tc>
          <w:tcPr>
            <w:tcW w:w="0" w:type="auto"/>
            <w:shd w:val="clear" w:color="auto" w:fill="auto"/>
          </w:tcPr>
          <w:p w14:paraId="7268DE1D" w14:textId="77777777" w:rsidR="005F762A" w:rsidRDefault="005F762A">
            <w:pPr>
              <w:rPr>
                <w:rFonts w:ascii="宋体"/>
                <w:vanish/>
              </w:rPr>
            </w:pPr>
          </w:p>
        </w:tc>
        <w:tc>
          <w:tcPr>
            <w:tcW w:w="0" w:type="auto"/>
            <w:shd w:val="clear" w:color="auto" w:fill="auto"/>
          </w:tcPr>
          <w:p w14:paraId="7268DE1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1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20" w14:textId="77777777" w:rsidR="005F762A" w:rsidRDefault="00D74111">
            <w:pPr>
              <w:jc w:val="right"/>
              <w:textAlignment w:val="bottom"/>
            </w:pPr>
            <w:r>
              <w:rPr>
                <w:rFonts w:ascii="Arial" w:eastAsia="宋体" w:hAnsi="Arial" w:cs="Arial"/>
                <w:color w:val="000000"/>
                <w:sz w:val="18"/>
                <w:szCs w:val="18"/>
              </w:rPr>
              <w:t>(69)</w:t>
            </w:r>
          </w:p>
        </w:tc>
        <w:tc>
          <w:tcPr>
            <w:tcW w:w="0" w:type="auto"/>
            <w:shd w:val="clear" w:color="auto" w:fill="E2E2E2"/>
            <w:tcMar>
              <w:top w:w="40" w:type="dxa"/>
              <w:left w:w="0" w:type="dxa"/>
              <w:bottom w:w="40" w:type="dxa"/>
              <w:right w:w="20" w:type="dxa"/>
            </w:tcMar>
            <w:vAlign w:val="bottom"/>
          </w:tcPr>
          <w:p w14:paraId="7268DE2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2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23" w14:textId="77777777" w:rsidR="005F762A" w:rsidRDefault="00D74111">
            <w:pPr>
              <w:jc w:val="right"/>
              <w:textAlignment w:val="bottom"/>
            </w:pPr>
            <w:r>
              <w:rPr>
                <w:rFonts w:ascii="Arial" w:eastAsia="宋体" w:hAnsi="Arial" w:cs="Arial"/>
                <w:color w:val="000000"/>
                <w:sz w:val="18"/>
                <w:szCs w:val="18"/>
              </w:rPr>
              <w:t>(40)</w:t>
            </w:r>
          </w:p>
        </w:tc>
        <w:tc>
          <w:tcPr>
            <w:tcW w:w="0" w:type="auto"/>
            <w:shd w:val="clear" w:color="auto" w:fill="E2E2E2"/>
            <w:tcMar>
              <w:top w:w="40" w:type="dxa"/>
              <w:left w:w="0" w:type="dxa"/>
              <w:bottom w:w="40" w:type="dxa"/>
              <w:right w:w="20" w:type="dxa"/>
            </w:tcMar>
            <w:vAlign w:val="bottom"/>
          </w:tcPr>
          <w:p w14:paraId="7268DE24" w14:textId="77777777" w:rsidR="005F762A" w:rsidRDefault="005F762A">
            <w:pPr>
              <w:jc w:val="right"/>
              <w:rPr>
                <w:rFonts w:ascii="宋体"/>
              </w:rPr>
            </w:pPr>
          </w:p>
        </w:tc>
      </w:tr>
      <w:tr w:rsidR="005F762A" w14:paraId="7268DE30" w14:textId="77777777">
        <w:trPr>
          <w:jc w:val="center"/>
        </w:trPr>
        <w:tc>
          <w:tcPr>
            <w:tcW w:w="0" w:type="auto"/>
            <w:gridSpan w:val="3"/>
            <w:shd w:val="clear" w:color="auto" w:fill="FFFFFF"/>
            <w:tcMar>
              <w:top w:w="40" w:type="dxa"/>
              <w:left w:w="245" w:type="dxa"/>
              <w:bottom w:w="40" w:type="dxa"/>
              <w:right w:w="20" w:type="dxa"/>
            </w:tcMar>
            <w:vAlign w:val="bottom"/>
          </w:tcPr>
          <w:p w14:paraId="7268DE26" w14:textId="77777777" w:rsidR="005F762A" w:rsidRDefault="00D74111">
            <w:pPr>
              <w:textAlignment w:val="bottom"/>
            </w:pPr>
            <w:r>
              <w:rPr>
                <w:rFonts w:ascii="Arial" w:eastAsia="宋体" w:hAnsi="Arial" w:cs="Arial"/>
                <w:color w:val="000000"/>
                <w:sz w:val="18"/>
                <w:szCs w:val="18"/>
              </w:rPr>
              <w:t>Stock-based compensation</w:t>
            </w:r>
          </w:p>
        </w:tc>
        <w:tc>
          <w:tcPr>
            <w:tcW w:w="0" w:type="auto"/>
            <w:shd w:val="clear" w:color="auto" w:fill="auto"/>
          </w:tcPr>
          <w:p w14:paraId="7268DE27" w14:textId="77777777" w:rsidR="005F762A" w:rsidRDefault="005F762A">
            <w:pPr>
              <w:rPr>
                <w:rFonts w:ascii="宋体"/>
                <w:vanish/>
              </w:rPr>
            </w:pPr>
          </w:p>
        </w:tc>
        <w:tc>
          <w:tcPr>
            <w:tcW w:w="0" w:type="auto"/>
            <w:shd w:val="clear" w:color="auto" w:fill="auto"/>
          </w:tcPr>
          <w:p w14:paraId="7268DE28" w14:textId="77777777" w:rsidR="005F762A" w:rsidRDefault="005F762A">
            <w:pPr>
              <w:rPr>
                <w:rFonts w:ascii="宋体"/>
                <w:vanish/>
              </w:rPr>
            </w:pPr>
          </w:p>
        </w:tc>
        <w:tc>
          <w:tcPr>
            <w:tcW w:w="0" w:type="auto"/>
            <w:shd w:val="clear" w:color="auto" w:fill="auto"/>
          </w:tcPr>
          <w:p w14:paraId="7268DE2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2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2B" w14:textId="77777777" w:rsidR="005F762A" w:rsidRDefault="00D74111">
            <w:pPr>
              <w:jc w:val="right"/>
              <w:textAlignment w:val="bottom"/>
            </w:pPr>
            <w:r>
              <w:rPr>
                <w:rFonts w:ascii="Arial" w:eastAsia="宋体" w:hAnsi="Arial" w:cs="Arial"/>
                <w:color w:val="000000"/>
                <w:sz w:val="18"/>
                <w:szCs w:val="18"/>
              </w:rPr>
              <w:t>116 </w:t>
            </w:r>
          </w:p>
        </w:tc>
        <w:tc>
          <w:tcPr>
            <w:tcW w:w="0" w:type="auto"/>
            <w:shd w:val="clear" w:color="auto" w:fill="FFFFFF"/>
            <w:tcMar>
              <w:top w:w="40" w:type="dxa"/>
              <w:left w:w="0" w:type="dxa"/>
              <w:bottom w:w="40" w:type="dxa"/>
              <w:right w:w="20" w:type="dxa"/>
            </w:tcMar>
            <w:vAlign w:val="bottom"/>
          </w:tcPr>
          <w:p w14:paraId="7268DE2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2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2E" w14:textId="77777777" w:rsidR="005F762A" w:rsidRDefault="00D74111">
            <w:pPr>
              <w:jc w:val="right"/>
              <w:textAlignment w:val="bottom"/>
            </w:pPr>
            <w:r>
              <w:rPr>
                <w:rFonts w:ascii="Arial" w:eastAsia="宋体" w:hAnsi="Arial" w:cs="Arial"/>
                <w:color w:val="000000"/>
                <w:sz w:val="18"/>
                <w:szCs w:val="18"/>
              </w:rPr>
              <w:t>94 </w:t>
            </w:r>
          </w:p>
        </w:tc>
        <w:tc>
          <w:tcPr>
            <w:tcW w:w="0" w:type="auto"/>
            <w:shd w:val="clear" w:color="auto" w:fill="FFFFFF"/>
            <w:tcMar>
              <w:top w:w="40" w:type="dxa"/>
              <w:left w:w="0" w:type="dxa"/>
              <w:bottom w:w="40" w:type="dxa"/>
              <w:right w:w="20" w:type="dxa"/>
            </w:tcMar>
            <w:vAlign w:val="bottom"/>
          </w:tcPr>
          <w:p w14:paraId="7268DE2F" w14:textId="77777777" w:rsidR="005F762A" w:rsidRDefault="005F762A">
            <w:pPr>
              <w:jc w:val="right"/>
              <w:rPr>
                <w:rFonts w:ascii="宋体"/>
              </w:rPr>
            </w:pPr>
          </w:p>
        </w:tc>
      </w:tr>
      <w:tr w:rsidR="005F762A" w14:paraId="7268DE39" w14:textId="77777777">
        <w:trPr>
          <w:jc w:val="center"/>
          <w:hidden/>
        </w:trPr>
        <w:tc>
          <w:tcPr>
            <w:tcW w:w="0" w:type="auto"/>
            <w:gridSpan w:val="3"/>
            <w:shd w:val="clear" w:color="auto" w:fill="auto"/>
          </w:tcPr>
          <w:p w14:paraId="7268DE31" w14:textId="77777777" w:rsidR="005F762A" w:rsidRDefault="005F762A">
            <w:pPr>
              <w:rPr>
                <w:rFonts w:ascii="宋体"/>
                <w:vanish/>
              </w:rPr>
            </w:pPr>
          </w:p>
        </w:tc>
        <w:tc>
          <w:tcPr>
            <w:tcW w:w="0" w:type="auto"/>
            <w:shd w:val="clear" w:color="auto" w:fill="auto"/>
          </w:tcPr>
          <w:p w14:paraId="7268DE32" w14:textId="77777777" w:rsidR="005F762A" w:rsidRDefault="005F762A">
            <w:pPr>
              <w:rPr>
                <w:rFonts w:ascii="宋体"/>
                <w:vanish/>
              </w:rPr>
            </w:pPr>
          </w:p>
        </w:tc>
        <w:tc>
          <w:tcPr>
            <w:tcW w:w="0" w:type="auto"/>
            <w:shd w:val="clear" w:color="auto" w:fill="auto"/>
          </w:tcPr>
          <w:p w14:paraId="7268DE33" w14:textId="77777777" w:rsidR="005F762A" w:rsidRDefault="005F762A">
            <w:pPr>
              <w:rPr>
                <w:rFonts w:ascii="宋体"/>
                <w:vanish/>
              </w:rPr>
            </w:pPr>
          </w:p>
        </w:tc>
        <w:tc>
          <w:tcPr>
            <w:tcW w:w="0" w:type="auto"/>
            <w:shd w:val="clear" w:color="auto" w:fill="auto"/>
          </w:tcPr>
          <w:p w14:paraId="7268DE34" w14:textId="77777777" w:rsidR="005F762A" w:rsidRDefault="005F762A">
            <w:pPr>
              <w:rPr>
                <w:rFonts w:ascii="宋体"/>
                <w:vanish/>
              </w:rPr>
            </w:pPr>
          </w:p>
        </w:tc>
        <w:tc>
          <w:tcPr>
            <w:tcW w:w="0" w:type="auto"/>
            <w:gridSpan w:val="3"/>
            <w:shd w:val="clear" w:color="auto" w:fill="auto"/>
          </w:tcPr>
          <w:p w14:paraId="7268DE35" w14:textId="77777777" w:rsidR="005F762A" w:rsidRDefault="005F762A">
            <w:pPr>
              <w:rPr>
                <w:rFonts w:ascii="宋体"/>
                <w:vanish/>
              </w:rPr>
            </w:pPr>
          </w:p>
        </w:tc>
        <w:tc>
          <w:tcPr>
            <w:tcW w:w="0" w:type="auto"/>
            <w:gridSpan w:val="3"/>
            <w:shd w:val="clear" w:color="auto" w:fill="auto"/>
          </w:tcPr>
          <w:p w14:paraId="7268DE36" w14:textId="77777777" w:rsidR="005F762A" w:rsidRDefault="005F762A">
            <w:pPr>
              <w:rPr>
                <w:rFonts w:ascii="宋体"/>
                <w:vanish/>
              </w:rPr>
            </w:pPr>
          </w:p>
        </w:tc>
        <w:tc>
          <w:tcPr>
            <w:tcW w:w="0" w:type="auto"/>
            <w:gridSpan w:val="3"/>
            <w:shd w:val="clear" w:color="auto" w:fill="auto"/>
          </w:tcPr>
          <w:p w14:paraId="7268DE37" w14:textId="77777777" w:rsidR="005F762A" w:rsidRDefault="005F762A">
            <w:pPr>
              <w:rPr>
                <w:rFonts w:ascii="宋体"/>
                <w:vanish/>
              </w:rPr>
            </w:pPr>
          </w:p>
        </w:tc>
        <w:tc>
          <w:tcPr>
            <w:tcW w:w="0" w:type="auto"/>
            <w:gridSpan w:val="3"/>
            <w:shd w:val="clear" w:color="auto" w:fill="auto"/>
          </w:tcPr>
          <w:p w14:paraId="7268DE38" w14:textId="77777777" w:rsidR="005F762A" w:rsidRDefault="005F762A">
            <w:pPr>
              <w:rPr>
                <w:rFonts w:ascii="宋体"/>
                <w:vanish/>
              </w:rPr>
            </w:pPr>
          </w:p>
        </w:tc>
      </w:tr>
      <w:tr w:rsidR="005F762A" w14:paraId="7268DE44" w14:textId="77777777">
        <w:trPr>
          <w:jc w:val="center"/>
        </w:trPr>
        <w:tc>
          <w:tcPr>
            <w:tcW w:w="0" w:type="auto"/>
            <w:gridSpan w:val="3"/>
            <w:shd w:val="clear" w:color="auto" w:fill="E2E2E2"/>
            <w:tcMar>
              <w:top w:w="40" w:type="dxa"/>
              <w:left w:w="245" w:type="dxa"/>
              <w:bottom w:w="40" w:type="dxa"/>
              <w:right w:w="20" w:type="dxa"/>
            </w:tcMar>
            <w:vAlign w:val="bottom"/>
          </w:tcPr>
          <w:p w14:paraId="7268DE3A" w14:textId="77777777" w:rsidR="005F762A" w:rsidRDefault="00D74111">
            <w:pPr>
              <w:textAlignment w:val="bottom"/>
            </w:pPr>
            <w:r>
              <w:rPr>
                <w:rFonts w:ascii="Arial" w:eastAsia="宋体" w:hAnsi="Arial" w:cs="Arial"/>
                <w:color w:val="000000"/>
                <w:sz w:val="18"/>
                <w:szCs w:val="18"/>
              </w:rPr>
              <w:t>Forward contract for share repurchase</w:t>
            </w:r>
          </w:p>
        </w:tc>
        <w:tc>
          <w:tcPr>
            <w:tcW w:w="0" w:type="auto"/>
            <w:shd w:val="clear" w:color="auto" w:fill="auto"/>
          </w:tcPr>
          <w:p w14:paraId="7268DE3B" w14:textId="77777777" w:rsidR="005F762A" w:rsidRDefault="005F762A">
            <w:pPr>
              <w:rPr>
                <w:rFonts w:ascii="宋体"/>
                <w:vanish/>
              </w:rPr>
            </w:pPr>
          </w:p>
        </w:tc>
        <w:tc>
          <w:tcPr>
            <w:tcW w:w="0" w:type="auto"/>
            <w:shd w:val="clear" w:color="auto" w:fill="auto"/>
          </w:tcPr>
          <w:p w14:paraId="7268DE3C" w14:textId="77777777" w:rsidR="005F762A" w:rsidRDefault="005F762A">
            <w:pPr>
              <w:rPr>
                <w:rFonts w:ascii="宋体"/>
                <w:vanish/>
              </w:rPr>
            </w:pPr>
          </w:p>
        </w:tc>
        <w:tc>
          <w:tcPr>
            <w:tcW w:w="0" w:type="auto"/>
            <w:shd w:val="clear" w:color="auto" w:fill="auto"/>
          </w:tcPr>
          <w:p w14:paraId="7268DE3D"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3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3F"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DE4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4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42" w14:textId="77777777" w:rsidR="005F762A" w:rsidRDefault="00D74111">
            <w:pPr>
              <w:jc w:val="right"/>
              <w:textAlignment w:val="bottom"/>
            </w:pPr>
            <w:r>
              <w:rPr>
                <w:rFonts w:ascii="Arial" w:eastAsia="宋体" w:hAnsi="Arial" w:cs="Arial"/>
                <w:color w:val="000000"/>
                <w:sz w:val="18"/>
                <w:szCs w:val="18"/>
              </w:rPr>
              <w:t>(450)</w:t>
            </w:r>
          </w:p>
        </w:tc>
        <w:tc>
          <w:tcPr>
            <w:tcW w:w="0" w:type="auto"/>
            <w:shd w:val="clear" w:color="auto" w:fill="E2E2E2"/>
            <w:tcMar>
              <w:top w:w="40" w:type="dxa"/>
              <w:left w:w="0" w:type="dxa"/>
              <w:bottom w:w="40" w:type="dxa"/>
              <w:right w:w="20" w:type="dxa"/>
            </w:tcMar>
            <w:vAlign w:val="bottom"/>
          </w:tcPr>
          <w:p w14:paraId="7268DE43" w14:textId="77777777" w:rsidR="005F762A" w:rsidRDefault="005F762A">
            <w:pPr>
              <w:jc w:val="right"/>
              <w:rPr>
                <w:rFonts w:ascii="宋体"/>
              </w:rPr>
            </w:pPr>
          </w:p>
        </w:tc>
      </w:tr>
      <w:tr w:rsidR="005F762A" w14:paraId="7268DE4F" w14:textId="77777777">
        <w:trPr>
          <w:jc w:val="center"/>
        </w:trPr>
        <w:tc>
          <w:tcPr>
            <w:tcW w:w="0" w:type="auto"/>
            <w:gridSpan w:val="3"/>
            <w:shd w:val="clear" w:color="auto" w:fill="FFFFFF"/>
            <w:tcMar>
              <w:top w:w="40" w:type="dxa"/>
              <w:left w:w="245" w:type="dxa"/>
              <w:bottom w:w="40" w:type="dxa"/>
              <w:right w:w="20" w:type="dxa"/>
            </w:tcMar>
            <w:vAlign w:val="bottom"/>
          </w:tcPr>
          <w:p w14:paraId="7268DE45" w14:textId="77777777" w:rsidR="005F762A" w:rsidRDefault="00D74111">
            <w:pPr>
              <w:textAlignment w:val="bottom"/>
            </w:pPr>
            <w:r>
              <w:rPr>
                <w:rFonts w:ascii="Arial" w:eastAsia="宋体" w:hAnsi="Arial" w:cs="Arial"/>
                <w:color w:val="000000"/>
                <w:sz w:val="18"/>
                <w:szCs w:val="18"/>
              </w:rPr>
              <w:t>Other</w:t>
            </w:r>
          </w:p>
        </w:tc>
        <w:tc>
          <w:tcPr>
            <w:tcW w:w="0" w:type="auto"/>
            <w:shd w:val="clear" w:color="auto" w:fill="auto"/>
          </w:tcPr>
          <w:p w14:paraId="7268DE46" w14:textId="77777777" w:rsidR="005F762A" w:rsidRDefault="005F762A">
            <w:pPr>
              <w:rPr>
                <w:rFonts w:ascii="宋体"/>
                <w:vanish/>
              </w:rPr>
            </w:pPr>
          </w:p>
        </w:tc>
        <w:tc>
          <w:tcPr>
            <w:tcW w:w="0" w:type="auto"/>
            <w:shd w:val="clear" w:color="auto" w:fill="auto"/>
          </w:tcPr>
          <w:p w14:paraId="7268DE47" w14:textId="77777777" w:rsidR="005F762A" w:rsidRDefault="005F762A">
            <w:pPr>
              <w:rPr>
                <w:rFonts w:ascii="宋体"/>
                <w:vanish/>
              </w:rPr>
            </w:pPr>
          </w:p>
        </w:tc>
        <w:tc>
          <w:tcPr>
            <w:tcW w:w="0" w:type="auto"/>
            <w:shd w:val="clear" w:color="auto" w:fill="auto"/>
          </w:tcPr>
          <w:p w14:paraId="7268DE48"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4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4A"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DE4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4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4D"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7268DE4E" w14:textId="77777777" w:rsidR="005F762A" w:rsidRDefault="005F762A">
            <w:pPr>
              <w:jc w:val="right"/>
              <w:rPr>
                <w:rFonts w:ascii="宋体"/>
              </w:rPr>
            </w:pPr>
          </w:p>
        </w:tc>
      </w:tr>
      <w:tr w:rsidR="005F762A" w14:paraId="7268DE5A" w14:textId="77777777">
        <w:trPr>
          <w:jc w:val="center"/>
        </w:trPr>
        <w:tc>
          <w:tcPr>
            <w:tcW w:w="0" w:type="auto"/>
            <w:gridSpan w:val="3"/>
            <w:shd w:val="clear" w:color="auto" w:fill="E2E2E2"/>
            <w:tcMar>
              <w:top w:w="40" w:type="dxa"/>
              <w:left w:w="740" w:type="dxa"/>
              <w:bottom w:w="40" w:type="dxa"/>
              <w:right w:w="20" w:type="dxa"/>
            </w:tcMar>
            <w:vAlign w:val="bottom"/>
          </w:tcPr>
          <w:p w14:paraId="7268DE50" w14:textId="77777777" w:rsidR="005F762A" w:rsidRDefault="00D74111">
            <w:pPr>
              <w:textAlignment w:val="bottom"/>
            </w:pPr>
            <w:r>
              <w:rPr>
                <w:rFonts w:ascii="Arial" w:eastAsia="宋体" w:hAnsi="Arial" w:cs="Arial"/>
                <w:color w:val="000000"/>
                <w:sz w:val="18"/>
                <w:szCs w:val="18"/>
              </w:rPr>
              <w:t>Balance, end of period</w:t>
            </w:r>
          </w:p>
        </w:tc>
        <w:tc>
          <w:tcPr>
            <w:tcW w:w="0" w:type="auto"/>
            <w:shd w:val="clear" w:color="auto" w:fill="auto"/>
          </w:tcPr>
          <w:p w14:paraId="7268DE51" w14:textId="77777777" w:rsidR="005F762A" w:rsidRDefault="005F762A">
            <w:pPr>
              <w:rPr>
                <w:rFonts w:ascii="宋体"/>
                <w:vanish/>
              </w:rPr>
            </w:pPr>
          </w:p>
        </w:tc>
        <w:tc>
          <w:tcPr>
            <w:tcW w:w="0" w:type="auto"/>
            <w:shd w:val="clear" w:color="auto" w:fill="auto"/>
          </w:tcPr>
          <w:p w14:paraId="7268DE52" w14:textId="77777777" w:rsidR="005F762A" w:rsidRDefault="005F762A">
            <w:pPr>
              <w:rPr>
                <w:rFonts w:ascii="宋体"/>
                <w:vanish/>
              </w:rPr>
            </w:pPr>
          </w:p>
        </w:tc>
        <w:tc>
          <w:tcPr>
            <w:tcW w:w="0" w:type="auto"/>
            <w:shd w:val="clear" w:color="auto" w:fill="auto"/>
          </w:tcPr>
          <w:p w14:paraId="7268DE53"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54"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E55" w14:textId="77777777" w:rsidR="005F762A" w:rsidRDefault="00D74111">
            <w:pPr>
              <w:jc w:val="right"/>
              <w:textAlignment w:val="bottom"/>
            </w:pPr>
            <w:r>
              <w:rPr>
                <w:rFonts w:ascii="Arial" w:eastAsia="宋体" w:hAnsi="Arial" w:cs="Arial"/>
                <w:color w:val="000000"/>
                <w:sz w:val="18"/>
                <w:szCs w:val="18"/>
              </w:rPr>
              <w:t>16,546 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E5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57"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E58" w14:textId="77777777" w:rsidR="005F762A" w:rsidRDefault="00D74111">
            <w:pPr>
              <w:jc w:val="right"/>
              <w:textAlignment w:val="bottom"/>
            </w:pPr>
            <w:r>
              <w:rPr>
                <w:rFonts w:ascii="Arial" w:eastAsia="宋体" w:hAnsi="Arial" w:cs="Arial"/>
                <w:color w:val="000000"/>
                <w:sz w:val="18"/>
                <w:szCs w:val="18"/>
              </w:rPr>
              <w:t>15,723 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E59" w14:textId="77777777" w:rsidR="005F762A" w:rsidRDefault="005F762A">
            <w:pPr>
              <w:jc w:val="right"/>
              <w:rPr>
                <w:rFonts w:ascii="宋体"/>
              </w:rPr>
            </w:pPr>
          </w:p>
        </w:tc>
      </w:tr>
      <w:tr w:rsidR="005F762A" w14:paraId="7268DE63" w14:textId="77777777">
        <w:trPr>
          <w:jc w:val="center"/>
        </w:trPr>
        <w:tc>
          <w:tcPr>
            <w:tcW w:w="0" w:type="auto"/>
            <w:gridSpan w:val="3"/>
            <w:shd w:val="clear" w:color="auto" w:fill="FFFFFF"/>
            <w:tcMar>
              <w:top w:w="40" w:type="dxa"/>
              <w:left w:w="20" w:type="dxa"/>
              <w:bottom w:w="40" w:type="dxa"/>
              <w:right w:w="20" w:type="dxa"/>
            </w:tcMar>
            <w:vAlign w:val="bottom"/>
          </w:tcPr>
          <w:p w14:paraId="7268DE5B" w14:textId="77777777" w:rsidR="005F762A" w:rsidRDefault="00D74111">
            <w:pPr>
              <w:textAlignment w:val="bottom"/>
            </w:pPr>
            <w:r>
              <w:rPr>
                <w:rFonts w:ascii="Arial" w:eastAsia="宋体" w:hAnsi="Arial" w:cs="Arial"/>
                <w:color w:val="000000"/>
                <w:sz w:val="18"/>
                <w:szCs w:val="18"/>
              </w:rPr>
              <w:t>Treasury stock at cost:</w:t>
            </w:r>
          </w:p>
        </w:tc>
        <w:tc>
          <w:tcPr>
            <w:tcW w:w="0" w:type="auto"/>
            <w:shd w:val="clear" w:color="auto" w:fill="auto"/>
          </w:tcPr>
          <w:p w14:paraId="7268DE5C" w14:textId="77777777" w:rsidR="005F762A" w:rsidRDefault="005F762A">
            <w:pPr>
              <w:rPr>
                <w:rFonts w:ascii="宋体"/>
                <w:vanish/>
              </w:rPr>
            </w:pPr>
          </w:p>
        </w:tc>
        <w:tc>
          <w:tcPr>
            <w:tcW w:w="0" w:type="auto"/>
            <w:shd w:val="clear" w:color="auto" w:fill="auto"/>
          </w:tcPr>
          <w:p w14:paraId="7268DE5D" w14:textId="77777777" w:rsidR="005F762A" w:rsidRDefault="005F762A">
            <w:pPr>
              <w:rPr>
                <w:rFonts w:ascii="宋体"/>
                <w:vanish/>
              </w:rPr>
            </w:pPr>
          </w:p>
        </w:tc>
        <w:tc>
          <w:tcPr>
            <w:tcW w:w="0" w:type="auto"/>
            <w:shd w:val="clear" w:color="auto" w:fill="auto"/>
          </w:tcPr>
          <w:p w14:paraId="7268DE5E"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5F"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6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E61"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62" w14:textId="77777777" w:rsidR="005F762A" w:rsidRDefault="005F762A">
            <w:pPr>
              <w:rPr>
                <w:rFonts w:ascii="宋体"/>
              </w:rPr>
            </w:pPr>
          </w:p>
        </w:tc>
      </w:tr>
      <w:tr w:rsidR="005F762A" w14:paraId="7268DE6E" w14:textId="77777777">
        <w:trPr>
          <w:jc w:val="center"/>
        </w:trPr>
        <w:tc>
          <w:tcPr>
            <w:tcW w:w="0" w:type="auto"/>
            <w:gridSpan w:val="3"/>
            <w:shd w:val="clear" w:color="auto" w:fill="E2E2E2"/>
            <w:tcMar>
              <w:top w:w="40" w:type="dxa"/>
              <w:left w:w="245" w:type="dxa"/>
              <w:bottom w:w="40" w:type="dxa"/>
              <w:right w:w="20" w:type="dxa"/>
            </w:tcMar>
            <w:vAlign w:val="bottom"/>
          </w:tcPr>
          <w:p w14:paraId="7268DE64" w14:textId="77777777" w:rsidR="005F762A" w:rsidRDefault="00D74111">
            <w:pPr>
              <w:textAlignment w:val="bottom"/>
            </w:pPr>
            <w:r>
              <w:rPr>
                <w:rFonts w:ascii="Arial" w:eastAsia="宋体" w:hAnsi="Arial" w:cs="Arial"/>
                <w:color w:val="000000"/>
                <w:sz w:val="18"/>
                <w:szCs w:val="18"/>
              </w:rPr>
              <w:t>Balance, beginning of period</w:t>
            </w:r>
          </w:p>
        </w:tc>
        <w:tc>
          <w:tcPr>
            <w:tcW w:w="0" w:type="auto"/>
            <w:shd w:val="clear" w:color="auto" w:fill="auto"/>
          </w:tcPr>
          <w:p w14:paraId="7268DE65" w14:textId="77777777" w:rsidR="005F762A" w:rsidRDefault="005F762A">
            <w:pPr>
              <w:rPr>
                <w:rFonts w:ascii="宋体"/>
                <w:vanish/>
              </w:rPr>
            </w:pPr>
          </w:p>
        </w:tc>
        <w:tc>
          <w:tcPr>
            <w:tcW w:w="0" w:type="auto"/>
            <w:shd w:val="clear" w:color="auto" w:fill="auto"/>
          </w:tcPr>
          <w:p w14:paraId="7268DE66" w14:textId="77777777" w:rsidR="005F762A" w:rsidRDefault="005F762A">
            <w:pPr>
              <w:rPr>
                <w:rFonts w:ascii="宋体"/>
                <w:vanish/>
              </w:rPr>
            </w:pPr>
          </w:p>
        </w:tc>
        <w:tc>
          <w:tcPr>
            <w:tcW w:w="0" w:type="auto"/>
            <w:shd w:val="clear" w:color="auto" w:fill="auto"/>
          </w:tcPr>
          <w:p w14:paraId="7268DE67"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6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69" w14:textId="77777777" w:rsidR="005F762A" w:rsidRDefault="00D74111">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7268DE6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6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6C" w14:textId="77777777" w:rsidR="005F762A" w:rsidRDefault="00D74111">
            <w:pPr>
              <w:jc w:val="right"/>
              <w:textAlignment w:val="bottom"/>
            </w:pPr>
            <w:r>
              <w:rPr>
                <w:rFonts w:ascii="Arial" w:eastAsia="宋体" w:hAnsi="Arial" w:cs="Arial"/>
                <w:color w:val="000000"/>
                <w:sz w:val="18"/>
                <w:szCs w:val="18"/>
              </w:rPr>
              <w:t>(31,396)</w:t>
            </w:r>
          </w:p>
        </w:tc>
        <w:tc>
          <w:tcPr>
            <w:tcW w:w="0" w:type="auto"/>
            <w:shd w:val="clear" w:color="auto" w:fill="E2E2E2"/>
            <w:tcMar>
              <w:top w:w="40" w:type="dxa"/>
              <w:left w:w="0" w:type="dxa"/>
              <w:bottom w:w="40" w:type="dxa"/>
              <w:right w:w="20" w:type="dxa"/>
            </w:tcMar>
            <w:vAlign w:val="bottom"/>
          </w:tcPr>
          <w:p w14:paraId="7268DE6D" w14:textId="77777777" w:rsidR="005F762A" w:rsidRDefault="005F762A">
            <w:pPr>
              <w:jc w:val="right"/>
              <w:rPr>
                <w:rFonts w:ascii="宋体"/>
              </w:rPr>
            </w:pPr>
          </w:p>
        </w:tc>
      </w:tr>
      <w:tr w:rsidR="005F762A" w14:paraId="7268DE79" w14:textId="77777777">
        <w:trPr>
          <w:jc w:val="center"/>
        </w:trPr>
        <w:tc>
          <w:tcPr>
            <w:tcW w:w="0" w:type="auto"/>
            <w:gridSpan w:val="3"/>
            <w:shd w:val="clear" w:color="auto" w:fill="FFFFFF"/>
            <w:tcMar>
              <w:top w:w="40" w:type="dxa"/>
              <w:left w:w="245" w:type="dxa"/>
              <w:bottom w:w="40" w:type="dxa"/>
              <w:right w:w="20" w:type="dxa"/>
            </w:tcMar>
            <w:vAlign w:val="bottom"/>
          </w:tcPr>
          <w:p w14:paraId="7268DE6F" w14:textId="77777777" w:rsidR="005F762A" w:rsidRDefault="00D74111">
            <w:pPr>
              <w:textAlignment w:val="bottom"/>
            </w:pPr>
            <w:r>
              <w:rPr>
                <w:rFonts w:ascii="Arial" w:eastAsia="宋体" w:hAnsi="Arial" w:cs="Arial"/>
                <w:color w:val="000000"/>
                <w:sz w:val="18"/>
                <w:szCs w:val="18"/>
              </w:rPr>
              <w:t>Common stock repurchased</w:t>
            </w:r>
          </w:p>
        </w:tc>
        <w:tc>
          <w:tcPr>
            <w:tcW w:w="0" w:type="auto"/>
            <w:shd w:val="clear" w:color="auto" w:fill="auto"/>
          </w:tcPr>
          <w:p w14:paraId="7268DE70" w14:textId="77777777" w:rsidR="005F762A" w:rsidRDefault="005F762A">
            <w:pPr>
              <w:rPr>
                <w:rFonts w:ascii="宋体"/>
                <w:vanish/>
              </w:rPr>
            </w:pPr>
          </w:p>
        </w:tc>
        <w:tc>
          <w:tcPr>
            <w:tcW w:w="0" w:type="auto"/>
            <w:shd w:val="clear" w:color="auto" w:fill="auto"/>
          </w:tcPr>
          <w:p w14:paraId="7268DE71" w14:textId="77777777" w:rsidR="005F762A" w:rsidRDefault="005F762A">
            <w:pPr>
              <w:rPr>
                <w:rFonts w:ascii="宋体"/>
                <w:vanish/>
              </w:rPr>
            </w:pPr>
          </w:p>
        </w:tc>
        <w:tc>
          <w:tcPr>
            <w:tcW w:w="0" w:type="auto"/>
            <w:shd w:val="clear" w:color="auto" w:fill="auto"/>
          </w:tcPr>
          <w:p w14:paraId="7268DE7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7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74" w14:textId="77777777" w:rsidR="005F762A" w:rsidRDefault="00D74111">
            <w:pPr>
              <w:jc w:val="right"/>
              <w:textAlignment w:val="bottom"/>
            </w:pPr>
            <w:r>
              <w:rPr>
                <w:rFonts w:ascii="Arial" w:eastAsia="宋体" w:hAnsi="Arial" w:cs="Arial"/>
                <w:color w:val="000000"/>
                <w:sz w:val="18"/>
                <w:szCs w:val="18"/>
              </w:rPr>
              <w:t>(292)</w:t>
            </w:r>
          </w:p>
        </w:tc>
        <w:tc>
          <w:tcPr>
            <w:tcW w:w="0" w:type="auto"/>
            <w:shd w:val="clear" w:color="auto" w:fill="FFFFFF"/>
            <w:tcMar>
              <w:top w:w="40" w:type="dxa"/>
              <w:left w:w="0" w:type="dxa"/>
              <w:bottom w:w="40" w:type="dxa"/>
              <w:right w:w="20" w:type="dxa"/>
            </w:tcMar>
            <w:vAlign w:val="bottom"/>
          </w:tcPr>
          <w:p w14:paraId="7268DE7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7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77" w14:textId="77777777" w:rsidR="005F762A" w:rsidRDefault="00D74111">
            <w:pPr>
              <w:jc w:val="right"/>
              <w:textAlignment w:val="bottom"/>
            </w:pPr>
            <w:r>
              <w:rPr>
                <w:rFonts w:ascii="Arial" w:eastAsia="宋体" w:hAnsi="Arial" w:cs="Arial"/>
                <w:color w:val="000000"/>
                <w:sz w:val="18"/>
                <w:szCs w:val="18"/>
              </w:rPr>
              <w:t>(3,550)</w:t>
            </w:r>
          </w:p>
        </w:tc>
        <w:tc>
          <w:tcPr>
            <w:tcW w:w="0" w:type="auto"/>
            <w:shd w:val="clear" w:color="auto" w:fill="FFFFFF"/>
            <w:tcMar>
              <w:top w:w="40" w:type="dxa"/>
              <w:left w:w="0" w:type="dxa"/>
              <w:bottom w:w="40" w:type="dxa"/>
              <w:right w:w="20" w:type="dxa"/>
            </w:tcMar>
            <w:vAlign w:val="bottom"/>
          </w:tcPr>
          <w:p w14:paraId="7268DE78" w14:textId="77777777" w:rsidR="005F762A" w:rsidRDefault="005F762A">
            <w:pPr>
              <w:jc w:val="right"/>
              <w:rPr>
                <w:rFonts w:ascii="宋体"/>
              </w:rPr>
            </w:pPr>
          </w:p>
        </w:tc>
      </w:tr>
      <w:tr w:rsidR="005F762A" w14:paraId="7268DE84" w14:textId="77777777">
        <w:trPr>
          <w:jc w:val="center"/>
        </w:trPr>
        <w:tc>
          <w:tcPr>
            <w:tcW w:w="0" w:type="auto"/>
            <w:gridSpan w:val="3"/>
            <w:shd w:val="clear" w:color="auto" w:fill="E2E2E2"/>
            <w:tcMar>
              <w:top w:w="40" w:type="dxa"/>
              <w:left w:w="740" w:type="dxa"/>
              <w:bottom w:w="40" w:type="dxa"/>
              <w:right w:w="20" w:type="dxa"/>
            </w:tcMar>
            <w:vAlign w:val="bottom"/>
          </w:tcPr>
          <w:p w14:paraId="7268DE7A" w14:textId="77777777" w:rsidR="005F762A" w:rsidRDefault="00D74111">
            <w:pPr>
              <w:textAlignment w:val="bottom"/>
            </w:pPr>
            <w:r>
              <w:rPr>
                <w:rFonts w:ascii="Arial" w:eastAsia="宋体" w:hAnsi="Arial" w:cs="Arial"/>
                <w:color w:val="000000"/>
                <w:sz w:val="18"/>
                <w:szCs w:val="18"/>
              </w:rPr>
              <w:t>Balance, end of period</w:t>
            </w:r>
          </w:p>
        </w:tc>
        <w:tc>
          <w:tcPr>
            <w:tcW w:w="0" w:type="auto"/>
            <w:shd w:val="clear" w:color="auto" w:fill="auto"/>
          </w:tcPr>
          <w:p w14:paraId="7268DE7B" w14:textId="77777777" w:rsidR="005F762A" w:rsidRDefault="005F762A">
            <w:pPr>
              <w:rPr>
                <w:rFonts w:ascii="宋体"/>
                <w:vanish/>
              </w:rPr>
            </w:pPr>
          </w:p>
        </w:tc>
        <w:tc>
          <w:tcPr>
            <w:tcW w:w="0" w:type="auto"/>
            <w:shd w:val="clear" w:color="auto" w:fill="auto"/>
          </w:tcPr>
          <w:p w14:paraId="7268DE7C" w14:textId="77777777" w:rsidR="005F762A" w:rsidRDefault="005F762A">
            <w:pPr>
              <w:rPr>
                <w:rFonts w:ascii="宋体"/>
                <w:vanish/>
              </w:rPr>
            </w:pPr>
          </w:p>
        </w:tc>
        <w:tc>
          <w:tcPr>
            <w:tcW w:w="0" w:type="auto"/>
            <w:shd w:val="clear" w:color="auto" w:fill="auto"/>
          </w:tcPr>
          <w:p w14:paraId="7268DE7D"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7E"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E7F" w14:textId="77777777" w:rsidR="005F762A" w:rsidRDefault="00D74111">
            <w:pPr>
              <w:jc w:val="right"/>
              <w:textAlignment w:val="bottom"/>
            </w:pPr>
            <w:r>
              <w:rPr>
                <w:rFonts w:ascii="Arial" w:eastAsia="宋体" w:hAnsi="Arial" w:cs="Arial"/>
                <w:color w:val="000000"/>
                <w:sz w:val="18"/>
                <w:szCs w:val="18"/>
              </w:rPr>
              <w:t>(36,807)</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E8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81"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E82" w14:textId="77777777" w:rsidR="005F762A" w:rsidRDefault="00D74111">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E83" w14:textId="77777777" w:rsidR="005F762A" w:rsidRDefault="005F762A">
            <w:pPr>
              <w:jc w:val="right"/>
              <w:rPr>
                <w:rFonts w:ascii="宋体"/>
              </w:rPr>
            </w:pPr>
          </w:p>
        </w:tc>
      </w:tr>
      <w:tr w:rsidR="005F762A" w14:paraId="7268DE8D" w14:textId="77777777">
        <w:trPr>
          <w:jc w:val="center"/>
        </w:trPr>
        <w:tc>
          <w:tcPr>
            <w:tcW w:w="0" w:type="auto"/>
            <w:gridSpan w:val="3"/>
            <w:shd w:val="clear" w:color="auto" w:fill="FFFFFF"/>
            <w:tcMar>
              <w:top w:w="40" w:type="dxa"/>
              <w:left w:w="20" w:type="dxa"/>
              <w:bottom w:w="40" w:type="dxa"/>
              <w:right w:w="20" w:type="dxa"/>
            </w:tcMar>
            <w:vAlign w:val="bottom"/>
          </w:tcPr>
          <w:p w14:paraId="7268DE85" w14:textId="77777777" w:rsidR="005F762A" w:rsidRDefault="00D74111">
            <w:pPr>
              <w:textAlignment w:val="bottom"/>
            </w:pPr>
            <w:r>
              <w:rPr>
                <w:rFonts w:ascii="Arial" w:eastAsia="宋体" w:hAnsi="Arial" w:cs="Arial"/>
                <w:color w:val="000000"/>
                <w:sz w:val="18"/>
                <w:szCs w:val="18"/>
              </w:rPr>
              <w:t>Retained earnings:</w:t>
            </w:r>
          </w:p>
        </w:tc>
        <w:tc>
          <w:tcPr>
            <w:tcW w:w="0" w:type="auto"/>
            <w:shd w:val="clear" w:color="auto" w:fill="auto"/>
          </w:tcPr>
          <w:p w14:paraId="7268DE86" w14:textId="77777777" w:rsidR="005F762A" w:rsidRDefault="005F762A">
            <w:pPr>
              <w:rPr>
                <w:rFonts w:ascii="宋体"/>
                <w:vanish/>
              </w:rPr>
            </w:pPr>
          </w:p>
        </w:tc>
        <w:tc>
          <w:tcPr>
            <w:tcW w:w="0" w:type="auto"/>
            <w:shd w:val="clear" w:color="auto" w:fill="auto"/>
          </w:tcPr>
          <w:p w14:paraId="7268DE87" w14:textId="77777777" w:rsidR="005F762A" w:rsidRDefault="005F762A">
            <w:pPr>
              <w:rPr>
                <w:rFonts w:ascii="宋体"/>
                <w:vanish/>
              </w:rPr>
            </w:pPr>
          </w:p>
        </w:tc>
        <w:tc>
          <w:tcPr>
            <w:tcW w:w="0" w:type="auto"/>
            <w:shd w:val="clear" w:color="auto" w:fill="auto"/>
          </w:tcPr>
          <w:p w14:paraId="7268DE88"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89"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8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E8B"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DE8C" w14:textId="77777777" w:rsidR="005F762A" w:rsidRDefault="005F762A">
            <w:pPr>
              <w:rPr>
                <w:rFonts w:ascii="宋体"/>
              </w:rPr>
            </w:pPr>
          </w:p>
        </w:tc>
      </w:tr>
      <w:tr w:rsidR="005F762A" w14:paraId="7268DE98" w14:textId="77777777">
        <w:trPr>
          <w:jc w:val="center"/>
        </w:trPr>
        <w:tc>
          <w:tcPr>
            <w:tcW w:w="0" w:type="auto"/>
            <w:gridSpan w:val="3"/>
            <w:shd w:val="clear" w:color="auto" w:fill="E2E2E2"/>
            <w:tcMar>
              <w:top w:w="40" w:type="dxa"/>
              <w:left w:w="245" w:type="dxa"/>
              <w:bottom w:w="40" w:type="dxa"/>
              <w:right w:w="20" w:type="dxa"/>
            </w:tcMar>
            <w:vAlign w:val="bottom"/>
          </w:tcPr>
          <w:p w14:paraId="7268DE8E" w14:textId="77777777" w:rsidR="005F762A" w:rsidRDefault="00D74111">
            <w:pPr>
              <w:textAlignment w:val="bottom"/>
            </w:pPr>
            <w:r>
              <w:rPr>
                <w:rFonts w:ascii="Arial" w:eastAsia="宋体" w:hAnsi="Arial" w:cs="Arial"/>
                <w:color w:val="000000"/>
                <w:sz w:val="18"/>
                <w:szCs w:val="18"/>
              </w:rPr>
              <w:t>Balance, beginning of period</w:t>
            </w:r>
          </w:p>
        </w:tc>
        <w:tc>
          <w:tcPr>
            <w:tcW w:w="0" w:type="auto"/>
            <w:shd w:val="clear" w:color="auto" w:fill="auto"/>
          </w:tcPr>
          <w:p w14:paraId="7268DE8F" w14:textId="77777777" w:rsidR="005F762A" w:rsidRDefault="005F762A">
            <w:pPr>
              <w:rPr>
                <w:rFonts w:ascii="宋体"/>
                <w:vanish/>
              </w:rPr>
            </w:pPr>
          </w:p>
        </w:tc>
        <w:tc>
          <w:tcPr>
            <w:tcW w:w="0" w:type="auto"/>
            <w:shd w:val="clear" w:color="auto" w:fill="auto"/>
          </w:tcPr>
          <w:p w14:paraId="7268DE90" w14:textId="77777777" w:rsidR="005F762A" w:rsidRDefault="005F762A">
            <w:pPr>
              <w:rPr>
                <w:rFonts w:ascii="宋体"/>
                <w:vanish/>
              </w:rPr>
            </w:pPr>
          </w:p>
        </w:tc>
        <w:tc>
          <w:tcPr>
            <w:tcW w:w="0" w:type="auto"/>
            <w:shd w:val="clear" w:color="auto" w:fill="auto"/>
          </w:tcPr>
          <w:p w14:paraId="7268DE9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9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93" w14:textId="77777777" w:rsidR="005F762A" w:rsidRDefault="00D74111">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7268DE9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9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96" w14:textId="77777777" w:rsidR="005F762A" w:rsidRDefault="00D74111">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7268DE97" w14:textId="77777777" w:rsidR="005F762A" w:rsidRDefault="005F762A">
            <w:pPr>
              <w:jc w:val="right"/>
              <w:rPr>
                <w:rFonts w:ascii="宋体"/>
              </w:rPr>
            </w:pPr>
          </w:p>
        </w:tc>
      </w:tr>
      <w:tr w:rsidR="005F762A" w14:paraId="7268DEA3" w14:textId="77777777">
        <w:trPr>
          <w:jc w:val="center"/>
        </w:trPr>
        <w:tc>
          <w:tcPr>
            <w:tcW w:w="0" w:type="auto"/>
            <w:gridSpan w:val="3"/>
            <w:shd w:val="clear" w:color="auto" w:fill="FFFFFF"/>
            <w:tcMar>
              <w:top w:w="40" w:type="dxa"/>
              <w:left w:w="245" w:type="dxa"/>
              <w:bottom w:w="40" w:type="dxa"/>
              <w:right w:w="20" w:type="dxa"/>
            </w:tcMar>
            <w:vAlign w:val="bottom"/>
          </w:tcPr>
          <w:p w14:paraId="7268DE99" w14:textId="77777777" w:rsidR="005F762A" w:rsidRDefault="00D74111">
            <w:pPr>
              <w:textAlignment w:val="bottom"/>
            </w:pPr>
            <w:r>
              <w:rPr>
                <w:rFonts w:ascii="Arial" w:eastAsia="宋体" w:hAnsi="Arial" w:cs="Arial"/>
                <w:color w:val="000000"/>
                <w:sz w:val="18"/>
                <w:szCs w:val="18"/>
              </w:rPr>
              <w:t>Net income</w:t>
            </w:r>
          </w:p>
        </w:tc>
        <w:tc>
          <w:tcPr>
            <w:tcW w:w="0" w:type="auto"/>
            <w:shd w:val="clear" w:color="auto" w:fill="auto"/>
          </w:tcPr>
          <w:p w14:paraId="7268DE9A" w14:textId="77777777" w:rsidR="005F762A" w:rsidRDefault="005F762A">
            <w:pPr>
              <w:rPr>
                <w:rFonts w:ascii="宋体"/>
                <w:vanish/>
              </w:rPr>
            </w:pPr>
          </w:p>
        </w:tc>
        <w:tc>
          <w:tcPr>
            <w:tcW w:w="0" w:type="auto"/>
            <w:shd w:val="clear" w:color="auto" w:fill="auto"/>
          </w:tcPr>
          <w:p w14:paraId="7268DE9B" w14:textId="77777777" w:rsidR="005F762A" w:rsidRDefault="005F762A">
            <w:pPr>
              <w:rPr>
                <w:rFonts w:ascii="宋体"/>
                <w:vanish/>
              </w:rPr>
            </w:pPr>
          </w:p>
        </w:tc>
        <w:tc>
          <w:tcPr>
            <w:tcW w:w="0" w:type="auto"/>
            <w:shd w:val="clear" w:color="auto" w:fill="auto"/>
          </w:tcPr>
          <w:p w14:paraId="7268DE9C"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9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9E" w14:textId="77777777" w:rsidR="005F762A" w:rsidRDefault="00D74111">
            <w:pPr>
              <w:jc w:val="right"/>
              <w:textAlignment w:val="bottom"/>
            </w:pPr>
            <w:r>
              <w:rPr>
                <w:rFonts w:ascii="Arial" w:eastAsia="宋体" w:hAnsi="Arial" w:cs="Arial"/>
                <w:color w:val="000000"/>
                <w:sz w:val="18"/>
                <w:szCs w:val="18"/>
              </w:rPr>
              <w:t>641 </w:t>
            </w:r>
          </w:p>
        </w:tc>
        <w:tc>
          <w:tcPr>
            <w:tcW w:w="0" w:type="auto"/>
            <w:shd w:val="clear" w:color="auto" w:fill="FFFFFF"/>
            <w:tcMar>
              <w:top w:w="40" w:type="dxa"/>
              <w:left w:w="0" w:type="dxa"/>
              <w:bottom w:w="40" w:type="dxa"/>
              <w:right w:w="20" w:type="dxa"/>
            </w:tcMar>
            <w:vAlign w:val="bottom"/>
          </w:tcPr>
          <w:p w14:paraId="7268DE9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A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A1" w14:textId="77777777" w:rsidR="005F762A" w:rsidRDefault="00D74111">
            <w:pPr>
              <w:jc w:val="right"/>
              <w:textAlignment w:val="bottom"/>
            </w:pPr>
            <w:r>
              <w:rPr>
                <w:rFonts w:ascii="Arial" w:eastAsia="宋体" w:hAnsi="Arial" w:cs="Arial"/>
                <w:color w:val="000000"/>
                <w:sz w:val="18"/>
                <w:szCs w:val="18"/>
              </w:rPr>
              <w:t>3,412 </w:t>
            </w:r>
          </w:p>
        </w:tc>
        <w:tc>
          <w:tcPr>
            <w:tcW w:w="0" w:type="auto"/>
            <w:shd w:val="clear" w:color="auto" w:fill="FFFFFF"/>
            <w:tcMar>
              <w:top w:w="40" w:type="dxa"/>
              <w:left w:w="0" w:type="dxa"/>
              <w:bottom w:w="40" w:type="dxa"/>
              <w:right w:w="20" w:type="dxa"/>
            </w:tcMar>
            <w:vAlign w:val="bottom"/>
          </w:tcPr>
          <w:p w14:paraId="7268DEA2" w14:textId="77777777" w:rsidR="005F762A" w:rsidRDefault="005F762A">
            <w:pPr>
              <w:jc w:val="right"/>
              <w:rPr>
                <w:rFonts w:ascii="宋体"/>
              </w:rPr>
            </w:pPr>
          </w:p>
        </w:tc>
      </w:tr>
      <w:tr w:rsidR="005F762A" w14:paraId="7268DEAE" w14:textId="77777777">
        <w:trPr>
          <w:jc w:val="center"/>
        </w:trPr>
        <w:tc>
          <w:tcPr>
            <w:tcW w:w="0" w:type="auto"/>
            <w:gridSpan w:val="3"/>
            <w:shd w:val="clear" w:color="auto" w:fill="E2E2E2"/>
            <w:tcMar>
              <w:top w:w="40" w:type="dxa"/>
              <w:left w:w="245" w:type="dxa"/>
              <w:bottom w:w="40" w:type="dxa"/>
              <w:right w:w="20" w:type="dxa"/>
            </w:tcMar>
            <w:vAlign w:val="bottom"/>
          </w:tcPr>
          <w:p w14:paraId="7268DEA4" w14:textId="77777777" w:rsidR="005F762A" w:rsidRDefault="00D74111">
            <w:pPr>
              <w:textAlignment w:val="bottom"/>
            </w:pPr>
            <w:r>
              <w:rPr>
                <w:rFonts w:ascii="Arial" w:eastAsia="宋体" w:hAnsi="Arial" w:cs="Arial"/>
                <w:color w:val="000000"/>
                <w:sz w:val="18"/>
                <w:szCs w:val="18"/>
              </w:rPr>
              <w:t xml:space="preserve">Dividends and dividend </w:t>
            </w:r>
            <w:r>
              <w:rPr>
                <w:rFonts w:ascii="Arial" w:eastAsia="宋体" w:hAnsi="Arial" w:cs="Arial"/>
                <w:color w:val="000000"/>
                <w:sz w:val="18"/>
                <w:szCs w:val="18"/>
              </w:rPr>
              <w:t>equivalents declared</w:t>
            </w:r>
          </w:p>
        </w:tc>
        <w:tc>
          <w:tcPr>
            <w:tcW w:w="0" w:type="auto"/>
            <w:shd w:val="clear" w:color="auto" w:fill="auto"/>
          </w:tcPr>
          <w:p w14:paraId="7268DEA5" w14:textId="77777777" w:rsidR="005F762A" w:rsidRDefault="005F762A">
            <w:pPr>
              <w:rPr>
                <w:rFonts w:ascii="宋体"/>
                <w:vanish/>
              </w:rPr>
            </w:pPr>
          </w:p>
        </w:tc>
        <w:tc>
          <w:tcPr>
            <w:tcW w:w="0" w:type="auto"/>
            <w:shd w:val="clear" w:color="auto" w:fill="auto"/>
          </w:tcPr>
          <w:p w14:paraId="7268DEA6" w14:textId="77777777" w:rsidR="005F762A" w:rsidRDefault="005F762A">
            <w:pPr>
              <w:rPr>
                <w:rFonts w:ascii="宋体"/>
                <w:vanish/>
              </w:rPr>
            </w:pPr>
          </w:p>
        </w:tc>
        <w:tc>
          <w:tcPr>
            <w:tcW w:w="0" w:type="auto"/>
            <w:shd w:val="clear" w:color="auto" w:fill="auto"/>
          </w:tcPr>
          <w:p w14:paraId="7268DEA7"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A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A9" w14:textId="77777777" w:rsidR="005F762A" w:rsidRDefault="00D74111">
            <w:pPr>
              <w:jc w:val="right"/>
              <w:textAlignment w:val="bottom"/>
            </w:pPr>
            <w:r>
              <w:rPr>
                <w:rFonts w:ascii="Arial" w:eastAsia="宋体" w:hAnsi="Arial" w:cs="Arial"/>
                <w:color w:val="000000"/>
                <w:sz w:val="18"/>
                <w:szCs w:val="18"/>
              </w:rPr>
              <w:t>(126)</w:t>
            </w:r>
          </w:p>
        </w:tc>
        <w:tc>
          <w:tcPr>
            <w:tcW w:w="0" w:type="auto"/>
            <w:shd w:val="clear" w:color="auto" w:fill="E2E2E2"/>
            <w:tcMar>
              <w:top w:w="40" w:type="dxa"/>
              <w:left w:w="0" w:type="dxa"/>
              <w:bottom w:w="40" w:type="dxa"/>
              <w:right w:w="20" w:type="dxa"/>
            </w:tcMar>
            <w:vAlign w:val="bottom"/>
          </w:tcPr>
          <w:p w14:paraId="7268DEA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A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AC" w14:textId="77777777" w:rsidR="005F762A" w:rsidRDefault="00D74111">
            <w:pPr>
              <w:jc w:val="right"/>
              <w:textAlignment w:val="bottom"/>
            </w:pPr>
            <w:r>
              <w:rPr>
                <w:rFonts w:ascii="Arial" w:eastAsia="宋体" w:hAnsi="Arial" w:cs="Arial"/>
                <w:color w:val="000000"/>
                <w:sz w:val="18"/>
                <w:szCs w:val="18"/>
              </w:rPr>
              <w:t>(115)</w:t>
            </w:r>
          </w:p>
        </w:tc>
        <w:tc>
          <w:tcPr>
            <w:tcW w:w="0" w:type="auto"/>
            <w:shd w:val="clear" w:color="auto" w:fill="E2E2E2"/>
            <w:tcMar>
              <w:top w:w="40" w:type="dxa"/>
              <w:left w:w="0" w:type="dxa"/>
              <w:bottom w:w="40" w:type="dxa"/>
              <w:right w:w="20" w:type="dxa"/>
            </w:tcMar>
            <w:vAlign w:val="bottom"/>
          </w:tcPr>
          <w:p w14:paraId="7268DEAD" w14:textId="77777777" w:rsidR="005F762A" w:rsidRDefault="005F762A">
            <w:pPr>
              <w:jc w:val="right"/>
              <w:rPr>
                <w:rFonts w:ascii="宋体"/>
              </w:rPr>
            </w:pPr>
          </w:p>
        </w:tc>
      </w:tr>
      <w:tr w:rsidR="005F762A" w14:paraId="7268DEB7" w14:textId="77777777">
        <w:trPr>
          <w:jc w:val="center"/>
          <w:hidden/>
        </w:trPr>
        <w:tc>
          <w:tcPr>
            <w:tcW w:w="0" w:type="auto"/>
            <w:gridSpan w:val="3"/>
            <w:shd w:val="clear" w:color="auto" w:fill="auto"/>
          </w:tcPr>
          <w:p w14:paraId="7268DEAF" w14:textId="77777777" w:rsidR="005F762A" w:rsidRDefault="005F762A">
            <w:pPr>
              <w:rPr>
                <w:rFonts w:ascii="宋体"/>
                <w:vanish/>
              </w:rPr>
            </w:pPr>
          </w:p>
        </w:tc>
        <w:tc>
          <w:tcPr>
            <w:tcW w:w="0" w:type="auto"/>
            <w:shd w:val="clear" w:color="auto" w:fill="auto"/>
          </w:tcPr>
          <w:p w14:paraId="7268DEB0" w14:textId="77777777" w:rsidR="005F762A" w:rsidRDefault="005F762A">
            <w:pPr>
              <w:rPr>
                <w:rFonts w:ascii="宋体"/>
                <w:vanish/>
              </w:rPr>
            </w:pPr>
          </w:p>
        </w:tc>
        <w:tc>
          <w:tcPr>
            <w:tcW w:w="0" w:type="auto"/>
            <w:shd w:val="clear" w:color="auto" w:fill="auto"/>
          </w:tcPr>
          <w:p w14:paraId="7268DEB1" w14:textId="77777777" w:rsidR="005F762A" w:rsidRDefault="005F762A">
            <w:pPr>
              <w:rPr>
                <w:rFonts w:ascii="宋体"/>
                <w:vanish/>
              </w:rPr>
            </w:pPr>
          </w:p>
        </w:tc>
        <w:tc>
          <w:tcPr>
            <w:tcW w:w="0" w:type="auto"/>
            <w:shd w:val="clear" w:color="auto" w:fill="auto"/>
          </w:tcPr>
          <w:p w14:paraId="7268DEB2" w14:textId="77777777" w:rsidR="005F762A" w:rsidRDefault="005F762A">
            <w:pPr>
              <w:rPr>
                <w:rFonts w:ascii="宋体"/>
                <w:vanish/>
              </w:rPr>
            </w:pPr>
          </w:p>
        </w:tc>
        <w:tc>
          <w:tcPr>
            <w:tcW w:w="0" w:type="auto"/>
            <w:gridSpan w:val="3"/>
            <w:shd w:val="clear" w:color="auto" w:fill="auto"/>
          </w:tcPr>
          <w:p w14:paraId="7268DEB3" w14:textId="77777777" w:rsidR="005F762A" w:rsidRDefault="005F762A">
            <w:pPr>
              <w:rPr>
                <w:rFonts w:ascii="宋体"/>
                <w:vanish/>
              </w:rPr>
            </w:pPr>
          </w:p>
        </w:tc>
        <w:tc>
          <w:tcPr>
            <w:tcW w:w="0" w:type="auto"/>
            <w:gridSpan w:val="3"/>
            <w:shd w:val="clear" w:color="auto" w:fill="auto"/>
          </w:tcPr>
          <w:p w14:paraId="7268DEB4" w14:textId="77777777" w:rsidR="005F762A" w:rsidRDefault="005F762A">
            <w:pPr>
              <w:rPr>
                <w:rFonts w:ascii="宋体"/>
                <w:vanish/>
              </w:rPr>
            </w:pPr>
          </w:p>
        </w:tc>
        <w:tc>
          <w:tcPr>
            <w:tcW w:w="0" w:type="auto"/>
            <w:gridSpan w:val="3"/>
            <w:shd w:val="clear" w:color="auto" w:fill="auto"/>
          </w:tcPr>
          <w:p w14:paraId="7268DEB5" w14:textId="77777777" w:rsidR="005F762A" w:rsidRDefault="005F762A">
            <w:pPr>
              <w:rPr>
                <w:rFonts w:ascii="宋体"/>
                <w:vanish/>
              </w:rPr>
            </w:pPr>
          </w:p>
        </w:tc>
        <w:tc>
          <w:tcPr>
            <w:tcW w:w="0" w:type="auto"/>
            <w:gridSpan w:val="3"/>
            <w:shd w:val="clear" w:color="auto" w:fill="auto"/>
          </w:tcPr>
          <w:p w14:paraId="7268DEB6" w14:textId="77777777" w:rsidR="005F762A" w:rsidRDefault="005F762A">
            <w:pPr>
              <w:rPr>
                <w:rFonts w:ascii="宋体"/>
                <w:vanish/>
              </w:rPr>
            </w:pPr>
          </w:p>
        </w:tc>
      </w:tr>
      <w:tr w:rsidR="005F762A" w14:paraId="7268DEC0" w14:textId="77777777">
        <w:trPr>
          <w:jc w:val="center"/>
          <w:hidden/>
        </w:trPr>
        <w:tc>
          <w:tcPr>
            <w:tcW w:w="0" w:type="auto"/>
            <w:gridSpan w:val="3"/>
            <w:shd w:val="clear" w:color="auto" w:fill="auto"/>
          </w:tcPr>
          <w:p w14:paraId="7268DEB8" w14:textId="77777777" w:rsidR="005F762A" w:rsidRDefault="005F762A">
            <w:pPr>
              <w:rPr>
                <w:rFonts w:ascii="宋体"/>
                <w:vanish/>
              </w:rPr>
            </w:pPr>
          </w:p>
        </w:tc>
        <w:tc>
          <w:tcPr>
            <w:tcW w:w="0" w:type="auto"/>
            <w:shd w:val="clear" w:color="auto" w:fill="auto"/>
          </w:tcPr>
          <w:p w14:paraId="7268DEB9" w14:textId="77777777" w:rsidR="005F762A" w:rsidRDefault="005F762A">
            <w:pPr>
              <w:rPr>
                <w:rFonts w:ascii="宋体"/>
                <w:vanish/>
              </w:rPr>
            </w:pPr>
          </w:p>
        </w:tc>
        <w:tc>
          <w:tcPr>
            <w:tcW w:w="0" w:type="auto"/>
            <w:shd w:val="clear" w:color="auto" w:fill="auto"/>
          </w:tcPr>
          <w:p w14:paraId="7268DEBA" w14:textId="77777777" w:rsidR="005F762A" w:rsidRDefault="005F762A">
            <w:pPr>
              <w:rPr>
                <w:rFonts w:ascii="宋体"/>
                <w:vanish/>
              </w:rPr>
            </w:pPr>
          </w:p>
        </w:tc>
        <w:tc>
          <w:tcPr>
            <w:tcW w:w="0" w:type="auto"/>
            <w:shd w:val="clear" w:color="auto" w:fill="auto"/>
          </w:tcPr>
          <w:p w14:paraId="7268DEBB" w14:textId="77777777" w:rsidR="005F762A" w:rsidRDefault="005F762A">
            <w:pPr>
              <w:rPr>
                <w:rFonts w:ascii="宋体"/>
                <w:vanish/>
              </w:rPr>
            </w:pPr>
          </w:p>
        </w:tc>
        <w:tc>
          <w:tcPr>
            <w:tcW w:w="0" w:type="auto"/>
            <w:gridSpan w:val="3"/>
            <w:shd w:val="clear" w:color="auto" w:fill="auto"/>
          </w:tcPr>
          <w:p w14:paraId="7268DEBC" w14:textId="77777777" w:rsidR="005F762A" w:rsidRDefault="005F762A">
            <w:pPr>
              <w:rPr>
                <w:rFonts w:ascii="宋体"/>
                <w:vanish/>
              </w:rPr>
            </w:pPr>
          </w:p>
        </w:tc>
        <w:tc>
          <w:tcPr>
            <w:tcW w:w="0" w:type="auto"/>
            <w:gridSpan w:val="3"/>
            <w:shd w:val="clear" w:color="auto" w:fill="auto"/>
          </w:tcPr>
          <w:p w14:paraId="7268DEBD" w14:textId="77777777" w:rsidR="005F762A" w:rsidRDefault="005F762A">
            <w:pPr>
              <w:rPr>
                <w:rFonts w:ascii="宋体"/>
                <w:vanish/>
              </w:rPr>
            </w:pPr>
          </w:p>
        </w:tc>
        <w:tc>
          <w:tcPr>
            <w:tcW w:w="0" w:type="auto"/>
            <w:gridSpan w:val="3"/>
            <w:shd w:val="clear" w:color="auto" w:fill="auto"/>
          </w:tcPr>
          <w:p w14:paraId="7268DEBE" w14:textId="77777777" w:rsidR="005F762A" w:rsidRDefault="005F762A">
            <w:pPr>
              <w:rPr>
                <w:rFonts w:ascii="宋体"/>
                <w:vanish/>
              </w:rPr>
            </w:pPr>
          </w:p>
        </w:tc>
        <w:tc>
          <w:tcPr>
            <w:tcW w:w="0" w:type="auto"/>
            <w:gridSpan w:val="3"/>
            <w:shd w:val="clear" w:color="auto" w:fill="auto"/>
          </w:tcPr>
          <w:p w14:paraId="7268DEBF" w14:textId="77777777" w:rsidR="005F762A" w:rsidRDefault="005F762A">
            <w:pPr>
              <w:rPr>
                <w:rFonts w:ascii="宋体"/>
                <w:vanish/>
              </w:rPr>
            </w:pPr>
          </w:p>
        </w:tc>
      </w:tr>
      <w:tr w:rsidR="005F762A" w14:paraId="7268DEC9" w14:textId="77777777">
        <w:trPr>
          <w:jc w:val="center"/>
          <w:hidden/>
        </w:trPr>
        <w:tc>
          <w:tcPr>
            <w:tcW w:w="0" w:type="auto"/>
            <w:gridSpan w:val="3"/>
            <w:shd w:val="clear" w:color="auto" w:fill="auto"/>
          </w:tcPr>
          <w:p w14:paraId="7268DEC1" w14:textId="77777777" w:rsidR="005F762A" w:rsidRDefault="005F762A">
            <w:pPr>
              <w:rPr>
                <w:rFonts w:ascii="宋体"/>
                <w:vanish/>
              </w:rPr>
            </w:pPr>
          </w:p>
        </w:tc>
        <w:tc>
          <w:tcPr>
            <w:tcW w:w="0" w:type="auto"/>
            <w:shd w:val="clear" w:color="auto" w:fill="auto"/>
          </w:tcPr>
          <w:p w14:paraId="7268DEC2" w14:textId="77777777" w:rsidR="005F762A" w:rsidRDefault="005F762A">
            <w:pPr>
              <w:rPr>
                <w:rFonts w:ascii="宋体"/>
                <w:vanish/>
              </w:rPr>
            </w:pPr>
          </w:p>
        </w:tc>
        <w:tc>
          <w:tcPr>
            <w:tcW w:w="0" w:type="auto"/>
            <w:shd w:val="clear" w:color="auto" w:fill="auto"/>
          </w:tcPr>
          <w:p w14:paraId="7268DEC3" w14:textId="77777777" w:rsidR="005F762A" w:rsidRDefault="005F762A">
            <w:pPr>
              <w:rPr>
                <w:rFonts w:ascii="宋体"/>
                <w:vanish/>
              </w:rPr>
            </w:pPr>
          </w:p>
        </w:tc>
        <w:tc>
          <w:tcPr>
            <w:tcW w:w="0" w:type="auto"/>
            <w:shd w:val="clear" w:color="auto" w:fill="auto"/>
          </w:tcPr>
          <w:p w14:paraId="7268DEC4" w14:textId="77777777" w:rsidR="005F762A" w:rsidRDefault="005F762A">
            <w:pPr>
              <w:rPr>
                <w:rFonts w:ascii="宋体"/>
                <w:vanish/>
              </w:rPr>
            </w:pPr>
          </w:p>
        </w:tc>
        <w:tc>
          <w:tcPr>
            <w:tcW w:w="0" w:type="auto"/>
            <w:gridSpan w:val="3"/>
            <w:shd w:val="clear" w:color="auto" w:fill="auto"/>
          </w:tcPr>
          <w:p w14:paraId="7268DEC5" w14:textId="77777777" w:rsidR="005F762A" w:rsidRDefault="005F762A">
            <w:pPr>
              <w:rPr>
                <w:rFonts w:ascii="宋体"/>
                <w:vanish/>
              </w:rPr>
            </w:pPr>
          </w:p>
        </w:tc>
        <w:tc>
          <w:tcPr>
            <w:tcW w:w="0" w:type="auto"/>
            <w:gridSpan w:val="3"/>
            <w:shd w:val="clear" w:color="auto" w:fill="auto"/>
          </w:tcPr>
          <w:p w14:paraId="7268DEC6" w14:textId="77777777" w:rsidR="005F762A" w:rsidRDefault="005F762A">
            <w:pPr>
              <w:rPr>
                <w:rFonts w:ascii="宋体"/>
                <w:vanish/>
              </w:rPr>
            </w:pPr>
          </w:p>
        </w:tc>
        <w:tc>
          <w:tcPr>
            <w:tcW w:w="0" w:type="auto"/>
            <w:gridSpan w:val="3"/>
            <w:shd w:val="clear" w:color="auto" w:fill="auto"/>
          </w:tcPr>
          <w:p w14:paraId="7268DEC7" w14:textId="77777777" w:rsidR="005F762A" w:rsidRDefault="005F762A">
            <w:pPr>
              <w:rPr>
                <w:rFonts w:ascii="宋体"/>
                <w:vanish/>
              </w:rPr>
            </w:pPr>
          </w:p>
        </w:tc>
        <w:tc>
          <w:tcPr>
            <w:tcW w:w="0" w:type="auto"/>
            <w:gridSpan w:val="3"/>
            <w:shd w:val="clear" w:color="auto" w:fill="auto"/>
          </w:tcPr>
          <w:p w14:paraId="7268DEC8" w14:textId="77777777" w:rsidR="005F762A" w:rsidRDefault="005F762A">
            <w:pPr>
              <w:rPr>
                <w:rFonts w:ascii="宋体"/>
                <w:vanish/>
              </w:rPr>
            </w:pPr>
          </w:p>
        </w:tc>
      </w:tr>
      <w:tr w:rsidR="005F762A" w14:paraId="7268DED4" w14:textId="77777777">
        <w:trPr>
          <w:jc w:val="center"/>
        </w:trPr>
        <w:tc>
          <w:tcPr>
            <w:tcW w:w="0" w:type="auto"/>
            <w:gridSpan w:val="3"/>
            <w:shd w:val="clear" w:color="auto" w:fill="FFFFFF"/>
            <w:tcMar>
              <w:top w:w="40" w:type="dxa"/>
              <w:left w:w="740" w:type="dxa"/>
              <w:bottom w:w="40" w:type="dxa"/>
              <w:right w:w="20" w:type="dxa"/>
            </w:tcMar>
            <w:vAlign w:val="bottom"/>
          </w:tcPr>
          <w:p w14:paraId="7268DECA" w14:textId="77777777" w:rsidR="005F762A" w:rsidRDefault="00D74111">
            <w:pPr>
              <w:textAlignment w:val="bottom"/>
            </w:pPr>
            <w:r>
              <w:rPr>
                <w:rFonts w:ascii="Arial" w:eastAsia="宋体" w:hAnsi="Arial" w:cs="Arial"/>
                <w:color w:val="000000"/>
                <w:sz w:val="18"/>
                <w:szCs w:val="18"/>
              </w:rPr>
              <w:t>Balance, end of period</w:t>
            </w:r>
          </w:p>
        </w:tc>
        <w:tc>
          <w:tcPr>
            <w:tcW w:w="0" w:type="auto"/>
            <w:shd w:val="clear" w:color="auto" w:fill="auto"/>
          </w:tcPr>
          <w:p w14:paraId="7268DECB" w14:textId="77777777" w:rsidR="005F762A" w:rsidRDefault="005F762A">
            <w:pPr>
              <w:rPr>
                <w:rFonts w:ascii="宋体"/>
                <w:vanish/>
              </w:rPr>
            </w:pPr>
          </w:p>
        </w:tc>
        <w:tc>
          <w:tcPr>
            <w:tcW w:w="0" w:type="auto"/>
            <w:shd w:val="clear" w:color="auto" w:fill="auto"/>
          </w:tcPr>
          <w:p w14:paraId="7268DECC" w14:textId="77777777" w:rsidR="005F762A" w:rsidRDefault="005F762A">
            <w:pPr>
              <w:rPr>
                <w:rFonts w:ascii="宋体"/>
                <w:vanish/>
              </w:rPr>
            </w:pPr>
          </w:p>
        </w:tc>
        <w:tc>
          <w:tcPr>
            <w:tcW w:w="0" w:type="auto"/>
            <w:shd w:val="clear" w:color="auto" w:fill="auto"/>
          </w:tcPr>
          <w:p w14:paraId="7268DEC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CE"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ECF" w14:textId="77777777" w:rsidR="005F762A" w:rsidRDefault="00D74111">
            <w:pPr>
              <w:jc w:val="right"/>
              <w:textAlignment w:val="bottom"/>
            </w:pPr>
            <w:r>
              <w:rPr>
                <w:rFonts w:ascii="Arial" w:eastAsia="宋体" w:hAnsi="Arial" w:cs="Arial"/>
                <w:color w:val="000000"/>
                <w:sz w:val="18"/>
                <w:szCs w:val="18"/>
              </w:rPr>
              <w:t>23,476 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ED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D1"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ED2" w14:textId="77777777" w:rsidR="005F762A" w:rsidRDefault="00D74111">
            <w:pPr>
              <w:jc w:val="right"/>
              <w:textAlignment w:val="bottom"/>
            </w:pPr>
            <w:r>
              <w:rPr>
                <w:rFonts w:ascii="Arial" w:eastAsia="宋体" w:hAnsi="Arial" w:cs="Arial"/>
                <w:color w:val="000000"/>
                <w:sz w:val="18"/>
                <w:szCs w:val="18"/>
              </w:rPr>
              <w:t>21,051 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ED3" w14:textId="77777777" w:rsidR="005F762A" w:rsidRDefault="005F762A">
            <w:pPr>
              <w:jc w:val="right"/>
              <w:rPr>
                <w:rFonts w:ascii="宋体"/>
              </w:rPr>
            </w:pPr>
          </w:p>
        </w:tc>
      </w:tr>
      <w:tr w:rsidR="005F762A" w14:paraId="7268DEDD" w14:textId="77777777">
        <w:trPr>
          <w:jc w:val="center"/>
        </w:trPr>
        <w:tc>
          <w:tcPr>
            <w:tcW w:w="0" w:type="auto"/>
            <w:gridSpan w:val="3"/>
            <w:shd w:val="clear" w:color="auto" w:fill="E2E2E2"/>
            <w:tcMar>
              <w:top w:w="40" w:type="dxa"/>
              <w:left w:w="20" w:type="dxa"/>
              <w:bottom w:w="40" w:type="dxa"/>
              <w:right w:w="20" w:type="dxa"/>
            </w:tcMar>
            <w:vAlign w:val="bottom"/>
          </w:tcPr>
          <w:p w14:paraId="7268DED5" w14:textId="77777777" w:rsidR="005F762A" w:rsidRDefault="00D74111">
            <w:pPr>
              <w:textAlignment w:val="bottom"/>
            </w:pPr>
            <w:r>
              <w:rPr>
                <w:rFonts w:ascii="Arial" w:eastAsia="宋体" w:hAnsi="Arial" w:cs="Arial"/>
                <w:color w:val="000000"/>
                <w:sz w:val="18"/>
                <w:szCs w:val="18"/>
              </w:rPr>
              <w:t>Accumulated other comprehensive income:</w:t>
            </w:r>
          </w:p>
        </w:tc>
        <w:tc>
          <w:tcPr>
            <w:tcW w:w="0" w:type="auto"/>
            <w:shd w:val="clear" w:color="auto" w:fill="auto"/>
          </w:tcPr>
          <w:p w14:paraId="7268DED6" w14:textId="77777777" w:rsidR="005F762A" w:rsidRDefault="005F762A">
            <w:pPr>
              <w:rPr>
                <w:rFonts w:ascii="宋体"/>
                <w:vanish/>
              </w:rPr>
            </w:pPr>
          </w:p>
        </w:tc>
        <w:tc>
          <w:tcPr>
            <w:tcW w:w="0" w:type="auto"/>
            <w:shd w:val="clear" w:color="auto" w:fill="auto"/>
          </w:tcPr>
          <w:p w14:paraId="7268DED7" w14:textId="77777777" w:rsidR="005F762A" w:rsidRDefault="005F762A">
            <w:pPr>
              <w:rPr>
                <w:rFonts w:ascii="宋体"/>
                <w:vanish/>
              </w:rPr>
            </w:pPr>
          </w:p>
        </w:tc>
        <w:tc>
          <w:tcPr>
            <w:tcW w:w="0" w:type="auto"/>
            <w:shd w:val="clear" w:color="auto" w:fill="auto"/>
          </w:tcPr>
          <w:p w14:paraId="7268DED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D9"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DED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EDB"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DEDC" w14:textId="77777777" w:rsidR="005F762A" w:rsidRDefault="005F762A">
            <w:pPr>
              <w:rPr>
                <w:rFonts w:ascii="宋体"/>
              </w:rPr>
            </w:pPr>
          </w:p>
        </w:tc>
      </w:tr>
      <w:tr w:rsidR="005F762A" w14:paraId="7268DEE8" w14:textId="77777777">
        <w:trPr>
          <w:jc w:val="center"/>
        </w:trPr>
        <w:tc>
          <w:tcPr>
            <w:tcW w:w="0" w:type="auto"/>
            <w:gridSpan w:val="3"/>
            <w:shd w:val="clear" w:color="auto" w:fill="FFFFFF"/>
            <w:tcMar>
              <w:top w:w="40" w:type="dxa"/>
              <w:left w:w="245" w:type="dxa"/>
              <w:bottom w:w="40" w:type="dxa"/>
              <w:right w:w="20" w:type="dxa"/>
            </w:tcMar>
            <w:vAlign w:val="bottom"/>
          </w:tcPr>
          <w:p w14:paraId="7268DEDE" w14:textId="77777777" w:rsidR="005F762A" w:rsidRDefault="00D74111">
            <w:pPr>
              <w:textAlignment w:val="bottom"/>
            </w:pPr>
            <w:r>
              <w:rPr>
                <w:rFonts w:ascii="Arial" w:eastAsia="宋体" w:hAnsi="Arial" w:cs="Arial"/>
                <w:color w:val="000000"/>
                <w:sz w:val="18"/>
                <w:szCs w:val="18"/>
              </w:rPr>
              <w:t>Balance, beginning of period</w:t>
            </w:r>
          </w:p>
        </w:tc>
        <w:tc>
          <w:tcPr>
            <w:tcW w:w="0" w:type="auto"/>
            <w:shd w:val="clear" w:color="auto" w:fill="auto"/>
          </w:tcPr>
          <w:p w14:paraId="7268DEDF" w14:textId="77777777" w:rsidR="005F762A" w:rsidRDefault="005F762A">
            <w:pPr>
              <w:rPr>
                <w:rFonts w:ascii="宋体"/>
                <w:vanish/>
              </w:rPr>
            </w:pPr>
          </w:p>
        </w:tc>
        <w:tc>
          <w:tcPr>
            <w:tcW w:w="0" w:type="auto"/>
            <w:shd w:val="clear" w:color="auto" w:fill="auto"/>
          </w:tcPr>
          <w:p w14:paraId="7268DEE0" w14:textId="77777777" w:rsidR="005F762A" w:rsidRDefault="005F762A">
            <w:pPr>
              <w:rPr>
                <w:rFonts w:ascii="宋体"/>
                <w:vanish/>
              </w:rPr>
            </w:pPr>
          </w:p>
        </w:tc>
        <w:tc>
          <w:tcPr>
            <w:tcW w:w="0" w:type="auto"/>
            <w:shd w:val="clear" w:color="auto" w:fill="auto"/>
          </w:tcPr>
          <w:p w14:paraId="7268DEE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E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E3" w14:textId="77777777" w:rsidR="005F762A" w:rsidRDefault="00D74111">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7268DEE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E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E6" w14:textId="77777777" w:rsidR="005F762A" w:rsidRDefault="00D74111">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7268DEE7" w14:textId="77777777" w:rsidR="005F762A" w:rsidRDefault="005F762A">
            <w:pPr>
              <w:jc w:val="right"/>
              <w:rPr>
                <w:rFonts w:ascii="宋体"/>
              </w:rPr>
            </w:pPr>
          </w:p>
        </w:tc>
      </w:tr>
      <w:tr w:rsidR="005F762A" w14:paraId="7268DEF3" w14:textId="77777777">
        <w:trPr>
          <w:jc w:val="center"/>
        </w:trPr>
        <w:tc>
          <w:tcPr>
            <w:tcW w:w="0" w:type="auto"/>
            <w:gridSpan w:val="3"/>
            <w:shd w:val="clear" w:color="auto" w:fill="E2E2E2"/>
            <w:tcMar>
              <w:top w:w="40" w:type="dxa"/>
              <w:left w:w="245" w:type="dxa"/>
              <w:bottom w:w="40" w:type="dxa"/>
              <w:right w:w="20" w:type="dxa"/>
            </w:tcMar>
            <w:vAlign w:val="bottom"/>
          </w:tcPr>
          <w:p w14:paraId="7268DEE9" w14:textId="77777777" w:rsidR="005F762A" w:rsidRDefault="00D74111">
            <w:pPr>
              <w:textAlignment w:val="bottom"/>
            </w:pPr>
            <w:r>
              <w:rPr>
                <w:rFonts w:ascii="Arial" w:eastAsia="宋体" w:hAnsi="Arial" w:cs="Arial"/>
                <w:color w:val="000000"/>
                <w:sz w:val="18"/>
                <w:szCs w:val="18"/>
              </w:rPr>
              <w:t xml:space="preserve">Foreign currency translation </w:t>
            </w:r>
            <w:r>
              <w:rPr>
                <w:rFonts w:ascii="Arial" w:eastAsia="宋体" w:hAnsi="Arial" w:cs="Arial"/>
                <w:color w:val="000000"/>
                <w:sz w:val="18"/>
                <w:szCs w:val="18"/>
              </w:rPr>
              <w:t>adjustment</w:t>
            </w:r>
          </w:p>
        </w:tc>
        <w:tc>
          <w:tcPr>
            <w:tcW w:w="0" w:type="auto"/>
            <w:shd w:val="clear" w:color="auto" w:fill="auto"/>
          </w:tcPr>
          <w:p w14:paraId="7268DEEA" w14:textId="77777777" w:rsidR="005F762A" w:rsidRDefault="005F762A">
            <w:pPr>
              <w:rPr>
                <w:rFonts w:ascii="宋体"/>
                <w:vanish/>
              </w:rPr>
            </w:pPr>
          </w:p>
        </w:tc>
        <w:tc>
          <w:tcPr>
            <w:tcW w:w="0" w:type="auto"/>
            <w:shd w:val="clear" w:color="auto" w:fill="auto"/>
          </w:tcPr>
          <w:p w14:paraId="7268DEEB" w14:textId="77777777" w:rsidR="005F762A" w:rsidRDefault="005F762A">
            <w:pPr>
              <w:rPr>
                <w:rFonts w:ascii="宋体"/>
                <w:vanish/>
              </w:rPr>
            </w:pPr>
          </w:p>
        </w:tc>
        <w:tc>
          <w:tcPr>
            <w:tcW w:w="0" w:type="auto"/>
            <w:shd w:val="clear" w:color="auto" w:fill="auto"/>
          </w:tcPr>
          <w:p w14:paraId="7268DEE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EE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EE" w14:textId="77777777" w:rsidR="005F762A" w:rsidRDefault="00D74111">
            <w:pPr>
              <w:jc w:val="right"/>
              <w:textAlignment w:val="bottom"/>
            </w:pPr>
            <w:r>
              <w:rPr>
                <w:rFonts w:ascii="Arial" w:eastAsia="宋体" w:hAnsi="Arial" w:cs="Arial"/>
                <w:color w:val="000000"/>
                <w:sz w:val="18"/>
                <w:szCs w:val="18"/>
              </w:rPr>
              <w:t>(117)</w:t>
            </w:r>
          </w:p>
        </w:tc>
        <w:tc>
          <w:tcPr>
            <w:tcW w:w="0" w:type="auto"/>
            <w:shd w:val="clear" w:color="auto" w:fill="E2E2E2"/>
            <w:tcMar>
              <w:top w:w="40" w:type="dxa"/>
              <w:left w:w="0" w:type="dxa"/>
              <w:bottom w:w="40" w:type="dxa"/>
              <w:right w:w="20" w:type="dxa"/>
            </w:tcMar>
            <w:vAlign w:val="bottom"/>
          </w:tcPr>
          <w:p w14:paraId="7268DEE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EF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EF1" w14:textId="77777777" w:rsidR="005F762A" w:rsidRDefault="00D74111">
            <w:pPr>
              <w:jc w:val="right"/>
              <w:textAlignment w:val="bottom"/>
            </w:pPr>
            <w:r>
              <w:rPr>
                <w:rFonts w:ascii="Arial" w:eastAsia="宋体" w:hAnsi="Arial" w:cs="Arial"/>
                <w:color w:val="000000"/>
                <w:sz w:val="18"/>
                <w:szCs w:val="18"/>
              </w:rPr>
              <w:t>(113)</w:t>
            </w:r>
          </w:p>
        </w:tc>
        <w:tc>
          <w:tcPr>
            <w:tcW w:w="0" w:type="auto"/>
            <w:shd w:val="clear" w:color="auto" w:fill="E2E2E2"/>
            <w:tcMar>
              <w:top w:w="40" w:type="dxa"/>
              <w:left w:w="0" w:type="dxa"/>
              <w:bottom w:w="40" w:type="dxa"/>
              <w:right w:w="20" w:type="dxa"/>
            </w:tcMar>
            <w:vAlign w:val="bottom"/>
          </w:tcPr>
          <w:p w14:paraId="7268DEF2" w14:textId="77777777" w:rsidR="005F762A" w:rsidRDefault="005F762A">
            <w:pPr>
              <w:jc w:val="right"/>
              <w:rPr>
                <w:rFonts w:ascii="宋体"/>
              </w:rPr>
            </w:pPr>
          </w:p>
        </w:tc>
      </w:tr>
      <w:tr w:rsidR="005F762A" w14:paraId="7268DEFE" w14:textId="77777777">
        <w:trPr>
          <w:jc w:val="center"/>
        </w:trPr>
        <w:tc>
          <w:tcPr>
            <w:tcW w:w="0" w:type="auto"/>
            <w:gridSpan w:val="3"/>
            <w:shd w:val="clear" w:color="auto" w:fill="FFFFFF"/>
            <w:tcMar>
              <w:top w:w="40" w:type="dxa"/>
              <w:left w:w="245" w:type="dxa"/>
              <w:bottom w:w="40" w:type="dxa"/>
              <w:right w:w="20" w:type="dxa"/>
            </w:tcMar>
            <w:vAlign w:val="bottom"/>
          </w:tcPr>
          <w:p w14:paraId="7268DEF4" w14:textId="77777777" w:rsidR="005F762A" w:rsidRDefault="00D74111">
            <w:pPr>
              <w:textAlignment w:val="bottom"/>
            </w:pPr>
            <w:r>
              <w:rPr>
                <w:rFonts w:ascii="Arial" w:eastAsia="宋体" w:hAnsi="Arial" w:cs="Arial"/>
                <w:color w:val="000000"/>
                <w:sz w:val="18"/>
                <w:szCs w:val="18"/>
              </w:rPr>
              <w:t>Change in unrealized gains (losses) on investments</w:t>
            </w:r>
          </w:p>
        </w:tc>
        <w:tc>
          <w:tcPr>
            <w:tcW w:w="0" w:type="auto"/>
            <w:shd w:val="clear" w:color="auto" w:fill="auto"/>
          </w:tcPr>
          <w:p w14:paraId="7268DEF5" w14:textId="77777777" w:rsidR="005F762A" w:rsidRDefault="005F762A">
            <w:pPr>
              <w:rPr>
                <w:rFonts w:ascii="宋体"/>
                <w:vanish/>
              </w:rPr>
            </w:pPr>
          </w:p>
        </w:tc>
        <w:tc>
          <w:tcPr>
            <w:tcW w:w="0" w:type="auto"/>
            <w:shd w:val="clear" w:color="auto" w:fill="auto"/>
          </w:tcPr>
          <w:p w14:paraId="7268DEF6" w14:textId="77777777" w:rsidR="005F762A" w:rsidRDefault="005F762A">
            <w:pPr>
              <w:rPr>
                <w:rFonts w:ascii="宋体"/>
                <w:vanish/>
              </w:rPr>
            </w:pPr>
          </w:p>
        </w:tc>
        <w:tc>
          <w:tcPr>
            <w:tcW w:w="0" w:type="auto"/>
            <w:shd w:val="clear" w:color="auto" w:fill="auto"/>
          </w:tcPr>
          <w:p w14:paraId="7268DEF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EF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F9" w14:textId="77777777" w:rsidR="005F762A" w:rsidRDefault="00D74111">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7268DEF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EF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EFC" w14:textId="77777777" w:rsidR="005F762A" w:rsidRDefault="00D74111">
            <w:pPr>
              <w:jc w:val="right"/>
              <w:textAlignment w:val="bottom"/>
            </w:pPr>
            <w:r>
              <w:rPr>
                <w:rFonts w:ascii="Arial" w:eastAsia="宋体" w:hAnsi="Arial" w:cs="Arial"/>
                <w:color w:val="000000"/>
                <w:sz w:val="18"/>
                <w:szCs w:val="18"/>
              </w:rPr>
              <w:t>(31)</w:t>
            </w:r>
          </w:p>
        </w:tc>
        <w:tc>
          <w:tcPr>
            <w:tcW w:w="0" w:type="auto"/>
            <w:shd w:val="clear" w:color="auto" w:fill="FFFFFF"/>
            <w:tcMar>
              <w:top w:w="40" w:type="dxa"/>
              <w:left w:w="0" w:type="dxa"/>
              <w:bottom w:w="40" w:type="dxa"/>
              <w:right w:w="20" w:type="dxa"/>
            </w:tcMar>
            <w:vAlign w:val="bottom"/>
          </w:tcPr>
          <w:p w14:paraId="7268DEFD" w14:textId="77777777" w:rsidR="005F762A" w:rsidRDefault="005F762A">
            <w:pPr>
              <w:jc w:val="right"/>
              <w:rPr>
                <w:rFonts w:ascii="宋体"/>
              </w:rPr>
            </w:pPr>
          </w:p>
        </w:tc>
      </w:tr>
      <w:tr w:rsidR="005F762A" w14:paraId="7268DF09" w14:textId="77777777">
        <w:trPr>
          <w:jc w:val="center"/>
        </w:trPr>
        <w:tc>
          <w:tcPr>
            <w:tcW w:w="0" w:type="auto"/>
            <w:gridSpan w:val="3"/>
            <w:shd w:val="clear" w:color="auto" w:fill="E2E2E2"/>
            <w:tcMar>
              <w:top w:w="40" w:type="dxa"/>
              <w:left w:w="245" w:type="dxa"/>
              <w:bottom w:w="40" w:type="dxa"/>
              <w:right w:w="20" w:type="dxa"/>
            </w:tcMar>
            <w:vAlign w:val="bottom"/>
          </w:tcPr>
          <w:p w14:paraId="7268DEFF" w14:textId="77777777" w:rsidR="005F762A" w:rsidRDefault="00D74111">
            <w:pPr>
              <w:textAlignment w:val="bottom"/>
            </w:pPr>
            <w:r>
              <w:rPr>
                <w:rFonts w:ascii="Arial" w:eastAsia="宋体" w:hAnsi="Arial" w:cs="Arial"/>
                <w:color w:val="000000"/>
                <w:sz w:val="18"/>
                <w:szCs w:val="18"/>
              </w:rPr>
              <w:t>Change in unrealized gains (losses) on derivative instruments</w:t>
            </w:r>
          </w:p>
        </w:tc>
        <w:tc>
          <w:tcPr>
            <w:tcW w:w="0" w:type="auto"/>
            <w:shd w:val="clear" w:color="auto" w:fill="auto"/>
          </w:tcPr>
          <w:p w14:paraId="7268DF00" w14:textId="77777777" w:rsidR="005F762A" w:rsidRDefault="005F762A">
            <w:pPr>
              <w:rPr>
                <w:rFonts w:ascii="宋体"/>
                <w:vanish/>
              </w:rPr>
            </w:pPr>
          </w:p>
        </w:tc>
        <w:tc>
          <w:tcPr>
            <w:tcW w:w="0" w:type="auto"/>
            <w:shd w:val="clear" w:color="auto" w:fill="auto"/>
          </w:tcPr>
          <w:p w14:paraId="7268DF01" w14:textId="77777777" w:rsidR="005F762A" w:rsidRDefault="005F762A">
            <w:pPr>
              <w:rPr>
                <w:rFonts w:ascii="宋体"/>
                <w:vanish/>
              </w:rPr>
            </w:pPr>
          </w:p>
        </w:tc>
        <w:tc>
          <w:tcPr>
            <w:tcW w:w="0" w:type="auto"/>
            <w:shd w:val="clear" w:color="auto" w:fill="auto"/>
          </w:tcPr>
          <w:p w14:paraId="7268DF0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F0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F04" w14:textId="77777777" w:rsidR="005F762A" w:rsidRDefault="00D74111">
            <w:pPr>
              <w:jc w:val="right"/>
              <w:textAlignment w:val="bottom"/>
            </w:pPr>
            <w:r>
              <w:rPr>
                <w:rFonts w:ascii="Arial" w:eastAsia="宋体" w:hAnsi="Arial" w:cs="Arial"/>
                <w:color w:val="000000"/>
                <w:sz w:val="18"/>
                <w:szCs w:val="18"/>
              </w:rPr>
              <w:t>74 </w:t>
            </w:r>
          </w:p>
        </w:tc>
        <w:tc>
          <w:tcPr>
            <w:tcW w:w="0" w:type="auto"/>
            <w:shd w:val="clear" w:color="auto" w:fill="E2E2E2"/>
            <w:tcMar>
              <w:top w:w="40" w:type="dxa"/>
              <w:left w:w="0" w:type="dxa"/>
              <w:bottom w:w="40" w:type="dxa"/>
              <w:right w:w="20" w:type="dxa"/>
            </w:tcMar>
            <w:vAlign w:val="bottom"/>
          </w:tcPr>
          <w:p w14:paraId="7268DF0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F0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DF07" w14:textId="77777777" w:rsidR="005F762A" w:rsidRDefault="00D74111">
            <w:pPr>
              <w:jc w:val="right"/>
              <w:textAlignment w:val="bottom"/>
            </w:pPr>
            <w:r>
              <w:rPr>
                <w:rFonts w:ascii="Arial" w:eastAsia="宋体" w:hAnsi="Arial" w:cs="Arial"/>
                <w:color w:val="000000"/>
                <w:sz w:val="18"/>
                <w:szCs w:val="18"/>
              </w:rPr>
              <w:t>47 </w:t>
            </w:r>
          </w:p>
        </w:tc>
        <w:tc>
          <w:tcPr>
            <w:tcW w:w="0" w:type="auto"/>
            <w:shd w:val="clear" w:color="auto" w:fill="E2E2E2"/>
            <w:tcMar>
              <w:top w:w="40" w:type="dxa"/>
              <w:left w:w="0" w:type="dxa"/>
              <w:bottom w:w="40" w:type="dxa"/>
              <w:right w:w="20" w:type="dxa"/>
            </w:tcMar>
            <w:vAlign w:val="bottom"/>
          </w:tcPr>
          <w:p w14:paraId="7268DF08" w14:textId="77777777" w:rsidR="005F762A" w:rsidRDefault="005F762A">
            <w:pPr>
              <w:jc w:val="right"/>
              <w:rPr>
                <w:rFonts w:ascii="宋体"/>
              </w:rPr>
            </w:pPr>
          </w:p>
        </w:tc>
      </w:tr>
      <w:tr w:rsidR="005F762A" w14:paraId="7268DF14" w14:textId="77777777">
        <w:trPr>
          <w:jc w:val="center"/>
        </w:trPr>
        <w:tc>
          <w:tcPr>
            <w:tcW w:w="0" w:type="auto"/>
            <w:gridSpan w:val="3"/>
            <w:shd w:val="clear" w:color="auto" w:fill="FFFFFF"/>
            <w:tcMar>
              <w:top w:w="40" w:type="dxa"/>
              <w:left w:w="245" w:type="dxa"/>
              <w:bottom w:w="40" w:type="dxa"/>
              <w:right w:w="20" w:type="dxa"/>
            </w:tcMar>
            <w:vAlign w:val="bottom"/>
          </w:tcPr>
          <w:p w14:paraId="7268DF0A" w14:textId="77777777" w:rsidR="005F762A" w:rsidRDefault="00D74111">
            <w:pPr>
              <w:textAlignment w:val="bottom"/>
            </w:pPr>
            <w:r>
              <w:rPr>
                <w:rFonts w:ascii="Arial" w:eastAsia="宋体" w:hAnsi="Arial" w:cs="Arial"/>
                <w:color w:val="000000"/>
                <w:sz w:val="18"/>
                <w:szCs w:val="18"/>
              </w:rPr>
              <w:t>Tax benefit (provision) on above items</w:t>
            </w:r>
          </w:p>
        </w:tc>
        <w:tc>
          <w:tcPr>
            <w:tcW w:w="0" w:type="auto"/>
            <w:shd w:val="clear" w:color="auto" w:fill="auto"/>
          </w:tcPr>
          <w:p w14:paraId="7268DF0B" w14:textId="77777777" w:rsidR="005F762A" w:rsidRDefault="005F762A">
            <w:pPr>
              <w:rPr>
                <w:rFonts w:ascii="宋体"/>
                <w:vanish/>
              </w:rPr>
            </w:pPr>
          </w:p>
        </w:tc>
        <w:tc>
          <w:tcPr>
            <w:tcW w:w="0" w:type="auto"/>
            <w:shd w:val="clear" w:color="auto" w:fill="auto"/>
          </w:tcPr>
          <w:p w14:paraId="7268DF0C" w14:textId="77777777" w:rsidR="005F762A" w:rsidRDefault="005F762A">
            <w:pPr>
              <w:rPr>
                <w:rFonts w:ascii="宋体"/>
                <w:vanish/>
              </w:rPr>
            </w:pPr>
          </w:p>
        </w:tc>
        <w:tc>
          <w:tcPr>
            <w:tcW w:w="0" w:type="auto"/>
            <w:shd w:val="clear" w:color="auto" w:fill="auto"/>
          </w:tcPr>
          <w:p w14:paraId="7268DF0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F0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0F" w14:textId="77777777" w:rsidR="005F762A" w:rsidRDefault="00D74111">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7268DF1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1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12" w14:textId="77777777" w:rsidR="005F762A" w:rsidRDefault="00D74111">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7268DF13" w14:textId="77777777" w:rsidR="005F762A" w:rsidRDefault="005F762A">
            <w:pPr>
              <w:jc w:val="right"/>
              <w:rPr>
                <w:rFonts w:ascii="宋体"/>
              </w:rPr>
            </w:pPr>
          </w:p>
        </w:tc>
      </w:tr>
      <w:tr w:rsidR="005F762A" w14:paraId="7268DF1D" w14:textId="77777777">
        <w:trPr>
          <w:jc w:val="center"/>
          <w:hidden/>
        </w:trPr>
        <w:tc>
          <w:tcPr>
            <w:tcW w:w="0" w:type="auto"/>
            <w:gridSpan w:val="3"/>
            <w:shd w:val="clear" w:color="auto" w:fill="auto"/>
          </w:tcPr>
          <w:p w14:paraId="7268DF15" w14:textId="77777777" w:rsidR="005F762A" w:rsidRDefault="005F762A">
            <w:pPr>
              <w:rPr>
                <w:rFonts w:ascii="宋体"/>
                <w:vanish/>
              </w:rPr>
            </w:pPr>
          </w:p>
        </w:tc>
        <w:tc>
          <w:tcPr>
            <w:tcW w:w="0" w:type="auto"/>
            <w:shd w:val="clear" w:color="auto" w:fill="auto"/>
          </w:tcPr>
          <w:p w14:paraId="7268DF16" w14:textId="77777777" w:rsidR="005F762A" w:rsidRDefault="005F762A">
            <w:pPr>
              <w:rPr>
                <w:rFonts w:ascii="宋体"/>
                <w:vanish/>
              </w:rPr>
            </w:pPr>
          </w:p>
        </w:tc>
        <w:tc>
          <w:tcPr>
            <w:tcW w:w="0" w:type="auto"/>
            <w:shd w:val="clear" w:color="auto" w:fill="auto"/>
          </w:tcPr>
          <w:p w14:paraId="7268DF17" w14:textId="77777777" w:rsidR="005F762A" w:rsidRDefault="005F762A">
            <w:pPr>
              <w:rPr>
                <w:rFonts w:ascii="宋体"/>
                <w:vanish/>
              </w:rPr>
            </w:pPr>
          </w:p>
        </w:tc>
        <w:tc>
          <w:tcPr>
            <w:tcW w:w="0" w:type="auto"/>
            <w:shd w:val="clear" w:color="auto" w:fill="auto"/>
          </w:tcPr>
          <w:p w14:paraId="7268DF18" w14:textId="77777777" w:rsidR="005F762A" w:rsidRDefault="005F762A">
            <w:pPr>
              <w:rPr>
                <w:rFonts w:ascii="宋体"/>
                <w:vanish/>
              </w:rPr>
            </w:pPr>
          </w:p>
        </w:tc>
        <w:tc>
          <w:tcPr>
            <w:tcW w:w="0" w:type="auto"/>
            <w:gridSpan w:val="3"/>
            <w:shd w:val="clear" w:color="auto" w:fill="auto"/>
          </w:tcPr>
          <w:p w14:paraId="7268DF19" w14:textId="77777777" w:rsidR="005F762A" w:rsidRDefault="005F762A">
            <w:pPr>
              <w:rPr>
                <w:rFonts w:ascii="宋体"/>
                <w:vanish/>
              </w:rPr>
            </w:pPr>
          </w:p>
        </w:tc>
        <w:tc>
          <w:tcPr>
            <w:tcW w:w="0" w:type="auto"/>
            <w:gridSpan w:val="3"/>
            <w:shd w:val="clear" w:color="auto" w:fill="auto"/>
          </w:tcPr>
          <w:p w14:paraId="7268DF1A" w14:textId="77777777" w:rsidR="005F762A" w:rsidRDefault="005F762A">
            <w:pPr>
              <w:rPr>
                <w:rFonts w:ascii="宋体"/>
                <w:vanish/>
              </w:rPr>
            </w:pPr>
          </w:p>
        </w:tc>
        <w:tc>
          <w:tcPr>
            <w:tcW w:w="0" w:type="auto"/>
            <w:gridSpan w:val="3"/>
            <w:shd w:val="clear" w:color="auto" w:fill="auto"/>
          </w:tcPr>
          <w:p w14:paraId="7268DF1B" w14:textId="77777777" w:rsidR="005F762A" w:rsidRDefault="005F762A">
            <w:pPr>
              <w:rPr>
                <w:rFonts w:ascii="宋体"/>
                <w:vanish/>
              </w:rPr>
            </w:pPr>
          </w:p>
        </w:tc>
        <w:tc>
          <w:tcPr>
            <w:tcW w:w="0" w:type="auto"/>
            <w:gridSpan w:val="3"/>
            <w:shd w:val="clear" w:color="auto" w:fill="auto"/>
          </w:tcPr>
          <w:p w14:paraId="7268DF1C" w14:textId="77777777" w:rsidR="005F762A" w:rsidRDefault="005F762A">
            <w:pPr>
              <w:rPr>
                <w:rFonts w:ascii="宋体"/>
                <w:vanish/>
              </w:rPr>
            </w:pPr>
          </w:p>
        </w:tc>
      </w:tr>
      <w:tr w:rsidR="005F762A" w14:paraId="7268DF28" w14:textId="77777777">
        <w:trPr>
          <w:jc w:val="center"/>
        </w:trPr>
        <w:tc>
          <w:tcPr>
            <w:tcW w:w="0" w:type="auto"/>
            <w:gridSpan w:val="3"/>
            <w:shd w:val="clear" w:color="auto" w:fill="E2E2E2"/>
            <w:tcMar>
              <w:top w:w="40" w:type="dxa"/>
              <w:left w:w="740" w:type="dxa"/>
              <w:bottom w:w="40" w:type="dxa"/>
              <w:right w:w="20" w:type="dxa"/>
            </w:tcMar>
            <w:vAlign w:val="bottom"/>
          </w:tcPr>
          <w:p w14:paraId="7268DF1E" w14:textId="77777777" w:rsidR="005F762A" w:rsidRDefault="00D74111">
            <w:pPr>
              <w:textAlignment w:val="bottom"/>
            </w:pPr>
            <w:r>
              <w:rPr>
                <w:rFonts w:ascii="Arial" w:eastAsia="宋体" w:hAnsi="Arial" w:cs="Arial"/>
                <w:color w:val="000000"/>
                <w:sz w:val="18"/>
                <w:szCs w:val="18"/>
              </w:rPr>
              <w:t>Balance, end of period</w:t>
            </w:r>
          </w:p>
        </w:tc>
        <w:tc>
          <w:tcPr>
            <w:tcW w:w="0" w:type="auto"/>
            <w:shd w:val="clear" w:color="auto" w:fill="auto"/>
          </w:tcPr>
          <w:p w14:paraId="7268DF1F" w14:textId="77777777" w:rsidR="005F762A" w:rsidRDefault="005F762A">
            <w:pPr>
              <w:rPr>
                <w:rFonts w:ascii="宋体"/>
                <w:vanish/>
              </w:rPr>
            </w:pPr>
          </w:p>
        </w:tc>
        <w:tc>
          <w:tcPr>
            <w:tcW w:w="0" w:type="auto"/>
            <w:shd w:val="clear" w:color="auto" w:fill="auto"/>
          </w:tcPr>
          <w:p w14:paraId="7268DF20" w14:textId="77777777" w:rsidR="005F762A" w:rsidRDefault="005F762A">
            <w:pPr>
              <w:rPr>
                <w:rFonts w:ascii="宋体"/>
                <w:vanish/>
              </w:rPr>
            </w:pPr>
          </w:p>
        </w:tc>
        <w:tc>
          <w:tcPr>
            <w:tcW w:w="0" w:type="auto"/>
            <w:shd w:val="clear" w:color="auto" w:fill="auto"/>
          </w:tcPr>
          <w:p w14:paraId="7268DF2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F22"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F23" w14:textId="77777777" w:rsidR="005F762A" w:rsidRDefault="00D74111">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F2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DF25"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DF26" w14:textId="77777777" w:rsidR="005F762A" w:rsidRDefault="00D74111">
            <w:pPr>
              <w:jc w:val="right"/>
              <w:textAlignment w:val="bottom"/>
            </w:pPr>
            <w:r>
              <w:rPr>
                <w:rFonts w:ascii="Arial" w:eastAsia="宋体" w:hAnsi="Arial" w:cs="Arial"/>
                <w:color w:val="000000"/>
                <w:sz w:val="18"/>
                <w:szCs w:val="18"/>
              </w:rPr>
              <w:t>285 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DF27" w14:textId="77777777" w:rsidR="005F762A" w:rsidRDefault="005F762A">
            <w:pPr>
              <w:jc w:val="right"/>
              <w:rPr>
                <w:rFonts w:ascii="宋体"/>
              </w:rPr>
            </w:pPr>
          </w:p>
        </w:tc>
      </w:tr>
      <w:tr w:rsidR="005F762A" w14:paraId="7268DF35" w14:textId="77777777">
        <w:trPr>
          <w:jc w:val="center"/>
        </w:trPr>
        <w:tc>
          <w:tcPr>
            <w:tcW w:w="0" w:type="auto"/>
            <w:gridSpan w:val="3"/>
            <w:shd w:val="clear" w:color="auto" w:fill="FFFFFF"/>
            <w:tcMar>
              <w:top w:w="40" w:type="dxa"/>
              <w:left w:w="20" w:type="dxa"/>
              <w:bottom w:w="40" w:type="dxa"/>
              <w:right w:w="20" w:type="dxa"/>
            </w:tcMar>
            <w:vAlign w:val="bottom"/>
          </w:tcPr>
          <w:p w14:paraId="7268DF29" w14:textId="77777777" w:rsidR="005F762A" w:rsidRDefault="00D74111">
            <w:pPr>
              <w:textAlignment w:val="bottom"/>
            </w:pPr>
            <w:r>
              <w:rPr>
                <w:rFonts w:ascii="Arial" w:eastAsia="宋体" w:hAnsi="Arial" w:cs="Arial"/>
                <w:color w:val="000000"/>
                <w:sz w:val="18"/>
                <w:szCs w:val="18"/>
              </w:rPr>
              <w:t>Total stockholders’ equity</w:t>
            </w:r>
          </w:p>
        </w:tc>
        <w:tc>
          <w:tcPr>
            <w:tcW w:w="0" w:type="auto"/>
            <w:shd w:val="clear" w:color="auto" w:fill="auto"/>
          </w:tcPr>
          <w:p w14:paraId="7268DF2A" w14:textId="77777777" w:rsidR="005F762A" w:rsidRDefault="005F762A">
            <w:pPr>
              <w:rPr>
                <w:rFonts w:ascii="宋体"/>
                <w:vanish/>
              </w:rPr>
            </w:pPr>
          </w:p>
        </w:tc>
        <w:tc>
          <w:tcPr>
            <w:tcW w:w="0" w:type="auto"/>
            <w:shd w:val="clear" w:color="auto" w:fill="auto"/>
          </w:tcPr>
          <w:p w14:paraId="7268DF2B" w14:textId="77777777" w:rsidR="005F762A" w:rsidRDefault="005F762A">
            <w:pPr>
              <w:rPr>
                <w:rFonts w:ascii="宋体"/>
                <w:vanish/>
              </w:rPr>
            </w:pPr>
          </w:p>
        </w:tc>
        <w:tc>
          <w:tcPr>
            <w:tcW w:w="0" w:type="auto"/>
            <w:shd w:val="clear" w:color="auto" w:fill="auto"/>
          </w:tcPr>
          <w:p w14:paraId="7268DF2C"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F2D"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DF2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DF2F" w14:textId="77777777" w:rsidR="005F762A" w:rsidRDefault="00D74111">
            <w:pPr>
              <w:jc w:val="right"/>
              <w:textAlignment w:val="bottom"/>
            </w:pPr>
            <w:r>
              <w:rPr>
                <w:rFonts w:ascii="Arial" w:eastAsia="宋体" w:hAnsi="Arial" w:cs="Arial"/>
                <w:color w:val="000000"/>
                <w:sz w:val="18"/>
                <w:szCs w:val="18"/>
              </w:rPr>
              <w:t>3,770 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F3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31"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DF3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DF33" w14:textId="77777777" w:rsidR="005F762A" w:rsidRDefault="00D74111">
            <w:pPr>
              <w:jc w:val="right"/>
              <w:textAlignment w:val="bottom"/>
            </w:pPr>
            <w:r>
              <w:rPr>
                <w:rFonts w:ascii="Arial" w:eastAsia="宋体" w:hAnsi="Arial" w:cs="Arial"/>
                <w:color w:val="000000"/>
                <w:sz w:val="18"/>
                <w:szCs w:val="18"/>
              </w:rPr>
              <w:t>2,115 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F34" w14:textId="77777777" w:rsidR="005F762A" w:rsidRDefault="005F762A">
            <w:pPr>
              <w:jc w:val="right"/>
              <w:rPr>
                <w:rFonts w:ascii="宋体"/>
              </w:rPr>
            </w:pPr>
          </w:p>
        </w:tc>
      </w:tr>
      <w:tr w:rsidR="005F762A" w14:paraId="7268DF3E" w14:textId="77777777">
        <w:trPr>
          <w:trHeight w:val="300"/>
          <w:jc w:val="center"/>
        </w:trPr>
        <w:tc>
          <w:tcPr>
            <w:tcW w:w="0" w:type="auto"/>
            <w:gridSpan w:val="3"/>
            <w:shd w:val="clear" w:color="auto" w:fill="E2E2E2"/>
            <w:tcMar>
              <w:top w:w="0" w:type="dxa"/>
              <w:left w:w="20" w:type="dxa"/>
              <w:bottom w:w="0" w:type="dxa"/>
              <w:right w:w="20" w:type="dxa"/>
            </w:tcMar>
          </w:tcPr>
          <w:p w14:paraId="7268DF36" w14:textId="77777777" w:rsidR="005F762A" w:rsidRDefault="005F762A">
            <w:pPr>
              <w:rPr>
                <w:rFonts w:ascii="宋体"/>
              </w:rPr>
            </w:pPr>
          </w:p>
        </w:tc>
        <w:tc>
          <w:tcPr>
            <w:tcW w:w="0" w:type="auto"/>
            <w:shd w:val="clear" w:color="auto" w:fill="auto"/>
          </w:tcPr>
          <w:p w14:paraId="7268DF37" w14:textId="77777777" w:rsidR="005F762A" w:rsidRDefault="005F762A">
            <w:pPr>
              <w:rPr>
                <w:rFonts w:ascii="宋体"/>
                <w:vanish/>
              </w:rPr>
            </w:pPr>
          </w:p>
        </w:tc>
        <w:tc>
          <w:tcPr>
            <w:tcW w:w="0" w:type="auto"/>
            <w:shd w:val="clear" w:color="auto" w:fill="auto"/>
          </w:tcPr>
          <w:p w14:paraId="7268DF38" w14:textId="77777777" w:rsidR="005F762A" w:rsidRDefault="005F762A">
            <w:pPr>
              <w:rPr>
                <w:rFonts w:ascii="宋体"/>
                <w:vanish/>
              </w:rPr>
            </w:pPr>
          </w:p>
        </w:tc>
        <w:tc>
          <w:tcPr>
            <w:tcW w:w="0" w:type="auto"/>
            <w:shd w:val="clear" w:color="auto" w:fill="auto"/>
          </w:tcPr>
          <w:p w14:paraId="7268DF39"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DF3A"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DF3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DF3C"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DF3D" w14:textId="77777777" w:rsidR="005F762A" w:rsidRDefault="005F762A">
            <w:pPr>
              <w:rPr>
                <w:rFonts w:ascii="宋体"/>
              </w:rPr>
            </w:pPr>
          </w:p>
        </w:tc>
      </w:tr>
      <w:tr w:rsidR="005F762A" w14:paraId="7268DF4B" w14:textId="77777777">
        <w:trPr>
          <w:jc w:val="center"/>
        </w:trPr>
        <w:tc>
          <w:tcPr>
            <w:tcW w:w="0" w:type="auto"/>
            <w:gridSpan w:val="3"/>
            <w:shd w:val="clear" w:color="auto" w:fill="FFFFFF"/>
            <w:tcMar>
              <w:top w:w="40" w:type="dxa"/>
              <w:left w:w="20" w:type="dxa"/>
              <w:bottom w:w="40" w:type="dxa"/>
              <w:right w:w="20" w:type="dxa"/>
            </w:tcMar>
            <w:vAlign w:val="bottom"/>
          </w:tcPr>
          <w:p w14:paraId="7268DF3F" w14:textId="77777777" w:rsidR="005F762A" w:rsidRDefault="00D74111">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auto"/>
          </w:tcPr>
          <w:p w14:paraId="7268DF40" w14:textId="77777777" w:rsidR="005F762A" w:rsidRDefault="005F762A">
            <w:pPr>
              <w:rPr>
                <w:rFonts w:ascii="宋体"/>
                <w:vanish/>
              </w:rPr>
            </w:pPr>
          </w:p>
        </w:tc>
        <w:tc>
          <w:tcPr>
            <w:tcW w:w="0" w:type="auto"/>
            <w:shd w:val="clear" w:color="auto" w:fill="auto"/>
          </w:tcPr>
          <w:p w14:paraId="7268DF41" w14:textId="77777777" w:rsidR="005F762A" w:rsidRDefault="005F762A">
            <w:pPr>
              <w:rPr>
                <w:rFonts w:ascii="宋体"/>
                <w:vanish/>
              </w:rPr>
            </w:pPr>
          </w:p>
        </w:tc>
        <w:tc>
          <w:tcPr>
            <w:tcW w:w="0" w:type="auto"/>
            <w:shd w:val="clear" w:color="auto" w:fill="auto"/>
          </w:tcPr>
          <w:p w14:paraId="7268DF4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DF43"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F4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F45" w14:textId="77777777" w:rsidR="005F762A" w:rsidRDefault="00D74111">
            <w:pPr>
              <w:jc w:val="right"/>
              <w:textAlignment w:val="bottom"/>
            </w:pPr>
            <w:r>
              <w:rPr>
                <w:rFonts w:ascii="Arial" w:eastAsia="宋体" w:hAnsi="Arial" w:cs="Arial"/>
                <w:color w:val="000000"/>
                <w:sz w:val="18"/>
                <w:szCs w:val="18"/>
              </w:rPr>
              <w:t>0.18 </w:t>
            </w:r>
          </w:p>
        </w:tc>
        <w:tc>
          <w:tcPr>
            <w:tcW w:w="0" w:type="auto"/>
            <w:shd w:val="clear" w:color="auto" w:fill="FFFFFF"/>
            <w:tcMar>
              <w:top w:w="40" w:type="dxa"/>
              <w:left w:w="0" w:type="dxa"/>
              <w:bottom w:w="40" w:type="dxa"/>
              <w:right w:w="20" w:type="dxa"/>
            </w:tcMar>
            <w:vAlign w:val="bottom"/>
          </w:tcPr>
          <w:p w14:paraId="7268DF4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47"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F4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F49" w14:textId="77777777" w:rsidR="005F762A" w:rsidRDefault="00D74111">
            <w:pPr>
              <w:jc w:val="right"/>
              <w:textAlignment w:val="bottom"/>
            </w:pPr>
            <w:r>
              <w:rPr>
                <w:rFonts w:ascii="Arial" w:eastAsia="宋体" w:hAnsi="Arial" w:cs="Arial"/>
                <w:color w:val="000000"/>
                <w:sz w:val="18"/>
                <w:szCs w:val="18"/>
              </w:rPr>
              <w:t>0.16 </w:t>
            </w:r>
          </w:p>
        </w:tc>
        <w:tc>
          <w:tcPr>
            <w:tcW w:w="0" w:type="auto"/>
            <w:shd w:val="clear" w:color="auto" w:fill="FFFFFF"/>
            <w:tcMar>
              <w:top w:w="40" w:type="dxa"/>
              <w:left w:w="0" w:type="dxa"/>
              <w:bottom w:w="40" w:type="dxa"/>
              <w:right w:w="20" w:type="dxa"/>
            </w:tcMar>
            <w:vAlign w:val="bottom"/>
          </w:tcPr>
          <w:p w14:paraId="7268DF4A" w14:textId="77777777" w:rsidR="005F762A" w:rsidRDefault="005F762A">
            <w:pPr>
              <w:jc w:val="right"/>
              <w:rPr>
                <w:rFonts w:ascii="宋体"/>
              </w:rPr>
            </w:pPr>
          </w:p>
        </w:tc>
      </w:tr>
    </w:tbl>
    <w:p w14:paraId="7268DF4C" w14:textId="77777777" w:rsidR="005F762A" w:rsidRDefault="005F762A">
      <w:pPr>
        <w:jc w:val="center"/>
      </w:pPr>
    </w:p>
    <w:p w14:paraId="7268DF4D" w14:textId="77777777" w:rsidR="005F762A" w:rsidRDefault="00D74111">
      <w:pPr>
        <w:jc w:val="center"/>
      </w:pPr>
      <w:r>
        <w:rPr>
          <w:rFonts w:ascii="Arial" w:eastAsia="宋体" w:hAnsi="Arial" w:cs="Arial"/>
          <w:color w:val="000000"/>
          <w:sz w:val="18"/>
          <w:szCs w:val="18"/>
        </w:rPr>
        <w:t xml:space="preserve">The accompanying notes are an integral part of these condensed consolidated financial statements. </w:t>
      </w:r>
    </w:p>
    <w:p w14:paraId="7268DF4E" w14:textId="77777777" w:rsidR="005F762A" w:rsidRDefault="005F762A">
      <w:pPr>
        <w:jc w:val="center"/>
      </w:pPr>
    </w:p>
    <w:p w14:paraId="7268DF4F" w14:textId="77777777" w:rsidR="005F762A" w:rsidRDefault="005F762A">
      <w:pPr>
        <w:jc w:val="center"/>
      </w:pPr>
    </w:p>
    <w:p w14:paraId="7268DF50" w14:textId="77777777" w:rsidR="005F762A" w:rsidRDefault="00D74111">
      <w:pPr>
        <w:jc w:val="center"/>
      </w:pPr>
      <w:r>
        <w:rPr>
          <w:rFonts w:ascii="Arial" w:eastAsia="宋体" w:hAnsi="Arial" w:cs="Arial"/>
          <w:color w:val="000000"/>
          <w:sz w:val="20"/>
          <w:szCs w:val="20"/>
        </w:rPr>
        <w:t>5</w:t>
      </w:r>
    </w:p>
    <w:p w14:paraId="7268DF51" w14:textId="77777777" w:rsidR="005F762A" w:rsidRDefault="00D74111">
      <w:r>
        <w:pict w14:anchorId="72690144">
          <v:rect id="_x0000_i1029" style="width:415.3pt;height:1.5pt" o:hralign="center" o:hrstd="t" o:hr="t" fillcolor="#a0a0a0" stroked="f"/>
        </w:pict>
      </w:r>
    </w:p>
    <w:p w14:paraId="7268DF52" w14:textId="77777777" w:rsidR="005F762A" w:rsidRDefault="005F762A"/>
    <w:p w14:paraId="7268DF53" w14:textId="77777777" w:rsidR="005F762A" w:rsidRDefault="00D74111">
      <w:pPr>
        <w:jc w:val="center"/>
      </w:pPr>
      <w:r>
        <w:rPr>
          <w:rFonts w:ascii="Arial" w:eastAsia="宋体" w:hAnsi="Arial" w:cs="Arial"/>
          <w:b/>
          <w:bCs/>
          <w:color w:val="000000"/>
          <w:sz w:val="20"/>
          <w:szCs w:val="20"/>
        </w:rPr>
        <w:t>eBay Inc.</w:t>
      </w:r>
    </w:p>
    <w:p w14:paraId="7268DF54" w14:textId="77777777" w:rsidR="005F762A" w:rsidRDefault="00D74111">
      <w:pPr>
        <w:jc w:val="center"/>
      </w:pPr>
      <w:r>
        <w:rPr>
          <w:rFonts w:ascii="Arial" w:eastAsia="宋体" w:hAnsi="Arial" w:cs="Arial"/>
          <w:b/>
          <w:bCs/>
          <w:color w:val="000000"/>
          <w:sz w:val="20"/>
          <w:szCs w:val="20"/>
        </w:rPr>
        <w:t>CONDENSED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408"/>
        <w:gridCol w:w="41"/>
        <w:gridCol w:w="121"/>
        <w:gridCol w:w="1229"/>
        <w:gridCol w:w="36"/>
        <w:gridCol w:w="36"/>
        <w:gridCol w:w="36"/>
        <w:gridCol w:w="36"/>
        <w:gridCol w:w="122"/>
        <w:gridCol w:w="1193"/>
        <w:gridCol w:w="36"/>
      </w:tblGrid>
      <w:tr w:rsidR="005F762A" w14:paraId="7268DF61" w14:textId="77777777">
        <w:trPr>
          <w:jc w:val="center"/>
        </w:trPr>
        <w:tc>
          <w:tcPr>
            <w:tcW w:w="50" w:type="pct"/>
            <w:shd w:val="clear" w:color="auto" w:fill="auto"/>
          </w:tcPr>
          <w:p w14:paraId="7268DF55" w14:textId="77777777" w:rsidR="005F762A" w:rsidRDefault="005F762A">
            <w:pPr>
              <w:rPr>
                <w:rFonts w:ascii="宋体"/>
              </w:rPr>
            </w:pPr>
          </w:p>
        </w:tc>
        <w:tc>
          <w:tcPr>
            <w:tcW w:w="3271" w:type="pct"/>
            <w:shd w:val="clear" w:color="auto" w:fill="auto"/>
          </w:tcPr>
          <w:p w14:paraId="7268DF56" w14:textId="77777777" w:rsidR="005F762A" w:rsidRDefault="005F762A">
            <w:pPr>
              <w:rPr>
                <w:rFonts w:ascii="宋体"/>
              </w:rPr>
            </w:pPr>
          </w:p>
        </w:tc>
        <w:tc>
          <w:tcPr>
            <w:tcW w:w="5" w:type="pct"/>
            <w:shd w:val="clear" w:color="auto" w:fill="auto"/>
          </w:tcPr>
          <w:p w14:paraId="7268DF57" w14:textId="77777777" w:rsidR="005F762A" w:rsidRDefault="005F762A">
            <w:pPr>
              <w:rPr>
                <w:rFonts w:ascii="宋体"/>
              </w:rPr>
            </w:pPr>
          </w:p>
        </w:tc>
        <w:tc>
          <w:tcPr>
            <w:tcW w:w="50" w:type="pct"/>
            <w:shd w:val="clear" w:color="auto" w:fill="auto"/>
          </w:tcPr>
          <w:p w14:paraId="7268DF58" w14:textId="77777777" w:rsidR="005F762A" w:rsidRDefault="005F762A">
            <w:pPr>
              <w:rPr>
                <w:rFonts w:ascii="宋体"/>
              </w:rPr>
            </w:pPr>
          </w:p>
        </w:tc>
        <w:tc>
          <w:tcPr>
            <w:tcW w:w="763" w:type="pct"/>
            <w:shd w:val="clear" w:color="auto" w:fill="auto"/>
          </w:tcPr>
          <w:p w14:paraId="7268DF59" w14:textId="77777777" w:rsidR="005F762A" w:rsidRDefault="005F762A">
            <w:pPr>
              <w:rPr>
                <w:rFonts w:ascii="宋体"/>
              </w:rPr>
            </w:pPr>
          </w:p>
        </w:tc>
        <w:tc>
          <w:tcPr>
            <w:tcW w:w="5" w:type="pct"/>
            <w:shd w:val="clear" w:color="auto" w:fill="auto"/>
          </w:tcPr>
          <w:p w14:paraId="7268DF5A" w14:textId="77777777" w:rsidR="005F762A" w:rsidRDefault="005F762A">
            <w:pPr>
              <w:rPr>
                <w:rFonts w:ascii="宋体"/>
              </w:rPr>
            </w:pPr>
          </w:p>
        </w:tc>
        <w:tc>
          <w:tcPr>
            <w:tcW w:w="5" w:type="pct"/>
            <w:shd w:val="clear" w:color="auto" w:fill="auto"/>
          </w:tcPr>
          <w:p w14:paraId="7268DF5B" w14:textId="77777777" w:rsidR="005F762A" w:rsidRDefault="005F762A">
            <w:pPr>
              <w:rPr>
                <w:rFonts w:ascii="宋体"/>
              </w:rPr>
            </w:pPr>
          </w:p>
        </w:tc>
        <w:tc>
          <w:tcPr>
            <w:tcW w:w="26" w:type="pct"/>
            <w:shd w:val="clear" w:color="auto" w:fill="auto"/>
          </w:tcPr>
          <w:p w14:paraId="7268DF5C" w14:textId="77777777" w:rsidR="005F762A" w:rsidRDefault="005F762A">
            <w:pPr>
              <w:rPr>
                <w:rFonts w:ascii="宋体"/>
              </w:rPr>
            </w:pPr>
          </w:p>
        </w:tc>
        <w:tc>
          <w:tcPr>
            <w:tcW w:w="5" w:type="pct"/>
            <w:shd w:val="clear" w:color="auto" w:fill="auto"/>
          </w:tcPr>
          <w:p w14:paraId="7268DF5D" w14:textId="77777777" w:rsidR="005F762A" w:rsidRDefault="005F762A">
            <w:pPr>
              <w:rPr>
                <w:rFonts w:ascii="宋体"/>
              </w:rPr>
            </w:pPr>
          </w:p>
        </w:tc>
        <w:tc>
          <w:tcPr>
            <w:tcW w:w="50" w:type="pct"/>
            <w:shd w:val="clear" w:color="auto" w:fill="auto"/>
          </w:tcPr>
          <w:p w14:paraId="7268DF5E" w14:textId="77777777" w:rsidR="005F762A" w:rsidRDefault="005F762A">
            <w:pPr>
              <w:rPr>
                <w:rFonts w:ascii="宋体"/>
              </w:rPr>
            </w:pPr>
          </w:p>
        </w:tc>
        <w:tc>
          <w:tcPr>
            <w:tcW w:w="763" w:type="pct"/>
            <w:shd w:val="clear" w:color="auto" w:fill="auto"/>
          </w:tcPr>
          <w:p w14:paraId="7268DF5F" w14:textId="77777777" w:rsidR="005F762A" w:rsidRDefault="005F762A">
            <w:pPr>
              <w:rPr>
                <w:rFonts w:ascii="宋体"/>
              </w:rPr>
            </w:pPr>
          </w:p>
        </w:tc>
        <w:tc>
          <w:tcPr>
            <w:tcW w:w="5" w:type="pct"/>
            <w:shd w:val="clear" w:color="auto" w:fill="auto"/>
          </w:tcPr>
          <w:p w14:paraId="7268DF60" w14:textId="77777777" w:rsidR="005F762A" w:rsidRDefault="005F762A">
            <w:pPr>
              <w:rPr>
                <w:rFonts w:ascii="宋体"/>
              </w:rPr>
            </w:pPr>
          </w:p>
        </w:tc>
      </w:tr>
      <w:tr w:rsidR="005F762A" w14:paraId="7268DF64" w14:textId="77777777">
        <w:trPr>
          <w:jc w:val="center"/>
        </w:trPr>
        <w:tc>
          <w:tcPr>
            <w:tcW w:w="0" w:type="auto"/>
            <w:gridSpan w:val="3"/>
            <w:shd w:val="clear" w:color="auto" w:fill="auto"/>
            <w:tcMar>
              <w:top w:w="40" w:type="dxa"/>
              <w:left w:w="20" w:type="dxa"/>
              <w:bottom w:w="40" w:type="dxa"/>
              <w:right w:w="20" w:type="dxa"/>
            </w:tcMar>
            <w:vAlign w:val="bottom"/>
          </w:tcPr>
          <w:p w14:paraId="7268DF62" w14:textId="77777777" w:rsidR="005F762A" w:rsidRDefault="00D74111">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7268DF63" w14:textId="77777777" w:rsidR="005F762A" w:rsidRDefault="00D74111">
            <w:pPr>
              <w:jc w:val="center"/>
              <w:textAlignment w:val="bottom"/>
            </w:pPr>
            <w:r>
              <w:rPr>
                <w:rFonts w:ascii="Arial" w:eastAsia="宋体" w:hAnsi="Arial" w:cs="Arial"/>
                <w:b/>
                <w:bCs/>
                <w:color w:val="000000"/>
                <w:sz w:val="18"/>
                <w:szCs w:val="18"/>
              </w:rPr>
              <w:t>Three Months Ended</w:t>
            </w:r>
            <w:r>
              <w:rPr>
                <w:rFonts w:ascii="Arial" w:eastAsia="宋体" w:hAnsi="Arial" w:cs="Arial"/>
                <w:b/>
                <w:bCs/>
                <w:color w:val="000000"/>
                <w:sz w:val="18"/>
                <w:szCs w:val="18"/>
              </w:rPr>
              <w:br/>
              <w:t>March 31,</w:t>
            </w:r>
          </w:p>
        </w:tc>
      </w:tr>
      <w:tr w:rsidR="005F762A" w14:paraId="7268DF69" w14:textId="77777777">
        <w:trPr>
          <w:jc w:val="center"/>
        </w:trPr>
        <w:tc>
          <w:tcPr>
            <w:tcW w:w="0" w:type="auto"/>
            <w:gridSpan w:val="3"/>
            <w:shd w:val="clear" w:color="auto" w:fill="auto"/>
            <w:tcMar>
              <w:top w:w="40" w:type="dxa"/>
              <w:left w:w="20" w:type="dxa"/>
              <w:bottom w:w="40" w:type="dxa"/>
              <w:right w:w="20" w:type="dxa"/>
            </w:tcMar>
            <w:vAlign w:val="bottom"/>
          </w:tcPr>
          <w:p w14:paraId="7268DF65" w14:textId="77777777" w:rsidR="005F762A" w:rsidRDefault="00D74111">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DF66" w14:textId="77777777" w:rsidR="005F762A" w:rsidRDefault="00D74111">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DF67"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DF68" w14:textId="77777777" w:rsidR="005F762A" w:rsidRDefault="00D74111">
            <w:pPr>
              <w:jc w:val="center"/>
              <w:textAlignment w:val="bottom"/>
            </w:pPr>
            <w:r>
              <w:rPr>
                <w:rFonts w:ascii="Arial" w:eastAsia="宋体" w:hAnsi="Arial" w:cs="Arial"/>
                <w:b/>
                <w:bCs/>
                <w:color w:val="000000"/>
                <w:sz w:val="18"/>
                <w:szCs w:val="18"/>
              </w:rPr>
              <w:t>2020</w:t>
            </w:r>
          </w:p>
        </w:tc>
      </w:tr>
      <w:tr w:rsidR="005F762A" w14:paraId="7268DF6C" w14:textId="77777777">
        <w:trPr>
          <w:jc w:val="center"/>
        </w:trPr>
        <w:tc>
          <w:tcPr>
            <w:tcW w:w="0" w:type="auto"/>
            <w:gridSpan w:val="3"/>
            <w:shd w:val="clear" w:color="auto" w:fill="auto"/>
            <w:tcMar>
              <w:top w:w="40" w:type="dxa"/>
              <w:left w:w="20" w:type="dxa"/>
              <w:bottom w:w="40" w:type="dxa"/>
              <w:right w:w="20" w:type="dxa"/>
            </w:tcMar>
            <w:vAlign w:val="bottom"/>
          </w:tcPr>
          <w:p w14:paraId="7268DF6A" w14:textId="77777777" w:rsidR="005F762A" w:rsidRDefault="00D74111">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268DF6B" w14:textId="77777777" w:rsidR="005F762A" w:rsidRDefault="00D74111">
            <w:pPr>
              <w:jc w:val="center"/>
              <w:textAlignment w:val="bottom"/>
            </w:pPr>
            <w:r>
              <w:rPr>
                <w:rFonts w:ascii="Arial" w:eastAsia="宋体" w:hAnsi="Arial" w:cs="Arial"/>
                <w:b/>
                <w:bCs/>
                <w:color w:val="000000"/>
                <w:sz w:val="16"/>
                <w:szCs w:val="16"/>
              </w:rPr>
              <w:t>(In millions)</w:t>
            </w:r>
          </w:p>
        </w:tc>
      </w:tr>
      <w:tr w:rsidR="005F762A" w14:paraId="7268DF6F" w14:textId="77777777">
        <w:trPr>
          <w:jc w:val="center"/>
        </w:trPr>
        <w:tc>
          <w:tcPr>
            <w:tcW w:w="0" w:type="auto"/>
            <w:gridSpan w:val="3"/>
            <w:shd w:val="clear" w:color="auto" w:fill="auto"/>
            <w:tcMar>
              <w:top w:w="40" w:type="dxa"/>
              <w:left w:w="20" w:type="dxa"/>
              <w:bottom w:w="40" w:type="dxa"/>
              <w:right w:w="20" w:type="dxa"/>
            </w:tcMar>
            <w:vAlign w:val="bottom"/>
          </w:tcPr>
          <w:p w14:paraId="7268DF6D" w14:textId="77777777" w:rsidR="005F762A" w:rsidRDefault="00D74111">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7268DF6E" w14:textId="77777777" w:rsidR="005F762A" w:rsidRDefault="00D74111">
            <w:pPr>
              <w:jc w:val="center"/>
              <w:textAlignment w:val="bottom"/>
            </w:pPr>
            <w:r>
              <w:rPr>
                <w:rFonts w:ascii="Arial" w:eastAsia="宋体" w:hAnsi="Arial" w:cs="Arial"/>
                <w:b/>
                <w:bCs/>
                <w:color w:val="000000"/>
                <w:sz w:val="16"/>
                <w:szCs w:val="16"/>
              </w:rPr>
              <w:t>(Unaudited)</w:t>
            </w:r>
          </w:p>
        </w:tc>
      </w:tr>
      <w:tr w:rsidR="005F762A" w14:paraId="7268DF74" w14:textId="77777777">
        <w:trPr>
          <w:jc w:val="center"/>
        </w:trPr>
        <w:tc>
          <w:tcPr>
            <w:tcW w:w="0" w:type="auto"/>
            <w:gridSpan w:val="3"/>
            <w:shd w:val="clear" w:color="auto" w:fill="DDDDDD"/>
            <w:tcMar>
              <w:top w:w="40" w:type="dxa"/>
              <w:left w:w="20" w:type="dxa"/>
              <w:bottom w:w="40" w:type="dxa"/>
              <w:right w:w="20" w:type="dxa"/>
            </w:tcMar>
            <w:vAlign w:val="bottom"/>
          </w:tcPr>
          <w:p w14:paraId="7268DF70" w14:textId="77777777" w:rsidR="005F762A" w:rsidRDefault="00D74111">
            <w:pPr>
              <w:textAlignment w:val="bottom"/>
            </w:pPr>
            <w:r>
              <w:rPr>
                <w:rFonts w:ascii="Arial" w:eastAsia="宋体" w:hAnsi="Arial" w:cs="Arial"/>
                <w:color w:val="000000"/>
                <w:sz w:val="18"/>
                <w:szCs w:val="18"/>
              </w:rPr>
              <w:t>Cash flows from operating activities:</w:t>
            </w:r>
          </w:p>
        </w:tc>
        <w:tc>
          <w:tcPr>
            <w:tcW w:w="0" w:type="auto"/>
            <w:gridSpan w:val="3"/>
            <w:shd w:val="clear" w:color="auto" w:fill="DDDDDD"/>
            <w:tcMar>
              <w:top w:w="40" w:type="dxa"/>
              <w:left w:w="20" w:type="dxa"/>
              <w:bottom w:w="40" w:type="dxa"/>
              <w:right w:w="20" w:type="dxa"/>
            </w:tcMar>
            <w:vAlign w:val="bottom"/>
          </w:tcPr>
          <w:p w14:paraId="7268DF71"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DDDDDD"/>
            <w:tcMar>
              <w:top w:w="0" w:type="dxa"/>
              <w:left w:w="20" w:type="dxa"/>
              <w:bottom w:w="0" w:type="dxa"/>
              <w:right w:w="20" w:type="dxa"/>
            </w:tcMar>
          </w:tcPr>
          <w:p w14:paraId="7268DF72" w14:textId="77777777" w:rsidR="005F762A" w:rsidRDefault="005F762A">
            <w:pPr>
              <w:rPr>
                <w:rFonts w:ascii="宋体"/>
              </w:rPr>
            </w:pPr>
          </w:p>
        </w:tc>
        <w:tc>
          <w:tcPr>
            <w:tcW w:w="0" w:type="auto"/>
            <w:gridSpan w:val="3"/>
            <w:shd w:val="clear" w:color="auto" w:fill="DDDDDD"/>
            <w:tcMar>
              <w:top w:w="40" w:type="dxa"/>
              <w:left w:w="20" w:type="dxa"/>
              <w:bottom w:w="40" w:type="dxa"/>
              <w:right w:w="20" w:type="dxa"/>
            </w:tcMar>
            <w:vAlign w:val="bottom"/>
          </w:tcPr>
          <w:p w14:paraId="7268DF73" w14:textId="77777777" w:rsidR="005F762A" w:rsidRDefault="00D74111">
            <w:pPr>
              <w:textAlignment w:val="bottom"/>
            </w:pPr>
            <w:r>
              <w:rPr>
                <w:rFonts w:ascii="Arial" w:eastAsia="宋体" w:hAnsi="Arial" w:cs="Arial"/>
                <w:color w:val="FFFFFF"/>
                <w:sz w:val="18"/>
                <w:szCs w:val="18"/>
              </w:rPr>
              <w:t> </w:t>
            </w:r>
          </w:p>
        </w:tc>
      </w:tr>
      <w:tr w:rsidR="005F762A" w14:paraId="7268DF7D" w14:textId="77777777">
        <w:trPr>
          <w:jc w:val="center"/>
        </w:trPr>
        <w:tc>
          <w:tcPr>
            <w:tcW w:w="0" w:type="auto"/>
            <w:gridSpan w:val="3"/>
            <w:shd w:val="clear" w:color="auto" w:fill="FFFFFF"/>
            <w:tcMar>
              <w:top w:w="40" w:type="dxa"/>
              <w:left w:w="245" w:type="dxa"/>
              <w:bottom w:w="40" w:type="dxa"/>
              <w:right w:w="20" w:type="dxa"/>
            </w:tcMar>
            <w:vAlign w:val="bottom"/>
          </w:tcPr>
          <w:p w14:paraId="7268DF75" w14:textId="77777777" w:rsidR="005F762A" w:rsidRDefault="00D74111">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7268DF76"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F77" w14:textId="77777777" w:rsidR="005F762A" w:rsidRDefault="00D74111">
            <w:pPr>
              <w:jc w:val="right"/>
              <w:textAlignment w:val="bottom"/>
            </w:pPr>
            <w:r>
              <w:rPr>
                <w:rFonts w:ascii="Arial" w:eastAsia="宋体" w:hAnsi="Arial" w:cs="Arial"/>
                <w:color w:val="000000"/>
                <w:sz w:val="18"/>
                <w:szCs w:val="18"/>
              </w:rPr>
              <w:t>641 </w:t>
            </w:r>
          </w:p>
        </w:tc>
        <w:tc>
          <w:tcPr>
            <w:tcW w:w="0" w:type="auto"/>
            <w:shd w:val="clear" w:color="auto" w:fill="FFFFFF"/>
            <w:tcMar>
              <w:top w:w="40" w:type="dxa"/>
              <w:left w:w="0" w:type="dxa"/>
              <w:bottom w:w="40" w:type="dxa"/>
              <w:right w:w="20" w:type="dxa"/>
            </w:tcMar>
            <w:vAlign w:val="bottom"/>
          </w:tcPr>
          <w:p w14:paraId="7268DF7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79"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DF7A"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DF7B" w14:textId="77777777" w:rsidR="005F762A" w:rsidRDefault="00D74111">
            <w:pPr>
              <w:jc w:val="right"/>
              <w:textAlignment w:val="bottom"/>
            </w:pPr>
            <w:r>
              <w:rPr>
                <w:rFonts w:ascii="Arial" w:eastAsia="宋体" w:hAnsi="Arial" w:cs="Arial"/>
                <w:color w:val="000000"/>
                <w:sz w:val="18"/>
                <w:szCs w:val="18"/>
              </w:rPr>
              <w:t>3,412 </w:t>
            </w:r>
          </w:p>
        </w:tc>
        <w:tc>
          <w:tcPr>
            <w:tcW w:w="0" w:type="auto"/>
            <w:shd w:val="clear" w:color="auto" w:fill="FFFFFF"/>
            <w:tcMar>
              <w:top w:w="40" w:type="dxa"/>
              <w:left w:w="0" w:type="dxa"/>
              <w:bottom w:w="40" w:type="dxa"/>
              <w:right w:w="20" w:type="dxa"/>
            </w:tcMar>
            <w:vAlign w:val="bottom"/>
          </w:tcPr>
          <w:p w14:paraId="7268DF7C" w14:textId="77777777" w:rsidR="005F762A" w:rsidRDefault="005F762A">
            <w:pPr>
              <w:jc w:val="right"/>
              <w:rPr>
                <w:rFonts w:ascii="宋体"/>
              </w:rPr>
            </w:pPr>
          </w:p>
        </w:tc>
      </w:tr>
      <w:tr w:rsidR="005F762A" w14:paraId="7268DF84" w14:textId="77777777">
        <w:trPr>
          <w:jc w:val="center"/>
        </w:trPr>
        <w:tc>
          <w:tcPr>
            <w:tcW w:w="0" w:type="auto"/>
            <w:gridSpan w:val="3"/>
            <w:shd w:val="clear" w:color="auto" w:fill="DDDDDD"/>
            <w:tcMar>
              <w:top w:w="40" w:type="dxa"/>
              <w:left w:w="245" w:type="dxa"/>
              <w:bottom w:w="40" w:type="dxa"/>
              <w:right w:w="20" w:type="dxa"/>
            </w:tcMar>
            <w:vAlign w:val="bottom"/>
          </w:tcPr>
          <w:p w14:paraId="7268DF7E" w14:textId="77777777" w:rsidR="005F762A" w:rsidRDefault="00D74111">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DDDDDD"/>
            <w:tcMar>
              <w:top w:w="40" w:type="dxa"/>
              <w:left w:w="20" w:type="dxa"/>
              <w:bottom w:w="40" w:type="dxa"/>
              <w:right w:w="0" w:type="dxa"/>
            </w:tcMar>
            <w:vAlign w:val="bottom"/>
          </w:tcPr>
          <w:p w14:paraId="7268DF7F" w14:textId="77777777" w:rsidR="005F762A" w:rsidRDefault="00D74111">
            <w:pPr>
              <w:jc w:val="right"/>
              <w:textAlignment w:val="bottom"/>
            </w:pPr>
            <w:r>
              <w:rPr>
                <w:rFonts w:ascii="Arial" w:eastAsia="宋体" w:hAnsi="Arial" w:cs="Arial"/>
                <w:color w:val="000000"/>
                <w:sz w:val="18"/>
                <w:szCs w:val="18"/>
              </w:rPr>
              <w:t>(72)</w:t>
            </w:r>
          </w:p>
        </w:tc>
        <w:tc>
          <w:tcPr>
            <w:tcW w:w="0" w:type="auto"/>
            <w:shd w:val="clear" w:color="auto" w:fill="DDDDDD"/>
            <w:tcMar>
              <w:top w:w="40" w:type="dxa"/>
              <w:left w:w="0" w:type="dxa"/>
              <w:bottom w:w="40" w:type="dxa"/>
              <w:right w:w="20" w:type="dxa"/>
            </w:tcMar>
            <w:vAlign w:val="bottom"/>
          </w:tcPr>
          <w:p w14:paraId="7268DF80"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81"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82" w14:textId="77777777" w:rsidR="005F762A" w:rsidRDefault="00D74111">
            <w:pPr>
              <w:jc w:val="right"/>
              <w:textAlignment w:val="bottom"/>
            </w:pPr>
            <w:r>
              <w:rPr>
                <w:rFonts w:ascii="Arial" w:eastAsia="宋体" w:hAnsi="Arial" w:cs="Arial"/>
                <w:color w:val="000000"/>
                <w:sz w:val="18"/>
                <w:szCs w:val="18"/>
              </w:rPr>
              <w:t>(2,981)</w:t>
            </w:r>
          </w:p>
        </w:tc>
        <w:tc>
          <w:tcPr>
            <w:tcW w:w="0" w:type="auto"/>
            <w:shd w:val="clear" w:color="auto" w:fill="DDDDDD"/>
            <w:tcMar>
              <w:top w:w="40" w:type="dxa"/>
              <w:left w:w="0" w:type="dxa"/>
              <w:bottom w:w="40" w:type="dxa"/>
              <w:right w:w="20" w:type="dxa"/>
            </w:tcMar>
            <w:vAlign w:val="bottom"/>
          </w:tcPr>
          <w:p w14:paraId="7268DF83" w14:textId="77777777" w:rsidR="005F762A" w:rsidRDefault="005F762A">
            <w:pPr>
              <w:jc w:val="right"/>
              <w:rPr>
                <w:rFonts w:ascii="宋体"/>
              </w:rPr>
            </w:pPr>
          </w:p>
        </w:tc>
      </w:tr>
      <w:tr w:rsidR="005F762A" w14:paraId="7268DF89" w14:textId="77777777">
        <w:trPr>
          <w:jc w:val="center"/>
        </w:trPr>
        <w:tc>
          <w:tcPr>
            <w:tcW w:w="0" w:type="auto"/>
            <w:gridSpan w:val="3"/>
            <w:shd w:val="clear" w:color="auto" w:fill="FFFFFF"/>
            <w:tcMar>
              <w:top w:w="40" w:type="dxa"/>
              <w:left w:w="245" w:type="dxa"/>
              <w:bottom w:w="40" w:type="dxa"/>
              <w:right w:w="20" w:type="dxa"/>
            </w:tcMar>
            <w:vAlign w:val="bottom"/>
          </w:tcPr>
          <w:p w14:paraId="7268DF85" w14:textId="77777777" w:rsidR="005F762A" w:rsidRDefault="00D74111">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tcPr>
          <w:p w14:paraId="7268DF8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F8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DF88" w14:textId="77777777" w:rsidR="005F762A" w:rsidRDefault="005F762A">
            <w:pPr>
              <w:rPr>
                <w:rFonts w:ascii="宋体"/>
              </w:rPr>
            </w:pPr>
          </w:p>
        </w:tc>
      </w:tr>
      <w:tr w:rsidR="005F762A" w14:paraId="7268DF90" w14:textId="77777777">
        <w:trPr>
          <w:jc w:val="center"/>
        </w:trPr>
        <w:tc>
          <w:tcPr>
            <w:tcW w:w="0" w:type="auto"/>
            <w:gridSpan w:val="3"/>
            <w:shd w:val="clear" w:color="auto" w:fill="DDDDDD"/>
            <w:tcMar>
              <w:top w:w="40" w:type="dxa"/>
              <w:left w:w="515" w:type="dxa"/>
              <w:bottom w:w="40" w:type="dxa"/>
              <w:right w:w="20" w:type="dxa"/>
            </w:tcMar>
            <w:vAlign w:val="bottom"/>
          </w:tcPr>
          <w:p w14:paraId="7268DF8A" w14:textId="77777777" w:rsidR="005F762A" w:rsidRDefault="00D74111">
            <w:pPr>
              <w:textAlignment w:val="bottom"/>
            </w:pPr>
            <w:r>
              <w:rPr>
                <w:rFonts w:ascii="Arial" w:eastAsia="宋体" w:hAnsi="Arial" w:cs="Arial"/>
                <w:color w:val="000000"/>
                <w:sz w:val="18"/>
                <w:szCs w:val="18"/>
              </w:rPr>
              <w:t>Provision for transaction losses</w:t>
            </w:r>
          </w:p>
        </w:tc>
        <w:tc>
          <w:tcPr>
            <w:tcW w:w="0" w:type="auto"/>
            <w:gridSpan w:val="2"/>
            <w:shd w:val="clear" w:color="auto" w:fill="DDDDDD"/>
            <w:tcMar>
              <w:top w:w="40" w:type="dxa"/>
              <w:left w:w="20" w:type="dxa"/>
              <w:bottom w:w="40" w:type="dxa"/>
              <w:right w:w="0" w:type="dxa"/>
            </w:tcMar>
            <w:vAlign w:val="bottom"/>
          </w:tcPr>
          <w:p w14:paraId="7268DF8B" w14:textId="77777777" w:rsidR="005F762A" w:rsidRDefault="00D74111">
            <w:pPr>
              <w:jc w:val="right"/>
              <w:textAlignment w:val="bottom"/>
            </w:pPr>
            <w:r>
              <w:rPr>
                <w:rFonts w:ascii="Arial" w:eastAsia="宋体" w:hAnsi="Arial" w:cs="Arial"/>
                <w:color w:val="000000"/>
                <w:sz w:val="18"/>
                <w:szCs w:val="18"/>
              </w:rPr>
              <w:t>88 </w:t>
            </w:r>
          </w:p>
        </w:tc>
        <w:tc>
          <w:tcPr>
            <w:tcW w:w="0" w:type="auto"/>
            <w:shd w:val="clear" w:color="auto" w:fill="DDDDDD"/>
            <w:tcMar>
              <w:top w:w="40" w:type="dxa"/>
              <w:left w:w="0" w:type="dxa"/>
              <w:bottom w:w="40" w:type="dxa"/>
              <w:right w:w="20" w:type="dxa"/>
            </w:tcMar>
            <w:vAlign w:val="bottom"/>
          </w:tcPr>
          <w:p w14:paraId="7268DF8C"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8D"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8E" w14:textId="77777777" w:rsidR="005F762A" w:rsidRDefault="00D74111">
            <w:pPr>
              <w:jc w:val="right"/>
              <w:textAlignment w:val="bottom"/>
            </w:pPr>
            <w:r>
              <w:rPr>
                <w:rFonts w:ascii="Arial" w:eastAsia="宋体" w:hAnsi="Arial" w:cs="Arial"/>
                <w:color w:val="000000"/>
                <w:sz w:val="18"/>
                <w:szCs w:val="18"/>
              </w:rPr>
              <w:t>96 </w:t>
            </w:r>
          </w:p>
        </w:tc>
        <w:tc>
          <w:tcPr>
            <w:tcW w:w="0" w:type="auto"/>
            <w:shd w:val="clear" w:color="auto" w:fill="DDDDDD"/>
            <w:tcMar>
              <w:top w:w="40" w:type="dxa"/>
              <w:left w:w="0" w:type="dxa"/>
              <w:bottom w:w="40" w:type="dxa"/>
              <w:right w:w="20" w:type="dxa"/>
            </w:tcMar>
            <w:vAlign w:val="bottom"/>
          </w:tcPr>
          <w:p w14:paraId="7268DF8F" w14:textId="77777777" w:rsidR="005F762A" w:rsidRDefault="005F762A">
            <w:pPr>
              <w:jc w:val="right"/>
              <w:rPr>
                <w:rFonts w:ascii="宋体"/>
              </w:rPr>
            </w:pPr>
          </w:p>
        </w:tc>
      </w:tr>
      <w:tr w:rsidR="005F762A" w14:paraId="7268DF97" w14:textId="77777777">
        <w:trPr>
          <w:jc w:val="center"/>
        </w:trPr>
        <w:tc>
          <w:tcPr>
            <w:tcW w:w="0" w:type="auto"/>
            <w:gridSpan w:val="3"/>
            <w:shd w:val="clear" w:color="auto" w:fill="FFFFFF"/>
            <w:tcMar>
              <w:top w:w="40" w:type="dxa"/>
              <w:left w:w="515" w:type="dxa"/>
              <w:bottom w:w="40" w:type="dxa"/>
              <w:right w:w="20" w:type="dxa"/>
            </w:tcMar>
            <w:vAlign w:val="bottom"/>
          </w:tcPr>
          <w:p w14:paraId="7268DF91" w14:textId="77777777" w:rsidR="005F762A" w:rsidRDefault="00D74111">
            <w:pPr>
              <w:textAlignment w:val="bottom"/>
            </w:pPr>
            <w:r>
              <w:rPr>
                <w:rFonts w:ascii="Arial" w:eastAsia="宋体" w:hAnsi="Arial" w:cs="Arial"/>
                <w:color w:val="000000"/>
                <w:sz w:val="18"/>
                <w:szCs w:val="18"/>
              </w:rPr>
              <w:t xml:space="preserve">Depreciation and </w:t>
            </w:r>
            <w:r>
              <w:rPr>
                <w:rFonts w:ascii="Arial" w:eastAsia="宋体" w:hAnsi="Arial" w:cs="Arial"/>
                <w:color w:val="000000"/>
                <w:sz w:val="18"/>
                <w:szCs w:val="18"/>
              </w:rPr>
              <w:t>amortization</w:t>
            </w:r>
          </w:p>
        </w:tc>
        <w:tc>
          <w:tcPr>
            <w:tcW w:w="0" w:type="auto"/>
            <w:gridSpan w:val="2"/>
            <w:shd w:val="clear" w:color="auto" w:fill="FFFFFF"/>
            <w:tcMar>
              <w:top w:w="40" w:type="dxa"/>
              <w:left w:w="20" w:type="dxa"/>
              <w:bottom w:w="40" w:type="dxa"/>
              <w:right w:w="0" w:type="dxa"/>
            </w:tcMar>
            <w:vAlign w:val="bottom"/>
          </w:tcPr>
          <w:p w14:paraId="7268DF92" w14:textId="77777777" w:rsidR="005F762A" w:rsidRDefault="00D74111">
            <w:pPr>
              <w:jc w:val="right"/>
              <w:textAlignment w:val="bottom"/>
            </w:pPr>
            <w:r>
              <w:rPr>
                <w:rFonts w:ascii="Arial" w:eastAsia="宋体" w:hAnsi="Arial" w:cs="Arial"/>
                <w:color w:val="000000"/>
                <w:sz w:val="18"/>
                <w:szCs w:val="18"/>
              </w:rPr>
              <w:t>140 </w:t>
            </w:r>
          </w:p>
        </w:tc>
        <w:tc>
          <w:tcPr>
            <w:tcW w:w="0" w:type="auto"/>
            <w:shd w:val="clear" w:color="auto" w:fill="FFFFFF"/>
            <w:tcMar>
              <w:top w:w="40" w:type="dxa"/>
              <w:left w:w="0" w:type="dxa"/>
              <w:bottom w:w="40" w:type="dxa"/>
              <w:right w:w="20" w:type="dxa"/>
            </w:tcMar>
            <w:vAlign w:val="bottom"/>
          </w:tcPr>
          <w:p w14:paraId="7268DF9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9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95" w14:textId="77777777" w:rsidR="005F762A" w:rsidRDefault="00D74111">
            <w:pPr>
              <w:jc w:val="right"/>
              <w:textAlignment w:val="bottom"/>
            </w:pPr>
            <w:r>
              <w:rPr>
                <w:rFonts w:ascii="Arial" w:eastAsia="宋体" w:hAnsi="Arial" w:cs="Arial"/>
                <w:color w:val="000000"/>
                <w:sz w:val="18"/>
                <w:szCs w:val="18"/>
              </w:rPr>
              <w:t>141 </w:t>
            </w:r>
          </w:p>
        </w:tc>
        <w:tc>
          <w:tcPr>
            <w:tcW w:w="0" w:type="auto"/>
            <w:shd w:val="clear" w:color="auto" w:fill="FFFFFF"/>
            <w:tcMar>
              <w:top w:w="40" w:type="dxa"/>
              <w:left w:w="0" w:type="dxa"/>
              <w:bottom w:w="40" w:type="dxa"/>
              <w:right w:w="20" w:type="dxa"/>
            </w:tcMar>
            <w:vAlign w:val="bottom"/>
          </w:tcPr>
          <w:p w14:paraId="7268DF96" w14:textId="77777777" w:rsidR="005F762A" w:rsidRDefault="005F762A">
            <w:pPr>
              <w:jc w:val="right"/>
              <w:rPr>
                <w:rFonts w:ascii="宋体"/>
              </w:rPr>
            </w:pPr>
          </w:p>
        </w:tc>
      </w:tr>
      <w:tr w:rsidR="005F762A" w14:paraId="7268DF9E" w14:textId="77777777">
        <w:trPr>
          <w:jc w:val="center"/>
        </w:trPr>
        <w:tc>
          <w:tcPr>
            <w:tcW w:w="0" w:type="auto"/>
            <w:gridSpan w:val="3"/>
            <w:shd w:val="clear" w:color="auto" w:fill="DDDDDD"/>
            <w:tcMar>
              <w:top w:w="40" w:type="dxa"/>
              <w:left w:w="515" w:type="dxa"/>
              <w:bottom w:w="40" w:type="dxa"/>
              <w:right w:w="20" w:type="dxa"/>
            </w:tcMar>
            <w:vAlign w:val="bottom"/>
          </w:tcPr>
          <w:p w14:paraId="7268DF98" w14:textId="77777777" w:rsidR="005F762A" w:rsidRDefault="00D74111">
            <w:pPr>
              <w:textAlignment w:val="bottom"/>
            </w:pPr>
            <w:r>
              <w:rPr>
                <w:rFonts w:ascii="Arial" w:eastAsia="宋体" w:hAnsi="Arial" w:cs="Arial"/>
                <w:color w:val="000000"/>
                <w:sz w:val="18"/>
                <w:szCs w:val="18"/>
              </w:rPr>
              <w:t>Stock-based compensation</w:t>
            </w:r>
          </w:p>
        </w:tc>
        <w:tc>
          <w:tcPr>
            <w:tcW w:w="0" w:type="auto"/>
            <w:gridSpan w:val="2"/>
            <w:shd w:val="clear" w:color="auto" w:fill="DDDDDD"/>
            <w:tcMar>
              <w:top w:w="40" w:type="dxa"/>
              <w:left w:w="20" w:type="dxa"/>
              <w:bottom w:w="40" w:type="dxa"/>
              <w:right w:w="0" w:type="dxa"/>
            </w:tcMar>
            <w:vAlign w:val="bottom"/>
          </w:tcPr>
          <w:p w14:paraId="7268DF99" w14:textId="77777777" w:rsidR="005F762A" w:rsidRDefault="00D74111">
            <w:pPr>
              <w:jc w:val="right"/>
              <w:textAlignment w:val="bottom"/>
            </w:pPr>
            <w:r>
              <w:rPr>
                <w:rFonts w:ascii="Arial" w:eastAsia="宋体" w:hAnsi="Arial" w:cs="Arial"/>
                <w:color w:val="000000"/>
                <w:sz w:val="18"/>
                <w:szCs w:val="18"/>
              </w:rPr>
              <w:t>106 </w:t>
            </w:r>
          </w:p>
        </w:tc>
        <w:tc>
          <w:tcPr>
            <w:tcW w:w="0" w:type="auto"/>
            <w:shd w:val="clear" w:color="auto" w:fill="DDDDDD"/>
            <w:tcMar>
              <w:top w:w="40" w:type="dxa"/>
              <w:left w:w="0" w:type="dxa"/>
              <w:bottom w:w="40" w:type="dxa"/>
              <w:right w:w="20" w:type="dxa"/>
            </w:tcMar>
            <w:vAlign w:val="bottom"/>
          </w:tcPr>
          <w:p w14:paraId="7268DF9A"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9B"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9C" w14:textId="77777777" w:rsidR="005F762A" w:rsidRDefault="00D74111">
            <w:pPr>
              <w:jc w:val="right"/>
              <w:textAlignment w:val="bottom"/>
            </w:pPr>
            <w:r>
              <w:rPr>
                <w:rFonts w:ascii="Arial" w:eastAsia="宋体" w:hAnsi="Arial" w:cs="Arial"/>
                <w:color w:val="000000"/>
                <w:sz w:val="18"/>
                <w:szCs w:val="18"/>
              </w:rPr>
              <w:t>92 </w:t>
            </w:r>
          </w:p>
        </w:tc>
        <w:tc>
          <w:tcPr>
            <w:tcW w:w="0" w:type="auto"/>
            <w:shd w:val="clear" w:color="auto" w:fill="DDDDDD"/>
            <w:tcMar>
              <w:top w:w="40" w:type="dxa"/>
              <w:left w:w="0" w:type="dxa"/>
              <w:bottom w:w="40" w:type="dxa"/>
              <w:right w:w="20" w:type="dxa"/>
            </w:tcMar>
            <w:vAlign w:val="bottom"/>
          </w:tcPr>
          <w:p w14:paraId="7268DF9D" w14:textId="77777777" w:rsidR="005F762A" w:rsidRDefault="005F762A">
            <w:pPr>
              <w:jc w:val="right"/>
              <w:rPr>
                <w:rFonts w:ascii="宋体"/>
              </w:rPr>
            </w:pPr>
          </w:p>
        </w:tc>
      </w:tr>
      <w:tr w:rsidR="005F762A" w14:paraId="7268DFA3" w14:textId="77777777">
        <w:trPr>
          <w:jc w:val="center"/>
          <w:hidden/>
        </w:trPr>
        <w:tc>
          <w:tcPr>
            <w:tcW w:w="0" w:type="auto"/>
            <w:gridSpan w:val="3"/>
            <w:shd w:val="clear" w:color="auto" w:fill="auto"/>
          </w:tcPr>
          <w:p w14:paraId="7268DF9F" w14:textId="77777777" w:rsidR="005F762A" w:rsidRDefault="005F762A">
            <w:pPr>
              <w:rPr>
                <w:rFonts w:ascii="宋体"/>
                <w:vanish/>
              </w:rPr>
            </w:pPr>
          </w:p>
        </w:tc>
        <w:tc>
          <w:tcPr>
            <w:tcW w:w="0" w:type="auto"/>
            <w:gridSpan w:val="3"/>
            <w:shd w:val="clear" w:color="auto" w:fill="auto"/>
          </w:tcPr>
          <w:p w14:paraId="7268DFA0" w14:textId="77777777" w:rsidR="005F762A" w:rsidRDefault="005F762A">
            <w:pPr>
              <w:rPr>
                <w:rFonts w:ascii="宋体"/>
                <w:vanish/>
              </w:rPr>
            </w:pPr>
          </w:p>
        </w:tc>
        <w:tc>
          <w:tcPr>
            <w:tcW w:w="0" w:type="auto"/>
            <w:gridSpan w:val="3"/>
            <w:shd w:val="clear" w:color="auto" w:fill="auto"/>
          </w:tcPr>
          <w:p w14:paraId="7268DFA1" w14:textId="77777777" w:rsidR="005F762A" w:rsidRDefault="005F762A">
            <w:pPr>
              <w:rPr>
                <w:rFonts w:ascii="宋体"/>
                <w:vanish/>
              </w:rPr>
            </w:pPr>
          </w:p>
        </w:tc>
        <w:tc>
          <w:tcPr>
            <w:tcW w:w="0" w:type="auto"/>
            <w:gridSpan w:val="3"/>
            <w:shd w:val="clear" w:color="auto" w:fill="auto"/>
          </w:tcPr>
          <w:p w14:paraId="7268DFA2" w14:textId="77777777" w:rsidR="005F762A" w:rsidRDefault="005F762A">
            <w:pPr>
              <w:rPr>
                <w:rFonts w:ascii="宋体"/>
                <w:vanish/>
              </w:rPr>
            </w:pPr>
          </w:p>
        </w:tc>
      </w:tr>
      <w:tr w:rsidR="005F762A" w14:paraId="7268DFA8" w14:textId="77777777">
        <w:trPr>
          <w:jc w:val="center"/>
          <w:hidden/>
        </w:trPr>
        <w:tc>
          <w:tcPr>
            <w:tcW w:w="0" w:type="auto"/>
            <w:gridSpan w:val="3"/>
            <w:shd w:val="clear" w:color="auto" w:fill="auto"/>
          </w:tcPr>
          <w:p w14:paraId="7268DFA4" w14:textId="77777777" w:rsidR="005F762A" w:rsidRDefault="005F762A">
            <w:pPr>
              <w:rPr>
                <w:rFonts w:ascii="宋体"/>
                <w:vanish/>
              </w:rPr>
            </w:pPr>
          </w:p>
        </w:tc>
        <w:tc>
          <w:tcPr>
            <w:tcW w:w="0" w:type="auto"/>
            <w:gridSpan w:val="3"/>
            <w:shd w:val="clear" w:color="auto" w:fill="auto"/>
          </w:tcPr>
          <w:p w14:paraId="7268DFA5" w14:textId="77777777" w:rsidR="005F762A" w:rsidRDefault="005F762A">
            <w:pPr>
              <w:rPr>
                <w:rFonts w:ascii="宋体"/>
                <w:vanish/>
              </w:rPr>
            </w:pPr>
          </w:p>
        </w:tc>
        <w:tc>
          <w:tcPr>
            <w:tcW w:w="0" w:type="auto"/>
            <w:gridSpan w:val="3"/>
            <w:shd w:val="clear" w:color="auto" w:fill="auto"/>
          </w:tcPr>
          <w:p w14:paraId="7268DFA6" w14:textId="77777777" w:rsidR="005F762A" w:rsidRDefault="005F762A">
            <w:pPr>
              <w:rPr>
                <w:rFonts w:ascii="宋体"/>
                <w:vanish/>
              </w:rPr>
            </w:pPr>
          </w:p>
        </w:tc>
        <w:tc>
          <w:tcPr>
            <w:tcW w:w="0" w:type="auto"/>
            <w:gridSpan w:val="3"/>
            <w:shd w:val="clear" w:color="auto" w:fill="auto"/>
          </w:tcPr>
          <w:p w14:paraId="7268DFA7" w14:textId="77777777" w:rsidR="005F762A" w:rsidRDefault="005F762A">
            <w:pPr>
              <w:rPr>
                <w:rFonts w:ascii="宋体"/>
                <w:vanish/>
              </w:rPr>
            </w:pPr>
          </w:p>
        </w:tc>
      </w:tr>
      <w:tr w:rsidR="005F762A" w14:paraId="7268DFAF" w14:textId="77777777">
        <w:trPr>
          <w:jc w:val="center"/>
        </w:trPr>
        <w:tc>
          <w:tcPr>
            <w:tcW w:w="0" w:type="auto"/>
            <w:gridSpan w:val="3"/>
            <w:shd w:val="clear" w:color="auto" w:fill="FFFFFF"/>
            <w:tcMar>
              <w:top w:w="40" w:type="dxa"/>
              <w:left w:w="515" w:type="dxa"/>
              <w:bottom w:w="40" w:type="dxa"/>
              <w:right w:w="20" w:type="dxa"/>
            </w:tcMar>
            <w:vAlign w:val="bottom"/>
          </w:tcPr>
          <w:p w14:paraId="7268DFA9" w14:textId="77777777" w:rsidR="005F762A" w:rsidRDefault="00D74111">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7268DFAA"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7268DFA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A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AD" w14:textId="77777777" w:rsidR="005F762A" w:rsidRDefault="00D74111">
            <w:pPr>
              <w:jc w:val="right"/>
              <w:textAlignment w:val="bottom"/>
            </w:pPr>
            <w:r>
              <w:rPr>
                <w:rFonts w:ascii="Arial" w:eastAsia="宋体" w:hAnsi="Arial" w:cs="Arial"/>
                <w:color w:val="000000"/>
                <w:sz w:val="18"/>
                <w:szCs w:val="18"/>
              </w:rPr>
              <w:t>(38)</w:t>
            </w:r>
          </w:p>
        </w:tc>
        <w:tc>
          <w:tcPr>
            <w:tcW w:w="0" w:type="auto"/>
            <w:shd w:val="clear" w:color="auto" w:fill="FFFFFF"/>
            <w:tcMar>
              <w:top w:w="40" w:type="dxa"/>
              <w:left w:w="0" w:type="dxa"/>
              <w:bottom w:w="40" w:type="dxa"/>
              <w:right w:w="20" w:type="dxa"/>
            </w:tcMar>
            <w:vAlign w:val="bottom"/>
          </w:tcPr>
          <w:p w14:paraId="7268DFAE" w14:textId="77777777" w:rsidR="005F762A" w:rsidRDefault="005F762A">
            <w:pPr>
              <w:jc w:val="right"/>
              <w:rPr>
                <w:rFonts w:ascii="宋体"/>
              </w:rPr>
            </w:pPr>
          </w:p>
        </w:tc>
      </w:tr>
      <w:tr w:rsidR="005F762A" w14:paraId="7268DFB6" w14:textId="77777777">
        <w:trPr>
          <w:jc w:val="center"/>
        </w:trPr>
        <w:tc>
          <w:tcPr>
            <w:tcW w:w="0" w:type="auto"/>
            <w:gridSpan w:val="3"/>
            <w:shd w:val="clear" w:color="auto" w:fill="DDDDDD"/>
            <w:tcMar>
              <w:top w:w="40" w:type="dxa"/>
              <w:left w:w="515" w:type="dxa"/>
              <w:bottom w:w="40" w:type="dxa"/>
              <w:right w:w="20" w:type="dxa"/>
            </w:tcMar>
            <w:vAlign w:val="bottom"/>
          </w:tcPr>
          <w:p w14:paraId="7268DFB0" w14:textId="77777777" w:rsidR="005F762A" w:rsidRDefault="00D74111">
            <w:pPr>
              <w:textAlignment w:val="bottom"/>
            </w:pPr>
            <w:r>
              <w:rPr>
                <w:rFonts w:ascii="Arial" w:eastAsia="宋体" w:hAnsi="Arial" w:cs="Arial"/>
                <w:color w:val="000000"/>
                <w:sz w:val="18"/>
                <w:szCs w:val="18"/>
              </w:rPr>
              <w:t>Deferred income taxes</w:t>
            </w:r>
          </w:p>
        </w:tc>
        <w:tc>
          <w:tcPr>
            <w:tcW w:w="0" w:type="auto"/>
            <w:gridSpan w:val="2"/>
            <w:shd w:val="clear" w:color="auto" w:fill="DDDDDD"/>
            <w:tcMar>
              <w:top w:w="40" w:type="dxa"/>
              <w:left w:w="20" w:type="dxa"/>
              <w:bottom w:w="40" w:type="dxa"/>
              <w:right w:w="0" w:type="dxa"/>
            </w:tcMar>
            <w:vAlign w:val="bottom"/>
          </w:tcPr>
          <w:p w14:paraId="7268DFB1" w14:textId="77777777" w:rsidR="005F762A" w:rsidRDefault="00D74111">
            <w:pPr>
              <w:jc w:val="right"/>
              <w:textAlignment w:val="bottom"/>
            </w:pPr>
            <w:r>
              <w:rPr>
                <w:rFonts w:ascii="Arial" w:eastAsia="宋体" w:hAnsi="Arial" w:cs="Arial"/>
                <w:color w:val="000000"/>
                <w:sz w:val="18"/>
                <w:szCs w:val="18"/>
              </w:rPr>
              <w:t>95 </w:t>
            </w:r>
          </w:p>
        </w:tc>
        <w:tc>
          <w:tcPr>
            <w:tcW w:w="0" w:type="auto"/>
            <w:shd w:val="clear" w:color="auto" w:fill="DDDDDD"/>
            <w:tcMar>
              <w:top w:w="40" w:type="dxa"/>
              <w:left w:w="0" w:type="dxa"/>
              <w:bottom w:w="40" w:type="dxa"/>
              <w:right w:w="20" w:type="dxa"/>
            </w:tcMar>
            <w:vAlign w:val="bottom"/>
          </w:tcPr>
          <w:p w14:paraId="7268DFB2"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B3"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B4" w14:textId="77777777" w:rsidR="005F762A" w:rsidRDefault="00D74111">
            <w:pPr>
              <w:jc w:val="right"/>
              <w:textAlignment w:val="bottom"/>
            </w:pPr>
            <w:r>
              <w:rPr>
                <w:rFonts w:ascii="Arial" w:eastAsia="宋体" w:hAnsi="Arial" w:cs="Arial"/>
                <w:color w:val="000000"/>
                <w:sz w:val="18"/>
                <w:szCs w:val="18"/>
              </w:rPr>
              <w:t>49 </w:t>
            </w:r>
          </w:p>
        </w:tc>
        <w:tc>
          <w:tcPr>
            <w:tcW w:w="0" w:type="auto"/>
            <w:shd w:val="clear" w:color="auto" w:fill="DDDDDD"/>
            <w:tcMar>
              <w:top w:w="40" w:type="dxa"/>
              <w:left w:w="0" w:type="dxa"/>
              <w:bottom w:w="40" w:type="dxa"/>
              <w:right w:w="20" w:type="dxa"/>
            </w:tcMar>
            <w:vAlign w:val="bottom"/>
          </w:tcPr>
          <w:p w14:paraId="7268DFB5" w14:textId="77777777" w:rsidR="005F762A" w:rsidRDefault="005F762A">
            <w:pPr>
              <w:jc w:val="right"/>
              <w:rPr>
                <w:rFonts w:ascii="宋体"/>
              </w:rPr>
            </w:pPr>
          </w:p>
        </w:tc>
      </w:tr>
      <w:tr w:rsidR="005F762A" w14:paraId="7268DFBD" w14:textId="77777777">
        <w:trPr>
          <w:jc w:val="center"/>
        </w:trPr>
        <w:tc>
          <w:tcPr>
            <w:tcW w:w="0" w:type="auto"/>
            <w:gridSpan w:val="3"/>
            <w:shd w:val="clear" w:color="auto" w:fill="FFFFFF"/>
            <w:tcMar>
              <w:top w:w="40" w:type="dxa"/>
              <w:left w:w="515" w:type="dxa"/>
              <w:bottom w:w="40" w:type="dxa"/>
              <w:right w:w="20" w:type="dxa"/>
            </w:tcMar>
            <w:vAlign w:val="bottom"/>
          </w:tcPr>
          <w:p w14:paraId="7268DFB7" w14:textId="77777777" w:rsidR="005F762A" w:rsidRDefault="00D74111">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7268DFB8" w14:textId="77777777" w:rsidR="005F762A" w:rsidRDefault="00D74111">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7268DFB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B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BB" w14:textId="77777777" w:rsidR="005F762A" w:rsidRDefault="00D74111">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7268DFBC" w14:textId="77777777" w:rsidR="005F762A" w:rsidRDefault="005F762A">
            <w:pPr>
              <w:jc w:val="right"/>
              <w:rPr>
                <w:rFonts w:ascii="宋体"/>
              </w:rPr>
            </w:pPr>
          </w:p>
        </w:tc>
      </w:tr>
      <w:tr w:rsidR="005F762A" w14:paraId="7268DFC4" w14:textId="77777777">
        <w:trPr>
          <w:jc w:val="center"/>
        </w:trPr>
        <w:tc>
          <w:tcPr>
            <w:tcW w:w="0" w:type="auto"/>
            <w:gridSpan w:val="3"/>
            <w:shd w:val="clear" w:color="auto" w:fill="DDDDDD"/>
            <w:tcMar>
              <w:top w:w="40" w:type="dxa"/>
              <w:left w:w="515" w:type="dxa"/>
              <w:bottom w:w="40" w:type="dxa"/>
              <w:right w:w="20" w:type="dxa"/>
            </w:tcMar>
            <w:vAlign w:val="bottom"/>
          </w:tcPr>
          <w:p w14:paraId="7268DFBE" w14:textId="77777777" w:rsidR="005F762A" w:rsidRDefault="00D74111">
            <w:pPr>
              <w:textAlignment w:val="bottom"/>
            </w:pPr>
            <w:r>
              <w:rPr>
                <w:rFonts w:ascii="Arial" w:eastAsia="宋体" w:hAnsi="Arial" w:cs="Arial"/>
                <w:color w:val="000000"/>
                <w:sz w:val="18"/>
                <w:szCs w:val="18"/>
              </w:rPr>
              <w:t>(Gain) loss on extinguishment of debt</w:t>
            </w:r>
          </w:p>
        </w:tc>
        <w:tc>
          <w:tcPr>
            <w:tcW w:w="0" w:type="auto"/>
            <w:gridSpan w:val="2"/>
            <w:shd w:val="clear" w:color="auto" w:fill="DDDDDD"/>
            <w:tcMar>
              <w:top w:w="40" w:type="dxa"/>
              <w:left w:w="20" w:type="dxa"/>
              <w:bottom w:w="40" w:type="dxa"/>
              <w:right w:w="0" w:type="dxa"/>
            </w:tcMar>
            <w:vAlign w:val="bottom"/>
          </w:tcPr>
          <w:p w14:paraId="7268DFBF" w14:textId="77777777" w:rsidR="005F762A" w:rsidRDefault="00D74111">
            <w:pPr>
              <w:jc w:val="right"/>
              <w:textAlignment w:val="bottom"/>
            </w:pPr>
            <w:r>
              <w:rPr>
                <w:rFonts w:ascii="Arial" w:eastAsia="宋体" w:hAnsi="Arial" w:cs="Arial"/>
                <w:color w:val="000000"/>
                <w:sz w:val="18"/>
                <w:szCs w:val="18"/>
              </w:rPr>
              <w:t>10 </w:t>
            </w:r>
          </w:p>
        </w:tc>
        <w:tc>
          <w:tcPr>
            <w:tcW w:w="0" w:type="auto"/>
            <w:shd w:val="clear" w:color="auto" w:fill="DDDDDD"/>
            <w:tcMar>
              <w:top w:w="40" w:type="dxa"/>
              <w:left w:w="0" w:type="dxa"/>
              <w:bottom w:w="40" w:type="dxa"/>
              <w:right w:w="20" w:type="dxa"/>
            </w:tcMar>
            <w:vAlign w:val="bottom"/>
          </w:tcPr>
          <w:p w14:paraId="7268DFC0"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C1"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C2"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7268DFC3" w14:textId="77777777" w:rsidR="005F762A" w:rsidRDefault="005F762A">
            <w:pPr>
              <w:jc w:val="right"/>
              <w:rPr>
                <w:rFonts w:ascii="宋体"/>
              </w:rPr>
            </w:pPr>
          </w:p>
        </w:tc>
      </w:tr>
      <w:tr w:rsidR="005F762A" w14:paraId="7268DFC9" w14:textId="77777777">
        <w:trPr>
          <w:jc w:val="center"/>
          <w:hidden/>
        </w:trPr>
        <w:tc>
          <w:tcPr>
            <w:tcW w:w="0" w:type="auto"/>
            <w:gridSpan w:val="3"/>
            <w:shd w:val="clear" w:color="auto" w:fill="auto"/>
          </w:tcPr>
          <w:p w14:paraId="7268DFC5" w14:textId="77777777" w:rsidR="005F762A" w:rsidRDefault="005F762A">
            <w:pPr>
              <w:rPr>
                <w:rFonts w:ascii="宋体"/>
                <w:vanish/>
              </w:rPr>
            </w:pPr>
          </w:p>
        </w:tc>
        <w:tc>
          <w:tcPr>
            <w:tcW w:w="0" w:type="auto"/>
            <w:gridSpan w:val="3"/>
            <w:shd w:val="clear" w:color="auto" w:fill="auto"/>
          </w:tcPr>
          <w:p w14:paraId="7268DFC6" w14:textId="77777777" w:rsidR="005F762A" w:rsidRDefault="005F762A">
            <w:pPr>
              <w:rPr>
                <w:rFonts w:ascii="宋体"/>
                <w:vanish/>
              </w:rPr>
            </w:pPr>
          </w:p>
        </w:tc>
        <w:tc>
          <w:tcPr>
            <w:tcW w:w="0" w:type="auto"/>
            <w:gridSpan w:val="3"/>
            <w:shd w:val="clear" w:color="auto" w:fill="auto"/>
          </w:tcPr>
          <w:p w14:paraId="7268DFC7" w14:textId="77777777" w:rsidR="005F762A" w:rsidRDefault="005F762A">
            <w:pPr>
              <w:rPr>
                <w:rFonts w:ascii="宋体"/>
                <w:vanish/>
              </w:rPr>
            </w:pPr>
          </w:p>
        </w:tc>
        <w:tc>
          <w:tcPr>
            <w:tcW w:w="0" w:type="auto"/>
            <w:gridSpan w:val="3"/>
            <w:shd w:val="clear" w:color="auto" w:fill="auto"/>
          </w:tcPr>
          <w:p w14:paraId="7268DFC8" w14:textId="77777777" w:rsidR="005F762A" w:rsidRDefault="005F762A">
            <w:pPr>
              <w:rPr>
                <w:rFonts w:ascii="宋体"/>
                <w:vanish/>
              </w:rPr>
            </w:pPr>
          </w:p>
        </w:tc>
      </w:tr>
      <w:tr w:rsidR="005F762A" w14:paraId="7268DFD0" w14:textId="77777777">
        <w:trPr>
          <w:jc w:val="center"/>
        </w:trPr>
        <w:tc>
          <w:tcPr>
            <w:tcW w:w="0" w:type="auto"/>
            <w:gridSpan w:val="3"/>
            <w:shd w:val="clear" w:color="auto" w:fill="FFFFFF"/>
            <w:tcMar>
              <w:top w:w="40" w:type="dxa"/>
              <w:left w:w="515" w:type="dxa"/>
              <w:bottom w:w="40" w:type="dxa"/>
              <w:right w:w="20" w:type="dxa"/>
            </w:tcMar>
            <w:vAlign w:val="bottom"/>
          </w:tcPr>
          <w:p w14:paraId="7268DFCA" w14:textId="77777777" w:rsidR="005F762A" w:rsidRDefault="00D74111">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FFFFFF"/>
            <w:tcMar>
              <w:top w:w="40" w:type="dxa"/>
              <w:left w:w="20" w:type="dxa"/>
              <w:bottom w:w="40" w:type="dxa"/>
              <w:right w:w="0" w:type="dxa"/>
            </w:tcMar>
            <w:vAlign w:val="bottom"/>
          </w:tcPr>
          <w:p w14:paraId="7268DFCB" w14:textId="77777777" w:rsidR="005F762A" w:rsidRDefault="00D74111">
            <w:pPr>
              <w:jc w:val="right"/>
              <w:textAlignment w:val="bottom"/>
            </w:pPr>
            <w:r>
              <w:rPr>
                <w:rFonts w:ascii="Arial" w:eastAsia="宋体" w:hAnsi="Arial" w:cs="Arial"/>
                <w:color w:val="000000"/>
                <w:sz w:val="18"/>
                <w:szCs w:val="18"/>
              </w:rPr>
              <w:t>(105)</w:t>
            </w:r>
          </w:p>
        </w:tc>
        <w:tc>
          <w:tcPr>
            <w:tcW w:w="0" w:type="auto"/>
            <w:shd w:val="clear" w:color="auto" w:fill="FFFFFF"/>
            <w:tcMar>
              <w:top w:w="40" w:type="dxa"/>
              <w:left w:w="0" w:type="dxa"/>
              <w:bottom w:w="40" w:type="dxa"/>
              <w:right w:w="20" w:type="dxa"/>
            </w:tcMar>
            <w:vAlign w:val="bottom"/>
          </w:tcPr>
          <w:p w14:paraId="7268DFC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C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CE" w14:textId="77777777" w:rsidR="005F762A" w:rsidRDefault="00D74111">
            <w:pPr>
              <w:jc w:val="right"/>
              <w:textAlignment w:val="bottom"/>
            </w:pPr>
            <w:r>
              <w:rPr>
                <w:rFonts w:ascii="Arial" w:eastAsia="宋体" w:hAnsi="Arial" w:cs="Arial"/>
                <w:color w:val="000000"/>
                <w:sz w:val="18"/>
                <w:szCs w:val="18"/>
              </w:rPr>
              <w:t>(145)</w:t>
            </w:r>
          </w:p>
        </w:tc>
        <w:tc>
          <w:tcPr>
            <w:tcW w:w="0" w:type="auto"/>
            <w:shd w:val="clear" w:color="auto" w:fill="FFFFFF"/>
            <w:tcMar>
              <w:top w:w="40" w:type="dxa"/>
              <w:left w:w="0" w:type="dxa"/>
              <w:bottom w:w="40" w:type="dxa"/>
              <w:right w:w="20" w:type="dxa"/>
            </w:tcMar>
            <w:vAlign w:val="bottom"/>
          </w:tcPr>
          <w:p w14:paraId="7268DFCF" w14:textId="77777777" w:rsidR="005F762A" w:rsidRDefault="005F762A">
            <w:pPr>
              <w:jc w:val="right"/>
              <w:rPr>
                <w:rFonts w:ascii="宋体"/>
              </w:rPr>
            </w:pPr>
          </w:p>
        </w:tc>
      </w:tr>
      <w:tr w:rsidR="005F762A" w14:paraId="7268DFD7" w14:textId="77777777">
        <w:trPr>
          <w:jc w:val="center"/>
        </w:trPr>
        <w:tc>
          <w:tcPr>
            <w:tcW w:w="0" w:type="auto"/>
            <w:gridSpan w:val="3"/>
            <w:shd w:val="clear" w:color="auto" w:fill="DDDDDD"/>
            <w:tcMar>
              <w:top w:w="40" w:type="dxa"/>
              <w:left w:w="245" w:type="dxa"/>
              <w:bottom w:w="40" w:type="dxa"/>
              <w:right w:w="20" w:type="dxa"/>
            </w:tcMar>
            <w:vAlign w:val="bottom"/>
          </w:tcPr>
          <w:p w14:paraId="7268DFD1" w14:textId="77777777" w:rsidR="005F762A" w:rsidRDefault="00D74111">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DFD2" w14:textId="77777777" w:rsidR="005F762A" w:rsidRDefault="00D74111">
            <w:pPr>
              <w:jc w:val="right"/>
              <w:textAlignment w:val="bottom"/>
            </w:pPr>
            <w:r>
              <w:rPr>
                <w:rFonts w:ascii="Arial" w:eastAsia="宋体" w:hAnsi="Arial" w:cs="Arial"/>
                <w:color w:val="000000"/>
                <w:sz w:val="18"/>
                <w:szCs w:val="18"/>
              </w:rPr>
              <w:t>938 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DFD3"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D4"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DFD5" w14:textId="77777777" w:rsidR="005F762A" w:rsidRDefault="00D74111">
            <w:pPr>
              <w:jc w:val="right"/>
              <w:textAlignment w:val="bottom"/>
            </w:pPr>
            <w:r>
              <w:rPr>
                <w:rFonts w:ascii="Arial" w:eastAsia="宋体" w:hAnsi="Arial" w:cs="Arial"/>
                <w:color w:val="000000"/>
                <w:sz w:val="18"/>
                <w:szCs w:val="18"/>
              </w:rPr>
              <w:t>614 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DFD6" w14:textId="77777777" w:rsidR="005F762A" w:rsidRDefault="005F762A">
            <w:pPr>
              <w:jc w:val="right"/>
              <w:rPr>
                <w:rFonts w:ascii="宋体"/>
              </w:rPr>
            </w:pPr>
          </w:p>
        </w:tc>
      </w:tr>
      <w:tr w:rsidR="005F762A" w14:paraId="7268DFDE" w14:textId="77777777">
        <w:trPr>
          <w:jc w:val="center"/>
        </w:trPr>
        <w:tc>
          <w:tcPr>
            <w:tcW w:w="0" w:type="auto"/>
            <w:gridSpan w:val="3"/>
            <w:shd w:val="clear" w:color="auto" w:fill="FFFFFF"/>
            <w:tcMar>
              <w:top w:w="40" w:type="dxa"/>
              <w:left w:w="245" w:type="dxa"/>
              <w:bottom w:w="40" w:type="dxa"/>
              <w:right w:w="20" w:type="dxa"/>
            </w:tcMar>
            <w:vAlign w:val="bottom"/>
          </w:tcPr>
          <w:p w14:paraId="7268DFD8" w14:textId="77777777" w:rsidR="005F762A" w:rsidRDefault="00D74111">
            <w:pPr>
              <w:textAlignment w:val="bottom"/>
            </w:pPr>
            <w:r>
              <w:rPr>
                <w:rFonts w:ascii="Arial" w:eastAsia="宋体" w:hAnsi="Arial" w:cs="Arial"/>
                <w:color w:val="000000"/>
                <w:sz w:val="18"/>
                <w:szCs w:val="18"/>
              </w:rPr>
              <w:t>Net cash provided by (used in) discontinued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FD9" w14:textId="77777777" w:rsidR="005F762A" w:rsidRDefault="00D74111">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FD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DB"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DFDC" w14:textId="77777777" w:rsidR="005F762A" w:rsidRDefault="00D74111">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DFDD" w14:textId="77777777" w:rsidR="005F762A" w:rsidRDefault="005F762A">
            <w:pPr>
              <w:jc w:val="right"/>
              <w:rPr>
                <w:rFonts w:ascii="宋体"/>
              </w:rPr>
            </w:pPr>
          </w:p>
        </w:tc>
      </w:tr>
      <w:tr w:rsidR="005F762A" w14:paraId="7268DFE5" w14:textId="77777777">
        <w:trPr>
          <w:jc w:val="center"/>
        </w:trPr>
        <w:tc>
          <w:tcPr>
            <w:tcW w:w="0" w:type="auto"/>
            <w:gridSpan w:val="3"/>
            <w:shd w:val="clear" w:color="auto" w:fill="DDDDDD"/>
            <w:tcMar>
              <w:top w:w="40" w:type="dxa"/>
              <w:left w:w="740" w:type="dxa"/>
              <w:bottom w:w="40" w:type="dxa"/>
              <w:right w:w="20" w:type="dxa"/>
            </w:tcMar>
            <w:vAlign w:val="bottom"/>
          </w:tcPr>
          <w:p w14:paraId="7268DFDF" w14:textId="77777777" w:rsidR="005F762A" w:rsidRDefault="00D74111">
            <w:pPr>
              <w:textAlignment w:val="bottom"/>
            </w:pPr>
            <w:r>
              <w:rPr>
                <w:rFonts w:ascii="Arial" w:eastAsia="宋体" w:hAnsi="Arial" w:cs="Arial"/>
                <w:color w:val="000000"/>
                <w:sz w:val="18"/>
                <w:szCs w:val="18"/>
              </w:rPr>
              <w:t xml:space="preserve">Net cash provided by </w:t>
            </w:r>
            <w:r>
              <w:rPr>
                <w:rFonts w:ascii="Arial" w:eastAsia="宋体" w:hAnsi="Arial" w:cs="Arial"/>
                <w:color w:val="000000"/>
                <w:sz w:val="18"/>
                <w:szCs w:val="18"/>
              </w:rPr>
              <w:t>operating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DFE0" w14:textId="77777777" w:rsidR="005F762A" w:rsidRDefault="00D74111">
            <w:pPr>
              <w:jc w:val="right"/>
              <w:textAlignment w:val="bottom"/>
            </w:pPr>
            <w:r>
              <w:rPr>
                <w:rFonts w:ascii="Arial" w:eastAsia="宋体" w:hAnsi="Arial" w:cs="Arial"/>
                <w:color w:val="000000"/>
                <w:sz w:val="18"/>
                <w:szCs w:val="18"/>
              </w:rPr>
              <w:t>1,042 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DFE1"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E2"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DFE3" w14:textId="77777777" w:rsidR="005F762A" w:rsidRDefault="00D74111">
            <w:pPr>
              <w:jc w:val="right"/>
              <w:textAlignment w:val="bottom"/>
            </w:pPr>
            <w:r>
              <w:rPr>
                <w:rFonts w:ascii="Arial" w:eastAsia="宋体" w:hAnsi="Arial" w:cs="Arial"/>
                <w:color w:val="000000"/>
                <w:sz w:val="18"/>
                <w:szCs w:val="18"/>
              </w:rPr>
              <w:t>592 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DFE4" w14:textId="77777777" w:rsidR="005F762A" w:rsidRDefault="005F762A">
            <w:pPr>
              <w:jc w:val="right"/>
              <w:rPr>
                <w:rFonts w:ascii="宋体"/>
              </w:rPr>
            </w:pPr>
          </w:p>
        </w:tc>
      </w:tr>
      <w:tr w:rsidR="005F762A" w14:paraId="7268DFEA" w14:textId="77777777">
        <w:trPr>
          <w:jc w:val="center"/>
        </w:trPr>
        <w:tc>
          <w:tcPr>
            <w:tcW w:w="0" w:type="auto"/>
            <w:gridSpan w:val="3"/>
            <w:shd w:val="clear" w:color="auto" w:fill="FFFFFF"/>
            <w:tcMar>
              <w:top w:w="40" w:type="dxa"/>
              <w:left w:w="20" w:type="dxa"/>
              <w:bottom w:w="40" w:type="dxa"/>
              <w:right w:w="20" w:type="dxa"/>
            </w:tcMar>
            <w:vAlign w:val="bottom"/>
          </w:tcPr>
          <w:p w14:paraId="7268DFE6" w14:textId="77777777" w:rsidR="005F762A" w:rsidRDefault="00D74111">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DFE7" w14:textId="77777777" w:rsidR="005F762A" w:rsidRDefault="00D74111">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tcPr>
          <w:p w14:paraId="7268DFE8" w14:textId="77777777" w:rsidR="005F762A" w:rsidRDefault="005F762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DFE9" w14:textId="77777777" w:rsidR="005F762A" w:rsidRDefault="00D74111">
            <w:pPr>
              <w:jc w:val="right"/>
              <w:textAlignment w:val="bottom"/>
            </w:pPr>
            <w:r>
              <w:rPr>
                <w:rFonts w:ascii="Arial" w:eastAsia="宋体" w:hAnsi="Arial" w:cs="Arial"/>
                <w:color w:val="000000"/>
                <w:sz w:val="18"/>
                <w:szCs w:val="18"/>
              </w:rPr>
              <w:t> </w:t>
            </w:r>
          </w:p>
        </w:tc>
      </w:tr>
      <w:tr w:rsidR="005F762A" w14:paraId="7268DFF1" w14:textId="77777777">
        <w:trPr>
          <w:jc w:val="center"/>
        </w:trPr>
        <w:tc>
          <w:tcPr>
            <w:tcW w:w="0" w:type="auto"/>
            <w:gridSpan w:val="3"/>
            <w:shd w:val="clear" w:color="auto" w:fill="DDDDDD"/>
            <w:tcMar>
              <w:top w:w="40" w:type="dxa"/>
              <w:left w:w="245" w:type="dxa"/>
              <w:bottom w:w="40" w:type="dxa"/>
              <w:right w:w="20" w:type="dxa"/>
            </w:tcMar>
            <w:vAlign w:val="bottom"/>
          </w:tcPr>
          <w:p w14:paraId="7268DFEB" w14:textId="77777777" w:rsidR="005F762A" w:rsidRDefault="00D74111">
            <w:pPr>
              <w:textAlignment w:val="bottom"/>
            </w:pPr>
            <w:r>
              <w:rPr>
                <w:rFonts w:ascii="Arial" w:eastAsia="宋体" w:hAnsi="Arial" w:cs="Arial"/>
                <w:color w:val="000000"/>
                <w:sz w:val="18"/>
                <w:szCs w:val="18"/>
              </w:rPr>
              <w:t>Purchases of property and equipment</w:t>
            </w:r>
          </w:p>
        </w:tc>
        <w:tc>
          <w:tcPr>
            <w:tcW w:w="0" w:type="auto"/>
            <w:gridSpan w:val="2"/>
            <w:shd w:val="clear" w:color="auto" w:fill="DDDDDD"/>
            <w:tcMar>
              <w:top w:w="40" w:type="dxa"/>
              <w:left w:w="20" w:type="dxa"/>
              <w:bottom w:w="40" w:type="dxa"/>
              <w:right w:w="0" w:type="dxa"/>
            </w:tcMar>
            <w:vAlign w:val="bottom"/>
          </w:tcPr>
          <w:p w14:paraId="7268DFEC" w14:textId="77777777" w:rsidR="005F762A" w:rsidRDefault="00D74111">
            <w:pPr>
              <w:jc w:val="right"/>
              <w:textAlignment w:val="bottom"/>
            </w:pPr>
            <w:r>
              <w:rPr>
                <w:rFonts w:ascii="Arial" w:eastAsia="宋体" w:hAnsi="Arial" w:cs="Arial"/>
                <w:color w:val="000000"/>
                <w:sz w:val="18"/>
                <w:szCs w:val="18"/>
              </w:rPr>
              <w:t>(83)</w:t>
            </w:r>
          </w:p>
        </w:tc>
        <w:tc>
          <w:tcPr>
            <w:tcW w:w="0" w:type="auto"/>
            <w:shd w:val="clear" w:color="auto" w:fill="DDDDDD"/>
            <w:tcMar>
              <w:top w:w="40" w:type="dxa"/>
              <w:left w:w="0" w:type="dxa"/>
              <w:bottom w:w="40" w:type="dxa"/>
              <w:right w:w="20" w:type="dxa"/>
            </w:tcMar>
            <w:vAlign w:val="bottom"/>
          </w:tcPr>
          <w:p w14:paraId="7268DFED"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EE"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EF" w14:textId="77777777" w:rsidR="005F762A" w:rsidRDefault="00D74111">
            <w:pPr>
              <w:jc w:val="right"/>
              <w:textAlignment w:val="bottom"/>
            </w:pPr>
            <w:r>
              <w:rPr>
                <w:rFonts w:ascii="Arial" w:eastAsia="宋体" w:hAnsi="Arial" w:cs="Arial"/>
                <w:color w:val="000000"/>
                <w:sz w:val="18"/>
                <w:szCs w:val="18"/>
              </w:rPr>
              <w:t>(97)</w:t>
            </w:r>
          </w:p>
        </w:tc>
        <w:tc>
          <w:tcPr>
            <w:tcW w:w="0" w:type="auto"/>
            <w:shd w:val="clear" w:color="auto" w:fill="DDDDDD"/>
            <w:tcMar>
              <w:top w:w="40" w:type="dxa"/>
              <w:left w:w="0" w:type="dxa"/>
              <w:bottom w:w="40" w:type="dxa"/>
              <w:right w:w="20" w:type="dxa"/>
            </w:tcMar>
            <w:vAlign w:val="bottom"/>
          </w:tcPr>
          <w:p w14:paraId="7268DFF0" w14:textId="77777777" w:rsidR="005F762A" w:rsidRDefault="005F762A">
            <w:pPr>
              <w:jc w:val="right"/>
              <w:rPr>
                <w:rFonts w:ascii="宋体"/>
              </w:rPr>
            </w:pPr>
          </w:p>
        </w:tc>
      </w:tr>
      <w:tr w:rsidR="005F762A" w14:paraId="7268DFF8" w14:textId="77777777">
        <w:trPr>
          <w:jc w:val="center"/>
        </w:trPr>
        <w:tc>
          <w:tcPr>
            <w:tcW w:w="0" w:type="auto"/>
            <w:gridSpan w:val="3"/>
            <w:shd w:val="clear" w:color="auto" w:fill="FFFFFF"/>
            <w:tcMar>
              <w:top w:w="40" w:type="dxa"/>
              <w:left w:w="245" w:type="dxa"/>
              <w:bottom w:w="40" w:type="dxa"/>
              <w:right w:w="20" w:type="dxa"/>
            </w:tcMar>
            <w:vAlign w:val="bottom"/>
          </w:tcPr>
          <w:p w14:paraId="7268DFF2" w14:textId="77777777" w:rsidR="005F762A" w:rsidRDefault="00D74111">
            <w:pPr>
              <w:textAlignment w:val="bottom"/>
            </w:pPr>
            <w:r>
              <w:rPr>
                <w:rFonts w:ascii="Arial" w:eastAsia="宋体" w:hAnsi="Arial" w:cs="Arial"/>
                <w:color w:val="000000"/>
                <w:sz w:val="18"/>
                <w:szCs w:val="18"/>
              </w:rPr>
              <w:t>Purchases of investments</w:t>
            </w:r>
          </w:p>
        </w:tc>
        <w:tc>
          <w:tcPr>
            <w:tcW w:w="0" w:type="auto"/>
            <w:gridSpan w:val="2"/>
            <w:shd w:val="clear" w:color="auto" w:fill="FFFFFF"/>
            <w:tcMar>
              <w:top w:w="40" w:type="dxa"/>
              <w:left w:w="20" w:type="dxa"/>
              <w:bottom w:w="40" w:type="dxa"/>
              <w:right w:w="0" w:type="dxa"/>
            </w:tcMar>
            <w:vAlign w:val="bottom"/>
          </w:tcPr>
          <w:p w14:paraId="7268DFF3" w14:textId="77777777" w:rsidR="005F762A" w:rsidRDefault="00D74111">
            <w:pPr>
              <w:jc w:val="right"/>
              <w:textAlignment w:val="bottom"/>
            </w:pPr>
            <w:r>
              <w:rPr>
                <w:rFonts w:ascii="Arial" w:eastAsia="宋体" w:hAnsi="Arial" w:cs="Arial"/>
                <w:color w:val="000000"/>
                <w:sz w:val="18"/>
                <w:szCs w:val="18"/>
              </w:rPr>
              <w:t>(3,424)</w:t>
            </w:r>
          </w:p>
        </w:tc>
        <w:tc>
          <w:tcPr>
            <w:tcW w:w="0" w:type="auto"/>
            <w:shd w:val="clear" w:color="auto" w:fill="FFFFFF"/>
            <w:tcMar>
              <w:top w:w="40" w:type="dxa"/>
              <w:left w:w="0" w:type="dxa"/>
              <w:bottom w:w="40" w:type="dxa"/>
              <w:right w:w="20" w:type="dxa"/>
            </w:tcMar>
            <w:vAlign w:val="bottom"/>
          </w:tcPr>
          <w:p w14:paraId="7268DFF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DFF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DFF6" w14:textId="77777777" w:rsidR="005F762A" w:rsidRDefault="00D74111">
            <w:pPr>
              <w:jc w:val="right"/>
              <w:textAlignment w:val="bottom"/>
            </w:pPr>
            <w:r>
              <w:rPr>
                <w:rFonts w:ascii="Arial" w:eastAsia="宋体" w:hAnsi="Arial" w:cs="Arial"/>
                <w:color w:val="000000"/>
                <w:sz w:val="18"/>
                <w:szCs w:val="18"/>
              </w:rPr>
              <w:t>(10,705)</w:t>
            </w:r>
          </w:p>
        </w:tc>
        <w:tc>
          <w:tcPr>
            <w:tcW w:w="0" w:type="auto"/>
            <w:shd w:val="clear" w:color="auto" w:fill="FFFFFF"/>
            <w:tcMar>
              <w:top w:w="40" w:type="dxa"/>
              <w:left w:w="0" w:type="dxa"/>
              <w:bottom w:w="40" w:type="dxa"/>
              <w:right w:w="20" w:type="dxa"/>
            </w:tcMar>
            <w:vAlign w:val="bottom"/>
          </w:tcPr>
          <w:p w14:paraId="7268DFF7" w14:textId="77777777" w:rsidR="005F762A" w:rsidRDefault="005F762A">
            <w:pPr>
              <w:jc w:val="right"/>
              <w:rPr>
                <w:rFonts w:ascii="宋体"/>
              </w:rPr>
            </w:pPr>
          </w:p>
        </w:tc>
      </w:tr>
      <w:tr w:rsidR="005F762A" w14:paraId="7268DFFF" w14:textId="77777777">
        <w:trPr>
          <w:jc w:val="center"/>
        </w:trPr>
        <w:tc>
          <w:tcPr>
            <w:tcW w:w="0" w:type="auto"/>
            <w:gridSpan w:val="3"/>
            <w:shd w:val="clear" w:color="auto" w:fill="DDDDDD"/>
            <w:tcMar>
              <w:top w:w="40" w:type="dxa"/>
              <w:left w:w="245" w:type="dxa"/>
              <w:bottom w:w="40" w:type="dxa"/>
              <w:right w:w="20" w:type="dxa"/>
            </w:tcMar>
            <w:vAlign w:val="bottom"/>
          </w:tcPr>
          <w:p w14:paraId="7268DFF9" w14:textId="77777777" w:rsidR="005F762A" w:rsidRDefault="00D74111">
            <w:pPr>
              <w:textAlignment w:val="bottom"/>
            </w:pPr>
            <w:r>
              <w:rPr>
                <w:rFonts w:ascii="Arial" w:eastAsia="宋体" w:hAnsi="Arial" w:cs="Arial"/>
                <w:color w:val="000000"/>
                <w:sz w:val="18"/>
                <w:szCs w:val="18"/>
              </w:rPr>
              <w:t>Maturities and sales of investments</w:t>
            </w:r>
          </w:p>
        </w:tc>
        <w:tc>
          <w:tcPr>
            <w:tcW w:w="0" w:type="auto"/>
            <w:gridSpan w:val="2"/>
            <w:shd w:val="clear" w:color="auto" w:fill="DDDDDD"/>
            <w:tcMar>
              <w:top w:w="40" w:type="dxa"/>
              <w:left w:w="20" w:type="dxa"/>
              <w:bottom w:w="40" w:type="dxa"/>
              <w:right w:w="0" w:type="dxa"/>
            </w:tcMar>
            <w:vAlign w:val="bottom"/>
          </w:tcPr>
          <w:p w14:paraId="7268DFFA" w14:textId="77777777" w:rsidR="005F762A" w:rsidRDefault="00D74111">
            <w:pPr>
              <w:jc w:val="right"/>
              <w:textAlignment w:val="bottom"/>
            </w:pPr>
            <w:r>
              <w:rPr>
                <w:rFonts w:ascii="Arial" w:eastAsia="宋体" w:hAnsi="Arial" w:cs="Arial"/>
                <w:color w:val="000000"/>
                <w:sz w:val="18"/>
                <w:szCs w:val="18"/>
              </w:rPr>
              <w:t>3,772 </w:t>
            </w:r>
          </w:p>
        </w:tc>
        <w:tc>
          <w:tcPr>
            <w:tcW w:w="0" w:type="auto"/>
            <w:shd w:val="clear" w:color="auto" w:fill="DDDDDD"/>
            <w:tcMar>
              <w:top w:w="40" w:type="dxa"/>
              <w:left w:w="0" w:type="dxa"/>
              <w:bottom w:w="40" w:type="dxa"/>
              <w:right w:w="20" w:type="dxa"/>
            </w:tcMar>
            <w:vAlign w:val="bottom"/>
          </w:tcPr>
          <w:p w14:paraId="7268DFFB"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DFFC"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DFFD" w14:textId="77777777" w:rsidR="005F762A" w:rsidRDefault="00D74111">
            <w:pPr>
              <w:jc w:val="right"/>
              <w:textAlignment w:val="bottom"/>
            </w:pPr>
            <w:r>
              <w:rPr>
                <w:rFonts w:ascii="Arial" w:eastAsia="宋体" w:hAnsi="Arial" w:cs="Arial"/>
                <w:color w:val="000000"/>
                <w:sz w:val="18"/>
                <w:szCs w:val="18"/>
              </w:rPr>
              <w:t>9,195 </w:t>
            </w:r>
          </w:p>
        </w:tc>
        <w:tc>
          <w:tcPr>
            <w:tcW w:w="0" w:type="auto"/>
            <w:shd w:val="clear" w:color="auto" w:fill="DDDDDD"/>
            <w:tcMar>
              <w:top w:w="40" w:type="dxa"/>
              <w:left w:w="0" w:type="dxa"/>
              <w:bottom w:w="40" w:type="dxa"/>
              <w:right w:w="20" w:type="dxa"/>
            </w:tcMar>
            <w:vAlign w:val="bottom"/>
          </w:tcPr>
          <w:p w14:paraId="7268DFFE" w14:textId="77777777" w:rsidR="005F762A" w:rsidRDefault="005F762A">
            <w:pPr>
              <w:jc w:val="right"/>
              <w:rPr>
                <w:rFonts w:ascii="宋体"/>
              </w:rPr>
            </w:pPr>
          </w:p>
        </w:tc>
      </w:tr>
      <w:tr w:rsidR="005F762A" w14:paraId="7268E004" w14:textId="77777777">
        <w:trPr>
          <w:jc w:val="center"/>
          <w:hidden/>
        </w:trPr>
        <w:tc>
          <w:tcPr>
            <w:tcW w:w="0" w:type="auto"/>
            <w:gridSpan w:val="3"/>
            <w:shd w:val="clear" w:color="auto" w:fill="auto"/>
          </w:tcPr>
          <w:p w14:paraId="7268E000" w14:textId="77777777" w:rsidR="005F762A" w:rsidRDefault="005F762A">
            <w:pPr>
              <w:rPr>
                <w:rFonts w:ascii="宋体"/>
                <w:vanish/>
              </w:rPr>
            </w:pPr>
          </w:p>
        </w:tc>
        <w:tc>
          <w:tcPr>
            <w:tcW w:w="0" w:type="auto"/>
            <w:gridSpan w:val="3"/>
            <w:shd w:val="clear" w:color="auto" w:fill="auto"/>
          </w:tcPr>
          <w:p w14:paraId="7268E001" w14:textId="77777777" w:rsidR="005F762A" w:rsidRDefault="005F762A">
            <w:pPr>
              <w:rPr>
                <w:rFonts w:ascii="宋体"/>
                <w:vanish/>
              </w:rPr>
            </w:pPr>
          </w:p>
        </w:tc>
        <w:tc>
          <w:tcPr>
            <w:tcW w:w="0" w:type="auto"/>
            <w:gridSpan w:val="3"/>
            <w:shd w:val="clear" w:color="auto" w:fill="auto"/>
          </w:tcPr>
          <w:p w14:paraId="7268E002" w14:textId="77777777" w:rsidR="005F762A" w:rsidRDefault="005F762A">
            <w:pPr>
              <w:rPr>
                <w:rFonts w:ascii="宋体"/>
                <w:vanish/>
              </w:rPr>
            </w:pPr>
          </w:p>
        </w:tc>
        <w:tc>
          <w:tcPr>
            <w:tcW w:w="0" w:type="auto"/>
            <w:gridSpan w:val="3"/>
            <w:shd w:val="clear" w:color="auto" w:fill="auto"/>
          </w:tcPr>
          <w:p w14:paraId="7268E003" w14:textId="77777777" w:rsidR="005F762A" w:rsidRDefault="005F762A">
            <w:pPr>
              <w:rPr>
                <w:rFonts w:ascii="宋体"/>
                <w:vanish/>
              </w:rPr>
            </w:pPr>
          </w:p>
        </w:tc>
      </w:tr>
      <w:tr w:rsidR="005F762A" w14:paraId="7268E009" w14:textId="77777777">
        <w:trPr>
          <w:jc w:val="center"/>
          <w:hidden/>
        </w:trPr>
        <w:tc>
          <w:tcPr>
            <w:tcW w:w="0" w:type="auto"/>
            <w:gridSpan w:val="3"/>
            <w:shd w:val="clear" w:color="auto" w:fill="auto"/>
          </w:tcPr>
          <w:p w14:paraId="7268E005" w14:textId="77777777" w:rsidR="005F762A" w:rsidRDefault="005F762A">
            <w:pPr>
              <w:rPr>
                <w:rFonts w:ascii="宋体"/>
                <w:vanish/>
              </w:rPr>
            </w:pPr>
          </w:p>
        </w:tc>
        <w:tc>
          <w:tcPr>
            <w:tcW w:w="0" w:type="auto"/>
            <w:gridSpan w:val="3"/>
            <w:shd w:val="clear" w:color="auto" w:fill="auto"/>
          </w:tcPr>
          <w:p w14:paraId="7268E006" w14:textId="77777777" w:rsidR="005F762A" w:rsidRDefault="005F762A">
            <w:pPr>
              <w:rPr>
                <w:rFonts w:ascii="宋体"/>
                <w:vanish/>
              </w:rPr>
            </w:pPr>
          </w:p>
        </w:tc>
        <w:tc>
          <w:tcPr>
            <w:tcW w:w="0" w:type="auto"/>
            <w:gridSpan w:val="3"/>
            <w:shd w:val="clear" w:color="auto" w:fill="auto"/>
          </w:tcPr>
          <w:p w14:paraId="7268E007" w14:textId="77777777" w:rsidR="005F762A" w:rsidRDefault="005F762A">
            <w:pPr>
              <w:rPr>
                <w:rFonts w:ascii="宋体"/>
                <w:vanish/>
              </w:rPr>
            </w:pPr>
          </w:p>
        </w:tc>
        <w:tc>
          <w:tcPr>
            <w:tcW w:w="0" w:type="auto"/>
            <w:gridSpan w:val="3"/>
            <w:shd w:val="clear" w:color="auto" w:fill="auto"/>
          </w:tcPr>
          <w:p w14:paraId="7268E008" w14:textId="77777777" w:rsidR="005F762A" w:rsidRDefault="005F762A">
            <w:pPr>
              <w:rPr>
                <w:rFonts w:ascii="宋体"/>
                <w:vanish/>
              </w:rPr>
            </w:pPr>
          </w:p>
        </w:tc>
      </w:tr>
      <w:tr w:rsidR="005F762A" w14:paraId="7268E00E" w14:textId="77777777">
        <w:trPr>
          <w:jc w:val="center"/>
          <w:hidden/>
        </w:trPr>
        <w:tc>
          <w:tcPr>
            <w:tcW w:w="0" w:type="auto"/>
            <w:gridSpan w:val="3"/>
            <w:shd w:val="clear" w:color="auto" w:fill="auto"/>
          </w:tcPr>
          <w:p w14:paraId="7268E00A" w14:textId="77777777" w:rsidR="005F762A" w:rsidRDefault="005F762A">
            <w:pPr>
              <w:rPr>
                <w:rFonts w:ascii="宋体"/>
                <w:vanish/>
              </w:rPr>
            </w:pPr>
          </w:p>
        </w:tc>
        <w:tc>
          <w:tcPr>
            <w:tcW w:w="0" w:type="auto"/>
            <w:gridSpan w:val="3"/>
            <w:shd w:val="clear" w:color="auto" w:fill="auto"/>
          </w:tcPr>
          <w:p w14:paraId="7268E00B" w14:textId="77777777" w:rsidR="005F762A" w:rsidRDefault="005F762A">
            <w:pPr>
              <w:rPr>
                <w:rFonts w:ascii="宋体"/>
                <w:vanish/>
              </w:rPr>
            </w:pPr>
          </w:p>
        </w:tc>
        <w:tc>
          <w:tcPr>
            <w:tcW w:w="0" w:type="auto"/>
            <w:gridSpan w:val="3"/>
            <w:shd w:val="clear" w:color="auto" w:fill="auto"/>
          </w:tcPr>
          <w:p w14:paraId="7268E00C" w14:textId="77777777" w:rsidR="005F762A" w:rsidRDefault="005F762A">
            <w:pPr>
              <w:rPr>
                <w:rFonts w:ascii="宋体"/>
                <w:vanish/>
              </w:rPr>
            </w:pPr>
          </w:p>
        </w:tc>
        <w:tc>
          <w:tcPr>
            <w:tcW w:w="0" w:type="auto"/>
            <w:gridSpan w:val="3"/>
            <w:shd w:val="clear" w:color="auto" w:fill="auto"/>
          </w:tcPr>
          <w:p w14:paraId="7268E00D" w14:textId="77777777" w:rsidR="005F762A" w:rsidRDefault="005F762A">
            <w:pPr>
              <w:rPr>
                <w:rFonts w:ascii="宋体"/>
                <w:vanish/>
              </w:rPr>
            </w:pPr>
          </w:p>
        </w:tc>
      </w:tr>
      <w:tr w:rsidR="005F762A" w14:paraId="7268E013" w14:textId="77777777">
        <w:trPr>
          <w:jc w:val="center"/>
          <w:hidden/>
        </w:trPr>
        <w:tc>
          <w:tcPr>
            <w:tcW w:w="0" w:type="auto"/>
            <w:gridSpan w:val="3"/>
            <w:shd w:val="clear" w:color="auto" w:fill="auto"/>
          </w:tcPr>
          <w:p w14:paraId="7268E00F" w14:textId="77777777" w:rsidR="005F762A" w:rsidRDefault="005F762A">
            <w:pPr>
              <w:rPr>
                <w:rFonts w:ascii="宋体"/>
                <w:vanish/>
              </w:rPr>
            </w:pPr>
          </w:p>
        </w:tc>
        <w:tc>
          <w:tcPr>
            <w:tcW w:w="0" w:type="auto"/>
            <w:gridSpan w:val="3"/>
            <w:shd w:val="clear" w:color="auto" w:fill="auto"/>
          </w:tcPr>
          <w:p w14:paraId="7268E010" w14:textId="77777777" w:rsidR="005F762A" w:rsidRDefault="005F762A">
            <w:pPr>
              <w:rPr>
                <w:rFonts w:ascii="宋体"/>
                <w:vanish/>
              </w:rPr>
            </w:pPr>
          </w:p>
        </w:tc>
        <w:tc>
          <w:tcPr>
            <w:tcW w:w="0" w:type="auto"/>
            <w:gridSpan w:val="3"/>
            <w:shd w:val="clear" w:color="auto" w:fill="auto"/>
          </w:tcPr>
          <w:p w14:paraId="7268E011" w14:textId="77777777" w:rsidR="005F762A" w:rsidRDefault="005F762A">
            <w:pPr>
              <w:rPr>
                <w:rFonts w:ascii="宋体"/>
                <w:vanish/>
              </w:rPr>
            </w:pPr>
          </w:p>
        </w:tc>
        <w:tc>
          <w:tcPr>
            <w:tcW w:w="0" w:type="auto"/>
            <w:gridSpan w:val="3"/>
            <w:shd w:val="clear" w:color="auto" w:fill="auto"/>
          </w:tcPr>
          <w:p w14:paraId="7268E012" w14:textId="77777777" w:rsidR="005F762A" w:rsidRDefault="005F762A">
            <w:pPr>
              <w:rPr>
                <w:rFonts w:ascii="宋体"/>
                <w:vanish/>
              </w:rPr>
            </w:pPr>
          </w:p>
        </w:tc>
      </w:tr>
      <w:tr w:rsidR="005F762A" w14:paraId="7268E01A" w14:textId="77777777">
        <w:trPr>
          <w:jc w:val="center"/>
        </w:trPr>
        <w:tc>
          <w:tcPr>
            <w:tcW w:w="0" w:type="auto"/>
            <w:gridSpan w:val="3"/>
            <w:shd w:val="clear" w:color="auto" w:fill="FFFFFF"/>
            <w:tcMar>
              <w:top w:w="40" w:type="dxa"/>
              <w:left w:w="245" w:type="dxa"/>
              <w:bottom w:w="40" w:type="dxa"/>
              <w:right w:w="20" w:type="dxa"/>
            </w:tcMar>
            <w:vAlign w:val="bottom"/>
          </w:tcPr>
          <w:p w14:paraId="7268E014" w14:textId="77777777" w:rsidR="005F762A" w:rsidRDefault="00D74111">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7268E015"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01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1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018" w14:textId="77777777" w:rsidR="005F762A" w:rsidRDefault="00D74111">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7268E019" w14:textId="77777777" w:rsidR="005F762A" w:rsidRDefault="005F762A">
            <w:pPr>
              <w:jc w:val="right"/>
              <w:rPr>
                <w:rFonts w:ascii="宋体"/>
              </w:rPr>
            </w:pPr>
          </w:p>
        </w:tc>
      </w:tr>
      <w:tr w:rsidR="005F762A" w14:paraId="7268E021" w14:textId="77777777">
        <w:trPr>
          <w:jc w:val="center"/>
        </w:trPr>
        <w:tc>
          <w:tcPr>
            <w:tcW w:w="0" w:type="auto"/>
            <w:gridSpan w:val="3"/>
            <w:shd w:val="clear" w:color="auto" w:fill="DDDDDD"/>
            <w:tcMar>
              <w:top w:w="40" w:type="dxa"/>
              <w:left w:w="245" w:type="dxa"/>
              <w:bottom w:w="40" w:type="dxa"/>
              <w:right w:w="20" w:type="dxa"/>
            </w:tcMar>
            <w:vAlign w:val="bottom"/>
          </w:tcPr>
          <w:p w14:paraId="7268E01B" w14:textId="77777777" w:rsidR="005F762A" w:rsidRDefault="00D74111">
            <w:pPr>
              <w:textAlignment w:val="bottom"/>
            </w:pPr>
            <w:r>
              <w:rPr>
                <w:rFonts w:ascii="Arial" w:eastAsia="宋体" w:hAnsi="Arial" w:cs="Arial"/>
                <w:color w:val="000000"/>
                <w:sz w:val="18"/>
                <w:szCs w:val="18"/>
              </w:rPr>
              <w:t>Net cash provided by (used in) continuing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1C" w14:textId="77777777" w:rsidR="005F762A" w:rsidRDefault="00D74111">
            <w:pPr>
              <w:jc w:val="right"/>
              <w:textAlignment w:val="bottom"/>
            </w:pPr>
            <w:r>
              <w:rPr>
                <w:rFonts w:ascii="Arial" w:eastAsia="宋体" w:hAnsi="Arial" w:cs="Arial"/>
                <w:color w:val="000000"/>
                <w:sz w:val="18"/>
                <w:szCs w:val="18"/>
              </w:rPr>
              <w:t>266 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1D"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1E"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1F" w14:textId="77777777" w:rsidR="005F762A" w:rsidRDefault="00D74111">
            <w:pPr>
              <w:jc w:val="right"/>
              <w:textAlignment w:val="bottom"/>
            </w:pPr>
            <w:r>
              <w:rPr>
                <w:rFonts w:ascii="Arial" w:eastAsia="宋体" w:hAnsi="Arial" w:cs="Arial"/>
                <w:color w:val="000000"/>
                <w:sz w:val="18"/>
                <w:szCs w:val="18"/>
              </w:rPr>
              <w:t>(1,568)</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20" w14:textId="77777777" w:rsidR="005F762A" w:rsidRDefault="005F762A">
            <w:pPr>
              <w:jc w:val="right"/>
              <w:rPr>
                <w:rFonts w:ascii="宋体"/>
              </w:rPr>
            </w:pPr>
          </w:p>
        </w:tc>
      </w:tr>
      <w:tr w:rsidR="005F762A" w14:paraId="7268E028" w14:textId="77777777">
        <w:trPr>
          <w:jc w:val="center"/>
        </w:trPr>
        <w:tc>
          <w:tcPr>
            <w:tcW w:w="0" w:type="auto"/>
            <w:gridSpan w:val="3"/>
            <w:shd w:val="clear" w:color="auto" w:fill="FFFFFF"/>
            <w:tcMar>
              <w:top w:w="40" w:type="dxa"/>
              <w:left w:w="245" w:type="dxa"/>
              <w:bottom w:w="40" w:type="dxa"/>
              <w:right w:w="20" w:type="dxa"/>
            </w:tcMar>
            <w:vAlign w:val="bottom"/>
          </w:tcPr>
          <w:p w14:paraId="7268E022" w14:textId="77777777" w:rsidR="005F762A" w:rsidRDefault="00D74111">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23" w14:textId="77777777" w:rsidR="005F762A" w:rsidRDefault="00D74111">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2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25"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26" w14:textId="77777777" w:rsidR="005F762A" w:rsidRDefault="00D74111">
            <w:pPr>
              <w:jc w:val="right"/>
              <w:textAlignment w:val="bottom"/>
            </w:pPr>
            <w:r>
              <w:rPr>
                <w:rFonts w:ascii="Arial" w:eastAsia="宋体" w:hAnsi="Arial" w:cs="Arial"/>
                <w:color w:val="000000"/>
                <w:sz w:val="18"/>
                <w:szCs w:val="18"/>
              </w:rPr>
              <w:t>4,074 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27" w14:textId="77777777" w:rsidR="005F762A" w:rsidRDefault="005F762A">
            <w:pPr>
              <w:jc w:val="right"/>
              <w:rPr>
                <w:rFonts w:ascii="宋体"/>
              </w:rPr>
            </w:pPr>
          </w:p>
        </w:tc>
      </w:tr>
      <w:tr w:rsidR="005F762A" w14:paraId="7268E02F" w14:textId="77777777">
        <w:trPr>
          <w:jc w:val="center"/>
        </w:trPr>
        <w:tc>
          <w:tcPr>
            <w:tcW w:w="0" w:type="auto"/>
            <w:gridSpan w:val="3"/>
            <w:shd w:val="clear" w:color="auto" w:fill="DDDDDD"/>
            <w:tcMar>
              <w:top w:w="40" w:type="dxa"/>
              <w:left w:w="740" w:type="dxa"/>
              <w:bottom w:w="40" w:type="dxa"/>
              <w:right w:w="20" w:type="dxa"/>
            </w:tcMar>
            <w:vAlign w:val="bottom"/>
          </w:tcPr>
          <w:p w14:paraId="7268E029" w14:textId="77777777" w:rsidR="005F762A" w:rsidRDefault="00D74111">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2A" w14:textId="77777777" w:rsidR="005F762A" w:rsidRDefault="00D74111">
            <w:pPr>
              <w:jc w:val="right"/>
              <w:textAlignment w:val="bottom"/>
            </w:pPr>
            <w:r>
              <w:rPr>
                <w:rFonts w:ascii="Arial" w:eastAsia="宋体" w:hAnsi="Arial" w:cs="Arial"/>
                <w:color w:val="000000"/>
                <w:sz w:val="18"/>
                <w:szCs w:val="18"/>
              </w:rPr>
              <w:t>265 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2B"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2C"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2D" w14:textId="77777777" w:rsidR="005F762A" w:rsidRDefault="00D74111">
            <w:pPr>
              <w:jc w:val="right"/>
              <w:textAlignment w:val="bottom"/>
            </w:pPr>
            <w:r>
              <w:rPr>
                <w:rFonts w:ascii="Arial" w:eastAsia="宋体" w:hAnsi="Arial" w:cs="Arial"/>
                <w:color w:val="000000"/>
                <w:sz w:val="18"/>
                <w:szCs w:val="18"/>
              </w:rPr>
              <w:t>2,506 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2E" w14:textId="77777777" w:rsidR="005F762A" w:rsidRDefault="005F762A">
            <w:pPr>
              <w:jc w:val="right"/>
              <w:rPr>
                <w:rFonts w:ascii="宋体"/>
              </w:rPr>
            </w:pPr>
          </w:p>
        </w:tc>
      </w:tr>
      <w:tr w:rsidR="005F762A" w14:paraId="7268E034" w14:textId="77777777">
        <w:trPr>
          <w:jc w:val="center"/>
        </w:trPr>
        <w:tc>
          <w:tcPr>
            <w:tcW w:w="0" w:type="auto"/>
            <w:gridSpan w:val="3"/>
            <w:shd w:val="clear" w:color="auto" w:fill="FFFFFF"/>
            <w:tcMar>
              <w:top w:w="40" w:type="dxa"/>
              <w:left w:w="20" w:type="dxa"/>
              <w:bottom w:w="40" w:type="dxa"/>
              <w:right w:w="20" w:type="dxa"/>
            </w:tcMar>
            <w:vAlign w:val="bottom"/>
          </w:tcPr>
          <w:p w14:paraId="7268E030" w14:textId="77777777" w:rsidR="005F762A" w:rsidRDefault="00D74111">
            <w:pPr>
              <w:textAlignment w:val="bottom"/>
            </w:pPr>
            <w:r>
              <w:rPr>
                <w:rFonts w:ascii="Arial" w:eastAsia="宋体" w:hAnsi="Arial" w:cs="Arial"/>
                <w:color w:val="000000"/>
                <w:sz w:val="18"/>
                <w:szCs w:val="18"/>
              </w:rPr>
              <w:t xml:space="preserve">Cash flows from </w:t>
            </w:r>
            <w:r>
              <w:rPr>
                <w:rFonts w:ascii="Arial" w:eastAsia="宋体" w:hAnsi="Arial" w:cs="Arial"/>
                <w:color w:val="000000"/>
                <w:sz w:val="18"/>
                <w:szCs w:val="18"/>
              </w:rPr>
              <w:t>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E031" w14:textId="77777777" w:rsidR="005F762A" w:rsidRDefault="00D74111">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tcPr>
          <w:p w14:paraId="7268E032" w14:textId="77777777" w:rsidR="005F762A" w:rsidRDefault="005F762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E033" w14:textId="77777777" w:rsidR="005F762A" w:rsidRDefault="00D74111">
            <w:pPr>
              <w:jc w:val="right"/>
              <w:textAlignment w:val="bottom"/>
            </w:pPr>
            <w:r>
              <w:rPr>
                <w:rFonts w:ascii="Arial" w:eastAsia="宋体" w:hAnsi="Arial" w:cs="Arial"/>
                <w:color w:val="000000"/>
                <w:sz w:val="18"/>
                <w:szCs w:val="18"/>
              </w:rPr>
              <w:t> </w:t>
            </w:r>
          </w:p>
        </w:tc>
      </w:tr>
      <w:tr w:rsidR="005F762A" w14:paraId="7268E03B" w14:textId="77777777">
        <w:trPr>
          <w:jc w:val="center"/>
        </w:trPr>
        <w:tc>
          <w:tcPr>
            <w:tcW w:w="0" w:type="auto"/>
            <w:gridSpan w:val="3"/>
            <w:shd w:val="clear" w:color="auto" w:fill="DDDDDD"/>
            <w:tcMar>
              <w:top w:w="40" w:type="dxa"/>
              <w:left w:w="245" w:type="dxa"/>
              <w:bottom w:w="40" w:type="dxa"/>
              <w:right w:w="20" w:type="dxa"/>
            </w:tcMar>
            <w:vAlign w:val="bottom"/>
          </w:tcPr>
          <w:p w14:paraId="7268E035" w14:textId="77777777" w:rsidR="005F762A" w:rsidRDefault="00D74111">
            <w:pPr>
              <w:textAlignment w:val="bottom"/>
            </w:pPr>
            <w:r>
              <w:rPr>
                <w:rFonts w:ascii="Arial" w:eastAsia="宋体" w:hAnsi="Arial" w:cs="Arial"/>
                <w:color w:val="000000"/>
                <w:sz w:val="18"/>
                <w:szCs w:val="18"/>
              </w:rPr>
              <w:t>Proceeds from issuance of common stock</w:t>
            </w:r>
          </w:p>
        </w:tc>
        <w:tc>
          <w:tcPr>
            <w:tcW w:w="0" w:type="auto"/>
            <w:gridSpan w:val="2"/>
            <w:shd w:val="clear" w:color="auto" w:fill="DDDDDD"/>
            <w:tcMar>
              <w:top w:w="40" w:type="dxa"/>
              <w:left w:w="20" w:type="dxa"/>
              <w:bottom w:w="40" w:type="dxa"/>
              <w:right w:w="0" w:type="dxa"/>
            </w:tcMar>
            <w:vAlign w:val="bottom"/>
          </w:tcPr>
          <w:p w14:paraId="7268E036"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7268E037"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38"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E039" w14:textId="77777777" w:rsidR="005F762A" w:rsidRDefault="00D74111">
            <w:pPr>
              <w:jc w:val="right"/>
              <w:textAlignment w:val="bottom"/>
            </w:pPr>
            <w:r>
              <w:rPr>
                <w:rFonts w:ascii="Arial" w:eastAsia="宋体" w:hAnsi="Arial" w:cs="Arial"/>
                <w:color w:val="000000"/>
                <w:sz w:val="18"/>
                <w:szCs w:val="18"/>
              </w:rPr>
              <w:t>5 </w:t>
            </w:r>
          </w:p>
        </w:tc>
        <w:tc>
          <w:tcPr>
            <w:tcW w:w="0" w:type="auto"/>
            <w:shd w:val="clear" w:color="auto" w:fill="DDDDDD"/>
            <w:tcMar>
              <w:top w:w="40" w:type="dxa"/>
              <w:left w:w="0" w:type="dxa"/>
              <w:bottom w:w="40" w:type="dxa"/>
              <w:right w:w="20" w:type="dxa"/>
            </w:tcMar>
            <w:vAlign w:val="bottom"/>
          </w:tcPr>
          <w:p w14:paraId="7268E03A" w14:textId="77777777" w:rsidR="005F762A" w:rsidRDefault="005F762A">
            <w:pPr>
              <w:jc w:val="right"/>
              <w:rPr>
                <w:rFonts w:ascii="宋体"/>
              </w:rPr>
            </w:pPr>
          </w:p>
        </w:tc>
      </w:tr>
      <w:tr w:rsidR="005F762A" w14:paraId="7268E042" w14:textId="77777777">
        <w:trPr>
          <w:jc w:val="center"/>
        </w:trPr>
        <w:tc>
          <w:tcPr>
            <w:tcW w:w="0" w:type="auto"/>
            <w:gridSpan w:val="3"/>
            <w:shd w:val="clear" w:color="auto" w:fill="FFFFFF"/>
            <w:tcMar>
              <w:top w:w="40" w:type="dxa"/>
              <w:left w:w="245" w:type="dxa"/>
              <w:bottom w:w="40" w:type="dxa"/>
              <w:right w:w="20" w:type="dxa"/>
            </w:tcMar>
            <w:vAlign w:val="bottom"/>
          </w:tcPr>
          <w:p w14:paraId="7268E03C" w14:textId="77777777" w:rsidR="005F762A" w:rsidRDefault="00D74111">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7268E03D" w14:textId="77777777" w:rsidR="005F762A" w:rsidRDefault="00D74111">
            <w:pPr>
              <w:jc w:val="right"/>
              <w:textAlignment w:val="bottom"/>
            </w:pPr>
            <w:r>
              <w:rPr>
                <w:rFonts w:ascii="Arial" w:eastAsia="宋体" w:hAnsi="Arial" w:cs="Arial"/>
                <w:color w:val="000000"/>
                <w:sz w:val="18"/>
                <w:szCs w:val="18"/>
              </w:rPr>
              <w:t>(304)</w:t>
            </w:r>
          </w:p>
        </w:tc>
        <w:tc>
          <w:tcPr>
            <w:tcW w:w="0" w:type="auto"/>
            <w:shd w:val="clear" w:color="auto" w:fill="FFFFFF"/>
            <w:tcMar>
              <w:top w:w="40" w:type="dxa"/>
              <w:left w:w="0" w:type="dxa"/>
              <w:bottom w:w="40" w:type="dxa"/>
              <w:right w:w="20" w:type="dxa"/>
            </w:tcMar>
            <w:vAlign w:val="bottom"/>
          </w:tcPr>
          <w:p w14:paraId="7268E03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3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040" w14:textId="77777777" w:rsidR="005F762A" w:rsidRDefault="00D74111">
            <w:pPr>
              <w:jc w:val="right"/>
              <w:textAlignment w:val="bottom"/>
            </w:pPr>
            <w:r>
              <w:rPr>
                <w:rFonts w:ascii="Arial" w:eastAsia="宋体" w:hAnsi="Arial" w:cs="Arial"/>
                <w:color w:val="000000"/>
                <w:sz w:val="18"/>
                <w:szCs w:val="18"/>
              </w:rPr>
              <w:t>(3,997)</w:t>
            </w:r>
          </w:p>
        </w:tc>
        <w:tc>
          <w:tcPr>
            <w:tcW w:w="0" w:type="auto"/>
            <w:shd w:val="clear" w:color="auto" w:fill="FFFFFF"/>
            <w:tcMar>
              <w:top w:w="40" w:type="dxa"/>
              <w:left w:w="0" w:type="dxa"/>
              <w:bottom w:w="40" w:type="dxa"/>
              <w:right w:w="20" w:type="dxa"/>
            </w:tcMar>
            <w:vAlign w:val="bottom"/>
          </w:tcPr>
          <w:p w14:paraId="7268E041" w14:textId="77777777" w:rsidR="005F762A" w:rsidRDefault="005F762A">
            <w:pPr>
              <w:jc w:val="right"/>
              <w:rPr>
                <w:rFonts w:ascii="宋体"/>
              </w:rPr>
            </w:pPr>
          </w:p>
        </w:tc>
      </w:tr>
      <w:tr w:rsidR="005F762A" w14:paraId="7268E049" w14:textId="77777777">
        <w:trPr>
          <w:jc w:val="center"/>
        </w:trPr>
        <w:tc>
          <w:tcPr>
            <w:tcW w:w="0" w:type="auto"/>
            <w:gridSpan w:val="3"/>
            <w:shd w:val="clear" w:color="auto" w:fill="DDDDDD"/>
            <w:tcMar>
              <w:top w:w="40" w:type="dxa"/>
              <w:left w:w="245" w:type="dxa"/>
              <w:bottom w:w="40" w:type="dxa"/>
              <w:right w:w="20" w:type="dxa"/>
            </w:tcMar>
            <w:vAlign w:val="bottom"/>
          </w:tcPr>
          <w:p w14:paraId="7268E043" w14:textId="77777777" w:rsidR="005F762A" w:rsidRDefault="00D74111">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DDDDDD"/>
            <w:tcMar>
              <w:top w:w="40" w:type="dxa"/>
              <w:left w:w="20" w:type="dxa"/>
              <w:bottom w:w="40" w:type="dxa"/>
              <w:right w:w="0" w:type="dxa"/>
            </w:tcMar>
            <w:vAlign w:val="bottom"/>
          </w:tcPr>
          <w:p w14:paraId="7268E044" w14:textId="77777777" w:rsidR="005F762A" w:rsidRDefault="00D74111">
            <w:pPr>
              <w:jc w:val="right"/>
              <w:textAlignment w:val="bottom"/>
            </w:pPr>
            <w:r>
              <w:rPr>
                <w:rFonts w:ascii="Arial" w:eastAsia="宋体" w:hAnsi="Arial" w:cs="Arial"/>
                <w:color w:val="000000"/>
                <w:sz w:val="18"/>
                <w:szCs w:val="18"/>
              </w:rPr>
              <w:t>(20)</w:t>
            </w:r>
          </w:p>
        </w:tc>
        <w:tc>
          <w:tcPr>
            <w:tcW w:w="0" w:type="auto"/>
            <w:shd w:val="clear" w:color="auto" w:fill="DDDDDD"/>
            <w:tcMar>
              <w:top w:w="40" w:type="dxa"/>
              <w:left w:w="0" w:type="dxa"/>
              <w:bottom w:w="40" w:type="dxa"/>
              <w:right w:w="20" w:type="dxa"/>
            </w:tcMar>
            <w:vAlign w:val="bottom"/>
          </w:tcPr>
          <w:p w14:paraId="7268E045"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46"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E047" w14:textId="77777777" w:rsidR="005F762A" w:rsidRDefault="00D74111">
            <w:pPr>
              <w:jc w:val="right"/>
              <w:textAlignment w:val="bottom"/>
            </w:pPr>
            <w:r>
              <w:rPr>
                <w:rFonts w:ascii="Arial" w:eastAsia="宋体" w:hAnsi="Arial" w:cs="Arial"/>
                <w:color w:val="000000"/>
                <w:sz w:val="18"/>
                <w:szCs w:val="18"/>
              </w:rPr>
              <w:t>(40)</w:t>
            </w:r>
          </w:p>
        </w:tc>
        <w:tc>
          <w:tcPr>
            <w:tcW w:w="0" w:type="auto"/>
            <w:shd w:val="clear" w:color="auto" w:fill="DDDDDD"/>
            <w:tcMar>
              <w:top w:w="40" w:type="dxa"/>
              <w:left w:w="0" w:type="dxa"/>
              <w:bottom w:w="40" w:type="dxa"/>
              <w:right w:w="20" w:type="dxa"/>
            </w:tcMar>
            <w:vAlign w:val="bottom"/>
          </w:tcPr>
          <w:p w14:paraId="7268E048" w14:textId="77777777" w:rsidR="005F762A" w:rsidRDefault="005F762A">
            <w:pPr>
              <w:jc w:val="right"/>
              <w:rPr>
                <w:rFonts w:ascii="宋体"/>
              </w:rPr>
            </w:pPr>
          </w:p>
        </w:tc>
      </w:tr>
      <w:tr w:rsidR="005F762A" w14:paraId="7268E050" w14:textId="77777777">
        <w:trPr>
          <w:jc w:val="center"/>
        </w:trPr>
        <w:tc>
          <w:tcPr>
            <w:tcW w:w="0" w:type="auto"/>
            <w:gridSpan w:val="3"/>
            <w:shd w:val="clear" w:color="auto" w:fill="FFFFFF"/>
            <w:tcMar>
              <w:top w:w="40" w:type="dxa"/>
              <w:left w:w="245" w:type="dxa"/>
              <w:bottom w:w="40" w:type="dxa"/>
              <w:right w:w="20" w:type="dxa"/>
            </w:tcMar>
            <w:vAlign w:val="bottom"/>
          </w:tcPr>
          <w:p w14:paraId="7268E04A" w14:textId="77777777" w:rsidR="005F762A" w:rsidRDefault="00D74111">
            <w:pPr>
              <w:textAlignment w:val="bottom"/>
            </w:pPr>
            <w:r>
              <w:rPr>
                <w:rFonts w:ascii="Arial" w:eastAsia="宋体" w:hAnsi="Arial" w:cs="Arial"/>
                <w:color w:val="000000"/>
                <w:sz w:val="18"/>
                <w:szCs w:val="18"/>
              </w:rPr>
              <w:t xml:space="preserve">Payments for </w:t>
            </w:r>
            <w:r>
              <w:rPr>
                <w:rFonts w:ascii="Arial" w:eastAsia="宋体" w:hAnsi="Arial" w:cs="Arial"/>
                <w:color w:val="000000"/>
                <w:sz w:val="18"/>
                <w:szCs w:val="18"/>
              </w:rPr>
              <w:t>dividends</w:t>
            </w:r>
          </w:p>
        </w:tc>
        <w:tc>
          <w:tcPr>
            <w:tcW w:w="0" w:type="auto"/>
            <w:gridSpan w:val="2"/>
            <w:shd w:val="clear" w:color="auto" w:fill="FFFFFF"/>
            <w:tcMar>
              <w:top w:w="40" w:type="dxa"/>
              <w:left w:w="20" w:type="dxa"/>
              <w:bottom w:w="40" w:type="dxa"/>
              <w:right w:w="0" w:type="dxa"/>
            </w:tcMar>
            <w:vAlign w:val="bottom"/>
          </w:tcPr>
          <w:p w14:paraId="7268E04B" w14:textId="77777777" w:rsidR="005F762A" w:rsidRDefault="00D74111">
            <w:pPr>
              <w:jc w:val="right"/>
              <w:textAlignment w:val="bottom"/>
            </w:pPr>
            <w:r>
              <w:rPr>
                <w:rFonts w:ascii="Arial" w:eastAsia="宋体" w:hAnsi="Arial" w:cs="Arial"/>
                <w:color w:val="000000"/>
                <w:sz w:val="18"/>
                <w:szCs w:val="18"/>
              </w:rPr>
              <w:t>(122)</w:t>
            </w:r>
          </w:p>
        </w:tc>
        <w:tc>
          <w:tcPr>
            <w:tcW w:w="0" w:type="auto"/>
            <w:shd w:val="clear" w:color="auto" w:fill="FFFFFF"/>
            <w:tcMar>
              <w:top w:w="40" w:type="dxa"/>
              <w:left w:w="0" w:type="dxa"/>
              <w:bottom w:w="40" w:type="dxa"/>
              <w:right w:w="20" w:type="dxa"/>
            </w:tcMar>
            <w:vAlign w:val="bottom"/>
          </w:tcPr>
          <w:p w14:paraId="7268E04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4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04E" w14:textId="77777777" w:rsidR="005F762A" w:rsidRDefault="00D74111">
            <w:pPr>
              <w:jc w:val="right"/>
              <w:textAlignment w:val="bottom"/>
            </w:pPr>
            <w:r>
              <w:rPr>
                <w:rFonts w:ascii="Arial" w:eastAsia="宋体" w:hAnsi="Arial" w:cs="Arial"/>
                <w:color w:val="000000"/>
                <w:sz w:val="18"/>
                <w:szCs w:val="18"/>
              </w:rPr>
              <w:t>(114)</w:t>
            </w:r>
          </w:p>
        </w:tc>
        <w:tc>
          <w:tcPr>
            <w:tcW w:w="0" w:type="auto"/>
            <w:shd w:val="clear" w:color="auto" w:fill="FFFFFF"/>
            <w:tcMar>
              <w:top w:w="40" w:type="dxa"/>
              <w:left w:w="0" w:type="dxa"/>
              <w:bottom w:w="40" w:type="dxa"/>
              <w:right w:w="20" w:type="dxa"/>
            </w:tcMar>
            <w:vAlign w:val="bottom"/>
          </w:tcPr>
          <w:p w14:paraId="7268E04F" w14:textId="77777777" w:rsidR="005F762A" w:rsidRDefault="005F762A">
            <w:pPr>
              <w:jc w:val="right"/>
              <w:rPr>
                <w:rFonts w:ascii="宋体"/>
              </w:rPr>
            </w:pPr>
          </w:p>
        </w:tc>
      </w:tr>
      <w:tr w:rsidR="005F762A" w14:paraId="7268E057" w14:textId="77777777">
        <w:trPr>
          <w:jc w:val="center"/>
        </w:trPr>
        <w:tc>
          <w:tcPr>
            <w:tcW w:w="0" w:type="auto"/>
            <w:gridSpan w:val="3"/>
            <w:shd w:val="clear" w:color="auto" w:fill="DDDDDD"/>
            <w:tcMar>
              <w:top w:w="40" w:type="dxa"/>
              <w:left w:w="245" w:type="dxa"/>
              <w:bottom w:w="40" w:type="dxa"/>
              <w:right w:w="20" w:type="dxa"/>
            </w:tcMar>
            <w:vAlign w:val="bottom"/>
          </w:tcPr>
          <w:p w14:paraId="7268E051" w14:textId="77777777" w:rsidR="005F762A" w:rsidRDefault="00D74111">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DDDDDD"/>
            <w:tcMar>
              <w:top w:w="40" w:type="dxa"/>
              <w:left w:w="20" w:type="dxa"/>
              <w:bottom w:w="40" w:type="dxa"/>
              <w:right w:w="0" w:type="dxa"/>
            </w:tcMar>
            <w:vAlign w:val="bottom"/>
          </w:tcPr>
          <w:p w14:paraId="7268E052"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7268E053"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54"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E055" w14:textId="77777777" w:rsidR="005F762A" w:rsidRDefault="00D74111">
            <w:pPr>
              <w:jc w:val="right"/>
              <w:textAlignment w:val="bottom"/>
            </w:pPr>
            <w:r>
              <w:rPr>
                <w:rFonts w:ascii="Arial" w:eastAsia="宋体" w:hAnsi="Arial" w:cs="Arial"/>
                <w:color w:val="000000"/>
                <w:sz w:val="18"/>
                <w:szCs w:val="18"/>
              </w:rPr>
              <w:t>994 </w:t>
            </w:r>
          </w:p>
        </w:tc>
        <w:tc>
          <w:tcPr>
            <w:tcW w:w="0" w:type="auto"/>
            <w:shd w:val="clear" w:color="auto" w:fill="DDDDDD"/>
            <w:tcMar>
              <w:top w:w="40" w:type="dxa"/>
              <w:left w:w="0" w:type="dxa"/>
              <w:bottom w:w="40" w:type="dxa"/>
              <w:right w:w="20" w:type="dxa"/>
            </w:tcMar>
            <w:vAlign w:val="bottom"/>
          </w:tcPr>
          <w:p w14:paraId="7268E056" w14:textId="77777777" w:rsidR="005F762A" w:rsidRDefault="005F762A">
            <w:pPr>
              <w:jc w:val="right"/>
              <w:rPr>
                <w:rFonts w:ascii="宋体"/>
              </w:rPr>
            </w:pPr>
          </w:p>
        </w:tc>
      </w:tr>
      <w:tr w:rsidR="005F762A" w14:paraId="7268E05E" w14:textId="77777777">
        <w:trPr>
          <w:jc w:val="center"/>
        </w:trPr>
        <w:tc>
          <w:tcPr>
            <w:tcW w:w="0" w:type="auto"/>
            <w:gridSpan w:val="3"/>
            <w:shd w:val="clear" w:color="auto" w:fill="FFFFFF"/>
            <w:tcMar>
              <w:top w:w="40" w:type="dxa"/>
              <w:left w:w="245" w:type="dxa"/>
              <w:bottom w:w="40" w:type="dxa"/>
              <w:right w:w="20" w:type="dxa"/>
            </w:tcMar>
            <w:vAlign w:val="bottom"/>
          </w:tcPr>
          <w:p w14:paraId="7268E058" w14:textId="77777777" w:rsidR="005F762A" w:rsidRDefault="00D74111">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7268E059" w14:textId="77777777" w:rsidR="005F762A" w:rsidRDefault="00D74111">
            <w:pPr>
              <w:jc w:val="right"/>
              <w:textAlignment w:val="bottom"/>
            </w:pPr>
            <w:r>
              <w:rPr>
                <w:rFonts w:ascii="Arial" w:eastAsia="宋体" w:hAnsi="Arial" w:cs="Arial"/>
                <w:color w:val="000000"/>
                <w:sz w:val="18"/>
                <w:szCs w:val="18"/>
              </w:rPr>
              <w:t>(1,156)</w:t>
            </w:r>
          </w:p>
        </w:tc>
        <w:tc>
          <w:tcPr>
            <w:tcW w:w="0" w:type="auto"/>
            <w:shd w:val="clear" w:color="auto" w:fill="FFFFFF"/>
            <w:tcMar>
              <w:top w:w="40" w:type="dxa"/>
              <w:left w:w="0" w:type="dxa"/>
              <w:bottom w:w="40" w:type="dxa"/>
              <w:right w:w="20" w:type="dxa"/>
            </w:tcMar>
            <w:vAlign w:val="bottom"/>
          </w:tcPr>
          <w:p w14:paraId="7268E05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5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05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05D" w14:textId="77777777" w:rsidR="005F762A" w:rsidRDefault="005F762A">
            <w:pPr>
              <w:jc w:val="right"/>
              <w:rPr>
                <w:rFonts w:ascii="宋体"/>
              </w:rPr>
            </w:pPr>
          </w:p>
        </w:tc>
      </w:tr>
      <w:tr w:rsidR="005F762A" w14:paraId="7268E063" w14:textId="77777777">
        <w:trPr>
          <w:jc w:val="center"/>
          <w:hidden/>
        </w:trPr>
        <w:tc>
          <w:tcPr>
            <w:tcW w:w="0" w:type="auto"/>
            <w:gridSpan w:val="3"/>
            <w:shd w:val="clear" w:color="auto" w:fill="auto"/>
          </w:tcPr>
          <w:p w14:paraId="7268E05F" w14:textId="77777777" w:rsidR="005F762A" w:rsidRDefault="005F762A">
            <w:pPr>
              <w:rPr>
                <w:rFonts w:ascii="宋体"/>
                <w:vanish/>
              </w:rPr>
            </w:pPr>
          </w:p>
        </w:tc>
        <w:tc>
          <w:tcPr>
            <w:tcW w:w="0" w:type="auto"/>
            <w:gridSpan w:val="3"/>
            <w:shd w:val="clear" w:color="auto" w:fill="auto"/>
          </w:tcPr>
          <w:p w14:paraId="7268E060" w14:textId="77777777" w:rsidR="005F762A" w:rsidRDefault="005F762A">
            <w:pPr>
              <w:rPr>
                <w:rFonts w:ascii="宋体"/>
                <w:vanish/>
              </w:rPr>
            </w:pPr>
          </w:p>
        </w:tc>
        <w:tc>
          <w:tcPr>
            <w:tcW w:w="0" w:type="auto"/>
            <w:gridSpan w:val="3"/>
            <w:shd w:val="clear" w:color="auto" w:fill="auto"/>
          </w:tcPr>
          <w:p w14:paraId="7268E061" w14:textId="77777777" w:rsidR="005F762A" w:rsidRDefault="005F762A">
            <w:pPr>
              <w:rPr>
                <w:rFonts w:ascii="宋体"/>
                <w:vanish/>
              </w:rPr>
            </w:pPr>
          </w:p>
        </w:tc>
        <w:tc>
          <w:tcPr>
            <w:tcW w:w="0" w:type="auto"/>
            <w:gridSpan w:val="3"/>
            <w:shd w:val="clear" w:color="auto" w:fill="auto"/>
          </w:tcPr>
          <w:p w14:paraId="7268E062" w14:textId="77777777" w:rsidR="005F762A" w:rsidRDefault="005F762A">
            <w:pPr>
              <w:rPr>
                <w:rFonts w:ascii="宋体"/>
                <w:vanish/>
              </w:rPr>
            </w:pPr>
          </w:p>
        </w:tc>
      </w:tr>
      <w:tr w:rsidR="005F762A" w14:paraId="7268E06A" w14:textId="77777777">
        <w:trPr>
          <w:jc w:val="center"/>
        </w:trPr>
        <w:tc>
          <w:tcPr>
            <w:tcW w:w="0" w:type="auto"/>
            <w:gridSpan w:val="3"/>
            <w:shd w:val="clear" w:color="auto" w:fill="DDDDDD"/>
            <w:tcMar>
              <w:top w:w="40" w:type="dxa"/>
              <w:left w:w="245" w:type="dxa"/>
              <w:bottom w:w="40" w:type="dxa"/>
              <w:right w:w="20" w:type="dxa"/>
            </w:tcMar>
            <w:vAlign w:val="bottom"/>
          </w:tcPr>
          <w:p w14:paraId="7268E064" w14:textId="77777777" w:rsidR="005F762A" w:rsidRDefault="00D74111">
            <w:pPr>
              <w:textAlignment w:val="bottom"/>
            </w:pPr>
            <w:r>
              <w:rPr>
                <w:rFonts w:ascii="Arial" w:eastAsia="宋体" w:hAnsi="Arial" w:cs="Arial"/>
                <w:color w:val="000000"/>
                <w:sz w:val="18"/>
                <w:szCs w:val="18"/>
              </w:rPr>
              <w:t>Net borrowings under commercial paper program</w:t>
            </w:r>
          </w:p>
        </w:tc>
        <w:tc>
          <w:tcPr>
            <w:tcW w:w="0" w:type="auto"/>
            <w:gridSpan w:val="2"/>
            <w:shd w:val="clear" w:color="auto" w:fill="DDDDDD"/>
            <w:tcMar>
              <w:top w:w="40" w:type="dxa"/>
              <w:left w:w="20" w:type="dxa"/>
              <w:bottom w:w="40" w:type="dxa"/>
              <w:right w:w="0" w:type="dxa"/>
            </w:tcMar>
            <w:vAlign w:val="bottom"/>
          </w:tcPr>
          <w:p w14:paraId="7268E065" w14:textId="77777777" w:rsidR="005F762A" w:rsidRDefault="00D74111">
            <w:pPr>
              <w:jc w:val="right"/>
              <w:textAlignment w:val="bottom"/>
            </w:pPr>
            <w:r>
              <w:rPr>
                <w:rFonts w:ascii="Arial" w:eastAsia="宋体" w:hAnsi="Arial" w:cs="Arial"/>
                <w:color w:val="000000"/>
                <w:sz w:val="18"/>
                <w:szCs w:val="18"/>
              </w:rPr>
              <w:t>400 </w:t>
            </w:r>
          </w:p>
        </w:tc>
        <w:tc>
          <w:tcPr>
            <w:tcW w:w="0" w:type="auto"/>
            <w:shd w:val="clear" w:color="auto" w:fill="DDDDDD"/>
            <w:tcMar>
              <w:top w:w="40" w:type="dxa"/>
              <w:left w:w="0" w:type="dxa"/>
              <w:bottom w:w="40" w:type="dxa"/>
              <w:right w:w="20" w:type="dxa"/>
            </w:tcMar>
            <w:vAlign w:val="bottom"/>
          </w:tcPr>
          <w:p w14:paraId="7268E066"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67"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E06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7268E069" w14:textId="77777777" w:rsidR="005F762A" w:rsidRDefault="005F762A">
            <w:pPr>
              <w:jc w:val="right"/>
              <w:rPr>
                <w:rFonts w:ascii="宋体"/>
              </w:rPr>
            </w:pPr>
          </w:p>
        </w:tc>
      </w:tr>
      <w:tr w:rsidR="005F762A" w14:paraId="7268E071" w14:textId="77777777">
        <w:trPr>
          <w:jc w:val="center"/>
        </w:trPr>
        <w:tc>
          <w:tcPr>
            <w:tcW w:w="0" w:type="auto"/>
            <w:gridSpan w:val="3"/>
            <w:shd w:val="clear" w:color="auto" w:fill="FFFFFF"/>
            <w:tcMar>
              <w:top w:w="40" w:type="dxa"/>
              <w:left w:w="245" w:type="dxa"/>
              <w:bottom w:w="40" w:type="dxa"/>
              <w:right w:w="20" w:type="dxa"/>
            </w:tcMar>
            <w:vAlign w:val="bottom"/>
          </w:tcPr>
          <w:p w14:paraId="7268E06B" w14:textId="77777777" w:rsidR="005F762A" w:rsidRDefault="00D74111">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FFFFFF"/>
            <w:tcMar>
              <w:top w:w="40" w:type="dxa"/>
              <w:left w:w="20" w:type="dxa"/>
              <w:bottom w:w="40" w:type="dxa"/>
              <w:right w:w="0" w:type="dxa"/>
            </w:tcMar>
            <w:vAlign w:val="bottom"/>
          </w:tcPr>
          <w:p w14:paraId="7268E06C" w14:textId="77777777" w:rsidR="005F762A" w:rsidRDefault="00D74111">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7268E06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6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06F"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070" w14:textId="77777777" w:rsidR="005F762A" w:rsidRDefault="005F762A">
            <w:pPr>
              <w:jc w:val="right"/>
              <w:rPr>
                <w:rFonts w:ascii="宋体"/>
              </w:rPr>
            </w:pPr>
          </w:p>
        </w:tc>
      </w:tr>
      <w:tr w:rsidR="005F762A" w14:paraId="7268E078" w14:textId="77777777">
        <w:trPr>
          <w:jc w:val="center"/>
        </w:trPr>
        <w:tc>
          <w:tcPr>
            <w:tcW w:w="0" w:type="auto"/>
            <w:gridSpan w:val="3"/>
            <w:shd w:val="clear" w:color="auto" w:fill="DDDDDD"/>
            <w:tcMar>
              <w:top w:w="40" w:type="dxa"/>
              <w:left w:w="245" w:type="dxa"/>
              <w:bottom w:w="40" w:type="dxa"/>
              <w:right w:w="20" w:type="dxa"/>
            </w:tcMar>
            <w:vAlign w:val="bottom"/>
          </w:tcPr>
          <w:p w14:paraId="7268E072" w14:textId="77777777" w:rsidR="005F762A" w:rsidRDefault="00D74111">
            <w:pPr>
              <w:textAlignment w:val="bottom"/>
            </w:pPr>
            <w:r>
              <w:rPr>
                <w:rFonts w:ascii="Arial" w:eastAsia="宋体" w:hAnsi="Arial" w:cs="Arial"/>
                <w:color w:val="000000"/>
                <w:sz w:val="18"/>
                <w:szCs w:val="18"/>
              </w:rPr>
              <w:t>Other</w:t>
            </w:r>
          </w:p>
        </w:tc>
        <w:tc>
          <w:tcPr>
            <w:tcW w:w="0" w:type="auto"/>
            <w:gridSpan w:val="2"/>
            <w:shd w:val="clear" w:color="auto" w:fill="DDDDDD"/>
            <w:tcMar>
              <w:top w:w="40" w:type="dxa"/>
              <w:left w:w="20" w:type="dxa"/>
              <w:bottom w:w="40" w:type="dxa"/>
              <w:right w:w="0" w:type="dxa"/>
            </w:tcMar>
            <w:vAlign w:val="bottom"/>
          </w:tcPr>
          <w:p w14:paraId="7268E073"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DDDDDD"/>
            <w:tcMar>
              <w:top w:w="40" w:type="dxa"/>
              <w:left w:w="0" w:type="dxa"/>
              <w:bottom w:w="40" w:type="dxa"/>
              <w:right w:w="20" w:type="dxa"/>
            </w:tcMar>
            <w:vAlign w:val="bottom"/>
          </w:tcPr>
          <w:p w14:paraId="7268E074"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75"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E076" w14:textId="77777777" w:rsidR="005F762A" w:rsidRDefault="00D74111">
            <w:pPr>
              <w:jc w:val="right"/>
              <w:textAlignment w:val="bottom"/>
            </w:pPr>
            <w:r>
              <w:rPr>
                <w:rFonts w:ascii="Arial" w:eastAsia="宋体" w:hAnsi="Arial" w:cs="Arial"/>
                <w:color w:val="000000"/>
                <w:sz w:val="18"/>
                <w:szCs w:val="18"/>
              </w:rPr>
              <w:t>(7)</w:t>
            </w:r>
          </w:p>
        </w:tc>
        <w:tc>
          <w:tcPr>
            <w:tcW w:w="0" w:type="auto"/>
            <w:shd w:val="clear" w:color="auto" w:fill="DDDDDD"/>
            <w:tcMar>
              <w:top w:w="40" w:type="dxa"/>
              <w:left w:w="0" w:type="dxa"/>
              <w:bottom w:w="40" w:type="dxa"/>
              <w:right w:w="20" w:type="dxa"/>
            </w:tcMar>
            <w:vAlign w:val="bottom"/>
          </w:tcPr>
          <w:p w14:paraId="7268E077" w14:textId="77777777" w:rsidR="005F762A" w:rsidRDefault="005F762A">
            <w:pPr>
              <w:jc w:val="right"/>
              <w:rPr>
                <w:rFonts w:ascii="宋体"/>
              </w:rPr>
            </w:pPr>
          </w:p>
        </w:tc>
      </w:tr>
      <w:tr w:rsidR="005F762A" w14:paraId="7268E07F" w14:textId="77777777">
        <w:trPr>
          <w:jc w:val="center"/>
        </w:trPr>
        <w:tc>
          <w:tcPr>
            <w:tcW w:w="0" w:type="auto"/>
            <w:gridSpan w:val="3"/>
            <w:shd w:val="clear" w:color="auto" w:fill="FFFFFF"/>
            <w:tcMar>
              <w:top w:w="40" w:type="dxa"/>
              <w:left w:w="20" w:type="dxa"/>
              <w:bottom w:w="40" w:type="dxa"/>
              <w:right w:w="20" w:type="dxa"/>
            </w:tcMar>
            <w:vAlign w:val="bottom"/>
          </w:tcPr>
          <w:p w14:paraId="7268E079" w14:textId="77777777" w:rsidR="005F762A" w:rsidRDefault="00D74111">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cash used in continuing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7A" w14:textId="77777777" w:rsidR="005F762A" w:rsidRDefault="00D74111">
            <w:pPr>
              <w:jc w:val="right"/>
              <w:textAlignment w:val="bottom"/>
            </w:pPr>
            <w:r>
              <w:rPr>
                <w:rFonts w:ascii="Arial" w:eastAsia="宋体" w:hAnsi="Arial" w:cs="Arial"/>
                <w:color w:val="000000"/>
                <w:sz w:val="18"/>
                <w:szCs w:val="18"/>
              </w:rPr>
              <w:t>(1,169)</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7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7C"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7D" w14:textId="77777777" w:rsidR="005F762A" w:rsidRDefault="00D74111">
            <w:pPr>
              <w:jc w:val="right"/>
              <w:textAlignment w:val="bottom"/>
            </w:pPr>
            <w:r>
              <w:rPr>
                <w:rFonts w:ascii="Arial" w:eastAsia="宋体" w:hAnsi="Arial" w:cs="Arial"/>
                <w:color w:val="000000"/>
                <w:sz w:val="18"/>
                <w:szCs w:val="18"/>
              </w:rPr>
              <w:t>(3,159)</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7E" w14:textId="77777777" w:rsidR="005F762A" w:rsidRDefault="005F762A">
            <w:pPr>
              <w:jc w:val="right"/>
              <w:rPr>
                <w:rFonts w:ascii="宋体"/>
              </w:rPr>
            </w:pPr>
          </w:p>
        </w:tc>
      </w:tr>
      <w:tr w:rsidR="005F762A" w14:paraId="7268E086" w14:textId="77777777">
        <w:trPr>
          <w:jc w:val="center"/>
        </w:trPr>
        <w:tc>
          <w:tcPr>
            <w:tcW w:w="0" w:type="auto"/>
            <w:gridSpan w:val="3"/>
            <w:shd w:val="clear" w:color="auto" w:fill="DDDDDD"/>
            <w:tcMar>
              <w:top w:w="40" w:type="dxa"/>
              <w:left w:w="20" w:type="dxa"/>
              <w:bottom w:w="40" w:type="dxa"/>
              <w:right w:w="20" w:type="dxa"/>
            </w:tcMar>
            <w:vAlign w:val="bottom"/>
          </w:tcPr>
          <w:p w14:paraId="7268E080" w14:textId="77777777" w:rsidR="005F762A" w:rsidRDefault="00D74111">
            <w:pPr>
              <w:textAlignment w:val="bottom"/>
            </w:pPr>
            <w:r>
              <w:rPr>
                <w:rFonts w:ascii="Arial" w:eastAsia="宋体" w:hAnsi="Arial" w:cs="Arial"/>
                <w:color w:val="000000"/>
                <w:sz w:val="18"/>
                <w:szCs w:val="18"/>
              </w:rPr>
              <w:t>Net cash used in discontinued financing activities</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81"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82"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83"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84" w14:textId="77777777" w:rsidR="005F762A" w:rsidRDefault="00D74111">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85" w14:textId="77777777" w:rsidR="005F762A" w:rsidRDefault="005F762A">
            <w:pPr>
              <w:jc w:val="right"/>
              <w:rPr>
                <w:rFonts w:ascii="宋体"/>
              </w:rPr>
            </w:pPr>
          </w:p>
        </w:tc>
      </w:tr>
      <w:tr w:rsidR="005F762A" w14:paraId="7268E08D" w14:textId="77777777">
        <w:trPr>
          <w:jc w:val="center"/>
        </w:trPr>
        <w:tc>
          <w:tcPr>
            <w:tcW w:w="0" w:type="auto"/>
            <w:gridSpan w:val="3"/>
            <w:shd w:val="clear" w:color="auto" w:fill="FFFFFF"/>
            <w:tcMar>
              <w:top w:w="40" w:type="dxa"/>
              <w:left w:w="755" w:type="dxa"/>
              <w:bottom w:w="40" w:type="dxa"/>
              <w:right w:w="20" w:type="dxa"/>
            </w:tcMar>
            <w:vAlign w:val="bottom"/>
          </w:tcPr>
          <w:p w14:paraId="7268E087" w14:textId="77777777" w:rsidR="005F762A" w:rsidRDefault="00D74111">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88" w14:textId="77777777" w:rsidR="005F762A" w:rsidRDefault="00D74111">
            <w:pPr>
              <w:jc w:val="right"/>
              <w:textAlignment w:val="bottom"/>
            </w:pPr>
            <w:r>
              <w:rPr>
                <w:rFonts w:ascii="Arial" w:eastAsia="宋体" w:hAnsi="Arial" w:cs="Arial"/>
                <w:color w:val="000000"/>
                <w:sz w:val="18"/>
                <w:szCs w:val="18"/>
              </w:rPr>
              <w:t>(1,169)</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8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8A"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8B" w14:textId="77777777" w:rsidR="005F762A" w:rsidRDefault="00D74111">
            <w:pPr>
              <w:jc w:val="right"/>
              <w:textAlignment w:val="bottom"/>
            </w:pPr>
            <w:r>
              <w:rPr>
                <w:rFonts w:ascii="Arial" w:eastAsia="宋体" w:hAnsi="Arial" w:cs="Arial"/>
                <w:color w:val="000000"/>
                <w:sz w:val="18"/>
                <w:szCs w:val="18"/>
              </w:rPr>
              <w:t>(3,161)</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8C" w14:textId="77777777" w:rsidR="005F762A" w:rsidRDefault="005F762A">
            <w:pPr>
              <w:jc w:val="right"/>
              <w:rPr>
                <w:rFonts w:ascii="宋体"/>
              </w:rPr>
            </w:pPr>
          </w:p>
        </w:tc>
      </w:tr>
      <w:tr w:rsidR="005F762A" w14:paraId="7268E094" w14:textId="77777777">
        <w:trPr>
          <w:jc w:val="center"/>
        </w:trPr>
        <w:tc>
          <w:tcPr>
            <w:tcW w:w="0" w:type="auto"/>
            <w:gridSpan w:val="3"/>
            <w:shd w:val="clear" w:color="auto" w:fill="DDDDDD"/>
            <w:tcMar>
              <w:top w:w="40" w:type="dxa"/>
              <w:left w:w="20" w:type="dxa"/>
              <w:bottom w:w="40" w:type="dxa"/>
              <w:right w:w="20" w:type="dxa"/>
            </w:tcMar>
            <w:vAlign w:val="bottom"/>
          </w:tcPr>
          <w:p w14:paraId="7268E08E" w14:textId="77777777" w:rsidR="005F762A" w:rsidRDefault="00D74111">
            <w:pPr>
              <w:textAlignment w:val="bottom"/>
            </w:pPr>
            <w:r>
              <w:rPr>
                <w:rFonts w:ascii="Arial" w:eastAsia="宋体" w:hAnsi="Arial" w:cs="Arial"/>
                <w:color w:val="000000"/>
                <w:sz w:val="18"/>
                <w:szCs w:val="18"/>
              </w:rPr>
              <w:t xml:space="preserve">Effect of exchange rate changes on cash, cash equivalents and </w:t>
            </w:r>
            <w:r>
              <w:rPr>
                <w:rFonts w:ascii="Arial" w:eastAsia="宋体" w:hAnsi="Arial" w:cs="Arial"/>
                <w:color w:val="000000"/>
                <w:sz w:val="18"/>
                <w:szCs w:val="18"/>
              </w:rPr>
              <w:t>restricted cash</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8F" w14:textId="77777777" w:rsidR="005F762A" w:rsidRDefault="00D74111">
            <w:pPr>
              <w:jc w:val="right"/>
              <w:textAlignment w:val="bottom"/>
            </w:pPr>
            <w:r>
              <w:rPr>
                <w:rFonts w:ascii="Arial" w:eastAsia="宋体" w:hAnsi="Arial" w:cs="Arial"/>
                <w:color w:val="000000"/>
                <w:sz w:val="18"/>
                <w:szCs w:val="18"/>
              </w:rPr>
              <w:t>(11)</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90"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91"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92" w14:textId="77777777" w:rsidR="005F762A" w:rsidRDefault="00D74111">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93" w14:textId="77777777" w:rsidR="005F762A" w:rsidRDefault="005F762A">
            <w:pPr>
              <w:jc w:val="right"/>
              <w:rPr>
                <w:rFonts w:ascii="宋体"/>
              </w:rPr>
            </w:pPr>
          </w:p>
        </w:tc>
      </w:tr>
      <w:tr w:rsidR="005F762A" w14:paraId="7268E09B" w14:textId="77777777">
        <w:trPr>
          <w:jc w:val="center"/>
        </w:trPr>
        <w:tc>
          <w:tcPr>
            <w:tcW w:w="0" w:type="auto"/>
            <w:gridSpan w:val="3"/>
            <w:shd w:val="clear" w:color="auto" w:fill="FFFFFF"/>
            <w:tcMar>
              <w:top w:w="40" w:type="dxa"/>
              <w:left w:w="20" w:type="dxa"/>
              <w:bottom w:w="40" w:type="dxa"/>
              <w:right w:w="20" w:type="dxa"/>
            </w:tcMar>
            <w:vAlign w:val="bottom"/>
          </w:tcPr>
          <w:p w14:paraId="7268E095" w14:textId="77777777" w:rsidR="005F762A" w:rsidRDefault="00D74111">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96" w14:textId="77777777" w:rsidR="005F762A" w:rsidRDefault="00D74111">
            <w:pPr>
              <w:jc w:val="right"/>
              <w:textAlignment w:val="bottom"/>
            </w:pPr>
            <w:r>
              <w:rPr>
                <w:rFonts w:ascii="Arial" w:eastAsia="宋体" w:hAnsi="Arial" w:cs="Arial"/>
                <w:color w:val="000000"/>
                <w:sz w:val="18"/>
                <w:szCs w:val="18"/>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9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98"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099" w14:textId="77777777" w:rsidR="005F762A" w:rsidRDefault="00D74111">
            <w:pPr>
              <w:jc w:val="right"/>
              <w:textAlignment w:val="bottom"/>
            </w:pPr>
            <w:r>
              <w:rPr>
                <w:rFonts w:ascii="Arial" w:eastAsia="宋体" w:hAnsi="Arial" w:cs="Arial"/>
                <w:color w:val="000000"/>
                <w:sz w:val="18"/>
                <w:szCs w:val="18"/>
              </w:rPr>
              <w:t>(97)</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9A" w14:textId="77777777" w:rsidR="005F762A" w:rsidRDefault="005F762A">
            <w:pPr>
              <w:jc w:val="right"/>
              <w:rPr>
                <w:rFonts w:ascii="宋体"/>
              </w:rPr>
            </w:pPr>
          </w:p>
        </w:tc>
      </w:tr>
      <w:tr w:rsidR="005F762A" w14:paraId="7268E0A2" w14:textId="77777777">
        <w:trPr>
          <w:jc w:val="center"/>
        </w:trPr>
        <w:tc>
          <w:tcPr>
            <w:tcW w:w="0" w:type="auto"/>
            <w:gridSpan w:val="3"/>
            <w:shd w:val="clear" w:color="auto" w:fill="DDDDDD"/>
            <w:tcMar>
              <w:top w:w="40" w:type="dxa"/>
              <w:left w:w="20" w:type="dxa"/>
              <w:bottom w:w="40" w:type="dxa"/>
              <w:right w:w="20" w:type="dxa"/>
            </w:tcMar>
            <w:vAlign w:val="bottom"/>
          </w:tcPr>
          <w:p w14:paraId="7268E09C" w14:textId="77777777" w:rsidR="005F762A" w:rsidRDefault="00D74111">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9D" w14:textId="77777777" w:rsidR="005F762A" w:rsidRDefault="00D74111">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9E"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9F" w14:textId="77777777" w:rsidR="005F762A" w:rsidRDefault="005F762A">
            <w:pPr>
              <w:rPr>
                <w:rFonts w:ascii="宋体"/>
              </w:rPr>
            </w:pPr>
          </w:p>
        </w:tc>
        <w:tc>
          <w:tcPr>
            <w:tcW w:w="0" w:type="auto"/>
            <w:gridSpan w:val="2"/>
            <w:tcBorders>
              <w:top w:val="single" w:sz="8" w:space="0" w:color="000000"/>
            </w:tcBorders>
            <w:shd w:val="clear" w:color="auto" w:fill="DDDDDD"/>
            <w:tcMar>
              <w:top w:w="40" w:type="dxa"/>
              <w:left w:w="20" w:type="dxa"/>
              <w:bottom w:w="40" w:type="dxa"/>
              <w:right w:w="0" w:type="dxa"/>
            </w:tcMar>
            <w:vAlign w:val="bottom"/>
          </w:tcPr>
          <w:p w14:paraId="7268E0A0" w14:textId="77777777" w:rsidR="005F762A" w:rsidRDefault="00D74111">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E0A1" w14:textId="77777777" w:rsidR="005F762A" w:rsidRDefault="005F762A">
            <w:pPr>
              <w:jc w:val="right"/>
              <w:rPr>
                <w:rFonts w:ascii="宋体"/>
              </w:rPr>
            </w:pPr>
          </w:p>
        </w:tc>
      </w:tr>
      <w:tr w:rsidR="005F762A" w14:paraId="7268E0AB" w14:textId="77777777">
        <w:trPr>
          <w:jc w:val="center"/>
        </w:trPr>
        <w:tc>
          <w:tcPr>
            <w:tcW w:w="0" w:type="auto"/>
            <w:gridSpan w:val="3"/>
            <w:shd w:val="clear" w:color="auto" w:fill="FFFFFF"/>
            <w:tcMar>
              <w:top w:w="40" w:type="dxa"/>
              <w:left w:w="20" w:type="dxa"/>
              <w:bottom w:w="40" w:type="dxa"/>
              <w:right w:w="20" w:type="dxa"/>
            </w:tcMar>
            <w:vAlign w:val="bottom"/>
          </w:tcPr>
          <w:p w14:paraId="7268E0A3" w14:textId="77777777" w:rsidR="005F762A" w:rsidRDefault="00D74111">
            <w:pPr>
              <w:textAlignment w:val="bottom"/>
            </w:pPr>
            <w:r>
              <w:rPr>
                <w:rFonts w:ascii="Arial" w:eastAsia="宋体" w:hAnsi="Arial" w:cs="Arial"/>
                <w:color w:val="000000"/>
                <w:sz w:val="18"/>
                <w:szCs w:val="18"/>
              </w:rPr>
              <w:t xml:space="preserve">Cash, cash equivalents and restricted cash at end of </w:t>
            </w:r>
            <w:r>
              <w:rPr>
                <w:rFonts w:ascii="Arial" w:eastAsia="宋体" w:hAnsi="Arial" w:cs="Arial"/>
                <w:color w:val="000000"/>
                <w:sz w:val="18"/>
                <w:szCs w:val="18"/>
              </w:rPr>
              <w:t>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268E0A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0A5" w14:textId="77777777" w:rsidR="005F762A" w:rsidRDefault="00D74111">
            <w:pPr>
              <w:jc w:val="right"/>
              <w:textAlignment w:val="bottom"/>
            </w:pPr>
            <w:r>
              <w:rPr>
                <w:rFonts w:ascii="Arial" w:eastAsia="宋体" w:hAnsi="Arial" w:cs="Arial"/>
                <w:color w:val="000000"/>
                <w:sz w:val="18"/>
                <w:szCs w:val="18"/>
              </w:rPr>
              <w:t>1,721 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A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A7"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0A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0A9" w14:textId="77777777" w:rsidR="005F762A" w:rsidRDefault="00D74111">
            <w:pPr>
              <w:jc w:val="right"/>
              <w:textAlignment w:val="bottom"/>
            </w:pPr>
            <w:r>
              <w:rPr>
                <w:rFonts w:ascii="Arial" w:eastAsia="宋体" w:hAnsi="Arial" w:cs="Arial"/>
                <w:color w:val="000000"/>
                <w:sz w:val="18"/>
                <w:szCs w:val="18"/>
              </w:rPr>
              <w:t>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AA" w14:textId="77777777" w:rsidR="005F762A" w:rsidRDefault="005F762A">
            <w:pPr>
              <w:jc w:val="right"/>
              <w:rPr>
                <w:rFonts w:ascii="宋体"/>
              </w:rPr>
            </w:pPr>
          </w:p>
        </w:tc>
      </w:tr>
      <w:tr w:rsidR="005F762A" w14:paraId="7268E0B2" w14:textId="77777777">
        <w:trPr>
          <w:jc w:val="center"/>
        </w:trPr>
        <w:tc>
          <w:tcPr>
            <w:tcW w:w="0" w:type="auto"/>
            <w:gridSpan w:val="3"/>
            <w:shd w:val="clear" w:color="auto" w:fill="DDDDDD"/>
            <w:tcMar>
              <w:top w:w="40" w:type="dxa"/>
              <w:left w:w="245" w:type="dxa"/>
              <w:bottom w:w="40" w:type="dxa"/>
              <w:right w:w="20" w:type="dxa"/>
            </w:tcMar>
            <w:vAlign w:val="bottom"/>
          </w:tcPr>
          <w:p w14:paraId="7268E0AC" w14:textId="77777777" w:rsidR="005F762A" w:rsidRDefault="00D74111">
            <w:pPr>
              <w:textAlignment w:val="bottom"/>
            </w:pPr>
            <w:r>
              <w:rPr>
                <w:rFonts w:ascii="Arial" w:eastAsia="宋体" w:hAnsi="Arial" w:cs="Arial"/>
                <w:color w:val="000000"/>
                <w:sz w:val="18"/>
                <w:szCs w:val="18"/>
              </w:rPr>
              <w:t>Less: Cash, cash equivalents and restricted cash of held for sale business</w:t>
            </w:r>
          </w:p>
        </w:tc>
        <w:tc>
          <w:tcPr>
            <w:tcW w:w="0" w:type="auto"/>
            <w:gridSpan w:val="2"/>
            <w:tcBorders>
              <w:top w:val="double" w:sz="6" w:space="0" w:color="000000"/>
            </w:tcBorders>
            <w:shd w:val="clear" w:color="auto" w:fill="DDDDDD"/>
            <w:tcMar>
              <w:top w:w="40" w:type="dxa"/>
              <w:left w:w="20" w:type="dxa"/>
              <w:bottom w:w="40" w:type="dxa"/>
              <w:right w:w="0" w:type="dxa"/>
            </w:tcMar>
            <w:vAlign w:val="bottom"/>
          </w:tcPr>
          <w:p w14:paraId="7268E0AD" w14:textId="77777777" w:rsidR="005F762A" w:rsidRDefault="00D74111">
            <w:pPr>
              <w:jc w:val="right"/>
              <w:textAlignment w:val="bottom"/>
            </w:pPr>
            <w:r>
              <w:rPr>
                <w:rFonts w:ascii="Arial" w:eastAsia="宋体" w:hAnsi="Arial" w:cs="Arial"/>
                <w:color w:val="000000"/>
                <w:sz w:val="18"/>
                <w:szCs w:val="18"/>
              </w:rPr>
              <w:t>31 </w:t>
            </w:r>
          </w:p>
        </w:tc>
        <w:tc>
          <w:tcPr>
            <w:tcW w:w="0" w:type="auto"/>
            <w:tcBorders>
              <w:top w:val="double" w:sz="6" w:space="0" w:color="000000"/>
            </w:tcBorders>
            <w:shd w:val="clear" w:color="auto" w:fill="DDDDDD"/>
            <w:tcMar>
              <w:top w:w="40" w:type="dxa"/>
              <w:left w:w="0" w:type="dxa"/>
              <w:bottom w:w="40" w:type="dxa"/>
              <w:right w:w="20" w:type="dxa"/>
            </w:tcMar>
            <w:vAlign w:val="bottom"/>
          </w:tcPr>
          <w:p w14:paraId="7268E0AE"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AF" w14:textId="77777777" w:rsidR="005F762A" w:rsidRDefault="005F762A">
            <w:pPr>
              <w:rPr>
                <w:rFonts w:ascii="宋体"/>
              </w:rPr>
            </w:pPr>
          </w:p>
        </w:tc>
        <w:tc>
          <w:tcPr>
            <w:tcW w:w="0" w:type="auto"/>
            <w:gridSpan w:val="2"/>
            <w:tcBorders>
              <w:top w:val="double" w:sz="6" w:space="0" w:color="000000"/>
            </w:tcBorders>
            <w:shd w:val="clear" w:color="auto" w:fill="DDDDDD"/>
            <w:tcMar>
              <w:top w:w="40" w:type="dxa"/>
              <w:left w:w="20" w:type="dxa"/>
              <w:bottom w:w="40" w:type="dxa"/>
              <w:right w:w="0" w:type="dxa"/>
            </w:tcMar>
            <w:vAlign w:val="bottom"/>
          </w:tcPr>
          <w:p w14:paraId="7268E0B0" w14:textId="77777777" w:rsidR="005F762A" w:rsidRDefault="00D74111">
            <w:pPr>
              <w:jc w:val="right"/>
              <w:textAlignment w:val="bottom"/>
            </w:pPr>
            <w:r>
              <w:rPr>
                <w:rFonts w:ascii="Arial" w:eastAsia="宋体" w:hAnsi="Arial" w:cs="Arial"/>
                <w:color w:val="000000"/>
                <w:sz w:val="18"/>
                <w:szCs w:val="18"/>
              </w:rPr>
              <w:t>16 </w:t>
            </w:r>
          </w:p>
        </w:tc>
        <w:tc>
          <w:tcPr>
            <w:tcW w:w="0" w:type="auto"/>
            <w:tcBorders>
              <w:top w:val="double" w:sz="6" w:space="0" w:color="000000"/>
            </w:tcBorders>
            <w:shd w:val="clear" w:color="auto" w:fill="DDDDDD"/>
            <w:tcMar>
              <w:top w:w="40" w:type="dxa"/>
              <w:left w:w="0" w:type="dxa"/>
              <w:bottom w:w="40" w:type="dxa"/>
              <w:right w:w="20" w:type="dxa"/>
            </w:tcMar>
            <w:vAlign w:val="bottom"/>
          </w:tcPr>
          <w:p w14:paraId="7268E0B1" w14:textId="77777777" w:rsidR="005F762A" w:rsidRDefault="005F762A">
            <w:pPr>
              <w:jc w:val="right"/>
              <w:rPr>
                <w:rFonts w:ascii="宋体"/>
              </w:rPr>
            </w:pPr>
          </w:p>
        </w:tc>
      </w:tr>
      <w:tr w:rsidR="005F762A" w14:paraId="7268E0B7" w14:textId="77777777">
        <w:trPr>
          <w:jc w:val="center"/>
          <w:hidden/>
        </w:trPr>
        <w:tc>
          <w:tcPr>
            <w:tcW w:w="0" w:type="auto"/>
            <w:gridSpan w:val="3"/>
            <w:shd w:val="clear" w:color="auto" w:fill="auto"/>
          </w:tcPr>
          <w:p w14:paraId="7268E0B3" w14:textId="77777777" w:rsidR="005F762A" w:rsidRDefault="005F762A">
            <w:pPr>
              <w:rPr>
                <w:rFonts w:ascii="宋体"/>
                <w:vanish/>
              </w:rPr>
            </w:pPr>
          </w:p>
        </w:tc>
        <w:tc>
          <w:tcPr>
            <w:tcW w:w="0" w:type="auto"/>
            <w:gridSpan w:val="3"/>
            <w:shd w:val="clear" w:color="auto" w:fill="auto"/>
          </w:tcPr>
          <w:p w14:paraId="7268E0B4" w14:textId="77777777" w:rsidR="005F762A" w:rsidRDefault="005F762A">
            <w:pPr>
              <w:rPr>
                <w:rFonts w:ascii="宋体"/>
                <w:vanish/>
              </w:rPr>
            </w:pPr>
          </w:p>
        </w:tc>
        <w:tc>
          <w:tcPr>
            <w:tcW w:w="0" w:type="auto"/>
            <w:gridSpan w:val="3"/>
            <w:shd w:val="clear" w:color="auto" w:fill="auto"/>
          </w:tcPr>
          <w:p w14:paraId="7268E0B5" w14:textId="77777777" w:rsidR="005F762A" w:rsidRDefault="005F762A">
            <w:pPr>
              <w:rPr>
                <w:rFonts w:ascii="宋体"/>
                <w:vanish/>
              </w:rPr>
            </w:pPr>
          </w:p>
        </w:tc>
        <w:tc>
          <w:tcPr>
            <w:tcW w:w="0" w:type="auto"/>
            <w:gridSpan w:val="3"/>
            <w:shd w:val="clear" w:color="auto" w:fill="auto"/>
          </w:tcPr>
          <w:p w14:paraId="7268E0B6" w14:textId="77777777" w:rsidR="005F762A" w:rsidRDefault="005F762A">
            <w:pPr>
              <w:rPr>
                <w:rFonts w:ascii="宋体"/>
                <w:vanish/>
              </w:rPr>
            </w:pPr>
          </w:p>
        </w:tc>
      </w:tr>
      <w:tr w:rsidR="005F762A" w14:paraId="7268E0C0" w14:textId="77777777">
        <w:trPr>
          <w:jc w:val="center"/>
        </w:trPr>
        <w:tc>
          <w:tcPr>
            <w:tcW w:w="0" w:type="auto"/>
            <w:gridSpan w:val="3"/>
            <w:shd w:val="clear" w:color="auto" w:fill="FFFFFF"/>
            <w:tcMar>
              <w:top w:w="40" w:type="dxa"/>
              <w:left w:w="20" w:type="dxa"/>
              <w:bottom w:w="40" w:type="dxa"/>
              <w:right w:w="20" w:type="dxa"/>
            </w:tcMar>
            <w:vAlign w:val="bottom"/>
          </w:tcPr>
          <w:p w14:paraId="7268E0B8" w14:textId="77777777" w:rsidR="005F762A" w:rsidRDefault="00D74111">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268E0B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0BA" w14:textId="77777777" w:rsidR="005F762A" w:rsidRDefault="00D74111">
            <w:pPr>
              <w:jc w:val="right"/>
              <w:textAlignment w:val="bottom"/>
            </w:pPr>
            <w:r>
              <w:rPr>
                <w:rFonts w:ascii="Arial" w:eastAsia="宋体" w:hAnsi="Arial" w:cs="Arial"/>
                <w:color w:val="000000"/>
                <w:sz w:val="18"/>
                <w:szCs w:val="18"/>
              </w:rPr>
              <w:t>1,690 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B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BC"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0B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0BE" w14:textId="77777777" w:rsidR="005F762A" w:rsidRDefault="00D74111">
            <w:pPr>
              <w:jc w:val="right"/>
              <w:textAlignment w:val="bottom"/>
            </w:pPr>
            <w:r>
              <w:rPr>
                <w:rFonts w:ascii="Arial" w:eastAsia="宋体" w:hAnsi="Arial" w:cs="Arial"/>
                <w:color w:val="000000"/>
                <w:sz w:val="18"/>
                <w:szCs w:val="18"/>
              </w:rPr>
              <w:t>883 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0BF" w14:textId="77777777" w:rsidR="005F762A" w:rsidRDefault="005F762A">
            <w:pPr>
              <w:jc w:val="right"/>
              <w:rPr>
                <w:rFonts w:ascii="宋体"/>
              </w:rPr>
            </w:pPr>
          </w:p>
        </w:tc>
      </w:tr>
      <w:tr w:rsidR="005F762A" w14:paraId="7268E0C5" w14:textId="77777777">
        <w:trPr>
          <w:trHeight w:val="120"/>
          <w:jc w:val="center"/>
        </w:trPr>
        <w:tc>
          <w:tcPr>
            <w:tcW w:w="0" w:type="auto"/>
            <w:gridSpan w:val="3"/>
            <w:shd w:val="clear" w:color="auto" w:fill="DDDDDD"/>
            <w:tcMar>
              <w:top w:w="0" w:type="dxa"/>
              <w:left w:w="20" w:type="dxa"/>
              <w:bottom w:w="0" w:type="dxa"/>
              <w:right w:w="20" w:type="dxa"/>
            </w:tcMar>
          </w:tcPr>
          <w:p w14:paraId="7268E0C1" w14:textId="77777777" w:rsidR="005F762A" w:rsidRDefault="005F762A">
            <w:pPr>
              <w:rPr>
                <w:rFonts w:ascii="宋体"/>
              </w:rPr>
            </w:pPr>
          </w:p>
        </w:tc>
        <w:tc>
          <w:tcPr>
            <w:tcW w:w="0" w:type="auto"/>
            <w:gridSpan w:val="3"/>
            <w:tcBorders>
              <w:top w:val="double" w:sz="6" w:space="0" w:color="000000"/>
            </w:tcBorders>
            <w:shd w:val="clear" w:color="auto" w:fill="DDDDDD"/>
            <w:tcMar>
              <w:top w:w="0" w:type="dxa"/>
              <w:left w:w="20" w:type="dxa"/>
              <w:bottom w:w="0" w:type="dxa"/>
              <w:right w:w="20" w:type="dxa"/>
            </w:tcMar>
          </w:tcPr>
          <w:p w14:paraId="7268E0C2"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E0C3" w14:textId="77777777" w:rsidR="005F762A" w:rsidRDefault="005F762A">
            <w:pPr>
              <w:rPr>
                <w:rFonts w:ascii="宋体"/>
              </w:rPr>
            </w:pPr>
          </w:p>
        </w:tc>
        <w:tc>
          <w:tcPr>
            <w:tcW w:w="0" w:type="auto"/>
            <w:gridSpan w:val="3"/>
            <w:tcBorders>
              <w:top w:val="double" w:sz="6" w:space="0" w:color="000000"/>
            </w:tcBorders>
            <w:shd w:val="clear" w:color="auto" w:fill="DDDDDD"/>
            <w:tcMar>
              <w:top w:w="0" w:type="dxa"/>
              <w:left w:w="20" w:type="dxa"/>
              <w:bottom w:w="0" w:type="dxa"/>
              <w:right w:w="20" w:type="dxa"/>
            </w:tcMar>
          </w:tcPr>
          <w:p w14:paraId="7268E0C4" w14:textId="77777777" w:rsidR="005F762A" w:rsidRDefault="005F762A">
            <w:pPr>
              <w:rPr>
                <w:rFonts w:ascii="宋体"/>
              </w:rPr>
            </w:pPr>
          </w:p>
        </w:tc>
      </w:tr>
      <w:tr w:rsidR="005F762A" w14:paraId="7268E0CA" w14:textId="77777777">
        <w:trPr>
          <w:jc w:val="center"/>
        </w:trPr>
        <w:tc>
          <w:tcPr>
            <w:tcW w:w="0" w:type="auto"/>
            <w:gridSpan w:val="3"/>
            <w:shd w:val="clear" w:color="auto" w:fill="FFFFFF"/>
            <w:tcMar>
              <w:top w:w="40" w:type="dxa"/>
              <w:left w:w="20" w:type="dxa"/>
              <w:bottom w:w="40" w:type="dxa"/>
              <w:right w:w="20" w:type="dxa"/>
            </w:tcMar>
            <w:vAlign w:val="bottom"/>
          </w:tcPr>
          <w:p w14:paraId="7268E0C6" w14:textId="77777777" w:rsidR="005F762A" w:rsidRDefault="00D74111">
            <w:pPr>
              <w:textAlignment w:val="bottom"/>
            </w:pPr>
            <w:r>
              <w:rPr>
                <w:rFonts w:ascii="Arial" w:eastAsia="宋体" w:hAnsi="Arial" w:cs="Arial"/>
                <w:color w:val="000000"/>
                <w:sz w:val="18"/>
                <w:szCs w:val="18"/>
              </w:rPr>
              <w:t xml:space="preserve">Supplemental cash flow </w:t>
            </w:r>
            <w:r>
              <w:rPr>
                <w:rFonts w:ascii="Arial" w:eastAsia="宋体" w:hAnsi="Arial" w:cs="Arial"/>
                <w:color w:val="000000"/>
                <w:sz w:val="18"/>
                <w:szCs w:val="18"/>
              </w:rPr>
              <w:t>disclosures:</w:t>
            </w:r>
          </w:p>
        </w:tc>
        <w:tc>
          <w:tcPr>
            <w:tcW w:w="0" w:type="auto"/>
            <w:gridSpan w:val="3"/>
            <w:shd w:val="clear" w:color="auto" w:fill="FFFFFF"/>
            <w:tcMar>
              <w:top w:w="0" w:type="dxa"/>
              <w:left w:w="20" w:type="dxa"/>
              <w:bottom w:w="0" w:type="dxa"/>
              <w:right w:w="20" w:type="dxa"/>
            </w:tcMar>
          </w:tcPr>
          <w:p w14:paraId="7268E0C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0C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0C9" w14:textId="77777777" w:rsidR="005F762A" w:rsidRDefault="005F762A">
            <w:pPr>
              <w:rPr>
                <w:rFonts w:ascii="宋体"/>
              </w:rPr>
            </w:pPr>
          </w:p>
        </w:tc>
      </w:tr>
      <w:tr w:rsidR="005F762A" w14:paraId="7268E0CF" w14:textId="77777777">
        <w:trPr>
          <w:jc w:val="center"/>
        </w:trPr>
        <w:tc>
          <w:tcPr>
            <w:tcW w:w="0" w:type="auto"/>
            <w:gridSpan w:val="3"/>
            <w:shd w:val="clear" w:color="auto" w:fill="DDDDDD"/>
            <w:tcMar>
              <w:top w:w="40" w:type="dxa"/>
              <w:left w:w="245" w:type="dxa"/>
              <w:bottom w:w="40" w:type="dxa"/>
              <w:right w:w="20" w:type="dxa"/>
            </w:tcMar>
            <w:vAlign w:val="bottom"/>
          </w:tcPr>
          <w:p w14:paraId="7268E0CB" w14:textId="77777777" w:rsidR="005F762A" w:rsidRDefault="00D74111">
            <w:pPr>
              <w:textAlignment w:val="bottom"/>
            </w:pPr>
            <w:r>
              <w:rPr>
                <w:rFonts w:ascii="Arial" w:eastAsia="宋体" w:hAnsi="Arial" w:cs="Arial"/>
                <w:color w:val="000000"/>
                <w:sz w:val="18"/>
                <w:szCs w:val="18"/>
              </w:rPr>
              <w:t>Cash paid for:</w:t>
            </w:r>
          </w:p>
        </w:tc>
        <w:tc>
          <w:tcPr>
            <w:tcW w:w="0" w:type="auto"/>
            <w:gridSpan w:val="3"/>
            <w:shd w:val="clear" w:color="auto" w:fill="DDDDDD"/>
            <w:tcMar>
              <w:top w:w="0" w:type="dxa"/>
              <w:left w:w="20" w:type="dxa"/>
              <w:bottom w:w="0" w:type="dxa"/>
              <w:right w:w="20" w:type="dxa"/>
            </w:tcMar>
          </w:tcPr>
          <w:p w14:paraId="7268E0CC"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E0CD"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E0CE" w14:textId="77777777" w:rsidR="005F762A" w:rsidRDefault="005F762A">
            <w:pPr>
              <w:rPr>
                <w:rFonts w:ascii="宋体"/>
              </w:rPr>
            </w:pPr>
          </w:p>
        </w:tc>
      </w:tr>
      <w:tr w:rsidR="005F762A" w14:paraId="7268E0D8" w14:textId="77777777">
        <w:trPr>
          <w:jc w:val="center"/>
        </w:trPr>
        <w:tc>
          <w:tcPr>
            <w:tcW w:w="0" w:type="auto"/>
            <w:gridSpan w:val="3"/>
            <w:shd w:val="clear" w:color="auto" w:fill="FFFFFF"/>
            <w:tcMar>
              <w:top w:w="40" w:type="dxa"/>
              <w:left w:w="515" w:type="dxa"/>
              <w:bottom w:w="40" w:type="dxa"/>
              <w:right w:w="20" w:type="dxa"/>
            </w:tcMar>
            <w:vAlign w:val="bottom"/>
          </w:tcPr>
          <w:p w14:paraId="7268E0D0" w14:textId="77777777" w:rsidR="005F762A" w:rsidRDefault="00D74111">
            <w:pPr>
              <w:textAlignment w:val="bottom"/>
            </w:pPr>
            <w:r>
              <w:rPr>
                <w:rFonts w:ascii="Arial" w:eastAsia="宋体" w:hAnsi="Arial" w:cs="Arial"/>
                <w:color w:val="000000"/>
                <w:sz w:val="18"/>
                <w:szCs w:val="18"/>
              </w:rPr>
              <w:t>Interest</w:t>
            </w:r>
          </w:p>
        </w:tc>
        <w:tc>
          <w:tcPr>
            <w:tcW w:w="0" w:type="auto"/>
            <w:shd w:val="clear" w:color="auto" w:fill="FFFFFF"/>
            <w:tcMar>
              <w:top w:w="40" w:type="dxa"/>
              <w:left w:w="20" w:type="dxa"/>
              <w:bottom w:w="40" w:type="dxa"/>
              <w:right w:w="0" w:type="dxa"/>
            </w:tcMar>
            <w:vAlign w:val="bottom"/>
          </w:tcPr>
          <w:p w14:paraId="7268E0D1"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0D2" w14:textId="77777777" w:rsidR="005F762A" w:rsidRDefault="00D74111">
            <w:pPr>
              <w:jc w:val="right"/>
              <w:textAlignment w:val="bottom"/>
            </w:pPr>
            <w:r>
              <w:rPr>
                <w:rFonts w:ascii="Arial" w:eastAsia="宋体" w:hAnsi="Arial" w:cs="Arial"/>
                <w:color w:val="000000"/>
                <w:sz w:val="18"/>
                <w:szCs w:val="18"/>
              </w:rPr>
              <w:t>104 </w:t>
            </w:r>
          </w:p>
        </w:tc>
        <w:tc>
          <w:tcPr>
            <w:tcW w:w="0" w:type="auto"/>
            <w:shd w:val="clear" w:color="auto" w:fill="FFFFFF"/>
            <w:tcMar>
              <w:top w:w="40" w:type="dxa"/>
              <w:left w:w="0" w:type="dxa"/>
              <w:bottom w:w="40" w:type="dxa"/>
              <w:right w:w="20" w:type="dxa"/>
            </w:tcMar>
            <w:vAlign w:val="bottom"/>
          </w:tcPr>
          <w:p w14:paraId="7268E0D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D4"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0D5"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0D6" w14:textId="77777777" w:rsidR="005F762A" w:rsidRDefault="00D74111">
            <w:pPr>
              <w:jc w:val="right"/>
              <w:textAlignment w:val="bottom"/>
            </w:pPr>
            <w:r>
              <w:rPr>
                <w:rFonts w:ascii="Arial" w:eastAsia="宋体" w:hAnsi="Arial" w:cs="Arial"/>
                <w:color w:val="000000"/>
                <w:sz w:val="18"/>
                <w:szCs w:val="18"/>
              </w:rPr>
              <w:t>90 </w:t>
            </w:r>
          </w:p>
        </w:tc>
        <w:tc>
          <w:tcPr>
            <w:tcW w:w="0" w:type="auto"/>
            <w:shd w:val="clear" w:color="auto" w:fill="FFFFFF"/>
            <w:tcMar>
              <w:top w:w="40" w:type="dxa"/>
              <w:left w:w="0" w:type="dxa"/>
              <w:bottom w:w="40" w:type="dxa"/>
              <w:right w:w="20" w:type="dxa"/>
            </w:tcMar>
            <w:vAlign w:val="bottom"/>
          </w:tcPr>
          <w:p w14:paraId="7268E0D7" w14:textId="77777777" w:rsidR="005F762A" w:rsidRDefault="005F762A">
            <w:pPr>
              <w:jc w:val="right"/>
              <w:rPr>
                <w:rFonts w:ascii="宋体"/>
              </w:rPr>
            </w:pPr>
          </w:p>
        </w:tc>
      </w:tr>
      <w:tr w:rsidR="005F762A" w14:paraId="7268E0E1" w14:textId="77777777">
        <w:trPr>
          <w:jc w:val="center"/>
        </w:trPr>
        <w:tc>
          <w:tcPr>
            <w:tcW w:w="0" w:type="auto"/>
            <w:gridSpan w:val="3"/>
            <w:shd w:val="clear" w:color="auto" w:fill="DDDDDD"/>
            <w:tcMar>
              <w:top w:w="40" w:type="dxa"/>
              <w:left w:w="515" w:type="dxa"/>
              <w:bottom w:w="40" w:type="dxa"/>
              <w:right w:w="20" w:type="dxa"/>
            </w:tcMar>
            <w:vAlign w:val="bottom"/>
          </w:tcPr>
          <w:p w14:paraId="7268E0D9" w14:textId="77777777" w:rsidR="005F762A" w:rsidRDefault="00D74111">
            <w:pPr>
              <w:textAlignment w:val="bottom"/>
            </w:pPr>
            <w:r>
              <w:rPr>
                <w:rFonts w:ascii="Arial" w:eastAsia="宋体" w:hAnsi="Arial" w:cs="Arial"/>
                <w:color w:val="000000"/>
                <w:sz w:val="18"/>
                <w:szCs w:val="18"/>
              </w:rPr>
              <w:t>Interest on finance lease obligations</w:t>
            </w:r>
          </w:p>
        </w:tc>
        <w:tc>
          <w:tcPr>
            <w:tcW w:w="0" w:type="auto"/>
            <w:shd w:val="clear" w:color="auto" w:fill="DDDDDD"/>
            <w:tcMar>
              <w:top w:w="40" w:type="dxa"/>
              <w:left w:w="20" w:type="dxa"/>
              <w:bottom w:w="40" w:type="dxa"/>
              <w:right w:w="0" w:type="dxa"/>
            </w:tcMar>
            <w:vAlign w:val="bottom"/>
          </w:tcPr>
          <w:p w14:paraId="7268E0DA" w14:textId="77777777" w:rsidR="005F762A" w:rsidRDefault="00D74111">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7268E0D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7268E0DC"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E0DD" w14:textId="77777777" w:rsidR="005F762A" w:rsidRDefault="005F762A">
            <w:pPr>
              <w:rPr>
                <w:rFonts w:ascii="宋体"/>
              </w:rPr>
            </w:pPr>
          </w:p>
        </w:tc>
        <w:tc>
          <w:tcPr>
            <w:tcW w:w="0" w:type="auto"/>
            <w:shd w:val="clear" w:color="auto" w:fill="DDDDDD"/>
            <w:tcMar>
              <w:top w:w="40" w:type="dxa"/>
              <w:left w:w="20" w:type="dxa"/>
              <w:bottom w:w="40" w:type="dxa"/>
              <w:right w:w="0" w:type="dxa"/>
            </w:tcMar>
            <w:vAlign w:val="bottom"/>
          </w:tcPr>
          <w:p w14:paraId="7268E0DE" w14:textId="77777777" w:rsidR="005F762A" w:rsidRDefault="00D74111">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7268E0DF" w14:textId="77777777" w:rsidR="005F762A" w:rsidRDefault="00D74111">
            <w:pPr>
              <w:jc w:val="right"/>
              <w:textAlignment w:val="bottom"/>
            </w:pPr>
            <w:r>
              <w:rPr>
                <w:rFonts w:ascii="Arial" w:eastAsia="宋体" w:hAnsi="Arial" w:cs="Arial"/>
                <w:color w:val="000000"/>
                <w:sz w:val="18"/>
                <w:szCs w:val="18"/>
              </w:rPr>
              <w:t>3 </w:t>
            </w:r>
          </w:p>
        </w:tc>
        <w:tc>
          <w:tcPr>
            <w:tcW w:w="0" w:type="auto"/>
            <w:shd w:val="clear" w:color="auto" w:fill="DDDDDD"/>
            <w:tcMar>
              <w:top w:w="40" w:type="dxa"/>
              <w:left w:w="0" w:type="dxa"/>
              <w:bottom w:w="40" w:type="dxa"/>
              <w:right w:w="20" w:type="dxa"/>
            </w:tcMar>
            <w:vAlign w:val="bottom"/>
          </w:tcPr>
          <w:p w14:paraId="7268E0E0" w14:textId="77777777" w:rsidR="005F762A" w:rsidRDefault="005F762A">
            <w:pPr>
              <w:jc w:val="right"/>
              <w:rPr>
                <w:rFonts w:ascii="宋体"/>
              </w:rPr>
            </w:pPr>
          </w:p>
        </w:tc>
      </w:tr>
      <w:tr w:rsidR="005F762A" w14:paraId="7268E0EA" w14:textId="77777777">
        <w:trPr>
          <w:jc w:val="center"/>
        </w:trPr>
        <w:tc>
          <w:tcPr>
            <w:tcW w:w="0" w:type="auto"/>
            <w:gridSpan w:val="3"/>
            <w:shd w:val="clear" w:color="auto" w:fill="FFFFFF"/>
            <w:tcMar>
              <w:top w:w="40" w:type="dxa"/>
              <w:left w:w="515" w:type="dxa"/>
              <w:bottom w:w="40" w:type="dxa"/>
              <w:right w:w="20" w:type="dxa"/>
            </w:tcMar>
            <w:vAlign w:val="bottom"/>
          </w:tcPr>
          <w:p w14:paraId="7268E0E2" w14:textId="77777777" w:rsidR="005F762A" w:rsidRDefault="00D74111">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7268E0E3"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0E4" w14:textId="77777777" w:rsidR="005F762A" w:rsidRDefault="00D74111">
            <w:pPr>
              <w:jc w:val="right"/>
              <w:textAlignment w:val="bottom"/>
            </w:pPr>
            <w:r>
              <w:rPr>
                <w:rFonts w:ascii="Arial" w:eastAsia="宋体" w:hAnsi="Arial" w:cs="Arial"/>
                <w:color w:val="000000"/>
                <w:sz w:val="18"/>
                <w:szCs w:val="18"/>
              </w:rPr>
              <w:t>93 </w:t>
            </w:r>
          </w:p>
        </w:tc>
        <w:tc>
          <w:tcPr>
            <w:tcW w:w="0" w:type="auto"/>
            <w:shd w:val="clear" w:color="auto" w:fill="FFFFFF"/>
            <w:tcMar>
              <w:top w:w="40" w:type="dxa"/>
              <w:left w:w="0" w:type="dxa"/>
              <w:bottom w:w="40" w:type="dxa"/>
              <w:right w:w="20" w:type="dxa"/>
            </w:tcMar>
            <w:vAlign w:val="bottom"/>
          </w:tcPr>
          <w:p w14:paraId="7268E0E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0E6"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0E7"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0E8" w14:textId="77777777" w:rsidR="005F762A" w:rsidRDefault="00D74111">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7268E0E9" w14:textId="77777777" w:rsidR="005F762A" w:rsidRDefault="005F762A">
            <w:pPr>
              <w:jc w:val="right"/>
              <w:rPr>
                <w:rFonts w:ascii="宋体"/>
              </w:rPr>
            </w:pPr>
          </w:p>
        </w:tc>
      </w:tr>
      <w:tr w:rsidR="005F762A" w14:paraId="7268E0EF" w14:textId="77777777">
        <w:trPr>
          <w:jc w:val="center"/>
          <w:hidden/>
        </w:trPr>
        <w:tc>
          <w:tcPr>
            <w:tcW w:w="0" w:type="auto"/>
            <w:gridSpan w:val="3"/>
            <w:shd w:val="clear" w:color="auto" w:fill="auto"/>
          </w:tcPr>
          <w:p w14:paraId="7268E0EB" w14:textId="77777777" w:rsidR="005F762A" w:rsidRDefault="005F762A">
            <w:pPr>
              <w:rPr>
                <w:rFonts w:ascii="宋体"/>
                <w:vanish/>
              </w:rPr>
            </w:pPr>
          </w:p>
        </w:tc>
        <w:tc>
          <w:tcPr>
            <w:tcW w:w="0" w:type="auto"/>
            <w:gridSpan w:val="3"/>
            <w:shd w:val="clear" w:color="auto" w:fill="auto"/>
          </w:tcPr>
          <w:p w14:paraId="7268E0EC" w14:textId="77777777" w:rsidR="005F762A" w:rsidRDefault="005F762A">
            <w:pPr>
              <w:rPr>
                <w:rFonts w:ascii="宋体"/>
                <w:vanish/>
              </w:rPr>
            </w:pPr>
          </w:p>
        </w:tc>
        <w:tc>
          <w:tcPr>
            <w:tcW w:w="0" w:type="auto"/>
            <w:gridSpan w:val="3"/>
            <w:shd w:val="clear" w:color="auto" w:fill="auto"/>
          </w:tcPr>
          <w:p w14:paraId="7268E0ED" w14:textId="77777777" w:rsidR="005F762A" w:rsidRDefault="005F762A">
            <w:pPr>
              <w:rPr>
                <w:rFonts w:ascii="宋体"/>
                <w:vanish/>
              </w:rPr>
            </w:pPr>
          </w:p>
        </w:tc>
        <w:tc>
          <w:tcPr>
            <w:tcW w:w="0" w:type="auto"/>
            <w:gridSpan w:val="3"/>
            <w:shd w:val="clear" w:color="auto" w:fill="auto"/>
          </w:tcPr>
          <w:p w14:paraId="7268E0EE" w14:textId="77777777" w:rsidR="005F762A" w:rsidRDefault="005F762A">
            <w:pPr>
              <w:rPr>
                <w:rFonts w:ascii="宋体"/>
                <w:vanish/>
              </w:rPr>
            </w:pPr>
          </w:p>
        </w:tc>
      </w:tr>
      <w:tr w:rsidR="005F762A" w14:paraId="7268E0F4" w14:textId="77777777">
        <w:trPr>
          <w:jc w:val="center"/>
          <w:hidden/>
        </w:trPr>
        <w:tc>
          <w:tcPr>
            <w:tcW w:w="0" w:type="auto"/>
            <w:gridSpan w:val="3"/>
            <w:shd w:val="clear" w:color="auto" w:fill="auto"/>
          </w:tcPr>
          <w:p w14:paraId="7268E0F0" w14:textId="77777777" w:rsidR="005F762A" w:rsidRDefault="005F762A">
            <w:pPr>
              <w:rPr>
                <w:rFonts w:ascii="宋体"/>
                <w:vanish/>
              </w:rPr>
            </w:pPr>
          </w:p>
        </w:tc>
        <w:tc>
          <w:tcPr>
            <w:tcW w:w="0" w:type="auto"/>
            <w:gridSpan w:val="3"/>
            <w:shd w:val="clear" w:color="auto" w:fill="auto"/>
          </w:tcPr>
          <w:p w14:paraId="7268E0F1" w14:textId="77777777" w:rsidR="005F762A" w:rsidRDefault="005F762A">
            <w:pPr>
              <w:rPr>
                <w:rFonts w:ascii="宋体"/>
                <w:vanish/>
              </w:rPr>
            </w:pPr>
          </w:p>
        </w:tc>
        <w:tc>
          <w:tcPr>
            <w:tcW w:w="0" w:type="auto"/>
            <w:gridSpan w:val="3"/>
            <w:shd w:val="clear" w:color="auto" w:fill="auto"/>
          </w:tcPr>
          <w:p w14:paraId="7268E0F2" w14:textId="77777777" w:rsidR="005F762A" w:rsidRDefault="005F762A">
            <w:pPr>
              <w:rPr>
                <w:rFonts w:ascii="宋体"/>
                <w:vanish/>
              </w:rPr>
            </w:pPr>
          </w:p>
        </w:tc>
        <w:tc>
          <w:tcPr>
            <w:tcW w:w="0" w:type="auto"/>
            <w:gridSpan w:val="3"/>
            <w:shd w:val="clear" w:color="auto" w:fill="auto"/>
          </w:tcPr>
          <w:p w14:paraId="7268E0F3" w14:textId="77777777" w:rsidR="005F762A" w:rsidRDefault="005F762A">
            <w:pPr>
              <w:rPr>
                <w:rFonts w:ascii="宋体"/>
                <w:vanish/>
              </w:rPr>
            </w:pPr>
          </w:p>
        </w:tc>
      </w:tr>
      <w:tr w:rsidR="005F762A" w14:paraId="7268E0F9" w14:textId="77777777">
        <w:trPr>
          <w:jc w:val="center"/>
          <w:hidden/>
        </w:trPr>
        <w:tc>
          <w:tcPr>
            <w:tcW w:w="0" w:type="auto"/>
            <w:gridSpan w:val="3"/>
            <w:shd w:val="clear" w:color="auto" w:fill="auto"/>
          </w:tcPr>
          <w:p w14:paraId="7268E0F5" w14:textId="77777777" w:rsidR="005F762A" w:rsidRDefault="005F762A">
            <w:pPr>
              <w:rPr>
                <w:rFonts w:ascii="宋体"/>
                <w:vanish/>
              </w:rPr>
            </w:pPr>
          </w:p>
        </w:tc>
        <w:tc>
          <w:tcPr>
            <w:tcW w:w="0" w:type="auto"/>
            <w:gridSpan w:val="3"/>
            <w:shd w:val="clear" w:color="auto" w:fill="auto"/>
          </w:tcPr>
          <w:p w14:paraId="7268E0F6" w14:textId="77777777" w:rsidR="005F762A" w:rsidRDefault="005F762A">
            <w:pPr>
              <w:rPr>
                <w:rFonts w:ascii="宋体"/>
                <w:vanish/>
              </w:rPr>
            </w:pPr>
          </w:p>
        </w:tc>
        <w:tc>
          <w:tcPr>
            <w:tcW w:w="0" w:type="auto"/>
            <w:gridSpan w:val="3"/>
            <w:shd w:val="clear" w:color="auto" w:fill="auto"/>
          </w:tcPr>
          <w:p w14:paraId="7268E0F7" w14:textId="77777777" w:rsidR="005F762A" w:rsidRDefault="005F762A">
            <w:pPr>
              <w:rPr>
                <w:rFonts w:ascii="宋体"/>
                <w:vanish/>
              </w:rPr>
            </w:pPr>
          </w:p>
        </w:tc>
        <w:tc>
          <w:tcPr>
            <w:tcW w:w="0" w:type="auto"/>
            <w:gridSpan w:val="3"/>
            <w:shd w:val="clear" w:color="auto" w:fill="auto"/>
          </w:tcPr>
          <w:p w14:paraId="7268E0F8" w14:textId="77777777" w:rsidR="005F762A" w:rsidRDefault="005F762A">
            <w:pPr>
              <w:rPr>
                <w:rFonts w:ascii="宋体"/>
                <w:vanish/>
              </w:rPr>
            </w:pPr>
          </w:p>
        </w:tc>
      </w:tr>
    </w:tbl>
    <w:p w14:paraId="7268E0FA" w14:textId="77777777" w:rsidR="005F762A" w:rsidRDefault="005F762A">
      <w:pPr>
        <w:jc w:val="center"/>
      </w:pPr>
    </w:p>
    <w:p w14:paraId="7268E0FB" w14:textId="77777777" w:rsidR="005F762A" w:rsidRDefault="00D74111">
      <w:pPr>
        <w:jc w:val="center"/>
      </w:pPr>
      <w:r>
        <w:rPr>
          <w:rFonts w:ascii="Arial" w:eastAsia="宋体" w:hAnsi="Arial" w:cs="Arial"/>
          <w:color w:val="000000"/>
          <w:sz w:val="18"/>
          <w:szCs w:val="18"/>
        </w:rPr>
        <w:t xml:space="preserve">The accompanying notes are an integral part of these condensed consolidated financial </w:t>
      </w:r>
      <w:r>
        <w:rPr>
          <w:rFonts w:ascii="Arial" w:eastAsia="宋体" w:hAnsi="Arial" w:cs="Arial"/>
          <w:color w:val="000000"/>
          <w:sz w:val="18"/>
          <w:szCs w:val="18"/>
        </w:rPr>
        <w:t>statements.</w:t>
      </w:r>
    </w:p>
    <w:p w14:paraId="7268E0FC" w14:textId="77777777" w:rsidR="005F762A" w:rsidRDefault="005F762A">
      <w:pPr>
        <w:jc w:val="center"/>
      </w:pPr>
    </w:p>
    <w:p w14:paraId="7268E0FD" w14:textId="77777777" w:rsidR="005F762A" w:rsidRDefault="00D74111">
      <w:pPr>
        <w:jc w:val="center"/>
      </w:pPr>
      <w:r>
        <w:rPr>
          <w:rFonts w:ascii="Arial" w:eastAsia="宋体" w:hAnsi="Arial" w:cs="Arial"/>
          <w:color w:val="000000"/>
          <w:sz w:val="20"/>
          <w:szCs w:val="20"/>
        </w:rPr>
        <w:t>6</w:t>
      </w:r>
    </w:p>
    <w:p w14:paraId="7268E0FE" w14:textId="77777777" w:rsidR="005F762A" w:rsidRDefault="00D74111">
      <w:r>
        <w:pict w14:anchorId="72690145">
          <v:rect id="_x0000_i1030" style="width:415.3pt;height:1.5pt" o:hralign="center" o:hrstd="t" o:hr="t" fillcolor="#a0a0a0" stroked="f"/>
        </w:pict>
      </w:r>
    </w:p>
    <w:p w14:paraId="7268E0FF" w14:textId="77777777" w:rsidR="005F762A" w:rsidRDefault="005F762A"/>
    <w:p w14:paraId="7268E100" w14:textId="77777777" w:rsidR="005F762A" w:rsidRDefault="00D74111">
      <w:pPr>
        <w:jc w:val="center"/>
      </w:pPr>
      <w:r>
        <w:rPr>
          <w:rFonts w:ascii="Arial" w:eastAsia="宋体" w:hAnsi="Arial" w:cs="Arial"/>
          <w:b/>
          <w:bCs/>
          <w:color w:val="000000"/>
          <w:sz w:val="20"/>
          <w:szCs w:val="20"/>
        </w:rPr>
        <w:t xml:space="preserve">eBay Inc. </w:t>
      </w:r>
    </w:p>
    <w:p w14:paraId="7268E101" w14:textId="77777777" w:rsidR="005F762A" w:rsidRDefault="00D74111">
      <w:pPr>
        <w:spacing w:before="80"/>
        <w:jc w:val="center"/>
      </w:pPr>
      <w:r>
        <w:rPr>
          <w:rFonts w:ascii="Arial" w:eastAsia="宋体" w:hAnsi="Arial" w:cs="Arial"/>
          <w:b/>
          <w:bCs/>
          <w:color w:val="000000"/>
          <w:sz w:val="20"/>
          <w:szCs w:val="20"/>
        </w:rPr>
        <w:t xml:space="preserve">NOTES TO CONDENSED CONSOLIDATED FINANCIAL STATEMENTS </w:t>
      </w:r>
    </w:p>
    <w:p w14:paraId="7268E102" w14:textId="77777777" w:rsidR="005F762A" w:rsidRDefault="00D74111">
      <w:pPr>
        <w:jc w:val="center"/>
      </w:pPr>
      <w:r>
        <w:rPr>
          <w:rFonts w:ascii="Arial" w:eastAsia="宋体" w:hAnsi="Arial" w:cs="Arial"/>
          <w:b/>
          <w:bCs/>
          <w:color w:val="000000"/>
          <w:sz w:val="20"/>
          <w:szCs w:val="20"/>
        </w:rPr>
        <w:t>(Unaudited)</w:t>
      </w:r>
    </w:p>
    <w:p w14:paraId="7268E103" w14:textId="77777777" w:rsidR="005F762A" w:rsidRDefault="00D74111">
      <w:pPr>
        <w:jc w:val="both"/>
      </w:pPr>
      <w:r>
        <w:rPr>
          <w:rFonts w:ascii="Arial" w:eastAsia="宋体" w:hAnsi="Arial" w:cs="Arial"/>
          <w:b/>
          <w:bCs/>
          <w:color w:val="000000"/>
          <w:sz w:val="20"/>
          <w:szCs w:val="20"/>
        </w:rPr>
        <w:t xml:space="preserve">Note 1 — The Company and Summary of Significant Accounting Policies </w:t>
      </w:r>
    </w:p>
    <w:p w14:paraId="7268E104" w14:textId="77777777" w:rsidR="005F762A" w:rsidRDefault="005F762A">
      <w:pPr>
        <w:jc w:val="both"/>
      </w:pPr>
    </w:p>
    <w:p w14:paraId="7268E105" w14:textId="77777777" w:rsidR="005F762A" w:rsidRDefault="00D74111">
      <w:pPr>
        <w:ind w:firstLine="270"/>
        <w:jc w:val="both"/>
      </w:pPr>
      <w:r>
        <w:rPr>
          <w:rFonts w:ascii="Arial" w:eastAsia="宋体" w:hAnsi="Arial" w:cs="Arial"/>
          <w:b/>
          <w:bCs/>
          <w:i/>
          <w:iCs/>
          <w:color w:val="000000"/>
          <w:sz w:val="20"/>
          <w:szCs w:val="20"/>
        </w:rPr>
        <w:t xml:space="preserve">The Company </w:t>
      </w:r>
    </w:p>
    <w:p w14:paraId="7268E106" w14:textId="77777777" w:rsidR="005F762A" w:rsidRDefault="005F762A">
      <w:pPr>
        <w:jc w:val="both"/>
      </w:pPr>
    </w:p>
    <w:p w14:paraId="7268E107" w14:textId="77777777" w:rsidR="005F762A" w:rsidRDefault="00D74111">
      <w:pPr>
        <w:ind w:firstLine="540"/>
        <w:jc w:val="both"/>
      </w:pPr>
      <w:r>
        <w:rPr>
          <w:rFonts w:ascii="Arial" w:eastAsia="宋体" w:hAnsi="Arial" w:cs="Arial"/>
          <w:color w:val="000000"/>
          <w:sz w:val="20"/>
          <w:szCs w:val="20"/>
        </w:rPr>
        <w:t xml:space="preserve">eBay Inc. is a global commerce leader, which includes our </w:t>
      </w:r>
      <w:r>
        <w:rPr>
          <w:rFonts w:ascii="Arial" w:eastAsia="宋体" w:hAnsi="Arial" w:cs="Arial"/>
          <w:color w:val="000000"/>
          <w:sz w:val="20"/>
          <w:szCs w:val="20"/>
        </w:rPr>
        <w:t>Marketplace platforms. Founded in 1995 in San Jose, California, eBay is one of the world’s largest and most vibrant marketplaces for discovering great value and unique selection. Collectively, we connect millions of buyers and sellers around the world, emp</w:t>
      </w:r>
      <w:r>
        <w:rPr>
          <w:rFonts w:ascii="Arial" w:eastAsia="宋体" w:hAnsi="Arial" w:cs="Arial"/>
          <w:color w:val="000000"/>
          <w:sz w:val="20"/>
          <w:szCs w:val="20"/>
        </w:rPr>
        <w:t>owering people and creating opportunity for all through our technology. Our technologies and services are designed to give buyers choice and a breadth of relevant inventory and to enable sellers worldwide to organize and offer their inventory for sale, vir</w:t>
      </w:r>
      <w:r>
        <w:rPr>
          <w:rFonts w:ascii="Arial" w:eastAsia="宋体" w:hAnsi="Arial" w:cs="Arial"/>
          <w:color w:val="000000"/>
          <w:sz w:val="20"/>
          <w:szCs w:val="20"/>
        </w:rPr>
        <w:t>tually anytime and anywhere. </w:t>
      </w:r>
    </w:p>
    <w:p w14:paraId="7268E108" w14:textId="77777777" w:rsidR="005F762A" w:rsidRDefault="005F762A">
      <w:pPr>
        <w:ind w:firstLine="540"/>
        <w:jc w:val="both"/>
      </w:pPr>
    </w:p>
    <w:p w14:paraId="7268E109" w14:textId="77777777" w:rsidR="005F762A" w:rsidRDefault="00D74111">
      <w:pPr>
        <w:ind w:firstLine="540"/>
        <w:jc w:val="both"/>
      </w:pPr>
      <w:r>
        <w:rPr>
          <w:rFonts w:ascii="Arial" w:eastAsia="宋体" w:hAnsi="Arial" w:cs="Arial"/>
          <w:color w:val="000000"/>
          <w:sz w:val="20"/>
          <w:szCs w:val="20"/>
        </w:rPr>
        <w:t>When we refer to “we,” “our,” “us,” the “Company” or “eBay” in this Quarterly Report on Form 10-Q, we mean the current Delaware corporation (eBay Inc.) and its consolidated subsidiaries, unless otherwise expressly stated or t</w:t>
      </w:r>
      <w:r>
        <w:rPr>
          <w:rFonts w:ascii="Arial" w:eastAsia="宋体" w:hAnsi="Arial" w:cs="Arial"/>
          <w:color w:val="000000"/>
          <w:sz w:val="20"/>
          <w:szCs w:val="20"/>
        </w:rPr>
        <w:t>he context otherwise requires.</w:t>
      </w:r>
    </w:p>
    <w:p w14:paraId="7268E10A" w14:textId="77777777" w:rsidR="005F762A" w:rsidRDefault="005F762A">
      <w:pPr>
        <w:ind w:firstLine="540"/>
        <w:jc w:val="both"/>
      </w:pPr>
    </w:p>
    <w:p w14:paraId="7268E10B" w14:textId="77777777" w:rsidR="005F762A" w:rsidRDefault="00D74111">
      <w:pPr>
        <w:ind w:firstLine="540"/>
        <w:jc w:val="both"/>
      </w:pPr>
      <w:r>
        <w:rPr>
          <w:rFonts w:ascii="Arial" w:eastAsia="宋体" w:hAnsi="Arial" w:cs="Arial"/>
          <w:color w:val="000000"/>
          <w:sz w:val="20"/>
          <w:szCs w:val="20"/>
        </w:rPr>
        <w:t>On July 20, 2020, we entered into a definitive agreement with Adevinta ASA (“Adevinta”) to transfer our Classifieds business to Adevinta for $2.5 billion in cash, subject to certain adjustments, and approximately 540 million</w:t>
      </w:r>
      <w:r>
        <w:rPr>
          <w:rFonts w:ascii="Arial" w:eastAsia="宋体" w:hAnsi="Arial" w:cs="Arial"/>
          <w:color w:val="000000"/>
          <w:sz w:val="20"/>
          <w:szCs w:val="20"/>
        </w:rPr>
        <w:t xml:space="preserve"> shares in Adevinta. Together, the total consideration payable under the definitive agreement is valued at approximately $9.2 billion, based on the closing trading price of Adevinta’s outstanding shares on the Oslo Stock Exchange on July 17, 2020. We belie</w:t>
      </w:r>
      <w:r>
        <w:rPr>
          <w:rFonts w:ascii="Arial" w:eastAsia="宋体" w:hAnsi="Arial" w:cs="Arial"/>
          <w:color w:val="000000"/>
          <w:sz w:val="20"/>
          <w:szCs w:val="20"/>
        </w:rPr>
        <w:t>ve the transaction will close in the second quarter of 2021. Completion of the transaction is subject to certain conditions, including receipt of certain regulatory approvals and other customary closing conditions. If the conditions to the closing of the t</w:t>
      </w:r>
      <w:r>
        <w:rPr>
          <w:rFonts w:ascii="Arial" w:eastAsia="宋体" w:hAnsi="Arial" w:cs="Arial"/>
          <w:color w:val="000000"/>
          <w:sz w:val="20"/>
          <w:szCs w:val="20"/>
        </w:rPr>
        <w:t>ransfer of Classifieds are neither satisfied nor, where permissible, waived on a timely basis or at all, we may be unable to complete the transfer of Classifieds or such completion may be delayed beyond our expected timeline. As a result of entering into a</w:t>
      </w:r>
      <w:r>
        <w:rPr>
          <w:rFonts w:ascii="Arial" w:eastAsia="宋体" w:hAnsi="Arial" w:cs="Arial"/>
          <w:color w:val="000000"/>
          <w:sz w:val="20"/>
          <w:szCs w:val="20"/>
        </w:rPr>
        <w:t xml:space="preserve"> definitive agreement, we have classified the related assets and liabilities associated with our Classifieds business as held for sale in our condensed consolidated balance sheet. The results of our Classifieds business have been presented as discontinued </w:t>
      </w:r>
      <w:r>
        <w:rPr>
          <w:rFonts w:ascii="Arial" w:eastAsia="宋体" w:hAnsi="Arial" w:cs="Arial"/>
          <w:color w:val="000000"/>
          <w:sz w:val="20"/>
          <w:szCs w:val="20"/>
        </w:rPr>
        <w:t xml:space="preserve">operations in our condensed consolidated statement of income for all periods presented as the transfer represents a strategic shift in our business that has a major effect on our operations and financial results. See “Note 3 – Discontinued Operations” for </w:t>
      </w:r>
      <w:r>
        <w:rPr>
          <w:rFonts w:ascii="Arial" w:eastAsia="宋体" w:hAnsi="Arial" w:cs="Arial"/>
          <w:color w:val="000000"/>
          <w:sz w:val="20"/>
          <w:szCs w:val="20"/>
        </w:rPr>
        <w:t>additional information.</w:t>
      </w:r>
    </w:p>
    <w:p w14:paraId="7268E10C" w14:textId="77777777" w:rsidR="005F762A" w:rsidRDefault="005F762A"/>
    <w:p w14:paraId="7268E10D" w14:textId="77777777" w:rsidR="005F762A" w:rsidRDefault="00D74111">
      <w:pPr>
        <w:ind w:firstLine="270"/>
        <w:jc w:val="both"/>
      </w:pPr>
      <w:r>
        <w:rPr>
          <w:rFonts w:ascii="Arial" w:eastAsia="宋体" w:hAnsi="Arial" w:cs="Arial"/>
          <w:b/>
          <w:bCs/>
          <w:i/>
          <w:iCs/>
          <w:color w:val="000000"/>
          <w:sz w:val="20"/>
          <w:szCs w:val="20"/>
        </w:rPr>
        <w:t xml:space="preserve">Use of Estimates </w:t>
      </w:r>
    </w:p>
    <w:p w14:paraId="7268E10E" w14:textId="77777777" w:rsidR="005F762A" w:rsidRDefault="005F762A">
      <w:pPr>
        <w:jc w:val="both"/>
      </w:pPr>
    </w:p>
    <w:p w14:paraId="7268E10F" w14:textId="77777777" w:rsidR="005F762A" w:rsidRDefault="00D74111">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w:t>
      </w:r>
      <w:r>
        <w:rPr>
          <w:rFonts w:ascii="Arial" w:eastAsia="宋体" w:hAnsi="Arial" w:cs="Arial"/>
          <w:color w:val="000000"/>
          <w:sz w:val="20"/>
          <w:szCs w:val="20"/>
        </w:rPr>
        <w:t xml:space="preserve">ted amounts of assets and liabilities and disclosure of contingent assets and liabilities at the date of the condensed consolidated financial statements and the reported amounts of revenues and expenses during the reporting period. On an ongoing basis, we </w:t>
      </w:r>
      <w:r>
        <w:rPr>
          <w:rFonts w:ascii="Arial" w:eastAsia="宋体" w:hAnsi="Arial" w:cs="Arial"/>
          <w:color w:val="000000"/>
          <w:sz w:val="20"/>
          <w:szCs w:val="20"/>
        </w:rPr>
        <w:t>evaluate our estimates, including those related to provisions for transaction losses, legal contingencies, income taxes, revenue recognition, stock-based compensation, investments, goodwill and the recoverability of intangible assets. We base our estimates</w:t>
      </w:r>
      <w:r>
        <w:rPr>
          <w:rFonts w:ascii="Arial" w:eastAsia="宋体" w:hAnsi="Arial" w:cs="Arial"/>
          <w:color w:val="000000"/>
          <w:sz w:val="20"/>
          <w:szCs w:val="20"/>
        </w:rPr>
        <w:t xml:space="preserve"> on historical experience and on various other assumptions that we believe to be reasonable under the circumstances. Actual results could differ from those estimates. </w:t>
      </w:r>
    </w:p>
    <w:p w14:paraId="7268E110" w14:textId="77777777" w:rsidR="005F762A" w:rsidRDefault="005F762A">
      <w:pPr>
        <w:jc w:val="both"/>
      </w:pPr>
    </w:p>
    <w:p w14:paraId="7268E111" w14:textId="77777777" w:rsidR="005F762A" w:rsidRDefault="00D74111">
      <w:pPr>
        <w:ind w:firstLine="270"/>
        <w:jc w:val="both"/>
      </w:pPr>
      <w:r>
        <w:rPr>
          <w:rFonts w:ascii="Arial" w:eastAsia="宋体" w:hAnsi="Arial" w:cs="Arial"/>
          <w:b/>
          <w:bCs/>
          <w:i/>
          <w:iCs/>
          <w:color w:val="000000"/>
          <w:sz w:val="20"/>
          <w:szCs w:val="20"/>
        </w:rPr>
        <w:t xml:space="preserve">Principles of Consolidation and Basis of Presentation </w:t>
      </w:r>
    </w:p>
    <w:p w14:paraId="7268E112" w14:textId="77777777" w:rsidR="005F762A" w:rsidRDefault="005F762A">
      <w:pPr>
        <w:jc w:val="both"/>
      </w:pPr>
    </w:p>
    <w:p w14:paraId="7268E113" w14:textId="77777777" w:rsidR="005F762A" w:rsidRDefault="00D74111">
      <w:pPr>
        <w:ind w:firstLine="540"/>
        <w:jc w:val="both"/>
      </w:pPr>
      <w:r>
        <w:rPr>
          <w:rFonts w:ascii="Arial" w:eastAsia="宋体" w:hAnsi="Arial" w:cs="Arial"/>
          <w:color w:val="000000"/>
          <w:sz w:val="20"/>
          <w:szCs w:val="20"/>
        </w:rPr>
        <w:t>The accompanying condensed fina</w:t>
      </w:r>
      <w:r>
        <w:rPr>
          <w:rFonts w:ascii="Arial" w:eastAsia="宋体" w:hAnsi="Arial" w:cs="Arial"/>
          <w:color w:val="000000"/>
          <w:sz w:val="20"/>
          <w:szCs w:val="20"/>
        </w:rPr>
        <w:t>ncial statements are consolidated and include the financial statements of eBay Inc., our wholly and majority-owned subsidiaries and variable interest entities (“VIE”) where we are the primary beneficiary. All intercompany balances and transactions have bee</w:t>
      </w:r>
      <w:r>
        <w:rPr>
          <w:rFonts w:ascii="Arial" w:eastAsia="宋体" w:hAnsi="Arial" w:cs="Arial"/>
          <w:color w:val="000000"/>
          <w:sz w:val="20"/>
          <w:szCs w:val="20"/>
        </w:rPr>
        <w:t>n eliminated in consolidation. Minority interests are recorded as a noncontrolling interest. A qualitative approach is applied to assess the consolidation requirement for VIEs. Investments in entities where we hold at least a 20% ownership interest and hav</w:t>
      </w:r>
      <w:r>
        <w:rPr>
          <w:rFonts w:ascii="Arial" w:eastAsia="宋体" w:hAnsi="Arial" w:cs="Arial"/>
          <w:color w:val="000000"/>
          <w:sz w:val="20"/>
          <w:szCs w:val="20"/>
        </w:rPr>
        <w:t xml:space="preserve">e the ability to exercise significant influence, but not control, over the investee are accounted for using the equity method of accounting. For such investments, our share of the investees’ results of operations is included in interest and other, net and </w:t>
      </w:r>
      <w:r>
        <w:rPr>
          <w:rFonts w:ascii="Arial" w:eastAsia="宋体" w:hAnsi="Arial" w:cs="Arial"/>
          <w:color w:val="000000"/>
          <w:sz w:val="20"/>
          <w:szCs w:val="20"/>
        </w:rPr>
        <w:t>our investment balance is included in long-term investments. Investments in entities where we hold less than a 20% ownership interest are generally accounted for as equity investments to be measured at fair value or, under an election, at cost if it does n</w:t>
      </w:r>
      <w:r>
        <w:rPr>
          <w:rFonts w:ascii="Arial" w:eastAsia="宋体" w:hAnsi="Arial" w:cs="Arial"/>
          <w:color w:val="000000"/>
          <w:sz w:val="20"/>
          <w:szCs w:val="20"/>
        </w:rPr>
        <w:t xml:space="preserve">ot have readily determinable fair value, in which case the carrying value would be </w:t>
      </w:r>
    </w:p>
    <w:p w14:paraId="7268E114" w14:textId="77777777" w:rsidR="005F762A" w:rsidRDefault="005F762A">
      <w:pPr>
        <w:jc w:val="center"/>
      </w:pPr>
    </w:p>
    <w:p w14:paraId="7268E115" w14:textId="77777777" w:rsidR="005F762A" w:rsidRDefault="00D74111">
      <w:pPr>
        <w:jc w:val="center"/>
      </w:pPr>
      <w:r>
        <w:rPr>
          <w:rFonts w:ascii="Arial" w:eastAsia="宋体" w:hAnsi="Arial" w:cs="Arial"/>
          <w:color w:val="000000"/>
          <w:sz w:val="20"/>
          <w:szCs w:val="20"/>
        </w:rPr>
        <w:t>7</w:t>
      </w:r>
    </w:p>
    <w:p w14:paraId="7268E116" w14:textId="77777777" w:rsidR="005F762A" w:rsidRDefault="00D74111">
      <w:r>
        <w:pict w14:anchorId="72690146">
          <v:rect id="_x0000_i1031" style="width:415.3pt;height:1.5pt" o:hralign="center" o:hrstd="t" o:hr="t" fillcolor="#a0a0a0" stroked="f"/>
        </w:pict>
      </w:r>
    </w:p>
    <w:p w14:paraId="7268E117" w14:textId="77777777" w:rsidR="005F762A" w:rsidRDefault="005F762A">
      <w:pPr>
        <w:jc w:val="center"/>
      </w:pPr>
    </w:p>
    <w:p w14:paraId="7268E118" w14:textId="77777777" w:rsidR="005F762A" w:rsidRDefault="00D74111">
      <w:pPr>
        <w:jc w:val="center"/>
      </w:pPr>
      <w:r>
        <w:rPr>
          <w:rFonts w:ascii="Arial" w:eastAsia="宋体" w:hAnsi="Arial" w:cs="Arial"/>
          <w:b/>
          <w:bCs/>
          <w:color w:val="000000"/>
          <w:sz w:val="20"/>
          <w:szCs w:val="20"/>
        </w:rPr>
        <w:t>eBay Inc.</w:t>
      </w:r>
    </w:p>
    <w:p w14:paraId="7268E119"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11A" w14:textId="77777777" w:rsidR="005F762A" w:rsidRDefault="00D74111">
      <w:pPr>
        <w:jc w:val="both"/>
      </w:pPr>
      <w:r>
        <w:rPr>
          <w:rFonts w:ascii="Arial" w:eastAsia="宋体" w:hAnsi="Arial" w:cs="Arial"/>
          <w:color w:val="000000"/>
          <w:sz w:val="20"/>
          <w:szCs w:val="20"/>
        </w:rPr>
        <w:t xml:space="preserve">adjusted upon the occurrence of an observable price change in an orderly transaction for identical or similar instruments or impairment. </w:t>
      </w:r>
    </w:p>
    <w:p w14:paraId="7268E11B" w14:textId="77777777" w:rsidR="005F762A" w:rsidRDefault="005F762A">
      <w:pPr>
        <w:ind w:firstLine="540"/>
        <w:jc w:val="both"/>
      </w:pPr>
    </w:p>
    <w:p w14:paraId="7268E11C" w14:textId="77777777" w:rsidR="005F762A" w:rsidRDefault="00D74111">
      <w:pPr>
        <w:ind w:firstLine="540"/>
        <w:jc w:val="both"/>
      </w:pPr>
      <w:r>
        <w:rPr>
          <w:rFonts w:ascii="Arial" w:eastAsia="宋体" w:hAnsi="Arial" w:cs="Arial"/>
          <w:color w:val="000000"/>
          <w:sz w:val="20"/>
          <w:szCs w:val="20"/>
        </w:rPr>
        <w:t>These condensed consolidated financial statements and accompanying notes should be read in conjunction with the audit</w:t>
      </w:r>
      <w:r>
        <w:rPr>
          <w:rFonts w:ascii="Arial" w:eastAsia="宋体" w:hAnsi="Arial" w:cs="Arial"/>
          <w:color w:val="000000"/>
          <w:sz w:val="20"/>
          <w:szCs w:val="20"/>
        </w:rPr>
        <w:t>ed consolidated financial statements and accompanying notes included in our Annual Report on Form 10-K for the year ended December 31, 2020. We have evaluated all subsequent events through the date these condensed consolidated financial statements were iss</w:t>
      </w:r>
      <w:r>
        <w:rPr>
          <w:rFonts w:ascii="Arial" w:eastAsia="宋体" w:hAnsi="Arial" w:cs="Arial"/>
          <w:color w:val="000000"/>
          <w:sz w:val="20"/>
          <w:szCs w:val="20"/>
        </w:rPr>
        <w:t>ued. In the opinion of management, these condensed consolidated financial statements reflect all adjustments, consisting only of normal recurring adjustments, which are necessary for the fair statement of the condensed consolidated financial position, resu</w:t>
      </w:r>
      <w:r>
        <w:rPr>
          <w:rFonts w:ascii="Arial" w:eastAsia="宋体" w:hAnsi="Arial" w:cs="Arial"/>
          <w:color w:val="000000"/>
          <w:sz w:val="20"/>
          <w:szCs w:val="20"/>
        </w:rPr>
        <w:t xml:space="preserve">lts of operations and cash flows for these interim periods. </w:t>
      </w:r>
    </w:p>
    <w:p w14:paraId="7268E11D" w14:textId="77777777" w:rsidR="005F762A" w:rsidRDefault="005F762A">
      <w:pPr>
        <w:ind w:firstLine="540"/>
        <w:jc w:val="both"/>
      </w:pPr>
    </w:p>
    <w:p w14:paraId="7268E11E" w14:textId="77777777" w:rsidR="005F762A" w:rsidRDefault="00D74111">
      <w:pPr>
        <w:ind w:firstLine="270"/>
        <w:jc w:val="both"/>
      </w:pPr>
      <w:r>
        <w:rPr>
          <w:rFonts w:ascii="Arial" w:eastAsia="宋体" w:hAnsi="Arial" w:cs="Arial"/>
          <w:b/>
          <w:bCs/>
          <w:i/>
          <w:iCs/>
          <w:color w:val="000000"/>
          <w:sz w:val="20"/>
          <w:szCs w:val="20"/>
        </w:rPr>
        <w:t>Significant Accounting Policies</w:t>
      </w:r>
    </w:p>
    <w:p w14:paraId="7268E11F" w14:textId="77777777" w:rsidR="005F762A" w:rsidRDefault="005F762A">
      <w:pPr>
        <w:ind w:firstLine="540"/>
        <w:jc w:val="both"/>
      </w:pPr>
    </w:p>
    <w:p w14:paraId="7268E120" w14:textId="77777777" w:rsidR="005F762A" w:rsidRDefault="00D74111">
      <w:pPr>
        <w:ind w:firstLine="540"/>
        <w:jc w:val="both"/>
      </w:pPr>
      <w:r>
        <w:rPr>
          <w:rFonts w:ascii="Arial" w:eastAsia="宋体" w:hAnsi="Arial" w:cs="Arial"/>
          <w:color w:val="000000"/>
          <w:sz w:val="20"/>
          <w:szCs w:val="20"/>
        </w:rPr>
        <w:t>Notwithstanding the updates to our policies below to include intermediation of managed payments, the</w:t>
      </w:r>
      <w:r>
        <w:rPr>
          <w:rFonts w:ascii="Arial" w:eastAsia="宋体" w:hAnsi="Arial" w:cs="Arial"/>
          <w:color w:val="000000"/>
          <w:sz w:val="20"/>
          <w:szCs w:val="20"/>
          <w:shd w:val="clear" w:color="auto" w:fill="FFFFFF"/>
        </w:rPr>
        <w:t xml:space="preserve">re were no significant changes to our significant accounting </w:t>
      </w:r>
      <w:r>
        <w:rPr>
          <w:rFonts w:ascii="Arial" w:eastAsia="宋体" w:hAnsi="Arial" w:cs="Arial"/>
          <w:color w:val="000000"/>
          <w:sz w:val="20"/>
          <w:szCs w:val="20"/>
          <w:shd w:val="clear" w:color="auto" w:fill="FFFFFF"/>
        </w:rPr>
        <w:t xml:space="preserve">policies disclosed in “Note 1 – The Company and Summary of Significant Accounting Policies” of our Annual Report on Form 10-K for the year ended </w:t>
      </w:r>
      <w:r>
        <w:rPr>
          <w:rFonts w:ascii="Arial" w:eastAsia="宋体" w:hAnsi="Arial" w:cs="Arial"/>
          <w:color w:val="000000"/>
          <w:sz w:val="20"/>
          <w:szCs w:val="20"/>
        </w:rPr>
        <w:t>December 31, 2020</w:t>
      </w:r>
      <w:r>
        <w:rPr>
          <w:rFonts w:ascii="Arial" w:eastAsia="宋体" w:hAnsi="Arial" w:cs="Arial"/>
          <w:color w:val="000000"/>
          <w:sz w:val="20"/>
          <w:szCs w:val="20"/>
          <w:shd w:val="clear" w:color="auto" w:fill="FFFFFF"/>
        </w:rPr>
        <w:t xml:space="preserve">. </w:t>
      </w:r>
    </w:p>
    <w:p w14:paraId="7268E121" w14:textId="77777777" w:rsidR="005F762A" w:rsidRDefault="005F762A">
      <w:pPr>
        <w:ind w:firstLine="270"/>
        <w:jc w:val="both"/>
      </w:pPr>
    </w:p>
    <w:p w14:paraId="7268E122" w14:textId="77777777" w:rsidR="005F762A" w:rsidRDefault="00D74111">
      <w:pPr>
        <w:ind w:firstLine="270"/>
        <w:jc w:val="both"/>
      </w:pPr>
      <w:r>
        <w:rPr>
          <w:rFonts w:ascii="Arial" w:eastAsia="宋体" w:hAnsi="Arial" w:cs="Arial"/>
          <w:b/>
          <w:bCs/>
          <w:i/>
          <w:iCs/>
          <w:color w:val="000000"/>
          <w:sz w:val="20"/>
          <w:szCs w:val="20"/>
        </w:rPr>
        <w:t xml:space="preserve">Revenue recognition </w:t>
      </w:r>
    </w:p>
    <w:p w14:paraId="7268E123" w14:textId="77777777" w:rsidR="005F762A" w:rsidRDefault="005F762A">
      <w:pPr>
        <w:ind w:firstLine="270"/>
        <w:jc w:val="both"/>
      </w:pPr>
    </w:p>
    <w:p w14:paraId="7268E124" w14:textId="77777777" w:rsidR="005F762A" w:rsidRDefault="00D74111">
      <w:pPr>
        <w:ind w:firstLine="540"/>
        <w:jc w:val="both"/>
      </w:pPr>
      <w:r>
        <w:rPr>
          <w:rFonts w:ascii="Arial" w:eastAsia="宋体" w:hAnsi="Arial" w:cs="Arial"/>
          <w:color w:val="000000"/>
          <w:sz w:val="20"/>
          <w:szCs w:val="20"/>
        </w:rPr>
        <w:t>We recognize revenue when we transfer control of promised goods or s</w:t>
      </w:r>
      <w:r>
        <w:rPr>
          <w:rFonts w:ascii="Arial" w:eastAsia="宋体" w:hAnsi="Arial" w:cs="Arial"/>
          <w:color w:val="000000"/>
          <w:sz w:val="20"/>
          <w:szCs w:val="20"/>
        </w:rPr>
        <w:t>ervices to customers in an amount that reflects the consideration to which we expect to be entitled in exchange for those goods or services. Revenue is recognized net of any taxes collected, which are subsequently remitted to governmental authorities.</w:t>
      </w:r>
    </w:p>
    <w:p w14:paraId="7268E125" w14:textId="77777777" w:rsidR="005F762A" w:rsidRDefault="005F762A">
      <w:pPr>
        <w:ind w:firstLine="540"/>
        <w:jc w:val="both"/>
      </w:pPr>
    </w:p>
    <w:p w14:paraId="7268E126" w14:textId="77777777" w:rsidR="005F762A" w:rsidRDefault="00D74111">
      <w:pPr>
        <w:ind w:firstLine="243"/>
        <w:jc w:val="both"/>
      </w:pPr>
      <w:r>
        <w:rPr>
          <w:rFonts w:ascii="Arial" w:eastAsia="宋体" w:hAnsi="Arial" w:cs="Arial"/>
          <w:i/>
          <w:iCs/>
          <w:color w:val="000000"/>
          <w:sz w:val="20"/>
          <w:szCs w:val="20"/>
        </w:rPr>
        <w:t>Net</w:t>
      </w:r>
      <w:r>
        <w:rPr>
          <w:rFonts w:ascii="Arial" w:eastAsia="宋体" w:hAnsi="Arial" w:cs="Arial"/>
          <w:i/>
          <w:iCs/>
          <w:color w:val="000000"/>
          <w:sz w:val="20"/>
          <w:szCs w:val="20"/>
        </w:rPr>
        <w:t xml:space="preserve"> transaction revenues</w:t>
      </w:r>
    </w:p>
    <w:p w14:paraId="7268E127" w14:textId="77777777" w:rsidR="005F762A" w:rsidRDefault="005F762A">
      <w:pPr>
        <w:ind w:firstLine="243"/>
        <w:jc w:val="both"/>
      </w:pPr>
    </w:p>
    <w:p w14:paraId="7268E128" w14:textId="77777777" w:rsidR="005F762A" w:rsidRDefault="00D74111">
      <w:pPr>
        <w:ind w:firstLine="540"/>
        <w:jc w:val="both"/>
      </w:pPr>
      <w:r>
        <w:rPr>
          <w:rFonts w:ascii="Arial" w:eastAsia="宋体" w:hAnsi="Arial" w:cs="Arial"/>
          <w:color w:val="000000"/>
          <w:sz w:val="20"/>
          <w:szCs w:val="20"/>
        </w:rPr>
        <w:t xml:space="preserve">Our net transaction revenues primarily include final value fees, feature fees, including fees to promote listings, and listing fees from sellers in our Marketplace. Our net transaction revenues also include store </w:t>
      </w:r>
      <w:r>
        <w:rPr>
          <w:rFonts w:ascii="Arial" w:eastAsia="宋体" w:hAnsi="Arial" w:cs="Arial"/>
          <w:color w:val="000000"/>
          <w:sz w:val="20"/>
          <w:szCs w:val="20"/>
        </w:rPr>
        <w:t>subscription and other fees often from large enterprise sellers. Our net transaction revenues are reduced by incentives provided to our customers.</w:t>
      </w:r>
    </w:p>
    <w:p w14:paraId="7268E129" w14:textId="77777777" w:rsidR="005F762A" w:rsidRDefault="005F762A">
      <w:pPr>
        <w:ind w:firstLine="486"/>
        <w:jc w:val="both"/>
      </w:pPr>
    </w:p>
    <w:p w14:paraId="7268E12A" w14:textId="77777777" w:rsidR="005F762A" w:rsidRDefault="00D74111">
      <w:pPr>
        <w:ind w:firstLine="540"/>
        <w:jc w:val="both"/>
      </w:pPr>
      <w:r>
        <w:rPr>
          <w:rFonts w:ascii="Arial" w:eastAsia="宋体" w:hAnsi="Arial" w:cs="Arial"/>
          <w:color w:val="000000"/>
          <w:sz w:val="20"/>
          <w:szCs w:val="20"/>
        </w:rPr>
        <w:t xml:space="preserve">We identified one performance obligation to sellers on our Marketplace platform, which is to connect buyers </w:t>
      </w:r>
      <w:r>
        <w:rPr>
          <w:rFonts w:ascii="Arial" w:eastAsia="宋体" w:hAnsi="Arial" w:cs="Arial"/>
          <w:color w:val="000000"/>
          <w:sz w:val="20"/>
          <w:szCs w:val="20"/>
        </w:rPr>
        <w:t>and sellers on our secure and trusted Marketplace platforms, including payment processing activities. Final value fees are recognized when an item is sold on a Marketplace platform, satisfying this performance obligation. There may be additional services a</w:t>
      </w:r>
      <w:r>
        <w:rPr>
          <w:rFonts w:ascii="Arial" w:eastAsia="宋体" w:hAnsi="Arial" w:cs="Arial"/>
          <w:color w:val="000000"/>
          <w:sz w:val="20"/>
          <w:szCs w:val="20"/>
        </w:rPr>
        <w:t>vailable to Marketplace sellers, mainly to promote or feature listings, that are not distinct within the context of the contract. Accordingly, fees for these additional services are recognized when the single performance obligation is satisfied. Promoted l</w:t>
      </w:r>
      <w:r>
        <w:rPr>
          <w:rFonts w:ascii="Arial" w:eastAsia="宋体" w:hAnsi="Arial" w:cs="Arial"/>
          <w:color w:val="000000"/>
          <w:sz w:val="20"/>
          <w:szCs w:val="20"/>
        </w:rPr>
        <w:t>isting fees are recognized when the item is sold and feature and listing fees are recognized when an item is sold, or when the contract expires.</w:t>
      </w:r>
    </w:p>
    <w:p w14:paraId="7268E12B" w14:textId="77777777" w:rsidR="005F762A" w:rsidRDefault="005F762A">
      <w:pPr>
        <w:ind w:firstLine="486"/>
        <w:jc w:val="both"/>
      </w:pPr>
    </w:p>
    <w:p w14:paraId="7268E12C" w14:textId="77777777" w:rsidR="005F762A" w:rsidRDefault="00D74111">
      <w:pPr>
        <w:ind w:firstLine="540"/>
        <w:jc w:val="both"/>
      </w:pPr>
      <w:r>
        <w:rPr>
          <w:rFonts w:ascii="Arial" w:eastAsia="宋体" w:hAnsi="Arial" w:cs="Arial"/>
          <w:color w:val="000000"/>
          <w:sz w:val="20"/>
          <w:szCs w:val="20"/>
        </w:rPr>
        <w:t>Store subscription and other nonstandard listing contracts may contain multiple performance obligations, inclu</w:t>
      </w:r>
      <w:r>
        <w:rPr>
          <w:rFonts w:ascii="Arial" w:eastAsia="宋体" w:hAnsi="Arial" w:cs="Arial"/>
          <w:color w:val="000000"/>
          <w:sz w:val="20"/>
          <w:szCs w:val="20"/>
        </w:rPr>
        <w:t>ding discounts on future services. Determining whether performance obligations should be accounted for separately or combined may require significant judgment. The transaction price is allocated to each performance obligation based on its stand-alone selli</w:t>
      </w:r>
      <w:r>
        <w:rPr>
          <w:rFonts w:ascii="Arial" w:eastAsia="宋体" w:hAnsi="Arial" w:cs="Arial"/>
          <w:color w:val="000000"/>
          <w:sz w:val="20"/>
          <w:szCs w:val="20"/>
        </w:rPr>
        <w:t>ng price (“SSP”). In instances where SSP is not directly observable, we generally estimate selling prices based on when they are sold to customers of a similar nature and geography. These estimates are generally based on pricing strategies, market factors,</w:t>
      </w:r>
      <w:r>
        <w:rPr>
          <w:rFonts w:ascii="Arial" w:eastAsia="宋体" w:hAnsi="Arial" w:cs="Arial"/>
          <w:color w:val="000000"/>
          <w:sz w:val="20"/>
          <w:szCs w:val="20"/>
        </w:rPr>
        <w:t xml:space="preserve"> strategic objectives and observable inputs. Store subscription revenues are recognized over the subscription period, and discounts offered through store subscription or nonstandard listing contracts are recognized when the options are exercised or when th</w:t>
      </w:r>
      <w:r>
        <w:rPr>
          <w:rFonts w:ascii="Arial" w:eastAsia="宋体" w:hAnsi="Arial" w:cs="Arial"/>
          <w:color w:val="000000"/>
          <w:sz w:val="20"/>
          <w:szCs w:val="20"/>
        </w:rPr>
        <w:t xml:space="preserve">e options expire. </w:t>
      </w:r>
    </w:p>
    <w:p w14:paraId="7268E12D" w14:textId="77777777" w:rsidR="005F762A" w:rsidRDefault="005F762A">
      <w:pPr>
        <w:ind w:firstLine="486"/>
        <w:jc w:val="both"/>
      </w:pPr>
    </w:p>
    <w:p w14:paraId="7268E12E" w14:textId="77777777" w:rsidR="005F762A" w:rsidRDefault="00D74111">
      <w:pPr>
        <w:ind w:firstLine="540"/>
        <w:jc w:val="both"/>
      </w:pPr>
      <w:r>
        <w:rPr>
          <w:rFonts w:ascii="Arial" w:eastAsia="宋体" w:hAnsi="Arial" w:cs="Arial"/>
          <w:color w:val="000000"/>
          <w:sz w:val="20"/>
          <w:szCs w:val="20"/>
        </w:rPr>
        <w:t>Further, to drive traffic to our platforms, we provide incentives to buyers and sellers in various forms including discounts on fees, discounts on items sold, coupons and rewards. Evaluating whether a promotion or incentive is a payment</w:t>
      </w:r>
      <w:r>
        <w:rPr>
          <w:rFonts w:ascii="Arial" w:eastAsia="宋体" w:hAnsi="Arial" w:cs="Arial"/>
          <w:color w:val="000000"/>
          <w:sz w:val="20"/>
          <w:szCs w:val="20"/>
        </w:rPr>
        <w:t xml:space="preserve"> to a customer may require significant judgment. Promotions and incentives which are consideration payable to a customer are recognized as a reduction of revenue at the later of when revenue is recognized or when we pay or promise to pay the incentive. Pro</w:t>
      </w:r>
      <w:r>
        <w:rPr>
          <w:rFonts w:ascii="Arial" w:eastAsia="宋体" w:hAnsi="Arial" w:cs="Arial"/>
          <w:color w:val="000000"/>
          <w:sz w:val="20"/>
          <w:szCs w:val="20"/>
        </w:rPr>
        <w:t>motions and incentives to most buyers on our Marketplace platforms, to whom we have no performance obligation, are recognized as sales and marketing expense. In addition, we may provide credits to customers when we refund certain fees. Credits are accounte</w:t>
      </w:r>
      <w:r>
        <w:rPr>
          <w:rFonts w:ascii="Arial" w:eastAsia="宋体" w:hAnsi="Arial" w:cs="Arial"/>
          <w:color w:val="000000"/>
          <w:sz w:val="20"/>
          <w:szCs w:val="20"/>
        </w:rPr>
        <w:t>d for as variable consideration at contract inception when estimating the amount of revenue to be recognized when a performance obligation is satisfied to the extent that it is probable that a significant reversal of revenue will not occur and updated as a</w:t>
      </w:r>
      <w:r>
        <w:rPr>
          <w:rFonts w:ascii="Arial" w:eastAsia="宋体" w:hAnsi="Arial" w:cs="Arial"/>
          <w:color w:val="000000"/>
          <w:sz w:val="20"/>
          <w:szCs w:val="20"/>
        </w:rPr>
        <w:t>dditional information becomes available.</w:t>
      </w:r>
    </w:p>
    <w:p w14:paraId="7268E12F" w14:textId="77777777" w:rsidR="005F762A" w:rsidRDefault="005F762A">
      <w:pPr>
        <w:jc w:val="center"/>
      </w:pPr>
    </w:p>
    <w:p w14:paraId="7268E130" w14:textId="77777777" w:rsidR="005F762A" w:rsidRDefault="00D74111">
      <w:pPr>
        <w:jc w:val="center"/>
      </w:pPr>
      <w:r>
        <w:rPr>
          <w:rFonts w:ascii="Arial" w:eastAsia="宋体" w:hAnsi="Arial" w:cs="Arial"/>
          <w:color w:val="000000"/>
          <w:sz w:val="20"/>
          <w:szCs w:val="20"/>
        </w:rPr>
        <w:t>8</w:t>
      </w:r>
    </w:p>
    <w:p w14:paraId="7268E131" w14:textId="77777777" w:rsidR="005F762A" w:rsidRDefault="00D74111">
      <w:r>
        <w:pict w14:anchorId="72690147">
          <v:rect id="_x0000_i1032" style="width:415.3pt;height:1.5pt" o:hralign="center" o:hrstd="t" o:hr="t" fillcolor="#a0a0a0" stroked="f"/>
        </w:pict>
      </w:r>
    </w:p>
    <w:p w14:paraId="7268E132" w14:textId="77777777" w:rsidR="005F762A" w:rsidRDefault="005F762A">
      <w:pPr>
        <w:jc w:val="center"/>
      </w:pPr>
    </w:p>
    <w:p w14:paraId="7268E133" w14:textId="77777777" w:rsidR="005F762A" w:rsidRDefault="00D74111">
      <w:pPr>
        <w:jc w:val="center"/>
      </w:pPr>
      <w:r>
        <w:rPr>
          <w:rFonts w:ascii="Arial" w:eastAsia="宋体" w:hAnsi="Arial" w:cs="Arial"/>
          <w:b/>
          <w:bCs/>
          <w:color w:val="000000"/>
          <w:sz w:val="20"/>
          <w:szCs w:val="20"/>
        </w:rPr>
        <w:t>eBay Inc.</w:t>
      </w:r>
    </w:p>
    <w:p w14:paraId="7268E134"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135" w14:textId="77777777" w:rsidR="005F762A" w:rsidRDefault="00D74111">
      <w:pPr>
        <w:spacing w:before="260"/>
        <w:ind w:firstLine="270"/>
        <w:jc w:val="both"/>
      </w:pPr>
      <w:r>
        <w:rPr>
          <w:rFonts w:ascii="Arial" w:eastAsia="宋体" w:hAnsi="Arial" w:cs="Arial"/>
          <w:i/>
          <w:iCs/>
          <w:color w:val="000000"/>
          <w:sz w:val="20"/>
          <w:szCs w:val="20"/>
        </w:rPr>
        <w:t>Marketing services and other revenues</w:t>
      </w:r>
    </w:p>
    <w:p w14:paraId="7268E136" w14:textId="77777777" w:rsidR="005F762A" w:rsidRDefault="005F762A">
      <w:pPr>
        <w:ind w:firstLine="540"/>
        <w:jc w:val="both"/>
      </w:pPr>
    </w:p>
    <w:p w14:paraId="7268E137" w14:textId="77777777" w:rsidR="005F762A" w:rsidRDefault="00D74111">
      <w:pPr>
        <w:ind w:firstLine="540"/>
        <w:jc w:val="both"/>
      </w:pPr>
      <w:r>
        <w:rPr>
          <w:rFonts w:ascii="Arial" w:eastAsia="宋体" w:hAnsi="Arial" w:cs="Arial"/>
          <w:color w:val="000000"/>
          <w:sz w:val="20"/>
          <w:szCs w:val="20"/>
        </w:rPr>
        <w:t xml:space="preserve">Our marketing services and other revenues are derived principally from the sale of </w:t>
      </w:r>
      <w:r>
        <w:rPr>
          <w:rFonts w:ascii="Arial" w:eastAsia="宋体" w:hAnsi="Arial" w:cs="Arial"/>
          <w:color w:val="000000"/>
          <w:sz w:val="20"/>
          <w:szCs w:val="20"/>
        </w:rPr>
        <w:t xml:space="preserve">advertisements, classifieds fees, and revenue sharing arrangements. Advertising revenue is derived principally from the sale of online advertisements which are based on “impressions” (i.e., the number of times that an advertisement appears in pages viewed </w:t>
      </w:r>
      <w:r>
        <w:rPr>
          <w:rFonts w:ascii="Arial" w:eastAsia="宋体" w:hAnsi="Arial" w:cs="Arial"/>
          <w:color w:val="000000"/>
          <w:sz w:val="20"/>
          <w:szCs w:val="20"/>
        </w:rPr>
        <w:t>by users of our platforms) or “clicks” (which are generated each time users on our platforms click through our advertisements to an advertiser’s designated website) delivered to advertisers. We use the output method and apply the practical expedient to rec</w:t>
      </w:r>
      <w:r>
        <w:rPr>
          <w:rFonts w:ascii="Arial" w:eastAsia="宋体" w:hAnsi="Arial" w:cs="Arial"/>
          <w:color w:val="000000"/>
          <w:sz w:val="20"/>
          <w:szCs w:val="20"/>
        </w:rPr>
        <w:t>ognize advertising revenue in the amount to which we have a right to invoice. For contracts with target advertising commitments with rebates, estimated payout is accounted for as a variable consideration to the extent it is probable that a significant reve</w:t>
      </w:r>
      <w:r>
        <w:rPr>
          <w:rFonts w:ascii="Arial" w:eastAsia="宋体" w:hAnsi="Arial" w:cs="Arial"/>
          <w:color w:val="000000"/>
          <w:sz w:val="20"/>
          <w:szCs w:val="20"/>
        </w:rPr>
        <w:t>rsal of revenue will not occur.</w:t>
      </w:r>
    </w:p>
    <w:p w14:paraId="7268E138" w14:textId="77777777" w:rsidR="005F762A" w:rsidRDefault="005F762A">
      <w:pPr>
        <w:ind w:firstLine="540"/>
        <w:jc w:val="both"/>
      </w:pPr>
    </w:p>
    <w:p w14:paraId="7268E139" w14:textId="77777777" w:rsidR="005F762A" w:rsidRDefault="00D74111">
      <w:pPr>
        <w:ind w:firstLine="540"/>
        <w:jc w:val="both"/>
      </w:pPr>
      <w:r>
        <w:rPr>
          <w:rFonts w:ascii="Arial" w:eastAsia="宋体" w:hAnsi="Arial" w:cs="Arial"/>
          <w:color w:val="000000"/>
          <w:sz w:val="20"/>
          <w:szCs w:val="20"/>
        </w:rPr>
        <w:t>Revenues related to revenue sharing arrangements are recognized based on whether we are the principal and are responsible for fulfilling the promise to provide the specified services or whether we are an agent arranging for</w:t>
      </w:r>
      <w:r>
        <w:rPr>
          <w:rFonts w:ascii="Arial" w:eastAsia="宋体" w:hAnsi="Arial" w:cs="Arial"/>
          <w:color w:val="000000"/>
          <w:sz w:val="20"/>
          <w:szCs w:val="20"/>
        </w:rPr>
        <w:t xml:space="preserve"> those services to be provided by our partners. Determining whether we are a principal or agent in these contracts may require significant judgment. If we are the principal, we recognize revenue in the gross amount of consideration received from the custom</w:t>
      </w:r>
      <w:r>
        <w:rPr>
          <w:rFonts w:ascii="Arial" w:eastAsia="宋体" w:hAnsi="Arial" w:cs="Arial"/>
          <w:color w:val="000000"/>
          <w:sz w:val="20"/>
          <w:szCs w:val="20"/>
        </w:rPr>
        <w:t>er, whereas if we are an agent, we recognize revenue net of the consideration due to our partners at a point in time when the services are provided. Our most significant revenue share arrangements are with shipping service providers. We are primarily actin</w:t>
      </w:r>
      <w:r>
        <w:rPr>
          <w:rFonts w:ascii="Arial" w:eastAsia="宋体" w:hAnsi="Arial" w:cs="Arial"/>
          <w:color w:val="000000"/>
          <w:sz w:val="20"/>
          <w:szCs w:val="20"/>
        </w:rPr>
        <w:t>g as an agent in these contracts and revenues are recognized at a point in time when we have satisfied our promise of connecting the shipping service provider to our customer.</w:t>
      </w:r>
    </w:p>
    <w:p w14:paraId="7268E13A" w14:textId="77777777" w:rsidR="005F762A" w:rsidRDefault="005F762A">
      <w:pPr>
        <w:ind w:firstLine="540"/>
        <w:jc w:val="both"/>
      </w:pPr>
    </w:p>
    <w:p w14:paraId="7268E13B" w14:textId="77777777" w:rsidR="005F762A" w:rsidRDefault="00D74111">
      <w:pPr>
        <w:ind w:firstLine="270"/>
        <w:jc w:val="both"/>
      </w:pPr>
      <w:r>
        <w:rPr>
          <w:rFonts w:ascii="Arial" w:eastAsia="宋体" w:hAnsi="Arial" w:cs="Arial"/>
          <w:b/>
          <w:bCs/>
          <w:i/>
          <w:iCs/>
          <w:color w:val="000000"/>
          <w:sz w:val="20"/>
          <w:szCs w:val="20"/>
        </w:rPr>
        <w:t>Payment processor advances</w:t>
      </w:r>
    </w:p>
    <w:p w14:paraId="7268E13C" w14:textId="77777777" w:rsidR="005F762A" w:rsidRDefault="005F762A">
      <w:pPr>
        <w:ind w:firstLine="270"/>
        <w:jc w:val="both"/>
      </w:pPr>
    </w:p>
    <w:p w14:paraId="7268E13D" w14:textId="77777777" w:rsidR="005F762A" w:rsidRDefault="00D74111">
      <w:pPr>
        <w:ind w:firstLine="540"/>
        <w:jc w:val="both"/>
      </w:pPr>
      <w:r>
        <w:rPr>
          <w:rFonts w:ascii="Arial" w:eastAsia="宋体" w:hAnsi="Arial" w:cs="Arial"/>
          <w:color w:val="000000"/>
          <w:sz w:val="20"/>
          <w:szCs w:val="20"/>
        </w:rPr>
        <w:t>Payment processor advances represent amounts prefun</w:t>
      </w:r>
      <w:r>
        <w:rPr>
          <w:rFonts w:ascii="Arial" w:eastAsia="宋体" w:hAnsi="Arial" w:cs="Arial"/>
          <w:color w:val="000000"/>
          <w:sz w:val="20"/>
          <w:szCs w:val="20"/>
        </w:rPr>
        <w:t xml:space="preserve">ded to and held by payment processors in order to fund outflows in the normal course of the transaction lifecycle, including but not limited to payment processor fees, seller account payouts, and incentives such as coupons or gift cards. Payment processor </w:t>
      </w:r>
      <w:r>
        <w:rPr>
          <w:rFonts w:ascii="Arial" w:eastAsia="宋体" w:hAnsi="Arial" w:cs="Arial"/>
          <w:color w:val="000000"/>
          <w:sz w:val="20"/>
          <w:szCs w:val="20"/>
        </w:rPr>
        <w:t>advances are recorded within other current assets in our condensed consolidated balance sheet. Other accounts are used to collect and remit indirect taxes from the buyer to the local tax authorities and to transfer shipping label proceeds from the seller t</w:t>
      </w:r>
      <w:r>
        <w:rPr>
          <w:rFonts w:ascii="Arial" w:eastAsia="宋体" w:hAnsi="Arial" w:cs="Arial"/>
          <w:color w:val="000000"/>
          <w:sz w:val="20"/>
          <w:szCs w:val="20"/>
        </w:rPr>
        <w:t>o the relevant shipping service providers. Generally, changes in balances that impact the determination of net income, such as payment processor fees and incentives are presented within operating activities in our condensed consolidated statement of cash f</w:t>
      </w:r>
      <w:r>
        <w:rPr>
          <w:rFonts w:ascii="Arial" w:eastAsia="宋体" w:hAnsi="Arial" w:cs="Arial"/>
          <w:color w:val="000000"/>
          <w:sz w:val="20"/>
          <w:szCs w:val="20"/>
        </w:rPr>
        <w:t>lows. Changes in balances that pertain solely to payment intermediation activities (e.g. seller pay-out services) are presented within financing activities in our condensed consolidated statement of cash flows.</w:t>
      </w:r>
    </w:p>
    <w:p w14:paraId="7268E13E" w14:textId="77777777" w:rsidR="005F762A" w:rsidRDefault="005F762A">
      <w:pPr>
        <w:ind w:firstLine="540"/>
        <w:jc w:val="both"/>
      </w:pPr>
    </w:p>
    <w:p w14:paraId="7268E13F" w14:textId="77777777" w:rsidR="005F762A" w:rsidRDefault="00D74111">
      <w:pPr>
        <w:ind w:firstLine="270"/>
        <w:jc w:val="both"/>
      </w:pPr>
      <w:r>
        <w:rPr>
          <w:rFonts w:ascii="Arial" w:eastAsia="宋体" w:hAnsi="Arial" w:cs="Arial"/>
          <w:b/>
          <w:bCs/>
          <w:i/>
          <w:iCs/>
          <w:color w:val="000000"/>
          <w:sz w:val="20"/>
          <w:szCs w:val="20"/>
        </w:rPr>
        <w:t>Customer accounts and funds receivable</w:t>
      </w:r>
    </w:p>
    <w:p w14:paraId="7268E140" w14:textId="77777777" w:rsidR="005F762A" w:rsidRDefault="005F762A">
      <w:pPr>
        <w:ind w:firstLine="270"/>
        <w:jc w:val="both"/>
      </w:pPr>
    </w:p>
    <w:p w14:paraId="7268E141" w14:textId="77777777" w:rsidR="005F762A" w:rsidRDefault="00D74111">
      <w:pPr>
        <w:ind w:firstLine="540"/>
        <w:jc w:val="both"/>
      </w:pPr>
      <w:r>
        <w:rPr>
          <w:rFonts w:ascii="Arial" w:eastAsia="宋体" w:hAnsi="Arial" w:cs="Arial"/>
          <w:color w:val="000000"/>
          <w:sz w:val="20"/>
          <w:szCs w:val="20"/>
        </w:rPr>
        <w:t>Thes</w:t>
      </w:r>
      <w:r>
        <w:rPr>
          <w:rFonts w:ascii="Arial" w:eastAsia="宋体" w:hAnsi="Arial" w:cs="Arial"/>
          <w:color w:val="000000"/>
          <w:sz w:val="20"/>
          <w:szCs w:val="20"/>
        </w:rPr>
        <w:t xml:space="preserve">e balances represent payments in transit and cash received and held by financial institutions and payment processors associated with marketplace activity and awaiting settlement or are installment collections from financial institutions. </w:t>
      </w:r>
    </w:p>
    <w:p w14:paraId="7268E142" w14:textId="77777777" w:rsidR="005F762A" w:rsidRDefault="005F762A">
      <w:pPr>
        <w:ind w:firstLine="540"/>
        <w:jc w:val="both"/>
      </w:pPr>
    </w:p>
    <w:p w14:paraId="7268E143" w14:textId="77777777" w:rsidR="005F762A" w:rsidRDefault="00D74111">
      <w:pPr>
        <w:ind w:firstLine="540"/>
        <w:jc w:val="both"/>
      </w:pPr>
      <w:r>
        <w:rPr>
          <w:rFonts w:ascii="Arial" w:eastAsia="宋体" w:hAnsi="Arial" w:cs="Arial"/>
          <w:color w:val="222222"/>
          <w:sz w:val="20"/>
          <w:szCs w:val="20"/>
        </w:rPr>
        <w:t>We are exposed t</w:t>
      </w:r>
      <w:r>
        <w:rPr>
          <w:rFonts w:ascii="Arial" w:eastAsia="宋体" w:hAnsi="Arial" w:cs="Arial"/>
          <w:color w:val="222222"/>
          <w:sz w:val="20"/>
          <w:szCs w:val="20"/>
        </w:rPr>
        <w:t xml:space="preserve">o credit losses from customer accounts and funds receivable balances held by third party financial institutions. We assess these balances for credit loss based on a review of the average period for which the funds are held, credit ratings of the financial </w:t>
      </w:r>
      <w:r>
        <w:rPr>
          <w:rFonts w:ascii="Arial" w:eastAsia="宋体" w:hAnsi="Arial" w:cs="Arial"/>
          <w:color w:val="222222"/>
          <w:sz w:val="20"/>
          <w:szCs w:val="20"/>
        </w:rPr>
        <w:t xml:space="preserve">institutions and by assessing the probability of default and loss given default models. At </w:t>
      </w:r>
      <w:r>
        <w:rPr>
          <w:rFonts w:ascii="Arial" w:eastAsia="宋体" w:hAnsi="Arial" w:cs="Arial"/>
          <w:color w:val="000000"/>
          <w:sz w:val="20"/>
          <w:szCs w:val="20"/>
        </w:rPr>
        <w:t>March 31, 2021</w:t>
      </w:r>
      <w:r>
        <w:rPr>
          <w:rFonts w:ascii="Arial" w:eastAsia="宋体" w:hAnsi="Arial" w:cs="Arial"/>
          <w:color w:val="222222"/>
          <w:sz w:val="20"/>
          <w:szCs w:val="20"/>
        </w:rPr>
        <w:t>, we did not record any credit-related loss.</w:t>
      </w:r>
    </w:p>
    <w:p w14:paraId="7268E144" w14:textId="77777777" w:rsidR="005F762A" w:rsidRDefault="005F762A">
      <w:pPr>
        <w:ind w:firstLine="540"/>
        <w:jc w:val="both"/>
      </w:pPr>
    </w:p>
    <w:p w14:paraId="7268E145" w14:textId="77777777" w:rsidR="005F762A" w:rsidRDefault="00D74111">
      <w:pPr>
        <w:ind w:firstLine="270"/>
        <w:jc w:val="both"/>
      </w:pPr>
      <w:r>
        <w:rPr>
          <w:rFonts w:ascii="Arial" w:eastAsia="宋体" w:hAnsi="Arial" w:cs="Arial"/>
          <w:b/>
          <w:bCs/>
          <w:i/>
          <w:iCs/>
          <w:color w:val="000000"/>
          <w:sz w:val="20"/>
          <w:szCs w:val="20"/>
        </w:rPr>
        <w:t>Customer accounts and funds payable</w:t>
      </w:r>
    </w:p>
    <w:p w14:paraId="7268E146" w14:textId="77777777" w:rsidR="005F762A" w:rsidRDefault="005F762A">
      <w:pPr>
        <w:ind w:firstLine="270"/>
        <w:jc w:val="both"/>
      </w:pPr>
    </w:p>
    <w:p w14:paraId="7268E147" w14:textId="77777777" w:rsidR="005F762A" w:rsidRDefault="00D74111">
      <w:pPr>
        <w:ind w:firstLine="540"/>
        <w:jc w:val="both"/>
      </w:pPr>
      <w:r>
        <w:rPr>
          <w:rFonts w:ascii="Arial" w:eastAsia="宋体" w:hAnsi="Arial" w:cs="Arial"/>
          <w:color w:val="000000"/>
          <w:sz w:val="20"/>
          <w:szCs w:val="20"/>
        </w:rPr>
        <w:t>These balances primarily represent the Company’s liability towards i</w:t>
      </w:r>
      <w:r>
        <w:rPr>
          <w:rFonts w:ascii="Arial" w:eastAsia="宋体" w:hAnsi="Arial" w:cs="Arial"/>
          <w:color w:val="000000"/>
          <w:sz w:val="20"/>
          <w:szCs w:val="20"/>
        </w:rPr>
        <w:t>ts customers to settle the funds from the completed transactions on the platform associated with marketplace activity.</w:t>
      </w:r>
    </w:p>
    <w:p w14:paraId="7268E148" w14:textId="77777777" w:rsidR="005F762A" w:rsidRDefault="005F762A">
      <w:pPr>
        <w:ind w:firstLine="270"/>
        <w:jc w:val="both"/>
      </w:pPr>
    </w:p>
    <w:p w14:paraId="7268E149" w14:textId="77777777" w:rsidR="005F762A" w:rsidRDefault="00D74111">
      <w:pPr>
        <w:ind w:firstLine="270"/>
        <w:jc w:val="both"/>
      </w:pPr>
      <w:r>
        <w:rPr>
          <w:rFonts w:ascii="Arial" w:eastAsia="宋体" w:hAnsi="Arial" w:cs="Arial"/>
          <w:b/>
          <w:bCs/>
          <w:i/>
          <w:iCs/>
          <w:color w:val="000000"/>
          <w:sz w:val="20"/>
          <w:szCs w:val="20"/>
        </w:rPr>
        <w:t xml:space="preserve">Recently Adopted Accounting Pronouncements </w:t>
      </w:r>
    </w:p>
    <w:p w14:paraId="7268E14A" w14:textId="77777777" w:rsidR="005F762A" w:rsidRDefault="005F762A">
      <w:pPr>
        <w:ind w:firstLine="540"/>
        <w:jc w:val="both"/>
      </w:pPr>
    </w:p>
    <w:p w14:paraId="7268E14B" w14:textId="77777777" w:rsidR="005F762A" w:rsidRDefault="00D74111">
      <w:pPr>
        <w:ind w:firstLine="540"/>
        <w:jc w:val="both"/>
      </w:pPr>
      <w:r>
        <w:rPr>
          <w:rFonts w:ascii="Arial" w:eastAsia="宋体" w:hAnsi="Arial" w:cs="Arial"/>
          <w:color w:val="000000"/>
          <w:sz w:val="20"/>
          <w:szCs w:val="20"/>
        </w:rPr>
        <w:t xml:space="preserve">In 2019, the Financial Accounting Standards Board (“FASB”) issued new guidance to </w:t>
      </w:r>
      <w:r>
        <w:rPr>
          <w:rFonts w:ascii="Arial" w:eastAsia="宋体" w:hAnsi="Arial" w:cs="Arial"/>
          <w:color w:val="000000"/>
          <w:sz w:val="20"/>
          <w:szCs w:val="20"/>
        </w:rPr>
        <w:t>simplify the accounting for income taxes by removing certain exceptions to the general principles and also simplification of areas such as franchise taxes, step-up in tax basis goodwill, separate entity financial statements and interim recognition of enact</w:t>
      </w:r>
      <w:r>
        <w:rPr>
          <w:rFonts w:ascii="Arial" w:eastAsia="宋体" w:hAnsi="Arial" w:cs="Arial"/>
          <w:color w:val="000000"/>
          <w:sz w:val="20"/>
          <w:szCs w:val="20"/>
        </w:rPr>
        <w:t>ment of tax laws or rate changes. The standard is effective for annual reporting periods beginning after December 15, 2020, including interim reporting periods within those fiscal years. We adopted this guidance in the first quarter of 2021 with no materia</w:t>
      </w:r>
      <w:r>
        <w:rPr>
          <w:rFonts w:ascii="Arial" w:eastAsia="宋体" w:hAnsi="Arial" w:cs="Arial"/>
          <w:color w:val="000000"/>
          <w:sz w:val="20"/>
          <w:szCs w:val="20"/>
        </w:rPr>
        <w:t>l impact on our condensed consolidated financial statements.</w:t>
      </w:r>
    </w:p>
    <w:p w14:paraId="7268E14C" w14:textId="77777777" w:rsidR="005F762A" w:rsidRDefault="005F762A">
      <w:pPr>
        <w:ind w:firstLine="540"/>
        <w:jc w:val="both"/>
      </w:pPr>
    </w:p>
    <w:p w14:paraId="7268E14D" w14:textId="77777777" w:rsidR="005F762A" w:rsidRDefault="005F762A">
      <w:pPr>
        <w:jc w:val="center"/>
      </w:pPr>
    </w:p>
    <w:p w14:paraId="7268E14E" w14:textId="77777777" w:rsidR="005F762A" w:rsidRDefault="00D74111">
      <w:pPr>
        <w:jc w:val="center"/>
      </w:pPr>
      <w:r>
        <w:rPr>
          <w:rFonts w:ascii="Arial" w:eastAsia="宋体" w:hAnsi="Arial" w:cs="Arial"/>
          <w:color w:val="000000"/>
          <w:sz w:val="20"/>
          <w:szCs w:val="20"/>
        </w:rPr>
        <w:t>9</w:t>
      </w:r>
    </w:p>
    <w:p w14:paraId="7268E14F" w14:textId="77777777" w:rsidR="005F762A" w:rsidRDefault="00D74111">
      <w:r>
        <w:pict w14:anchorId="72690148">
          <v:rect id="_x0000_i1033" style="width:415.3pt;height:1.5pt" o:hralign="center" o:hrstd="t" o:hr="t" fillcolor="#a0a0a0" stroked="f"/>
        </w:pict>
      </w:r>
    </w:p>
    <w:p w14:paraId="7268E150" w14:textId="77777777" w:rsidR="005F762A" w:rsidRDefault="005F762A">
      <w:pPr>
        <w:jc w:val="center"/>
      </w:pPr>
    </w:p>
    <w:p w14:paraId="7268E151" w14:textId="77777777" w:rsidR="005F762A" w:rsidRDefault="00D74111">
      <w:pPr>
        <w:jc w:val="center"/>
      </w:pPr>
      <w:r>
        <w:rPr>
          <w:rFonts w:ascii="Arial" w:eastAsia="宋体" w:hAnsi="Arial" w:cs="Arial"/>
          <w:b/>
          <w:bCs/>
          <w:color w:val="000000"/>
          <w:sz w:val="20"/>
          <w:szCs w:val="20"/>
        </w:rPr>
        <w:t>eBay Inc.</w:t>
      </w:r>
    </w:p>
    <w:p w14:paraId="7268E152"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153" w14:textId="77777777" w:rsidR="005F762A" w:rsidRDefault="00D74111">
      <w:pPr>
        <w:ind w:firstLine="540"/>
        <w:jc w:val="both"/>
      </w:pPr>
      <w:r>
        <w:rPr>
          <w:rFonts w:ascii="Arial" w:eastAsia="宋体" w:hAnsi="Arial" w:cs="Arial"/>
          <w:color w:val="000000"/>
          <w:sz w:val="20"/>
          <w:szCs w:val="20"/>
        </w:rPr>
        <w:t>In 2020, the FASB issued new guidance to decrease diversity in practice and increase comparability for the accoun</w:t>
      </w:r>
      <w:r>
        <w:rPr>
          <w:rFonts w:ascii="Arial" w:eastAsia="宋体" w:hAnsi="Arial" w:cs="Arial"/>
          <w:color w:val="000000"/>
          <w:sz w:val="20"/>
          <w:szCs w:val="20"/>
        </w:rPr>
        <w:t>ting of certain equity securities and investments under the equity method of accounting. The standard is effective for fiscal years, and interim periods within those fiscal years, beginning after December 15, 2020. We adopted this guidance in the first qua</w:t>
      </w:r>
      <w:r>
        <w:rPr>
          <w:rFonts w:ascii="Arial" w:eastAsia="宋体" w:hAnsi="Arial" w:cs="Arial"/>
          <w:color w:val="000000"/>
          <w:sz w:val="20"/>
          <w:szCs w:val="20"/>
        </w:rPr>
        <w:t>rter of 2021 with no material impact on our condensed consolidated financial statements.</w:t>
      </w:r>
    </w:p>
    <w:p w14:paraId="7268E154" w14:textId="77777777" w:rsidR="005F762A" w:rsidRDefault="005F762A">
      <w:pPr>
        <w:ind w:firstLine="540"/>
        <w:jc w:val="both"/>
      </w:pPr>
    </w:p>
    <w:p w14:paraId="7268E155" w14:textId="77777777" w:rsidR="005F762A" w:rsidRDefault="00D74111">
      <w:r>
        <w:rPr>
          <w:rFonts w:ascii="Arial" w:eastAsia="宋体" w:hAnsi="Arial" w:cs="Arial"/>
          <w:b/>
          <w:bCs/>
          <w:color w:val="000000"/>
          <w:sz w:val="20"/>
          <w:szCs w:val="20"/>
        </w:rPr>
        <w:t>Note 2 — Net Income Per Share</w:t>
      </w:r>
    </w:p>
    <w:p w14:paraId="7268E156" w14:textId="77777777" w:rsidR="005F762A" w:rsidRDefault="005F762A"/>
    <w:p w14:paraId="7268E157" w14:textId="77777777" w:rsidR="005F762A" w:rsidRDefault="00D74111">
      <w:pPr>
        <w:ind w:firstLine="540"/>
        <w:jc w:val="both"/>
      </w:pPr>
      <w:r>
        <w:rPr>
          <w:rFonts w:ascii="Arial" w:eastAsia="宋体" w:hAnsi="Arial" w:cs="Arial"/>
          <w:color w:val="000000"/>
          <w:sz w:val="20"/>
          <w:szCs w:val="20"/>
        </w:rPr>
        <w:t>Basic net income per share is computed by dividing net income for the period by the weighted average number of common shares outstanding during the period. Diluted net income per share is computed by dividing net income for the period by the weighted avera</w:t>
      </w:r>
      <w:r>
        <w:rPr>
          <w:rFonts w:ascii="Arial" w:eastAsia="宋体" w:hAnsi="Arial" w:cs="Arial"/>
          <w:color w:val="000000"/>
          <w:sz w:val="20"/>
          <w:szCs w:val="20"/>
        </w:rPr>
        <w:t>ge number of shares of common stock and potentially dilutive common stock outstanding during the period. The dilutive effect of outstanding options and equity incentive awards is reflected in diluted net income per share by application of the treasury stoc</w:t>
      </w:r>
      <w:r>
        <w:rPr>
          <w:rFonts w:ascii="Arial" w:eastAsia="宋体" w:hAnsi="Arial" w:cs="Arial"/>
          <w:color w:val="000000"/>
          <w:sz w:val="20"/>
          <w:szCs w:val="20"/>
        </w:rPr>
        <w:t>k method. The calculation of diluted net income per share excludes all anti-dilutive common shares. The following table sets forth the computation of basic and diluted net income per share for the three months ended March 31, 2021 and 2020 (in millions, ex</w:t>
      </w:r>
      <w:r>
        <w:rPr>
          <w:rFonts w:ascii="Arial" w:eastAsia="宋体" w:hAnsi="Arial" w:cs="Arial"/>
          <w:color w:val="000000"/>
          <w:sz w:val="20"/>
          <w:szCs w:val="20"/>
        </w:rPr>
        <w:t xml:space="preserve">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6039"/>
        <w:gridCol w:w="38"/>
        <w:gridCol w:w="36"/>
        <w:gridCol w:w="46"/>
        <w:gridCol w:w="36"/>
        <w:gridCol w:w="36"/>
        <w:gridCol w:w="36"/>
        <w:gridCol w:w="36"/>
        <w:gridCol w:w="121"/>
        <w:gridCol w:w="785"/>
        <w:gridCol w:w="36"/>
        <w:gridCol w:w="36"/>
        <w:gridCol w:w="36"/>
        <w:gridCol w:w="36"/>
        <w:gridCol w:w="121"/>
        <w:gridCol w:w="786"/>
        <w:gridCol w:w="36"/>
      </w:tblGrid>
      <w:tr w:rsidR="005F762A" w14:paraId="7268E16A" w14:textId="77777777">
        <w:tc>
          <w:tcPr>
            <w:tcW w:w="50" w:type="pct"/>
            <w:shd w:val="clear" w:color="auto" w:fill="auto"/>
          </w:tcPr>
          <w:p w14:paraId="7268E158" w14:textId="77777777" w:rsidR="005F762A" w:rsidRDefault="005F762A">
            <w:pPr>
              <w:rPr>
                <w:rFonts w:ascii="宋体"/>
              </w:rPr>
            </w:pPr>
          </w:p>
        </w:tc>
        <w:tc>
          <w:tcPr>
            <w:tcW w:w="3702" w:type="pct"/>
            <w:shd w:val="clear" w:color="auto" w:fill="auto"/>
          </w:tcPr>
          <w:p w14:paraId="7268E159" w14:textId="77777777" w:rsidR="005F762A" w:rsidRDefault="005F762A">
            <w:pPr>
              <w:rPr>
                <w:rFonts w:ascii="宋体"/>
              </w:rPr>
            </w:pPr>
          </w:p>
        </w:tc>
        <w:tc>
          <w:tcPr>
            <w:tcW w:w="5" w:type="pct"/>
            <w:shd w:val="clear" w:color="auto" w:fill="auto"/>
          </w:tcPr>
          <w:p w14:paraId="7268E15A" w14:textId="77777777" w:rsidR="005F762A" w:rsidRDefault="005F762A">
            <w:pPr>
              <w:rPr>
                <w:rFonts w:ascii="宋体"/>
              </w:rPr>
            </w:pPr>
          </w:p>
        </w:tc>
        <w:tc>
          <w:tcPr>
            <w:tcW w:w="0" w:type="auto"/>
            <w:shd w:val="clear" w:color="auto" w:fill="auto"/>
          </w:tcPr>
          <w:p w14:paraId="7268E15B" w14:textId="77777777" w:rsidR="005F762A" w:rsidRDefault="005F762A">
            <w:pPr>
              <w:rPr>
                <w:rFonts w:ascii="宋体"/>
                <w:vanish/>
              </w:rPr>
            </w:pPr>
          </w:p>
        </w:tc>
        <w:tc>
          <w:tcPr>
            <w:tcW w:w="0" w:type="auto"/>
            <w:shd w:val="clear" w:color="auto" w:fill="auto"/>
          </w:tcPr>
          <w:p w14:paraId="7268E15C" w14:textId="77777777" w:rsidR="005F762A" w:rsidRDefault="005F762A">
            <w:pPr>
              <w:rPr>
                <w:rFonts w:ascii="宋体"/>
                <w:vanish/>
              </w:rPr>
            </w:pPr>
          </w:p>
        </w:tc>
        <w:tc>
          <w:tcPr>
            <w:tcW w:w="0" w:type="auto"/>
            <w:shd w:val="clear" w:color="auto" w:fill="auto"/>
          </w:tcPr>
          <w:p w14:paraId="7268E15D" w14:textId="77777777" w:rsidR="005F762A" w:rsidRDefault="005F762A">
            <w:pPr>
              <w:rPr>
                <w:rFonts w:ascii="宋体"/>
                <w:vanish/>
              </w:rPr>
            </w:pPr>
          </w:p>
        </w:tc>
        <w:tc>
          <w:tcPr>
            <w:tcW w:w="5" w:type="pct"/>
            <w:shd w:val="clear" w:color="auto" w:fill="auto"/>
          </w:tcPr>
          <w:p w14:paraId="7268E15E" w14:textId="77777777" w:rsidR="005F762A" w:rsidRDefault="005F762A">
            <w:pPr>
              <w:rPr>
                <w:rFonts w:ascii="宋体"/>
              </w:rPr>
            </w:pPr>
          </w:p>
        </w:tc>
        <w:tc>
          <w:tcPr>
            <w:tcW w:w="26" w:type="pct"/>
            <w:shd w:val="clear" w:color="auto" w:fill="auto"/>
          </w:tcPr>
          <w:p w14:paraId="7268E15F" w14:textId="77777777" w:rsidR="005F762A" w:rsidRDefault="005F762A">
            <w:pPr>
              <w:rPr>
                <w:rFonts w:ascii="宋体"/>
              </w:rPr>
            </w:pPr>
          </w:p>
        </w:tc>
        <w:tc>
          <w:tcPr>
            <w:tcW w:w="5" w:type="pct"/>
            <w:shd w:val="clear" w:color="auto" w:fill="auto"/>
          </w:tcPr>
          <w:p w14:paraId="7268E160" w14:textId="77777777" w:rsidR="005F762A" w:rsidRDefault="005F762A">
            <w:pPr>
              <w:rPr>
                <w:rFonts w:ascii="宋体"/>
              </w:rPr>
            </w:pPr>
          </w:p>
        </w:tc>
        <w:tc>
          <w:tcPr>
            <w:tcW w:w="50" w:type="pct"/>
            <w:shd w:val="clear" w:color="auto" w:fill="auto"/>
          </w:tcPr>
          <w:p w14:paraId="7268E161" w14:textId="77777777" w:rsidR="005F762A" w:rsidRDefault="005F762A">
            <w:pPr>
              <w:rPr>
                <w:rFonts w:ascii="宋体"/>
              </w:rPr>
            </w:pPr>
          </w:p>
        </w:tc>
        <w:tc>
          <w:tcPr>
            <w:tcW w:w="529" w:type="pct"/>
            <w:shd w:val="clear" w:color="auto" w:fill="auto"/>
          </w:tcPr>
          <w:p w14:paraId="7268E162" w14:textId="77777777" w:rsidR="005F762A" w:rsidRDefault="005F762A">
            <w:pPr>
              <w:rPr>
                <w:rFonts w:ascii="宋体"/>
              </w:rPr>
            </w:pPr>
          </w:p>
        </w:tc>
        <w:tc>
          <w:tcPr>
            <w:tcW w:w="5" w:type="pct"/>
            <w:shd w:val="clear" w:color="auto" w:fill="auto"/>
          </w:tcPr>
          <w:p w14:paraId="7268E163" w14:textId="77777777" w:rsidR="005F762A" w:rsidRDefault="005F762A">
            <w:pPr>
              <w:rPr>
                <w:rFonts w:ascii="宋体"/>
              </w:rPr>
            </w:pPr>
          </w:p>
        </w:tc>
        <w:tc>
          <w:tcPr>
            <w:tcW w:w="5" w:type="pct"/>
            <w:shd w:val="clear" w:color="auto" w:fill="auto"/>
          </w:tcPr>
          <w:p w14:paraId="7268E164" w14:textId="77777777" w:rsidR="005F762A" w:rsidRDefault="005F762A">
            <w:pPr>
              <w:rPr>
                <w:rFonts w:ascii="宋体"/>
              </w:rPr>
            </w:pPr>
          </w:p>
        </w:tc>
        <w:tc>
          <w:tcPr>
            <w:tcW w:w="26" w:type="pct"/>
            <w:shd w:val="clear" w:color="auto" w:fill="auto"/>
          </w:tcPr>
          <w:p w14:paraId="7268E165" w14:textId="77777777" w:rsidR="005F762A" w:rsidRDefault="005F762A">
            <w:pPr>
              <w:rPr>
                <w:rFonts w:ascii="宋体"/>
              </w:rPr>
            </w:pPr>
          </w:p>
        </w:tc>
        <w:tc>
          <w:tcPr>
            <w:tcW w:w="5" w:type="pct"/>
            <w:shd w:val="clear" w:color="auto" w:fill="auto"/>
          </w:tcPr>
          <w:p w14:paraId="7268E166" w14:textId="77777777" w:rsidR="005F762A" w:rsidRDefault="005F762A">
            <w:pPr>
              <w:rPr>
                <w:rFonts w:ascii="宋体"/>
              </w:rPr>
            </w:pPr>
          </w:p>
        </w:tc>
        <w:tc>
          <w:tcPr>
            <w:tcW w:w="50" w:type="pct"/>
            <w:shd w:val="clear" w:color="auto" w:fill="auto"/>
          </w:tcPr>
          <w:p w14:paraId="7268E167" w14:textId="77777777" w:rsidR="005F762A" w:rsidRDefault="005F762A">
            <w:pPr>
              <w:rPr>
                <w:rFonts w:ascii="宋体"/>
              </w:rPr>
            </w:pPr>
          </w:p>
        </w:tc>
        <w:tc>
          <w:tcPr>
            <w:tcW w:w="529" w:type="pct"/>
            <w:shd w:val="clear" w:color="auto" w:fill="auto"/>
          </w:tcPr>
          <w:p w14:paraId="7268E168" w14:textId="77777777" w:rsidR="005F762A" w:rsidRDefault="005F762A">
            <w:pPr>
              <w:rPr>
                <w:rFonts w:ascii="宋体"/>
              </w:rPr>
            </w:pPr>
          </w:p>
        </w:tc>
        <w:tc>
          <w:tcPr>
            <w:tcW w:w="5" w:type="pct"/>
            <w:shd w:val="clear" w:color="auto" w:fill="auto"/>
          </w:tcPr>
          <w:p w14:paraId="7268E169" w14:textId="77777777" w:rsidR="005F762A" w:rsidRDefault="005F762A">
            <w:pPr>
              <w:rPr>
                <w:rFonts w:ascii="宋体"/>
              </w:rPr>
            </w:pPr>
          </w:p>
        </w:tc>
      </w:tr>
      <w:tr w:rsidR="005F762A" w14:paraId="7268E175" w14:textId="77777777">
        <w:tc>
          <w:tcPr>
            <w:tcW w:w="0" w:type="auto"/>
            <w:gridSpan w:val="3"/>
            <w:shd w:val="clear" w:color="auto" w:fill="auto"/>
            <w:tcMar>
              <w:top w:w="40" w:type="dxa"/>
              <w:left w:w="20" w:type="dxa"/>
              <w:bottom w:w="40" w:type="dxa"/>
              <w:right w:w="20" w:type="dxa"/>
            </w:tcMar>
            <w:vAlign w:val="bottom"/>
          </w:tcPr>
          <w:p w14:paraId="7268E16B"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16C"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16D"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16E"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16F" w14:textId="77777777" w:rsidR="005F762A" w:rsidRDefault="005F762A">
            <w:pPr>
              <w:rPr>
                <w:rFonts w:ascii="宋体"/>
              </w:rPr>
            </w:pPr>
          </w:p>
        </w:tc>
        <w:tc>
          <w:tcPr>
            <w:tcW w:w="0" w:type="auto"/>
            <w:shd w:val="clear" w:color="auto" w:fill="auto"/>
          </w:tcPr>
          <w:p w14:paraId="7268E170" w14:textId="77777777" w:rsidR="005F762A" w:rsidRDefault="005F762A">
            <w:pPr>
              <w:rPr>
                <w:rFonts w:ascii="宋体"/>
              </w:rPr>
            </w:pPr>
          </w:p>
        </w:tc>
        <w:tc>
          <w:tcPr>
            <w:tcW w:w="0" w:type="auto"/>
            <w:shd w:val="clear" w:color="auto" w:fill="auto"/>
          </w:tcPr>
          <w:p w14:paraId="7268E171" w14:textId="77777777" w:rsidR="005F762A" w:rsidRDefault="005F762A">
            <w:pPr>
              <w:rPr>
                <w:rFonts w:ascii="宋体"/>
              </w:rPr>
            </w:pPr>
          </w:p>
        </w:tc>
        <w:tc>
          <w:tcPr>
            <w:tcW w:w="0" w:type="auto"/>
            <w:shd w:val="clear" w:color="auto" w:fill="auto"/>
          </w:tcPr>
          <w:p w14:paraId="7268E172" w14:textId="77777777" w:rsidR="005F762A" w:rsidRDefault="005F762A">
            <w:pPr>
              <w:rPr>
                <w:rFonts w:ascii="宋体"/>
              </w:rPr>
            </w:pPr>
          </w:p>
        </w:tc>
        <w:tc>
          <w:tcPr>
            <w:tcW w:w="0" w:type="auto"/>
            <w:shd w:val="clear" w:color="auto" w:fill="auto"/>
          </w:tcPr>
          <w:p w14:paraId="7268E173" w14:textId="77777777" w:rsidR="005F762A" w:rsidRDefault="005F762A">
            <w:pPr>
              <w:rPr>
                <w:rFonts w:ascii="宋体"/>
              </w:rPr>
            </w:pPr>
          </w:p>
        </w:tc>
        <w:tc>
          <w:tcPr>
            <w:tcW w:w="0" w:type="auto"/>
            <w:shd w:val="clear" w:color="auto" w:fill="auto"/>
          </w:tcPr>
          <w:p w14:paraId="7268E174" w14:textId="77777777" w:rsidR="005F762A" w:rsidRDefault="005F762A">
            <w:pPr>
              <w:rPr>
                <w:rFonts w:ascii="宋体"/>
              </w:rPr>
            </w:pPr>
          </w:p>
        </w:tc>
      </w:tr>
      <w:tr w:rsidR="005F762A" w14:paraId="7268E17E" w14:textId="77777777">
        <w:tc>
          <w:tcPr>
            <w:tcW w:w="0" w:type="auto"/>
            <w:gridSpan w:val="3"/>
            <w:shd w:val="clear" w:color="auto" w:fill="auto"/>
            <w:tcMar>
              <w:top w:w="40" w:type="dxa"/>
              <w:left w:w="20" w:type="dxa"/>
              <w:bottom w:w="40" w:type="dxa"/>
              <w:right w:w="20" w:type="dxa"/>
            </w:tcMar>
            <w:vAlign w:val="bottom"/>
          </w:tcPr>
          <w:p w14:paraId="7268E176"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177" w14:textId="77777777" w:rsidR="005F762A" w:rsidRDefault="005F762A">
            <w:pPr>
              <w:rPr>
                <w:rFonts w:ascii="宋体"/>
                <w:vanish/>
              </w:rPr>
            </w:pPr>
          </w:p>
        </w:tc>
        <w:tc>
          <w:tcPr>
            <w:tcW w:w="0" w:type="auto"/>
            <w:shd w:val="clear" w:color="auto" w:fill="auto"/>
          </w:tcPr>
          <w:p w14:paraId="7268E178" w14:textId="77777777" w:rsidR="005F762A" w:rsidRDefault="005F762A">
            <w:pPr>
              <w:rPr>
                <w:rFonts w:ascii="宋体"/>
                <w:vanish/>
              </w:rPr>
            </w:pPr>
          </w:p>
        </w:tc>
        <w:tc>
          <w:tcPr>
            <w:tcW w:w="0" w:type="auto"/>
            <w:shd w:val="clear" w:color="auto" w:fill="auto"/>
          </w:tcPr>
          <w:p w14:paraId="7268E179"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17A"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17B"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17C"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17D"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187" w14:textId="77777777">
        <w:tc>
          <w:tcPr>
            <w:tcW w:w="0" w:type="auto"/>
            <w:gridSpan w:val="3"/>
            <w:shd w:val="clear" w:color="auto" w:fill="FFFFFF"/>
            <w:tcMar>
              <w:top w:w="40" w:type="dxa"/>
              <w:left w:w="20" w:type="dxa"/>
              <w:bottom w:w="40" w:type="dxa"/>
              <w:right w:w="20" w:type="dxa"/>
            </w:tcMar>
            <w:vAlign w:val="bottom"/>
          </w:tcPr>
          <w:p w14:paraId="7268E17F" w14:textId="77777777" w:rsidR="005F762A" w:rsidRDefault="00D74111">
            <w:pPr>
              <w:textAlignment w:val="bottom"/>
            </w:pPr>
            <w:r>
              <w:rPr>
                <w:rFonts w:ascii="Arial" w:eastAsia="宋体" w:hAnsi="Arial" w:cs="Arial"/>
                <w:color w:val="000000"/>
                <w:sz w:val="18"/>
                <w:szCs w:val="18"/>
              </w:rPr>
              <w:t>Numerator:</w:t>
            </w:r>
          </w:p>
        </w:tc>
        <w:tc>
          <w:tcPr>
            <w:tcW w:w="0" w:type="auto"/>
            <w:shd w:val="clear" w:color="auto" w:fill="auto"/>
          </w:tcPr>
          <w:p w14:paraId="7268E180" w14:textId="77777777" w:rsidR="005F762A" w:rsidRDefault="005F762A">
            <w:pPr>
              <w:rPr>
                <w:rFonts w:ascii="宋体"/>
                <w:vanish/>
              </w:rPr>
            </w:pPr>
          </w:p>
        </w:tc>
        <w:tc>
          <w:tcPr>
            <w:tcW w:w="0" w:type="auto"/>
            <w:shd w:val="clear" w:color="auto" w:fill="auto"/>
          </w:tcPr>
          <w:p w14:paraId="7268E181" w14:textId="77777777" w:rsidR="005F762A" w:rsidRDefault="005F762A">
            <w:pPr>
              <w:rPr>
                <w:rFonts w:ascii="宋体"/>
                <w:vanish/>
              </w:rPr>
            </w:pPr>
          </w:p>
        </w:tc>
        <w:tc>
          <w:tcPr>
            <w:tcW w:w="0" w:type="auto"/>
            <w:shd w:val="clear" w:color="auto" w:fill="auto"/>
          </w:tcPr>
          <w:p w14:paraId="7268E18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83"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18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185"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186" w14:textId="77777777" w:rsidR="005F762A" w:rsidRDefault="005F762A">
            <w:pPr>
              <w:rPr>
                <w:rFonts w:ascii="宋体"/>
              </w:rPr>
            </w:pPr>
          </w:p>
        </w:tc>
      </w:tr>
      <w:tr w:rsidR="005F762A" w14:paraId="7268E194" w14:textId="77777777">
        <w:tc>
          <w:tcPr>
            <w:tcW w:w="0" w:type="auto"/>
            <w:gridSpan w:val="3"/>
            <w:shd w:val="clear" w:color="auto" w:fill="E2E2E2"/>
            <w:tcMar>
              <w:top w:w="40" w:type="dxa"/>
              <w:left w:w="515" w:type="dxa"/>
              <w:bottom w:w="40" w:type="dxa"/>
              <w:right w:w="20" w:type="dxa"/>
            </w:tcMar>
            <w:vAlign w:val="bottom"/>
          </w:tcPr>
          <w:p w14:paraId="7268E188" w14:textId="77777777" w:rsidR="005F762A" w:rsidRDefault="00D74111">
            <w:pPr>
              <w:textAlignment w:val="bottom"/>
            </w:pPr>
            <w:r>
              <w:rPr>
                <w:rFonts w:ascii="Arial" w:eastAsia="宋体" w:hAnsi="Arial" w:cs="Arial"/>
                <w:color w:val="000000"/>
                <w:sz w:val="18"/>
                <w:szCs w:val="18"/>
              </w:rPr>
              <w:t>Income from continuing operations</w:t>
            </w:r>
          </w:p>
        </w:tc>
        <w:tc>
          <w:tcPr>
            <w:tcW w:w="0" w:type="auto"/>
            <w:shd w:val="clear" w:color="auto" w:fill="auto"/>
          </w:tcPr>
          <w:p w14:paraId="7268E189" w14:textId="77777777" w:rsidR="005F762A" w:rsidRDefault="005F762A">
            <w:pPr>
              <w:rPr>
                <w:rFonts w:ascii="宋体"/>
                <w:vanish/>
              </w:rPr>
            </w:pPr>
          </w:p>
        </w:tc>
        <w:tc>
          <w:tcPr>
            <w:tcW w:w="0" w:type="auto"/>
            <w:shd w:val="clear" w:color="auto" w:fill="auto"/>
          </w:tcPr>
          <w:p w14:paraId="7268E18A" w14:textId="77777777" w:rsidR="005F762A" w:rsidRDefault="005F762A">
            <w:pPr>
              <w:rPr>
                <w:rFonts w:ascii="宋体"/>
                <w:vanish/>
              </w:rPr>
            </w:pPr>
          </w:p>
        </w:tc>
        <w:tc>
          <w:tcPr>
            <w:tcW w:w="0" w:type="auto"/>
            <w:shd w:val="clear" w:color="auto" w:fill="auto"/>
          </w:tcPr>
          <w:p w14:paraId="7268E18B"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18C"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E18D"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E18E" w14:textId="77777777" w:rsidR="005F762A" w:rsidRDefault="00D74111">
            <w:pPr>
              <w:jc w:val="right"/>
              <w:textAlignment w:val="bottom"/>
            </w:pPr>
            <w:r>
              <w:rPr>
                <w:rFonts w:ascii="Arial" w:eastAsia="宋体" w:hAnsi="Arial" w:cs="Arial"/>
                <w:color w:val="000000"/>
                <w:sz w:val="18"/>
                <w:szCs w:val="18"/>
              </w:rPr>
              <w:t>569 </w:t>
            </w:r>
          </w:p>
        </w:tc>
        <w:tc>
          <w:tcPr>
            <w:tcW w:w="0" w:type="auto"/>
            <w:shd w:val="clear" w:color="auto" w:fill="E2E2E2"/>
            <w:tcMar>
              <w:top w:w="40" w:type="dxa"/>
              <w:left w:w="0" w:type="dxa"/>
              <w:bottom w:w="40" w:type="dxa"/>
              <w:right w:w="20" w:type="dxa"/>
            </w:tcMar>
            <w:vAlign w:val="bottom"/>
          </w:tcPr>
          <w:p w14:paraId="7268E18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190"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E191"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E192" w14:textId="77777777" w:rsidR="005F762A" w:rsidRDefault="00D74111">
            <w:pPr>
              <w:jc w:val="right"/>
              <w:textAlignment w:val="bottom"/>
            </w:pPr>
            <w:r>
              <w:rPr>
                <w:rFonts w:ascii="Arial" w:eastAsia="宋体" w:hAnsi="Arial" w:cs="Arial"/>
                <w:color w:val="000000"/>
                <w:sz w:val="18"/>
                <w:szCs w:val="18"/>
              </w:rPr>
              <w:t>431 </w:t>
            </w:r>
          </w:p>
        </w:tc>
        <w:tc>
          <w:tcPr>
            <w:tcW w:w="0" w:type="auto"/>
            <w:shd w:val="clear" w:color="auto" w:fill="E2E2E2"/>
            <w:tcMar>
              <w:top w:w="40" w:type="dxa"/>
              <w:left w:w="0" w:type="dxa"/>
              <w:bottom w:w="40" w:type="dxa"/>
              <w:right w:w="20" w:type="dxa"/>
            </w:tcMar>
            <w:vAlign w:val="bottom"/>
          </w:tcPr>
          <w:p w14:paraId="7268E193" w14:textId="77777777" w:rsidR="005F762A" w:rsidRDefault="005F762A">
            <w:pPr>
              <w:jc w:val="right"/>
              <w:rPr>
                <w:rFonts w:ascii="宋体"/>
              </w:rPr>
            </w:pPr>
          </w:p>
        </w:tc>
      </w:tr>
      <w:tr w:rsidR="005F762A" w14:paraId="7268E19F" w14:textId="77777777">
        <w:tc>
          <w:tcPr>
            <w:tcW w:w="0" w:type="auto"/>
            <w:gridSpan w:val="3"/>
            <w:shd w:val="clear" w:color="auto" w:fill="FFFFFF"/>
            <w:tcMar>
              <w:top w:w="40" w:type="dxa"/>
              <w:left w:w="515" w:type="dxa"/>
              <w:bottom w:w="40" w:type="dxa"/>
              <w:right w:w="20" w:type="dxa"/>
            </w:tcMar>
            <w:vAlign w:val="bottom"/>
          </w:tcPr>
          <w:p w14:paraId="7268E195" w14:textId="77777777" w:rsidR="005F762A" w:rsidRDefault="00D74111">
            <w:pPr>
              <w:textAlignment w:val="bottom"/>
            </w:pPr>
            <w:r>
              <w:rPr>
                <w:rFonts w:ascii="Arial" w:eastAsia="宋体" w:hAnsi="Arial" w:cs="Arial"/>
                <w:color w:val="000000"/>
                <w:sz w:val="18"/>
                <w:szCs w:val="18"/>
              </w:rPr>
              <w:t>Income from discontinued operations, net of income taxes</w:t>
            </w:r>
          </w:p>
        </w:tc>
        <w:tc>
          <w:tcPr>
            <w:tcW w:w="0" w:type="auto"/>
            <w:shd w:val="clear" w:color="auto" w:fill="auto"/>
          </w:tcPr>
          <w:p w14:paraId="7268E196" w14:textId="77777777" w:rsidR="005F762A" w:rsidRDefault="005F762A">
            <w:pPr>
              <w:rPr>
                <w:rFonts w:ascii="宋体"/>
                <w:vanish/>
              </w:rPr>
            </w:pPr>
          </w:p>
        </w:tc>
        <w:tc>
          <w:tcPr>
            <w:tcW w:w="0" w:type="auto"/>
            <w:shd w:val="clear" w:color="auto" w:fill="auto"/>
          </w:tcPr>
          <w:p w14:paraId="7268E197" w14:textId="77777777" w:rsidR="005F762A" w:rsidRDefault="005F762A">
            <w:pPr>
              <w:rPr>
                <w:rFonts w:ascii="宋体"/>
                <w:vanish/>
              </w:rPr>
            </w:pPr>
          </w:p>
        </w:tc>
        <w:tc>
          <w:tcPr>
            <w:tcW w:w="0" w:type="auto"/>
            <w:shd w:val="clear" w:color="auto" w:fill="auto"/>
          </w:tcPr>
          <w:p w14:paraId="7268E198"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9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19A" w14:textId="77777777" w:rsidR="005F762A" w:rsidRDefault="00D74111">
            <w:pPr>
              <w:jc w:val="right"/>
              <w:textAlignment w:val="bottom"/>
            </w:pPr>
            <w:r>
              <w:rPr>
                <w:rFonts w:ascii="Arial" w:eastAsia="宋体" w:hAnsi="Arial" w:cs="Arial"/>
                <w:color w:val="000000"/>
                <w:sz w:val="18"/>
                <w:szCs w:val="18"/>
              </w:rPr>
              <w:t>72 </w:t>
            </w:r>
          </w:p>
        </w:tc>
        <w:tc>
          <w:tcPr>
            <w:tcW w:w="0" w:type="auto"/>
            <w:shd w:val="clear" w:color="auto" w:fill="FFFFFF"/>
            <w:tcMar>
              <w:top w:w="40" w:type="dxa"/>
              <w:left w:w="0" w:type="dxa"/>
              <w:bottom w:w="40" w:type="dxa"/>
              <w:right w:w="20" w:type="dxa"/>
            </w:tcMar>
            <w:vAlign w:val="bottom"/>
          </w:tcPr>
          <w:p w14:paraId="7268E19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19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19D" w14:textId="77777777" w:rsidR="005F762A" w:rsidRDefault="00D74111">
            <w:pPr>
              <w:jc w:val="right"/>
              <w:textAlignment w:val="bottom"/>
            </w:pPr>
            <w:r>
              <w:rPr>
                <w:rFonts w:ascii="Arial" w:eastAsia="宋体" w:hAnsi="Arial" w:cs="Arial"/>
                <w:color w:val="000000"/>
                <w:sz w:val="18"/>
                <w:szCs w:val="18"/>
              </w:rPr>
              <w:t>2,981 </w:t>
            </w:r>
          </w:p>
        </w:tc>
        <w:tc>
          <w:tcPr>
            <w:tcW w:w="0" w:type="auto"/>
            <w:shd w:val="clear" w:color="auto" w:fill="FFFFFF"/>
            <w:tcMar>
              <w:top w:w="40" w:type="dxa"/>
              <w:left w:w="0" w:type="dxa"/>
              <w:bottom w:w="40" w:type="dxa"/>
              <w:right w:w="20" w:type="dxa"/>
            </w:tcMar>
            <w:vAlign w:val="bottom"/>
          </w:tcPr>
          <w:p w14:paraId="7268E19E" w14:textId="77777777" w:rsidR="005F762A" w:rsidRDefault="005F762A">
            <w:pPr>
              <w:jc w:val="right"/>
              <w:rPr>
                <w:rFonts w:ascii="宋体"/>
              </w:rPr>
            </w:pPr>
          </w:p>
        </w:tc>
      </w:tr>
      <w:tr w:rsidR="005F762A" w14:paraId="7268E1AC" w14:textId="77777777">
        <w:tc>
          <w:tcPr>
            <w:tcW w:w="0" w:type="auto"/>
            <w:gridSpan w:val="3"/>
            <w:shd w:val="clear" w:color="auto" w:fill="E2E2E2"/>
            <w:tcMar>
              <w:top w:w="40" w:type="dxa"/>
              <w:left w:w="20" w:type="dxa"/>
              <w:bottom w:w="40" w:type="dxa"/>
              <w:right w:w="20" w:type="dxa"/>
            </w:tcMar>
            <w:vAlign w:val="bottom"/>
          </w:tcPr>
          <w:p w14:paraId="7268E1A0" w14:textId="77777777" w:rsidR="005F762A" w:rsidRDefault="00D74111">
            <w:pPr>
              <w:textAlignment w:val="bottom"/>
            </w:pPr>
            <w:r>
              <w:rPr>
                <w:rFonts w:ascii="Arial" w:eastAsia="宋体" w:hAnsi="Arial" w:cs="Arial"/>
                <w:color w:val="000000"/>
                <w:sz w:val="18"/>
                <w:szCs w:val="18"/>
              </w:rPr>
              <w:t>Net income</w:t>
            </w:r>
          </w:p>
        </w:tc>
        <w:tc>
          <w:tcPr>
            <w:tcW w:w="0" w:type="auto"/>
            <w:shd w:val="clear" w:color="auto" w:fill="auto"/>
          </w:tcPr>
          <w:p w14:paraId="7268E1A1" w14:textId="77777777" w:rsidR="005F762A" w:rsidRDefault="005F762A">
            <w:pPr>
              <w:rPr>
                <w:rFonts w:ascii="宋体"/>
                <w:vanish/>
              </w:rPr>
            </w:pPr>
          </w:p>
        </w:tc>
        <w:tc>
          <w:tcPr>
            <w:tcW w:w="0" w:type="auto"/>
            <w:shd w:val="clear" w:color="auto" w:fill="auto"/>
          </w:tcPr>
          <w:p w14:paraId="7268E1A2" w14:textId="77777777" w:rsidR="005F762A" w:rsidRDefault="005F762A">
            <w:pPr>
              <w:rPr>
                <w:rFonts w:ascii="宋体"/>
                <w:vanish/>
              </w:rPr>
            </w:pPr>
          </w:p>
        </w:tc>
        <w:tc>
          <w:tcPr>
            <w:tcW w:w="0" w:type="auto"/>
            <w:shd w:val="clear" w:color="auto" w:fill="auto"/>
          </w:tcPr>
          <w:p w14:paraId="7268E1A3"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1A4"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1A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1A6" w14:textId="77777777" w:rsidR="005F762A" w:rsidRDefault="00D74111">
            <w:pPr>
              <w:jc w:val="right"/>
              <w:textAlignment w:val="bottom"/>
            </w:pPr>
            <w:r>
              <w:rPr>
                <w:rFonts w:ascii="Arial" w:eastAsia="宋体" w:hAnsi="Arial" w:cs="Arial"/>
                <w:color w:val="000000"/>
                <w:sz w:val="18"/>
                <w:szCs w:val="18"/>
              </w:rPr>
              <w:t>641 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1A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1A8"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1A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1AA" w14:textId="77777777" w:rsidR="005F762A" w:rsidRDefault="00D74111">
            <w:pPr>
              <w:jc w:val="right"/>
              <w:textAlignment w:val="bottom"/>
            </w:pPr>
            <w:r>
              <w:rPr>
                <w:rFonts w:ascii="Arial" w:eastAsia="宋体" w:hAnsi="Arial" w:cs="Arial"/>
                <w:color w:val="000000"/>
                <w:sz w:val="18"/>
                <w:szCs w:val="18"/>
              </w:rPr>
              <w:t>3,412 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1AB" w14:textId="77777777" w:rsidR="005F762A" w:rsidRDefault="005F762A">
            <w:pPr>
              <w:jc w:val="right"/>
              <w:rPr>
                <w:rFonts w:ascii="宋体"/>
              </w:rPr>
            </w:pPr>
          </w:p>
        </w:tc>
      </w:tr>
      <w:tr w:rsidR="005F762A" w14:paraId="7268E1B5" w14:textId="77777777">
        <w:tc>
          <w:tcPr>
            <w:tcW w:w="0" w:type="auto"/>
            <w:gridSpan w:val="3"/>
            <w:shd w:val="clear" w:color="auto" w:fill="FFFFFF"/>
            <w:tcMar>
              <w:top w:w="40" w:type="dxa"/>
              <w:left w:w="20" w:type="dxa"/>
              <w:bottom w:w="40" w:type="dxa"/>
              <w:right w:w="20" w:type="dxa"/>
            </w:tcMar>
            <w:vAlign w:val="bottom"/>
          </w:tcPr>
          <w:p w14:paraId="7268E1AD" w14:textId="77777777" w:rsidR="005F762A" w:rsidRDefault="00D74111">
            <w:pPr>
              <w:textAlignment w:val="bottom"/>
            </w:pPr>
            <w:r>
              <w:rPr>
                <w:rFonts w:ascii="Arial" w:eastAsia="宋体" w:hAnsi="Arial" w:cs="Arial"/>
                <w:color w:val="000000"/>
                <w:sz w:val="18"/>
                <w:szCs w:val="18"/>
              </w:rPr>
              <w:t>Deno</w:t>
            </w:r>
            <w:r>
              <w:rPr>
                <w:rFonts w:ascii="Arial" w:eastAsia="宋体" w:hAnsi="Arial" w:cs="Arial"/>
                <w:color w:val="000000"/>
                <w:sz w:val="18"/>
                <w:szCs w:val="18"/>
              </w:rPr>
              <w:t>minator:</w:t>
            </w:r>
          </w:p>
        </w:tc>
        <w:tc>
          <w:tcPr>
            <w:tcW w:w="0" w:type="auto"/>
            <w:shd w:val="clear" w:color="auto" w:fill="auto"/>
          </w:tcPr>
          <w:p w14:paraId="7268E1AE" w14:textId="77777777" w:rsidR="005F762A" w:rsidRDefault="005F762A">
            <w:pPr>
              <w:rPr>
                <w:rFonts w:ascii="宋体"/>
                <w:vanish/>
              </w:rPr>
            </w:pPr>
          </w:p>
        </w:tc>
        <w:tc>
          <w:tcPr>
            <w:tcW w:w="0" w:type="auto"/>
            <w:shd w:val="clear" w:color="auto" w:fill="auto"/>
          </w:tcPr>
          <w:p w14:paraId="7268E1AF" w14:textId="77777777" w:rsidR="005F762A" w:rsidRDefault="005F762A">
            <w:pPr>
              <w:rPr>
                <w:rFonts w:ascii="宋体"/>
                <w:vanish/>
              </w:rPr>
            </w:pPr>
          </w:p>
        </w:tc>
        <w:tc>
          <w:tcPr>
            <w:tcW w:w="0" w:type="auto"/>
            <w:shd w:val="clear" w:color="auto" w:fill="auto"/>
          </w:tcPr>
          <w:p w14:paraId="7268E1B0"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B1"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1B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1B3"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1B4" w14:textId="77777777" w:rsidR="005F762A" w:rsidRDefault="005F762A">
            <w:pPr>
              <w:rPr>
                <w:rFonts w:ascii="宋体"/>
              </w:rPr>
            </w:pPr>
          </w:p>
        </w:tc>
      </w:tr>
      <w:tr w:rsidR="005F762A" w14:paraId="7268E1C0" w14:textId="77777777">
        <w:tc>
          <w:tcPr>
            <w:tcW w:w="0" w:type="auto"/>
            <w:gridSpan w:val="3"/>
            <w:shd w:val="clear" w:color="auto" w:fill="E2E2E2"/>
            <w:tcMar>
              <w:top w:w="40" w:type="dxa"/>
              <w:left w:w="515" w:type="dxa"/>
              <w:bottom w:w="40" w:type="dxa"/>
              <w:right w:w="20" w:type="dxa"/>
            </w:tcMar>
            <w:vAlign w:val="bottom"/>
          </w:tcPr>
          <w:p w14:paraId="7268E1B6" w14:textId="77777777" w:rsidR="005F762A" w:rsidRDefault="00D74111">
            <w:pPr>
              <w:textAlignment w:val="bottom"/>
            </w:pPr>
            <w:r>
              <w:rPr>
                <w:rFonts w:ascii="Arial" w:eastAsia="宋体" w:hAnsi="Arial" w:cs="Arial"/>
                <w:color w:val="000000"/>
                <w:sz w:val="18"/>
                <w:szCs w:val="18"/>
              </w:rPr>
              <w:t>Weighted average shares of common stock - basic</w:t>
            </w:r>
          </w:p>
        </w:tc>
        <w:tc>
          <w:tcPr>
            <w:tcW w:w="0" w:type="auto"/>
            <w:shd w:val="clear" w:color="auto" w:fill="auto"/>
          </w:tcPr>
          <w:p w14:paraId="7268E1B7" w14:textId="77777777" w:rsidR="005F762A" w:rsidRDefault="005F762A">
            <w:pPr>
              <w:rPr>
                <w:rFonts w:ascii="宋体"/>
                <w:vanish/>
              </w:rPr>
            </w:pPr>
          </w:p>
        </w:tc>
        <w:tc>
          <w:tcPr>
            <w:tcW w:w="0" w:type="auto"/>
            <w:shd w:val="clear" w:color="auto" w:fill="auto"/>
          </w:tcPr>
          <w:p w14:paraId="7268E1B8" w14:textId="77777777" w:rsidR="005F762A" w:rsidRDefault="005F762A">
            <w:pPr>
              <w:rPr>
                <w:rFonts w:ascii="宋体"/>
                <w:vanish/>
              </w:rPr>
            </w:pPr>
          </w:p>
        </w:tc>
        <w:tc>
          <w:tcPr>
            <w:tcW w:w="0" w:type="auto"/>
            <w:shd w:val="clear" w:color="auto" w:fill="auto"/>
          </w:tcPr>
          <w:p w14:paraId="7268E1B9"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1B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1BB" w14:textId="77777777" w:rsidR="005F762A" w:rsidRDefault="00D74111">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7268E1B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1B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1BE" w14:textId="77777777" w:rsidR="005F762A" w:rsidRDefault="00D74111">
            <w:pPr>
              <w:jc w:val="right"/>
              <w:textAlignment w:val="bottom"/>
            </w:pPr>
            <w:r>
              <w:rPr>
                <w:rFonts w:ascii="Arial" w:eastAsia="宋体" w:hAnsi="Arial" w:cs="Arial"/>
                <w:color w:val="000000"/>
                <w:sz w:val="18"/>
                <w:szCs w:val="18"/>
              </w:rPr>
              <w:t>753 </w:t>
            </w:r>
          </w:p>
        </w:tc>
        <w:tc>
          <w:tcPr>
            <w:tcW w:w="0" w:type="auto"/>
            <w:shd w:val="clear" w:color="auto" w:fill="E2E2E2"/>
            <w:tcMar>
              <w:top w:w="40" w:type="dxa"/>
              <w:left w:w="0" w:type="dxa"/>
              <w:bottom w:w="40" w:type="dxa"/>
              <w:right w:w="20" w:type="dxa"/>
            </w:tcMar>
            <w:vAlign w:val="bottom"/>
          </w:tcPr>
          <w:p w14:paraId="7268E1BF" w14:textId="77777777" w:rsidR="005F762A" w:rsidRDefault="005F762A">
            <w:pPr>
              <w:jc w:val="right"/>
              <w:rPr>
                <w:rFonts w:ascii="宋体"/>
              </w:rPr>
            </w:pPr>
          </w:p>
        </w:tc>
      </w:tr>
      <w:tr w:rsidR="005F762A" w14:paraId="7268E1CB" w14:textId="77777777">
        <w:tc>
          <w:tcPr>
            <w:tcW w:w="0" w:type="auto"/>
            <w:gridSpan w:val="3"/>
            <w:shd w:val="clear" w:color="auto" w:fill="FFFFFF"/>
            <w:tcMar>
              <w:top w:w="40" w:type="dxa"/>
              <w:left w:w="875" w:type="dxa"/>
              <w:bottom w:w="40" w:type="dxa"/>
              <w:right w:w="20" w:type="dxa"/>
            </w:tcMar>
            <w:vAlign w:val="bottom"/>
          </w:tcPr>
          <w:p w14:paraId="7268E1C1" w14:textId="77777777" w:rsidR="005F762A" w:rsidRDefault="00D74111">
            <w:pPr>
              <w:textAlignment w:val="bottom"/>
            </w:pPr>
            <w:r>
              <w:rPr>
                <w:rFonts w:ascii="Arial" w:eastAsia="宋体" w:hAnsi="Arial" w:cs="Arial"/>
                <w:color w:val="000000"/>
                <w:sz w:val="18"/>
                <w:szCs w:val="18"/>
              </w:rPr>
              <w:t>Dilutive effect of equity incentive awards</w:t>
            </w:r>
          </w:p>
        </w:tc>
        <w:tc>
          <w:tcPr>
            <w:tcW w:w="0" w:type="auto"/>
            <w:shd w:val="clear" w:color="auto" w:fill="auto"/>
          </w:tcPr>
          <w:p w14:paraId="7268E1C2" w14:textId="77777777" w:rsidR="005F762A" w:rsidRDefault="005F762A">
            <w:pPr>
              <w:rPr>
                <w:rFonts w:ascii="宋体"/>
                <w:vanish/>
              </w:rPr>
            </w:pPr>
          </w:p>
        </w:tc>
        <w:tc>
          <w:tcPr>
            <w:tcW w:w="0" w:type="auto"/>
            <w:shd w:val="clear" w:color="auto" w:fill="auto"/>
          </w:tcPr>
          <w:p w14:paraId="7268E1C3" w14:textId="77777777" w:rsidR="005F762A" w:rsidRDefault="005F762A">
            <w:pPr>
              <w:rPr>
                <w:rFonts w:ascii="宋体"/>
                <w:vanish/>
              </w:rPr>
            </w:pPr>
          </w:p>
        </w:tc>
        <w:tc>
          <w:tcPr>
            <w:tcW w:w="0" w:type="auto"/>
            <w:shd w:val="clear" w:color="auto" w:fill="auto"/>
          </w:tcPr>
          <w:p w14:paraId="7268E1C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C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1C6" w14:textId="77777777" w:rsidR="005F762A" w:rsidRDefault="00D74111">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7268E1C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1C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1C9" w14:textId="77777777" w:rsidR="005F762A" w:rsidRDefault="00D74111">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7268E1CA" w14:textId="77777777" w:rsidR="005F762A" w:rsidRDefault="005F762A">
            <w:pPr>
              <w:jc w:val="right"/>
              <w:rPr>
                <w:rFonts w:ascii="宋体"/>
              </w:rPr>
            </w:pPr>
          </w:p>
        </w:tc>
      </w:tr>
      <w:tr w:rsidR="005F762A" w14:paraId="7268E1D6" w14:textId="77777777">
        <w:tc>
          <w:tcPr>
            <w:tcW w:w="0" w:type="auto"/>
            <w:gridSpan w:val="3"/>
            <w:shd w:val="clear" w:color="auto" w:fill="E2E2E2"/>
            <w:tcMar>
              <w:top w:w="40" w:type="dxa"/>
              <w:left w:w="515" w:type="dxa"/>
              <w:bottom w:w="40" w:type="dxa"/>
              <w:right w:w="20" w:type="dxa"/>
            </w:tcMar>
            <w:vAlign w:val="bottom"/>
          </w:tcPr>
          <w:p w14:paraId="7268E1CC" w14:textId="77777777" w:rsidR="005F762A" w:rsidRDefault="00D74111">
            <w:pPr>
              <w:textAlignment w:val="bottom"/>
            </w:pPr>
            <w:r>
              <w:rPr>
                <w:rFonts w:ascii="Arial" w:eastAsia="宋体" w:hAnsi="Arial" w:cs="Arial"/>
                <w:color w:val="000000"/>
                <w:sz w:val="18"/>
                <w:szCs w:val="18"/>
              </w:rPr>
              <w:t>Weighted average shares of common stock - diluted</w:t>
            </w:r>
          </w:p>
        </w:tc>
        <w:tc>
          <w:tcPr>
            <w:tcW w:w="0" w:type="auto"/>
            <w:shd w:val="clear" w:color="auto" w:fill="auto"/>
          </w:tcPr>
          <w:p w14:paraId="7268E1CD" w14:textId="77777777" w:rsidR="005F762A" w:rsidRDefault="005F762A">
            <w:pPr>
              <w:rPr>
                <w:rFonts w:ascii="宋体"/>
                <w:vanish/>
              </w:rPr>
            </w:pPr>
          </w:p>
        </w:tc>
        <w:tc>
          <w:tcPr>
            <w:tcW w:w="0" w:type="auto"/>
            <w:shd w:val="clear" w:color="auto" w:fill="auto"/>
          </w:tcPr>
          <w:p w14:paraId="7268E1CE" w14:textId="77777777" w:rsidR="005F762A" w:rsidRDefault="005F762A">
            <w:pPr>
              <w:rPr>
                <w:rFonts w:ascii="宋体"/>
                <w:vanish/>
              </w:rPr>
            </w:pPr>
          </w:p>
        </w:tc>
        <w:tc>
          <w:tcPr>
            <w:tcW w:w="0" w:type="auto"/>
            <w:shd w:val="clear" w:color="auto" w:fill="auto"/>
          </w:tcPr>
          <w:p w14:paraId="7268E1CF"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1D0"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1D1" w14:textId="77777777" w:rsidR="005F762A" w:rsidRDefault="00D74111">
            <w:pPr>
              <w:jc w:val="right"/>
              <w:textAlignment w:val="bottom"/>
            </w:pPr>
            <w:r>
              <w:rPr>
                <w:rFonts w:ascii="Arial" w:eastAsia="宋体" w:hAnsi="Arial" w:cs="Arial"/>
                <w:color w:val="000000"/>
                <w:sz w:val="18"/>
                <w:szCs w:val="18"/>
              </w:rPr>
              <w:t>693 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1D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1D3"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1D4" w14:textId="77777777" w:rsidR="005F762A" w:rsidRDefault="00D74111">
            <w:pPr>
              <w:jc w:val="right"/>
              <w:textAlignment w:val="bottom"/>
            </w:pPr>
            <w:r>
              <w:rPr>
                <w:rFonts w:ascii="Arial" w:eastAsia="宋体" w:hAnsi="Arial" w:cs="Arial"/>
                <w:color w:val="000000"/>
                <w:sz w:val="18"/>
                <w:szCs w:val="18"/>
              </w:rPr>
              <w:t>757 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1D5" w14:textId="77777777" w:rsidR="005F762A" w:rsidRDefault="005F762A">
            <w:pPr>
              <w:jc w:val="right"/>
              <w:rPr>
                <w:rFonts w:ascii="宋体"/>
              </w:rPr>
            </w:pPr>
          </w:p>
        </w:tc>
      </w:tr>
      <w:tr w:rsidR="005F762A" w14:paraId="7268E1DF" w14:textId="77777777">
        <w:trPr>
          <w:trHeight w:val="300"/>
        </w:trPr>
        <w:tc>
          <w:tcPr>
            <w:tcW w:w="0" w:type="auto"/>
            <w:gridSpan w:val="3"/>
            <w:shd w:val="clear" w:color="auto" w:fill="FFFFFF"/>
            <w:tcMar>
              <w:top w:w="0" w:type="dxa"/>
              <w:left w:w="20" w:type="dxa"/>
              <w:bottom w:w="0" w:type="dxa"/>
              <w:right w:w="20" w:type="dxa"/>
            </w:tcMar>
          </w:tcPr>
          <w:p w14:paraId="7268E1D7" w14:textId="77777777" w:rsidR="005F762A" w:rsidRDefault="005F762A">
            <w:pPr>
              <w:rPr>
                <w:rFonts w:ascii="宋体"/>
              </w:rPr>
            </w:pPr>
          </w:p>
        </w:tc>
        <w:tc>
          <w:tcPr>
            <w:tcW w:w="0" w:type="auto"/>
            <w:shd w:val="clear" w:color="auto" w:fill="auto"/>
          </w:tcPr>
          <w:p w14:paraId="7268E1D8" w14:textId="77777777" w:rsidR="005F762A" w:rsidRDefault="005F762A">
            <w:pPr>
              <w:rPr>
                <w:rFonts w:ascii="宋体"/>
                <w:vanish/>
              </w:rPr>
            </w:pPr>
          </w:p>
        </w:tc>
        <w:tc>
          <w:tcPr>
            <w:tcW w:w="0" w:type="auto"/>
            <w:shd w:val="clear" w:color="auto" w:fill="auto"/>
          </w:tcPr>
          <w:p w14:paraId="7268E1D9" w14:textId="77777777" w:rsidR="005F762A" w:rsidRDefault="005F762A">
            <w:pPr>
              <w:rPr>
                <w:rFonts w:ascii="宋体"/>
                <w:vanish/>
              </w:rPr>
            </w:pPr>
          </w:p>
        </w:tc>
        <w:tc>
          <w:tcPr>
            <w:tcW w:w="0" w:type="auto"/>
            <w:shd w:val="clear" w:color="auto" w:fill="auto"/>
          </w:tcPr>
          <w:p w14:paraId="7268E1DA"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DB"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1D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1DD"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1DE" w14:textId="77777777" w:rsidR="005F762A" w:rsidRDefault="005F762A">
            <w:pPr>
              <w:rPr>
                <w:rFonts w:ascii="宋体"/>
              </w:rPr>
            </w:pPr>
          </w:p>
        </w:tc>
      </w:tr>
      <w:tr w:rsidR="005F762A" w14:paraId="7268E1E8" w14:textId="77777777">
        <w:trPr>
          <w:hidden/>
        </w:trPr>
        <w:tc>
          <w:tcPr>
            <w:tcW w:w="0" w:type="auto"/>
            <w:gridSpan w:val="3"/>
            <w:shd w:val="clear" w:color="auto" w:fill="auto"/>
          </w:tcPr>
          <w:p w14:paraId="7268E1E0" w14:textId="77777777" w:rsidR="005F762A" w:rsidRDefault="005F762A">
            <w:pPr>
              <w:rPr>
                <w:rFonts w:ascii="宋体"/>
                <w:vanish/>
              </w:rPr>
            </w:pPr>
          </w:p>
        </w:tc>
        <w:tc>
          <w:tcPr>
            <w:tcW w:w="0" w:type="auto"/>
            <w:shd w:val="clear" w:color="auto" w:fill="auto"/>
          </w:tcPr>
          <w:p w14:paraId="7268E1E1" w14:textId="77777777" w:rsidR="005F762A" w:rsidRDefault="005F762A">
            <w:pPr>
              <w:rPr>
                <w:rFonts w:ascii="宋体"/>
                <w:vanish/>
              </w:rPr>
            </w:pPr>
          </w:p>
        </w:tc>
        <w:tc>
          <w:tcPr>
            <w:tcW w:w="0" w:type="auto"/>
            <w:shd w:val="clear" w:color="auto" w:fill="auto"/>
          </w:tcPr>
          <w:p w14:paraId="7268E1E2" w14:textId="77777777" w:rsidR="005F762A" w:rsidRDefault="005F762A">
            <w:pPr>
              <w:rPr>
                <w:rFonts w:ascii="宋体"/>
                <w:vanish/>
              </w:rPr>
            </w:pPr>
          </w:p>
        </w:tc>
        <w:tc>
          <w:tcPr>
            <w:tcW w:w="0" w:type="auto"/>
            <w:shd w:val="clear" w:color="auto" w:fill="auto"/>
          </w:tcPr>
          <w:p w14:paraId="7268E1E3" w14:textId="77777777" w:rsidR="005F762A" w:rsidRDefault="005F762A">
            <w:pPr>
              <w:rPr>
                <w:rFonts w:ascii="宋体"/>
                <w:vanish/>
              </w:rPr>
            </w:pPr>
          </w:p>
        </w:tc>
        <w:tc>
          <w:tcPr>
            <w:tcW w:w="0" w:type="auto"/>
            <w:gridSpan w:val="3"/>
            <w:shd w:val="clear" w:color="auto" w:fill="auto"/>
          </w:tcPr>
          <w:p w14:paraId="7268E1E4" w14:textId="77777777" w:rsidR="005F762A" w:rsidRDefault="005F762A">
            <w:pPr>
              <w:rPr>
                <w:rFonts w:ascii="宋体"/>
                <w:vanish/>
              </w:rPr>
            </w:pPr>
          </w:p>
        </w:tc>
        <w:tc>
          <w:tcPr>
            <w:tcW w:w="0" w:type="auto"/>
            <w:gridSpan w:val="3"/>
            <w:shd w:val="clear" w:color="auto" w:fill="auto"/>
          </w:tcPr>
          <w:p w14:paraId="7268E1E5" w14:textId="77777777" w:rsidR="005F762A" w:rsidRDefault="005F762A">
            <w:pPr>
              <w:rPr>
                <w:rFonts w:ascii="宋体"/>
                <w:vanish/>
              </w:rPr>
            </w:pPr>
          </w:p>
        </w:tc>
        <w:tc>
          <w:tcPr>
            <w:tcW w:w="0" w:type="auto"/>
            <w:gridSpan w:val="3"/>
            <w:shd w:val="clear" w:color="auto" w:fill="auto"/>
          </w:tcPr>
          <w:p w14:paraId="7268E1E6" w14:textId="77777777" w:rsidR="005F762A" w:rsidRDefault="005F762A">
            <w:pPr>
              <w:rPr>
                <w:rFonts w:ascii="宋体"/>
                <w:vanish/>
              </w:rPr>
            </w:pPr>
          </w:p>
        </w:tc>
        <w:tc>
          <w:tcPr>
            <w:tcW w:w="0" w:type="auto"/>
            <w:gridSpan w:val="3"/>
            <w:shd w:val="clear" w:color="auto" w:fill="auto"/>
          </w:tcPr>
          <w:p w14:paraId="7268E1E7" w14:textId="77777777" w:rsidR="005F762A" w:rsidRDefault="005F762A">
            <w:pPr>
              <w:rPr>
                <w:rFonts w:ascii="宋体"/>
                <w:vanish/>
              </w:rPr>
            </w:pPr>
          </w:p>
        </w:tc>
      </w:tr>
      <w:tr w:rsidR="005F762A" w14:paraId="7268E1F1" w14:textId="77777777">
        <w:tc>
          <w:tcPr>
            <w:tcW w:w="0" w:type="auto"/>
            <w:gridSpan w:val="3"/>
            <w:shd w:val="clear" w:color="auto" w:fill="E2E2E2"/>
            <w:tcMar>
              <w:top w:w="40" w:type="dxa"/>
              <w:left w:w="20" w:type="dxa"/>
              <w:bottom w:w="40" w:type="dxa"/>
              <w:right w:w="20" w:type="dxa"/>
            </w:tcMar>
            <w:vAlign w:val="bottom"/>
          </w:tcPr>
          <w:p w14:paraId="7268E1E9" w14:textId="77777777" w:rsidR="005F762A" w:rsidRDefault="00D74111">
            <w:pPr>
              <w:textAlignment w:val="bottom"/>
            </w:pPr>
            <w:r>
              <w:rPr>
                <w:rFonts w:ascii="Arial" w:eastAsia="宋体" w:hAnsi="Arial" w:cs="Arial"/>
                <w:color w:val="000000"/>
                <w:sz w:val="18"/>
                <w:szCs w:val="18"/>
              </w:rPr>
              <w:t xml:space="preserve">Income per share - </w:t>
            </w:r>
            <w:r>
              <w:rPr>
                <w:rFonts w:ascii="Arial" w:eastAsia="宋体" w:hAnsi="Arial" w:cs="Arial"/>
                <w:color w:val="000000"/>
                <w:sz w:val="18"/>
                <w:szCs w:val="18"/>
              </w:rPr>
              <w:t>basic:</w:t>
            </w:r>
          </w:p>
        </w:tc>
        <w:tc>
          <w:tcPr>
            <w:tcW w:w="0" w:type="auto"/>
            <w:shd w:val="clear" w:color="auto" w:fill="auto"/>
          </w:tcPr>
          <w:p w14:paraId="7268E1EA" w14:textId="77777777" w:rsidR="005F762A" w:rsidRDefault="005F762A">
            <w:pPr>
              <w:rPr>
                <w:rFonts w:ascii="宋体"/>
                <w:vanish/>
              </w:rPr>
            </w:pPr>
          </w:p>
        </w:tc>
        <w:tc>
          <w:tcPr>
            <w:tcW w:w="0" w:type="auto"/>
            <w:shd w:val="clear" w:color="auto" w:fill="auto"/>
          </w:tcPr>
          <w:p w14:paraId="7268E1EB" w14:textId="77777777" w:rsidR="005F762A" w:rsidRDefault="005F762A">
            <w:pPr>
              <w:rPr>
                <w:rFonts w:ascii="宋体"/>
                <w:vanish/>
              </w:rPr>
            </w:pPr>
          </w:p>
        </w:tc>
        <w:tc>
          <w:tcPr>
            <w:tcW w:w="0" w:type="auto"/>
            <w:shd w:val="clear" w:color="auto" w:fill="auto"/>
          </w:tcPr>
          <w:p w14:paraId="7268E1E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1E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1E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1E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1F0" w14:textId="77777777" w:rsidR="005F762A" w:rsidRDefault="005F762A">
            <w:pPr>
              <w:rPr>
                <w:rFonts w:ascii="宋体"/>
              </w:rPr>
            </w:pPr>
          </w:p>
        </w:tc>
      </w:tr>
      <w:tr w:rsidR="005F762A" w14:paraId="7268E1FE" w14:textId="77777777">
        <w:tc>
          <w:tcPr>
            <w:tcW w:w="0" w:type="auto"/>
            <w:gridSpan w:val="3"/>
            <w:shd w:val="clear" w:color="auto" w:fill="FFFFFF"/>
            <w:tcMar>
              <w:top w:w="40" w:type="dxa"/>
              <w:left w:w="515" w:type="dxa"/>
              <w:bottom w:w="40" w:type="dxa"/>
              <w:right w:w="20" w:type="dxa"/>
            </w:tcMar>
            <w:vAlign w:val="bottom"/>
          </w:tcPr>
          <w:p w14:paraId="7268E1F2" w14:textId="77777777" w:rsidR="005F762A" w:rsidRDefault="00D74111">
            <w:pPr>
              <w:textAlignment w:val="bottom"/>
            </w:pPr>
            <w:r>
              <w:rPr>
                <w:rFonts w:ascii="Arial" w:eastAsia="宋体" w:hAnsi="Arial" w:cs="Arial"/>
                <w:color w:val="000000"/>
                <w:sz w:val="18"/>
                <w:szCs w:val="18"/>
              </w:rPr>
              <w:t>Continuing operations</w:t>
            </w:r>
          </w:p>
        </w:tc>
        <w:tc>
          <w:tcPr>
            <w:tcW w:w="0" w:type="auto"/>
            <w:shd w:val="clear" w:color="auto" w:fill="auto"/>
          </w:tcPr>
          <w:p w14:paraId="7268E1F3" w14:textId="77777777" w:rsidR="005F762A" w:rsidRDefault="005F762A">
            <w:pPr>
              <w:rPr>
                <w:rFonts w:ascii="宋体"/>
                <w:vanish/>
              </w:rPr>
            </w:pPr>
          </w:p>
        </w:tc>
        <w:tc>
          <w:tcPr>
            <w:tcW w:w="0" w:type="auto"/>
            <w:shd w:val="clear" w:color="auto" w:fill="auto"/>
          </w:tcPr>
          <w:p w14:paraId="7268E1F4" w14:textId="77777777" w:rsidR="005F762A" w:rsidRDefault="005F762A">
            <w:pPr>
              <w:rPr>
                <w:rFonts w:ascii="宋体"/>
                <w:vanish/>
              </w:rPr>
            </w:pPr>
          </w:p>
        </w:tc>
        <w:tc>
          <w:tcPr>
            <w:tcW w:w="0" w:type="auto"/>
            <w:shd w:val="clear" w:color="auto" w:fill="auto"/>
          </w:tcPr>
          <w:p w14:paraId="7268E1F5"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1F6"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1F7"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1F8" w14:textId="77777777" w:rsidR="005F762A" w:rsidRDefault="00D74111">
            <w:pPr>
              <w:jc w:val="right"/>
              <w:textAlignment w:val="bottom"/>
            </w:pPr>
            <w:r>
              <w:rPr>
                <w:rFonts w:ascii="Arial" w:eastAsia="宋体" w:hAnsi="Arial" w:cs="Arial"/>
                <w:color w:val="000000"/>
                <w:sz w:val="18"/>
                <w:szCs w:val="18"/>
              </w:rPr>
              <w:t>0.84 </w:t>
            </w:r>
          </w:p>
        </w:tc>
        <w:tc>
          <w:tcPr>
            <w:tcW w:w="0" w:type="auto"/>
            <w:shd w:val="clear" w:color="auto" w:fill="FFFFFF"/>
            <w:tcMar>
              <w:top w:w="40" w:type="dxa"/>
              <w:left w:w="0" w:type="dxa"/>
              <w:bottom w:w="40" w:type="dxa"/>
              <w:right w:w="20" w:type="dxa"/>
            </w:tcMar>
            <w:vAlign w:val="bottom"/>
          </w:tcPr>
          <w:p w14:paraId="7268E1F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1FA"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1FB"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1FC" w14:textId="77777777" w:rsidR="005F762A" w:rsidRDefault="00D74111">
            <w:pPr>
              <w:jc w:val="right"/>
              <w:textAlignment w:val="bottom"/>
            </w:pPr>
            <w:r>
              <w:rPr>
                <w:rFonts w:ascii="Arial" w:eastAsia="宋体" w:hAnsi="Arial" w:cs="Arial"/>
                <w:color w:val="000000"/>
                <w:sz w:val="18"/>
                <w:szCs w:val="18"/>
              </w:rPr>
              <w:t>0.57 </w:t>
            </w:r>
          </w:p>
        </w:tc>
        <w:tc>
          <w:tcPr>
            <w:tcW w:w="0" w:type="auto"/>
            <w:shd w:val="clear" w:color="auto" w:fill="FFFFFF"/>
            <w:tcMar>
              <w:top w:w="40" w:type="dxa"/>
              <w:left w:w="0" w:type="dxa"/>
              <w:bottom w:w="40" w:type="dxa"/>
              <w:right w:w="20" w:type="dxa"/>
            </w:tcMar>
            <w:vAlign w:val="bottom"/>
          </w:tcPr>
          <w:p w14:paraId="7268E1FD" w14:textId="77777777" w:rsidR="005F762A" w:rsidRDefault="005F762A">
            <w:pPr>
              <w:jc w:val="right"/>
              <w:rPr>
                <w:rFonts w:ascii="宋体"/>
              </w:rPr>
            </w:pPr>
          </w:p>
        </w:tc>
      </w:tr>
      <w:tr w:rsidR="005F762A" w14:paraId="7268E209" w14:textId="77777777">
        <w:tc>
          <w:tcPr>
            <w:tcW w:w="0" w:type="auto"/>
            <w:gridSpan w:val="3"/>
            <w:shd w:val="clear" w:color="auto" w:fill="E2E2E2"/>
            <w:tcMar>
              <w:top w:w="40" w:type="dxa"/>
              <w:left w:w="515" w:type="dxa"/>
              <w:bottom w:w="40" w:type="dxa"/>
              <w:right w:w="20" w:type="dxa"/>
            </w:tcMar>
            <w:vAlign w:val="bottom"/>
          </w:tcPr>
          <w:p w14:paraId="7268E1FF" w14:textId="77777777" w:rsidR="005F762A" w:rsidRDefault="00D74111">
            <w:pPr>
              <w:textAlignment w:val="bottom"/>
            </w:pPr>
            <w:r>
              <w:rPr>
                <w:rFonts w:ascii="Arial" w:eastAsia="宋体" w:hAnsi="Arial" w:cs="Arial"/>
                <w:color w:val="000000"/>
                <w:sz w:val="18"/>
                <w:szCs w:val="18"/>
              </w:rPr>
              <w:t>Discontinued operations</w:t>
            </w:r>
          </w:p>
        </w:tc>
        <w:tc>
          <w:tcPr>
            <w:tcW w:w="0" w:type="auto"/>
            <w:shd w:val="clear" w:color="auto" w:fill="auto"/>
          </w:tcPr>
          <w:p w14:paraId="7268E200" w14:textId="77777777" w:rsidR="005F762A" w:rsidRDefault="005F762A">
            <w:pPr>
              <w:rPr>
                <w:rFonts w:ascii="宋体"/>
                <w:vanish/>
              </w:rPr>
            </w:pPr>
          </w:p>
        </w:tc>
        <w:tc>
          <w:tcPr>
            <w:tcW w:w="0" w:type="auto"/>
            <w:shd w:val="clear" w:color="auto" w:fill="auto"/>
          </w:tcPr>
          <w:p w14:paraId="7268E201" w14:textId="77777777" w:rsidR="005F762A" w:rsidRDefault="005F762A">
            <w:pPr>
              <w:rPr>
                <w:rFonts w:ascii="宋体"/>
                <w:vanish/>
              </w:rPr>
            </w:pPr>
          </w:p>
        </w:tc>
        <w:tc>
          <w:tcPr>
            <w:tcW w:w="0" w:type="auto"/>
            <w:shd w:val="clear" w:color="auto" w:fill="auto"/>
          </w:tcPr>
          <w:p w14:paraId="7268E20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20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204" w14:textId="77777777" w:rsidR="005F762A" w:rsidRDefault="00D74111">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7268E20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20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207" w14:textId="77777777" w:rsidR="005F762A" w:rsidRDefault="00D74111">
            <w:pPr>
              <w:jc w:val="right"/>
              <w:textAlignment w:val="bottom"/>
            </w:pPr>
            <w:r>
              <w:rPr>
                <w:rFonts w:ascii="Arial" w:eastAsia="宋体" w:hAnsi="Arial" w:cs="Arial"/>
                <w:color w:val="000000"/>
                <w:sz w:val="18"/>
                <w:szCs w:val="18"/>
              </w:rPr>
              <w:t>3.96 </w:t>
            </w:r>
          </w:p>
        </w:tc>
        <w:tc>
          <w:tcPr>
            <w:tcW w:w="0" w:type="auto"/>
            <w:shd w:val="clear" w:color="auto" w:fill="E2E2E2"/>
            <w:tcMar>
              <w:top w:w="40" w:type="dxa"/>
              <w:left w:w="0" w:type="dxa"/>
              <w:bottom w:w="40" w:type="dxa"/>
              <w:right w:w="20" w:type="dxa"/>
            </w:tcMar>
            <w:vAlign w:val="bottom"/>
          </w:tcPr>
          <w:p w14:paraId="7268E208" w14:textId="77777777" w:rsidR="005F762A" w:rsidRDefault="005F762A">
            <w:pPr>
              <w:jc w:val="right"/>
              <w:rPr>
                <w:rFonts w:ascii="宋体"/>
              </w:rPr>
            </w:pPr>
          </w:p>
        </w:tc>
      </w:tr>
      <w:tr w:rsidR="005F762A" w14:paraId="7268E216" w14:textId="77777777">
        <w:tc>
          <w:tcPr>
            <w:tcW w:w="0" w:type="auto"/>
            <w:gridSpan w:val="3"/>
            <w:shd w:val="clear" w:color="auto" w:fill="FFFFFF"/>
            <w:tcMar>
              <w:top w:w="40" w:type="dxa"/>
              <w:left w:w="20" w:type="dxa"/>
              <w:bottom w:w="40" w:type="dxa"/>
              <w:right w:w="20" w:type="dxa"/>
            </w:tcMar>
            <w:vAlign w:val="bottom"/>
          </w:tcPr>
          <w:p w14:paraId="7268E20A" w14:textId="77777777" w:rsidR="005F762A" w:rsidRDefault="00D74111">
            <w:pPr>
              <w:textAlignment w:val="bottom"/>
            </w:pPr>
            <w:r>
              <w:rPr>
                <w:rFonts w:ascii="Arial" w:eastAsia="宋体" w:hAnsi="Arial" w:cs="Arial"/>
                <w:color w:val="000000"/>
                <w:sz w:val="18"/>
                <w:szCs w:val="18"/>
              </w:rPr>
              <w:t>Net income per share - basic</w:t>
            </w:r>
          </w:p>
        </w:tc>
        <w:tc>
          <w:tcPr>
            <w:tcW w:w="0" w:type="auto"/>
            <w:shd w:val="clear" w:color="auto" w:fill="auto"/>
          </w:tcPr>
          <w:p w14:paraId="7268E20B" w14:textId="77777777" w:rsidR="005F762A" w:rsidRDefault="005F762A">
            <w:pPr>
              <w:rPr>
                <w:rFonts w:ascii="宋体"/>
                <w:vanish/>
              </w:rPr>
            </w:pPr>
          </w:p>
        </w:tc>
        <w:tc>
          <w:tcPr>
            <w:tcW w:w="0" w:type="auto"/>
            <w:shd w:val="clear" w:color="auto" w:fill="auto"/>
          </w:tcPr>
          <w:p w14:paraId="7268E20C" w14:textId="77777777" w:rsidR="005F762A" w:rsidRDefault="005F762A">
            <w:pPr>
              <w:rPr>
                <w:rFonts w:ascii="宋体"/>
                <w:vanish/>
              </w:rPr>
            </w:pPr>
          </w:p>
        </w:tc>
        <w:tc>
          <w:tcPr>
            <w:tcW w:w="0" w:type="auto"/>
            <w:shd w:val="clear" w:color="auto" w:fill="auto"/>
          </w:tcPr>
          <w:p w14:paraId="7268E20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20E"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0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10" w14:textId="77777777" w:rsidR="005F762A" w:rsidRDefault="00D74111">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1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212"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1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14" w14:textId="77777777" w:rsidR="005F762A" w:rsidRDefault="00D74111">
            <w:pPr>
              <w:jc w:val="right"/>
              <w:textAlignment w:val="bottom"/>
            </w:pPr>
            <w:r>
              <w:rPr>
                <w:rFonts w:ascii="Arial" w:eastAsia="宋体" w:hAnsi="Arial" w:cs="Arial"/>
                <w:color w:val="000000"/>
                <w:sz w:val="18"/>
                <w:szCs w:val="18"/>
              </w:rPr>
              <w:t>4.53 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15" w14:textId="77777777" w:rsidR="005F762A" w:rsidRDefault="005F762A">
            <w:pPr>
              <w:jc w:val="right"/>
              <w:rPr>
                <w:rFonts w:ascii="宋体"/>
              </w:rPr>
            </w:pPr>
          </w:p>
        </w:tc>
      </w:tr>
      <w:tr w:rsidR="005F762A" w14:paraId="7268E21F" w14:textId="77777777">
        <w:tc>
          <w:tcPr>
            <w:tcW w:w="0" w:type="auto"/>
            <w:gridSpan w:val="3"/>
            <w:shd w:val="clear" w:color="auto" w:fill="E2E2E2"/>
            <w:tcMar>
              <w:top w:w="40" w:type="dxa"/>
              <w:left w:w="20" w:type="dxa"/>
              <w:bottom w:w="40" w:type="dxa"/>
              <w:right w:w="20" w:type="dxa"/>
            </w:tcMar>
            <w:vAlign w:val="bottom"/>
          </w:tcPr>
          <w:p w14:paraId="7268E217" w14:textId="77777777" w:rsidR="005F762A" w:rsidRDefault="00D74111">
            <w:pPr>
              <w:textAlignment w:val="bottom"/>
            </w:pPr>
            <w:r>
              <w:rPr>
                <w:rFonts w:ascii="Arial" w:eastAsia="宋体" w:hAnsi="Arial" w:cs="Arial"/>
                <w:color w:val="000000"/>
                <w:sz w:val="18"/>
                <w:szCs w:val="18"/>
              </w:rPr>
              <w:t>Inco</w:t>
            </w:r>
            <w:r>
              <w:rPr>
                <w:rFonts w:ascii="Arial" w:eastAsia="宋体" w:hAnsi="Arial" w:cs="Arial"/>
                <w:color w:val="000000"/>
                <w:sz w:val="18"/>
                <w:szCs w:val="18"/>
              </w:rPr>
              <w:t>me per share - diluted:</w:t>
            </w:r>
          </w:p>
        </w:tc>
        <w:tc>
          <w:tcPr>
            <w:tcW w:w="0" w:type="auto"/>
            <w:shd w:val="clear" w:color="auto" w:fill="auto"/>
          </w:tcPr>
          <w:p w14:paraId="7268E218" w14:textId="77777777" w:rsidR="005F762A" w:rsidRDefault="005F762A">
            <w:pPr>
              <w:rPr>
                <w:rFonts w:ascii="宋体"/>
                <w:vanish/>
              </w:rPr>
            </w:pPr>
          </w:p>
        </w:tc>
        <w:tc>
          <w:tcPr>
            <w:tcW w:w="0" w:type="auto"/>
            <w:shd w:val="clear" w:color="auto" w:fill="auto"/>
          </w:tcPr>
          <w:p w14:paraId="7268E219" w14:textId="77777777" w:rsidR="005F762A" w:rsidRDefault="005F762A">
            <w:pPr>
              <w:rPr>
                <w:rFonts w:ascii="宋体"/>
                <w:vanish/>
              </w:rPr>
            </w:pPr>
          </w:p>
        </w:tc>
        <w:tc>
          <w:tcPr>
            <w:tcW w:w="0" w:type="auto"/>
            <w:shd w:val="clear" w:color="auto" w:fill="auto"/>
          </w:tcPr>
          <w:p w14:paraId="7268E21A"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21B"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E21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21D"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E21E" w14:textId="77777777" w:rsidR="005F762A" w:rsidRDefault="005F762A">
            <w:pPr>
              <w:rPr>
                <w:rFonts w:ascii="宋体"/>
              </w:rPr>
            </w:pPr>
          </w:p>
        </w:tc>
      </w:tr>
      <w:tr w:rsidR="005F762A" w14:paraId="7268E22C" w14:textId="77777777">
        <w:tc>
          <w:tcPr>
            <w:tcW w:w="0" w:type="auto"/>
            <w:gridSpan w:val="3"/>
            <w:shd w:val="clear" w:color="auto" w:fill="FFFFFF"/>
            <w:tcMar>
              <w:top w:w="40" w:type="dxa"/>
              <w:left w:w="515" w:type="dxa"/>
              <w:bottom w:w="40" w:type="dxa"/>
              <w:right w:w="20" w:type="dxa"/>
            </w:tcMar>
            <w:vAlign w:val="bottom"/>
          </w:tcPr>
          <w:p w14:paraId="7268E220" w14:textId="77777777" w:rsidR="005F762A" w:rsidRDefault="00D74111">
            <w:pPr>
              <w:textAlignment w:val="bottom"/>
            </w:pPr>
            <w:r>
              <w:rPr>
                <w:rFonts w:ascii="Arial" w:eastAsia="宋体" w:hAnsi="Arial" w:cs="Arial"/>
                <w:color w:val="000000"/>
                <w:sz w:val="18"/>
                <w:szCs w:val="18"/>
              </w:rPr>
              <w:t>Continuing operations</w:t>
            </w:r>
          </w:p>
        </w:tc>
        <w:tc>
          <w:tcPr>
            <w:tcW w:w="0" w:type="auto"/>
            <w:shd w:val="clear" w:color="auto" w:fill="auto"/>
          </w:tcPr>
          <w:p w14:paraId="7268E221" w14:textId="77777777" w:rsidR="005F762A" w:rsidRDefault="005F762A">
            <w:pPr>
              <w:rPr>
                <w:rFonts w:ascii="宋体"/>
                <w:vanish/>
              </w:rPr>
            </w:pPr>
          </w:p>
        </w:tc>
        <w:tc>
          <w:tcPr>
            <w:tcW w:w="0" w:type="auto"/>
            <w:shd w:val="clear" w:color="auto" w:fill="auto"/>
          </w:tcPr>
          <w:p w14:paraId="7268E222" w14:textId="77777777" w:rsidR="005F762A" w:rsidRDefault="005F762A">
            <w:pPr>
              <w:rPr>
                <w:rFonts w:ascii="宋体"/>
                <w:vanish/>
              </w:rPr>
            </w:pPr>
          </w:p>
        </w:tc>
        <w:tc>
          <w:tcPr>
            <w:tcW w:w="0" w:type="auto"/>
            <w:shd w:val="clear" w:color="auto" w:fill="auto"/>
          </w:tcPr>
          <w:p w14:paraId="7268E22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224"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225"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226" w14:textId="77777777" w:rsidR="005F762A" w:rsidRDefault="00D74111">
            <w:pPr>
              <w:jc w:val="right"/>
              <w:textAlignment w:val="bottom"/>
            </w:pPr>
            <w:r>
              <w:rPr>
                <w:rFonts w:ascii="Arial" w:eastAsia="宋体" w:hAnsi="Arial" w:cs="Arial"/>
                <w:color w:val="000000"/>
                <w:sz w:val="18"/>
                <w:szCs w:val="18"/>
              </w:rPr>
              <w:t>0.82 </w:t>
            </w:r>
          </w:p>
        </w:tc>
        <w:tc>
          <w:tcPr>
            <w:tcW w:w="0" w:type="auto"/>
            <w:shd w:val="clear" w:color="auto" w:fill="FFFFFF"/>
            <w:tcMar>
              <w:top w:w="40" w:type="dxa"/>
              <w:left w:w="0" w:type="dxa"/>
              <w:bottom w:w="40" w:type="dxa"/>
              <w:right w:w="20" w:type="dxa"/>
            </w:tcMar>
            <w:vAlign w:val="bottom"/>
          </w:tcPr>
          <w:p w14:paraId="7268E22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228"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229"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22A" w14:textId="77777777" w:rsidR="005F762A" w:rsidRDefault="00D74111">
            <w:pPr>
              <w:jc w:val="right"/>
              <w:textAlignment w:val="bottom"/>
            </w:pPr>
            <w:r>
              <w:rPr>
                <w:rFonts w:ascii="Arial" w:eastAsia="宋体" w:hAnsi="Arial" w:cs="Arial"/>
                <w:color w:val="000000"/>
                <w:sz w:val="18"/>
                <w:szCs w:val="18"/>
              </w:rPr>
              <w:t>0.57 </w:t>
            </w:r>
          </w:p>
        </w:tc>
        <w:tc>
          <w:tcPr>
            <w:tcW w:w="0" w:type="auto"/>
            <w:shd w:val="clear" w:color="auto" w:fill="FFFFFF"/>
            <w:tcMar>
              <w:top w:w="40" w:type="dxa"/>
              <w:left w:w="0" w:type="dxa"/>
              <w:bottom w:w="40" w:type="dxa"/>
              <w:right w:w="20" w:type="dxa"/>
            </w:tcMar>
            <w:vAlign w:val="bottom"/>
          </w:tcPr>
          <w:p w14:paraId="7268E22B" w14:textId="77777777" w:rsidR="005F762A" w:rsidRDefault="005F762A">
            <w:pPr>
              <w:jc w:val="right"/>
              <w:rPr>
                <w:rFonts w:ascii="宋体"/>
              </w:rPr>
            </w:pPr>
          </w:p>
        </w:tc>
      </w:tr>
      <w:tr w:rsidR="005F762A" w14:paraId="7268E237" w14:textId="77777777">
        <w:tc>
          <w:tcPr>
            <w:tcW w:w="0" w:type="auto"/>
            <w:gridSpan w:val="3"/>
            <w:shd w:val="clear" w:color="auto" w:fill="E2E2E2"/>
            <w:tcMar>
              <w:top w:w="40" w:type="dxa"/>
              <w:left w:w="515" w:type="dxa"/>
              <w:bottom w:w="40" w:type="dxa"/>
              <w:right w:w="20" w:type="dxa"/>
            </w:tcMar>
            <w:vAlign w:val="bottom"/>
          </w:tcPr>
          <w:p w14:paraId="7268E22D" w14:textId="77777777" w:rsidR="005F762A" w:rsidRDefault="00D74111">
            <w:pPr>
              <w:textAlignment w:val="bottom"/>
            </w:pPr>
            <w:r>
              <w:rPr>
                <w:rFonts w:ascii="Arial" w:eastAsia="宋体" w:hAnsi="Arial" w:cs="Arial"/>
                <w:color w:val="000000"/>
                <w:sz w:val="18"/>
                <w:szCs w:val="18"/>
              </w:rPr>
              <w:t>Discontinued operations</w:t>
            </w:r>
          </w:p>
        </w:tc>
        <w:tc>
          <w:tcPr>
            <w:tcW w:w="0" w:type="auto"/>
            <w:shd w:val="clear" w:color="auto" w:fill="auto"/>
          </w:tcPr>
          <w:p w14:paraId="7268E22E" w14:textId="77777777" w:rsidR="005F762A" w:rsidRDefault="005F762A">
            <w:pPr>
              <w:rPr>
                <w:rFonts w:ascii="宋体"/>
                <w:vanish/>
              </w:rPr>
            </w:pPr>
          </w:p>
        </w:tc>
        <w:tc>
          <w:tcPr>
            <w:tcW w:w="0" w:type="auto"/>
            <w:shd w:val="clear" w:color="auto" w:fill="auto"/>
          </w:tcPr>
          <w:p w14:paraId="7268E22F" w14:textId="77777777" w:rsidR="005F762A" w:rsidRDefault="005F762A">
            <w:pPr>
              <w:rPr>
                <w:rFonts w:ascii="宋体"/>
                <w:vanish/>
              </w:rPr>
            </w:pPr>
          </w:p>
        </w:tc>
        <w:tc>
          <w:tcPr>
            <w:tcW w:w="0" w:type="auto"/>
            <w:shd w:val="clear" w:color="auto" w:fill="auto"/>
          </w:tcPr>
          <w:p w14:paraId="7268E23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23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232" w14:textId="77777777" w:rsidR="005F762A" w:rsidRDefault="00D74111">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7268E23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23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235" w14:textId="77777777" w:rsidR="005F762A" w:rsidRDefault="00D74111">
            <w:pPr>
              <w:jc w:val="right"/>
              <w:textAlignment w:val="bottom"/>
            </w:pPr>
            <w:r>
              <w:rPr>
                <w:rFonts w:ascii="Arial" w:eastAsia="宋体" w:hAnsi="Arial" w:cs="Arial"/>
                <w:color w:val="000000"/>
                <w:sz w:val="18"/>
                <w:szCs w:val="18"/>
              </w:rPr>
              <w:t>3.94 </w:t>
            </w:r>
          </w:p>
        </w:tc>
        <w:tc>
          <w:tcPr>
            <w:tcW w:w="0" w:type="auto"/>
            <w:shd w:val="clear" w:color="auto" w:fill="E2E2E2"/>
            <w:tcMar>
              <w:top w:w="40" w:type="dxa"/>
              <w:left w:w="0" w:type="dxa"/>
              <w:bottom w:w="40" w:type="dxa"/>
              <w:right w:w="20" w:type="dxa"/>
            </w:tcMar>
            <w:vAlign w:val="bottom"/>
          </w:tcPr>
          <w:p w14:paraId="7268E236" w14:textId="77777777" w:rsidR="005F762A" w:rsidRDefault="005F762A">
            <w:pPr>
              <w:jc w:val="right"/>
              <w:rPr>
                <w:rFonts w:ascii="宋体"/>
              </w:rPr>
            </w:pPr>
          </w:p>
        </w:tc>
      </w:tr>
      <w:tr w:rsidR="005F762A" w14:paraId="7268E244" w14:textId="77777777">
        <w:tc>
          <w:tcPr>
            <w:tcW w:w="0" w:type="auto"/>
            <w:gridSpan w:val="3"/>
            <w:shd w:val="clear" w:color="auto" w:fill="FFFFFF"/>
            <w:tcMar>
              <w:top w:w="40" w:type="dxa"/>
              <w:left w:w="20" w:type="dxa"/>
              <w:bottom w:w="40" w:type="dxa"/>
              <w:right w:w="20" w:type="dxa"/>
            </w:tcMar>
            <w:vAlign w:val="bottom"/>
          </w:tcPr>
          <w:p w14:paraId="7268E238" w14:textId="77777777" w:rsidR="005F762A" w:rsidRDefault="00D74111">
            <w:pPr>
              <w:textAlignment w:val="bottom"/>
            </w:pPr>
            <w:r>
              <w:rPr>
                <w:rFonts w:ascii="Arial" w:eastAsia="宋体" w:hAnsi="Arial" w:cs="Arial"/>
                <w:color w:val="000000"/>
                <w:sz w:val="18"/>
                <w:szCs w:val="18"/>
              </w:rPr>
              <w:t>Net income per share - diluted</w:t>
            </w:r>
          </w:p>
        </w:tc>
        <w:tc>
          <w:tcPr>
            <w:tcW w:w="0" w:type="auto"/>
            <w:shd w:val="clear" w:color="auto" w:fill="auto"/>
          </w:tcPr>
          <w:p w14:paraId="7268E239" w14:textId="77777777" w:rsidR="005F762A" w:rsidRDefault="005F762A">
            <w:pPr>
              <w:rPr>
                <w:rFonts w:ascii="宋体"/>
                <w:vanish/>
              </w:rPr>
            </w:pPr>
          </w:p>
        </w:tc>
        <w:tc>
          <w:tcPr>
            <w:tcW w:w="0" w:type="auto"/>
            <w:shd w:val="clear" w:color="auto" w:fill="auto"/>
          </w:tcPr>
          <w:p w14:paraId="7268E23A" w14:textId="77777777" w:rsidR="005F762A" w:rsidRDefault="005F762A">
            <w:pPr>
              <w:rPr>
                <w:rFonts w:ascii="宋体"/>
                <w:vanish/>
              </w:rPr>
            </w:pPr>
          </w:p>
        </w:tc>
        <w:tc>
          <w:tcPr>
            <w:tcW w:w="0" w:type="auto"/>
            <w:shd w:val="clear" w:color="auto" w:fill="auto"/>
          </w:tcPr>
          <w:p w14:paraId="7268E23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23C"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3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3E" w14:textId="77777777" w:rsidR="005F762A" w:rsidRDefault="00D74111">
            <w:pPr>
              <w:jc w:val="right"/>
              <w:textAlignment w:val="bottom"/>
            </w:pPr>
            <w:r>
              <w:rPr>
                <w:rFonts w:ascii="Arial" w:eastAsia="宋体" w:hAnsi="Arial" w:cs="Arial"/>
                <w:color w:val="000000"/>
                <w:sz w:val="18"/>
                <w:szCs w:val="18"/>
              </w:rPr>
              <w:t>0.92 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3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240"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4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42" w14:textId="77777777" w:rsidR="005F762A" w:rsidRDefault="00D74111">
            <w:pPr>
              <w:jc w:val="right"/>
              <w:textAlignment w:val="bottom"/>
            </w:pPr>
            <w:r>
              <w:rPr>
                <w:rFonts w:ascii="Arial" w:eastAsia="宋体" w:hAnsi="Arial" w:cs="Arial"/>
                <w:color w:val="000000"/>
                <w:sz w:val="18"/>
                <w:szCs w:val="18"/>
              </w:rPr>
              <w:t>4.51 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43" w14:textId="77777777" w:rsidR="005F762A" w:rsidRDefault="005F762A">
            <w:pPr>
              <w:jc w:val="right"/>
              <w:rPr>
                <w:rFonts w:ascii="宋体"/>
              </w:rPr>
            </w:pPr>
          </w:p>
        </w:tc>
      </w:tr>
      <w:tr w:rsidR="005F762A" w14:paraId="7268E24F" w14:textId="77777777">
        <w:tc>
          <w:tcPr>
            <w:tcW w:w="0" w:type="auto"/>
            <w:gridSpan w:val="3"/>
            <w:shd w:val="clear" w:color="auto" w:fill="E2E2E2"/>
            <w:tcMar>
              <w:top w:w="40" w:type="dxa"/>
              <w:left w:w="20" w:type="dxa"/>
              <w:bottom w:w="40" w:type="dxa"/>
              <w:right w:w="20" w:type="dxa"/>
            </w:tcMar>
            <w:vAlign w:val="bottom"/>
          </w:tcPr>
          <w:p w14:paraId="7268E245" w14:textId="77777777" w:rsidR="005F762A" w:rsidRDefault="00D74111">
            <w:pPr>
              <w:textAlignment w:val="bottom"/>
            </w:pPr>
            <w:r>
              <w:rPr>
                <w:rFonts w:ascii="Arial" w:eastAsia="宋体" w:hAnsi="Arial" w:cs="Arial"/>
                <w:color w:val="000000"/>
                <w:sz w:val="18"/>
                <w:szCs w:val="18"/>
              </w:rPr>
              <w:t>Comm</w:t>
            </w:r>
            <w:r>
              <w:rPr>
                <w:rFonts w:ascii="Arial" w:eastAsia="宋体" w:hAnsi="Arial" w:cs="Arial"/>
                <w:color w:val="000000"/>
                <w:sz w:val="18"/>
                <w:szCs w:val="18"/>
              </w:rPr>
              <w:t>on stock equivalents excluded from income per diluted share because their effect would have been anti-dilutive</w:t>
            </w:r>
          </w:p>
        </w:tc>
        <w:tc>
          <w:tcPr>
            <w:tcW w:w="0" w:type="auto"/>
            <w:shd w:val="clear" w:color="auto" w:fill="auto"/>
          </w:tcPr>
          <w:p w14:paraId="7268E246" w14:textId="77777777" w:rsidR="005F762A" w:rsidRDefault="005F762A">
            <w:pPr>
              <w:rPr>
                <w:rFonts w:ascii="宋体"/>
                <w:vanish/>
              </w:rPr>
            </w:pPr>
          </w:p>
        </w:tc>
        <w:tc>
          <w:tcPr>
            <w:tcW w:w="0" w:type="auto"/>
            <w:shd w:val="clear" w:color="auto" w:fill="auto"/>
          </w:tcPr>
          <w:p w14:paraId="7268E247" w14:textId="77777777" w:rsidR="005F762A" w:rsidRDefault="005F762A">
            <w:pPr>
              <w:rPr>
                <w:rFonts w:ascii="宋体"/>
                <w:vanish/>
              </w:rPr>
            </w:pPr>
          </w:p>
        </w:tc>
        <w:tc>
          <w:tcPr>
            <w:tcW w:w="0" w:type="auto"/>
            <w:shd w:val="clear" w:color="auto" w:fill="auto"/>
          </w:tcPr>
          <w:p w14:paraId="7268E248"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249" w14:textId="77777777" w:rsidR="005F762A" w:rsidRDefault="005F762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7268E24A" w14:textId="77777777" w:rsidR="005F762A" w:rsidRDefault="00D74111">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7268E24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24C" w14:textId="77777777" w:rsidR="005F762A" w:rsidRDefault="005F762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7268E24D" w14:textId="77777777" w:rsidR="005F762A" w:rsidRDefault="00D74111">
            <w:pPr>
              <w:jc w:val="right"/>
              <w:textAlignment w:val="bottom"/>
            </w:pPr>
            <w:r>
              <w:rPr>
                <w:rFonts w:ascii="Arial" w:eastAsia="宋体" w:hAnsi="Arial" w:cs="Arial"/>
                <w:color w:val="000000"/>
                <w:sz w:val="18"/>
                <w:szCs w:val="18"/>
              </w:rPr>
              <w:t>15 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7268E24E" w14:textId="77777777" w:rsidR="005F762A" w:rsidRDefault="005F762A">
            <w:pPr>
              <w:jc w:val="right"/>
              <w:rPr>
                <w:rFonts w:ascii="宋体"/>
              </w:rPr>
            </w:pPr>
          </w:p>
        </w:tc>
      </w:tr>
    </w:tbl>
    <w:p w14:paraId="7268E250" w14:textId="77777777" w:rsidR="005F762A" w:rsidRDefault="005F762A"/>
    <w:p w14:paraId="7268E251" w14:textId="77777777" w:rsidR="005F762A" w:rsidRDefault="00D74111">
      <w:pPr>
        <w:jc w:val="both"/>
      </w:pPr>
      <w:r>
        <w:rPr>
          <w:rFonts w:ascii="Arial" w:eastAsia="宋体" w:hAnsi="Arial" w:cs="Arial"/>
          <w:b/>
          <w:bCs/>
          <w:color w:val="000000"/>
          <w:sz w:val="20"/>
          <w:szCs w:val="20"/>
        </w:rPr>
        <w:t>Note 3 — Discontinued Operations</w:t>
      </w:r>
    </w:p>
    <w:p w14:paraId="7268E252" w14:textId="77777777" w:rsidR="005F762A" w:rsidRDefault="005F762A">
      <w:pPr>
        <w:ind w:firstLine="90"/>
      </w:pPr>
    </w:p>
    <w:p w14:paraId="7268E253" w14:textId="77777777" w:rsidR="005F762A" w:rsidRDefault="00D74111">
      <w:pPr>
        <w:ind w:firstLine="90"/>
      </w:pPr>
      <w:r>
        <w:rPr>
          <w:rFonts w:ascii="Arial" w:eastAsia="宋体" w:hAnsi="Arial" w:cs="Arial"/>
          <w:b/>
          <w:bCs/>
          <w:i/>
          <w:iCs/>
          <w:color w:val="000000"/>
          <w:sz w:val="20"/>
          <w:szCs w:val="20"/>
        </w:rPr>
        <w:t>StubHub</w:t>
      </w:r>
    </w:p>
    <w:p w14:paraId="7268E254" w14:textId="77777777" w:rsidR="005F762A" w:rsidRDefault="005F762A">
      <w:pPr>
        <w:ind w:firstLine="540"/>
        <w:jc w:val="both"/>
      </w:pPr>
    </w:p>
    <w:p w14:paraId="7268E255" w14:textId="77777777" w:rsidR="005F762A" w:rsidRDefault="00D74111">
      <w:pPr>
        <w:ind w:firstLine="540"/>
        <w:jc w:val="both"/>
      </w:pPr>
      <w:r>
        <w:rPr>
          <w:rFonts w:ascii="Arial" w:eastAsia="宋体" w:hAnsi="Arial" w:cs="Arial"/>
          <w:color w:val="000000"/>
          <w:sz w:val="20"/>
          <w:szCs w:val="20"/>
        </w:rPr>
        <w:t>On November 24, 2019, we entered into a stock purchase agreement with an affiliate of viagogo to sell our StubHub business. On February 13, 2020, we completed the sale of our StubHub business to an affiliate of viagogo for a purchase price of $4.05 billion</w:t>
      </w:r>
      <w:r>
        <w:rPr>
          <w:rFonts w:ascii="Arial" w:eastAsia="宋体" w:hAnsi="Arial" w:cs="Arial"/>
          <w:color w:val="000000"/>
          <w:sz w:val="20"/>
          <w:szCs w:val="20"/>
        </w:rPr>
        <w:t xml:space="preserve"> in cash, subject to certain adjustments specified in the purchase agreement, including adjustments for indebtedness, cash, working capital and transaction expenses of StubHub at the closing of the transaction. The sale was completed for $4.1 billion in pr</w:t>
      </w:r>
      <w:r>
        <w:rPr>
          <w:rFonts w:ascii="Arial" w:eastAsia="宋体" w:hAnsi="Arial" w:cs="Arial"/>
          <w:color w:val="000000"/>
          <w:sz w:val="20"/>
          <w:szCs w:val="20"/>
        </w:rPr>
        <w:t xml:space="preserve">oceeds ($3.2 billion, net of income taxes of approximately $900 million) and a pre-tax gain of $3.9 billion within income from discontinued operations, both subject to working capital adjustments. </w:t>
      </w:r>
    </w:p>
    <w:p w14:paraId="7268E256" w14:textId="77777777" w:rsidR="005F762A" w:rsidRDefault="005F762A"/>
    <w:p w14:paraId="7268E257" w14:textId="77777777" w:rsidR="005F762A" w:rsidRDefault="00D74111">
      <w:pPr>
        <w:ind w:firstLine="540"/>
        <w:jc w:val="both"/>
      </w:pPr>
      <w:r>
        <w:rPr>
          <w:rFonts w:ascii="Arial" w:eastAsia="宋体" w:hAnsi="Arial" w:cs="Arial"/>
          <w:color w:val="000000"/>
          <w:sz w:val="20"/>
          <w:szCs w:val="20"/>
        </w:rPr>
        <w:t>In connection with the sale of StubHub, we entered into a</w:t>
      </w:r>
      <w:r>
        <w:rPr>
          <w:rFonts w:ascii="Arial" w:eastAsia="宋体" w:hAnsi="Arial" w:cs="Arial"/>
          <w:color w:val="000000"/>
          <w:sz w:val="20"/>
          <w:szCs w:val="20"/>
        </w:rPr>
        <w:t xml:space="preserve"> transition service agreement (“TSA”) with viagogo pursuant to which we are providing services, including, but not limited to, business support services for StubHub after the divestiture. These agreements commenced with the close of the transaction and hav</w:t>
      </w:r>
      <w:r>
        <w:rPr>
          <w:rFonts w:ascii="Arial" w:eastAsia="宋体" w:hAnsi="Arial" w:cs="Arial"/>
          <w:color w:val="000000"/>
          <w:sz w:val="20"/>
          <w:szCs w:val="20"/>
        </w:rPr>
        <w:t xml:space="preserve">e minimum initial </w:t>
      </w:r>
    </w:p>
    <w:p w14:paraId="7268E258" w14:textId="77777777" w:rsidR="005F762A" w:rsidRDefault="005F762A">
      <w:pPr>
        <w:jc w:val="center"/>
      </w:pPr>
    </w:p>
    <w:p w14:paraId="7268E259" w14:textId="77777777" w:rsidR="005F762A" w:rsidRDefault="00D74111">
      <w:pPr>
        <w:jc w:val="center"/>
      </w:pPr>
      <w:r>
        <w:rPr>
          <w:rFonts w:ascii="Arial" w:eastAsia="宋体" w:hAnsi="Arial" w:cs="Arial"/>
          <w:color w:val="000000"/>
          <w:sz w:val="20"/>
          <w:szCs w:val="20"/>
        </w:rPr>
        <w:t>10</w:t>
      </w:r>
    </w:p>
    <w:p w14:paraId="7268E25A" w14:textId="77777777" w:rsidR="005F762A" w:rsidRDefault="00D74111">
      <w:r>
        <w:pict w14:anchorId="72690149">
          <v:rect id="_x0000_i1034" style="width:415.3pt;height:1.5pt" o:hralign="center" o:hrstd="t" o:hr="t" fillcolor="#a0a0a0" stroked="f"/>
        </w:pict>
      </w:r>
    </w:p>
    <w:p w14:paraId="7268E25B" w14:textId="77777777" w:rsidR="005F762A" w:rsidRDefault="005F762A"/>
    <w:p w14:paraId="7268E25C" w14:textId="77777777" w:rsidR="005F762A" w:rsidRDefault="00D74111">
      <w:pPr>
        <w:jc w:val="both"/>
      </w:pPr>
      <w:r>
        <w:rPr>
          <w:rFonts w:ascii="Arial" w:eastAsia="宋体" w:hAnsi="Arial" w:cs="Arial"/>
          <w:color w:val="000000"/>
          <w:sz w:val="20"/>
          <w:szCs w:val="20"/>
        </w:rPr>
        <w:t>terms ranging from 12 to 18 months and can be extended by viagogo for a maximum of 12 months. The estimated related fees in 2021 are $27 million for support services.</w:t>
      </w:r>
    </w:p>
    <w:p w14:paraId="7268E25D" w14:textId="77777777" w:rsidR="005F762A" w:rsidRDefault="005F762A">
      <w:pPr>
        <w:ind w:firstLine="540"/>
        <w:jc w:val="both"/>
      </w:pPr>
    </w:p>
    <w:p w14:paraId="7268E25E" w14:textId="77777777" w:rsidR="005F762A" w:rsidRDefault="00D74111">
      <w:pPr>
        <w:ind w:firstLine="90"/>
      </w:pPr>
      <w:r>
        <w:rPr>
          <w:rFonts w:ascii="Arial" w:eastAsia="宋体" w:hAnsi="Arial" w:cs="Arial"/>
          <w:b/>
          <w:bCs/>
          <w:i/>
          <w:iCs/>
          <w:color w:val="000000"/>
          <w:sz w:val="20"/>
          <w:szCs w:val="20"/>
        </w:rPr>
        <w:t>Classifieds</w:t>
      </w:r>
    </w:p>
    <w:p w14:paraId="7268E25F" w14:textId="77777777" w:rsidR="005F762A" w:rsidRDefault="005F762A">
      <w:pPr>
        <w:ind w:firstLine="90"/>
      </w:pPr>
    </w:p>
    <w:p w14:paraId="7268E260" w14:textId="77777777" w:rsidR="005F762A" w:rsidRDefault="00D74111">
      <w:pPr>
        <w:ind w:firstLine="540"/>
        <w:jc w:val="both"/>
      </w:pPr>
      <w:r>
        <w:rPr>
          <w:rFonts w:ascii="Arial" w:eastAsia="宋体" w:hAnsi="Arial" w:cs="Arial"/>
          <w:color w:val="000000"/>
          <w:sz w:val="20"/>
          <w:szCs w:val="20"/>
        </w:rPr>
        <w:t>On July 20, 2020, we entered into a definitive ag</w:t>
      </w:r>
      <w:r>
        <w:rPr>
          <w:rFonts w:ascii="Arial" w:eastAsia="宋体" w:hAnsi="Arial" w:cs="Arial"/>
          <w:color w:val="000000"/>
          <w:sz w:val="20"/>
          <w:szCs w:val="20"/>
        </w:rPr>
        <w:t>reement with Adevinta to transfer our Classifieds business to Adevinta for $2.5 billion in cash, subject to certain adjustments, and approximately 540 million shares in Adevinta. Together, the total consideration payable under the definitive agreement is v</w:t>
      </w:r>
      <w:r>
        <w:rPr>
          <w:rFonts w:ascii="Arial" w:eastAsia="宋体" w:hAnsi="Arial" w:cs="Arial"/>
          <w:color w:val="000000"/>
          <w:sz w:val="20"/>
          <w:szCs w:val="20"/>
        </w:rPr>
        <w:t>alued at approximately $9.2 billion, based on the closing trading price of Adevinta’s outstanding shares on the Oslo Stock Exchange on July 17, 2020. We believe the transaction will close in the second quarter of 2021. Completion of the transaction is subj</w:t>
      </w:r>
      <w:r>
        <w:rPr>
          <w:rFonts w:ascii="Arial" w:eastAsia="宋体" w:hAnsi="Arial" w:cs="Arial"/>
          <w:color w:val="000000"/>
          <w:sz w:val="20"/>
          <w:szCs w:val="20"/>
        </w:rPr>
        <w:t>ect to certain conditions, including receipt of certain regulatory approvals and other customary closing conditions. We have classified the results of our Classifieds business as discontinued operations in our condensed consolidated statement of income for</w:t>
      </w:r>
      <w:r>
        <w:rPr>
          <w:rFonts w:ascii="Arial" w:eastAsia="宋体" w:hAnsi="Arial" w:cs="Arial"/>
          <w:color w:val="000000"/>
          <w:sz w:val="20"/>
          <w:szCs w:val="20"/>
        </w:rPr>
        <w:t xml:space="preserve"> the periods presented. Additionally, the related assets and liabilities associated with the discontinued operations are classified as held for sale in our condensed consolidated balance sheet. The assets and liabilities as of March 31, 2021 are classified</w:t>
      </w:r>
      <w:r>
        <w:rPr>
          <w:rFonts w:ascii="Arial" w:eastAsia="宋体" w:hAnsi="Arial" w:cs="Arial"/>
          <w:color w:val="000000"/>
          <w:sz w:val="20"/>
          <w:szCs w:val="20"/>
        </w:rPr>
        <w:t xml:space="preserve"> as current in our condensed consolidated balance sheet as we expect to close the transaction discussed above within one year. </w:t>
      </w:r>
    </w:p>
    <w:p w14:paraId="7268E261" w14:textId="77777777" w:rsidR="005F762A" w:rsidRDefault="005F762A">
      <w:pPr>
        <w:ind w:firstLine="360"/>
        <w:jc w:val="both"/>
      </w:pPr>
    </w:p>
    <w:p w14:paraId="7268E262" w14:textId="77777777" w:rsidR="005F762A" w:rsidRDefault="00D74111">
      <w:pPr>
        <w:ind w:firstLine="540"/>
        <w:jc w:val="both"/>
      </w:pPr>
      <w:r>
        <w:rPr>
          <w:rFonts w:ascii="Arial" w:eastAsia="宋体" w:hAnsi="Arial" w:cs="Arial"/>
          <w:color w:val="000000"/>
          <w:sz w:val="20"/>
          <w:szCs w:val="20"/>
        </w:rPr>
        <w:t xml:space="preserve">The following table presents financial results from discontinued operations, net of income taxes in our condensed consolidated </w:t>
      </w:r>
      <w:r>
        <w:rPr>
          <w:rFonts w:ascii="Arial" w:eastAsia="宋体" w:hAnsi="Arial" w:cs="Arial"/>
          <w:color w:val="000000"/>
          <w:sz w:val="20"/>
          <w:szCs w:val="20"/>
        </w:rPr>
        <w:t>statement of income (in millions):</w:t>
      </w:r>
    </w:p>
    <w:p w14:paraId="7268E263" w14:textId="77777777" w:rsidR="005F762A" w:rsidRDefault="005F762A"/>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32"/>
        <w:gridCol w:w="37"/>
        <w:gridCol w:w="36"/>
        <w:gridCol w:w="46"/>
        <w:gridCol w:w="536"/>
        <w:gridCol w:w="36"/>
        <w:gridCol w:w="36"/>
        <w:gridCol w:w="36"/>
        <w:gridCol w:w="121"/>
        <w:gridCol w:w="674"/>
        <w:gridCol w:w="36"/>
        <w:gridCol w:w="36"/>
        <w:gridCol w:w="36"/>
        <w:gridCol w:w="36"/>
        <w:gridCol w:w="121"/>
        <w:gridCol w:w="675"/>
        <w:gridCol w:w="36"/>
        <w:gridCol w:w="36"/>
        <w:gridCol w:w="36"/>
        <w:gridCol w:w="36"/>
        <w:gridCol w:w="36"/>
        <w:gridCol w:w="36"/>
        <w:gridCol w:w="36"/>
        <w:gridCol w:w="36"/>
        <w:gridCol w:w="36"/>
        <w:gridCol w:w="36"/>
        <w:gridCol w:w="36"/>
        <w:gridCol w:w="36"/>
        <w:gridCol w:w="36"/>
      </w:tblGrid>
      <w:tr w:rsidR="005F762A" w14:paraId="7268E27A" w14:textId="77777777">
        <w:trPr>
          <w:jc w:val="center"/>
        </w:trPr>
        <w:tc>
          <w:tcPr>
            <w:tcW w:w="50" w:type="pct"/>
            <w:shd w:val="clear" w:color="auto" w:fill="auto"/>
          </w:tcPr>
          <w:p w14:paraId="7268E264" w14:textId="77777777" w:rsidR="005F762A" w:rsidRDefault="005F762A">
            <w:pPr>
              <w:rPr>
                <w:rFonts w:ascii="宋体"/>
              </w:rPr>
            </w:pPr>
          </w:p>
        </w:tc>
        <w:tc>
          <w:tcPr>
            <w:tcW w:w="3702" w:type="pct"/>
            <w:shd w:val="clear" w:color="auto" w:fill="auto"/>
          </w:tcPr>
          <w:p w14:paraId="7268E265" w14:textId="77777777" w:rsidR="005F762A" w:rsidRDefault="005F762A">
            <w:pPr>
              <w:rPr>
                <w:rFonts w:ascii="宋体"/>
              </w:rPr>
            </w:pPr>
          </w:p>
        </w:tc>
        <w:tc>
          <w:tcPr>
            <w:tcW w:w="5" w:type="pct"/>
            <w:shd w:val="clear" w:color="auto" w:fill="auto"/>
          </w:tcPr>
          <w:p w14:paraId="7268E266" w14:textId="77777777" w:rsidR="005F762A" w:rsidRDefault="005F762A">
            <w:pPr>
              <w:rPr>
                <w:rFonts w:ascii="宋体"/>
              </w:rPr>
            </w:pPr>
          </w:p>
        </w:tc>
        <w:tc>
          <w:tcPr>
            <w:tcW w:w="0" w:type="auto"/>
            <w:shd w:val="clear" w:color="auto" w:fill="auto"/>
          </w:tcPr>
          <w:p w14:paraId="7268E267" w14:textId="77777777" w:rsidR="005F762A" w:rsidRDefault="005F762A">
            <w:pPr>
              <w:rPr>
                <w:rFonts w:ascii="宋体"/>
                <w:vanish/>
              </w:rPr>
            </w:pPr>
          </w:p>
        </w:tc>
        <w:tc>
          <w:tcPr>
            <w:tcW w:w="0" w:type="auto"/>
            <w:shd w:val="clear" w:color="auto" w:fill="auto"/>
          </w:tcPr>
          <w:p w14:paraId="7268E268" w14:textId="77777777" w:rsidR="005F762A" w:rsidRDefault="005F762A">
            <w:pPr>
              <w:rPr>
                <w:rFonts w:ascii="宋体"/>
                <w:vanish/>
              </w:rPr>
            </w:pPr>
          </w:p>
        </w:tc>
        <w:tc>
          <w:tcPr>
            <w:tcW w:w="0" w:type="auto"/>
            <w:shd w:val="clear" w:color="auto" w:fill="auto"/>
          </w:tcPr>
          <w:p w14:paraId="7268E269" w14:textId="77777777" w:rsidR="005F762A" w:rsidRDefault="005F762A">
            <w:pPr>
              <w:rPr>
                <w:rFonts w:ascii="宋体"/>
                <w:vanish/>
              </w:rPr>
            </w:pPr>
          </w:p>
        </w:tc>
        <w:tc>
          <w:tcPr>
            <w:tcW w:w="5" w:type="pct"/>
            <w:shd w:val="clear" w:color="auto" w:fill="auto"/>
          </w:tcPr>
          <w:p w14:paraId="7268E26A" w14:textId="77777777" w:rsidR="005F762A" w:rsidRDefault="005F762A">
            <w:pPr>
              <w:rPr>
                <w:rFonts w:ascii="宋体"/>
              </w:rPr>
            </w:pPr>
          </w:p>
        </w:tc>
        <w:tc>
          <w:tcPr>
            <w:tcW w:w="26" w:type="pct"/>
            <w:shd w:val="clear" w:color="auto" w:fill="auto"/>
          </w:tcPr>
          <w:p w14:paraId="7268E26B" w14:textId="77777777" w:rsidR="005F762A" w:rsidRDefault="005F762A">
            <w:pPr>
              <w:rPr>
                <w:rFonts w:ascii="宋体"/>
              </w:rPr>
            </w:pPr>
          </w:p>
        </w:tc>
        <w:tc>
          <w:tcPr>
            <w:tcW w:w="5" w:type="pct"/>
            <w:shd w:val="clear" w:color="auto" w:fill="auto"/>
          </w:tcPr>
          <w:p w14:paraId="7268E26C" w14:textId="77777777" w:rsidR="005F762A" w:rsidRDefault="005F762A">
            <w:pPr>
              <w:rPr>
                <w:rFonts w:ascii="宋体"/>
              </w:rPr>
            </w:pPr>
          </w:p>
        </w:tc>
        <w:tc>
          <w:tcPr>
            <w:tcW w:w="50" w:type="pct"/>
            <w:shd w:val="clear" w:color="auto" w:fill="auto"/>
          </w:tcPr>
          <w:p w14:paraId="7268E26D" w14:textId="77777777" w:rsidR="005F762A" w:rsidRDefault="005F762A">
            <w:pPr>
              <w:rPr>
                <w:rFonts w:ascii="宋体"/>
              </w:rPr>
            </w:pPr>
          </w:p>
        </w:tc>
        <w:tc>
          <w:tcPr>
            <w:tcW w:w="529" w:type="pct"/>
            <w:shd w:val="clear" w:color="auto" w:fill="auto"/>
          </w:tcPr>
          <w:p w14:paraId="7268E26E" w14:textId="77777777" w:rsidR="005F762A" w:rsidRDefault="005F762A">
            <w:pPr>
              <w:rPr>
                <w:rFonts w:ascii="宋体"/>
              </w:rPr>
            </w:pPr>
          </w:p>
        </w:tc>
        <w:tc>
          <w:tcPr>
            <w:tcW w:w="5" w:type="pct"/>
            <w:shd w:val="clear" w:color="auto" w:fill="auto"/>
          </w:tcPr>
          <w:p w14:paraId="7268E26F" w14:textId="77777777" w:rsidR="005F762A" w:rsidRDefault="005F762A">
            <w:pPr>
              <w:rPr>
                <w:rFonts w:ascii="宋体"/>
              </w:rPr>
            </w:pPr>
          </w:p>
        </w:tc>
        <w:tc>
          <w:tcPr>
            <w:tcW w:w="5" w:type="pct"/>
            <w:shd w:val="clear" w:color="auto" w:fill="auto"/>
          </w:tcPr>
          <w:p w14:paraId="7268E270" w14:textId="77777777" w:rsidR="005F762A" w:rsidRDefault="005F762A">
            <w:pPr>
              <w:rPr>
                <w:rFonts w:ascii="宋体"/>
              </w:rPr>
            </w:pPr>
          </w:p>
        </w:tc>
        <w:tc>
          <w:tcPr>
            <w:tcW w:w="26" w:type="pct"/>
            <w:shd w:val="clear" w:color="auto" w:fill="auto"/>
          </w:tcPr>
          <w:p w14:paraId="7268E271" w14:textId="77777777" w:rsidR="005F762A" w:rsidRDefault="005F762A">
            <w:pPr>
              <w:rPr>
                <w:rFonts w:ascii="宋体"/>
              </w:rPr>
            </w:pPr>
          </w:p>
        </w:tc>
        <w:tc>
          <w:tcPr>
            <w:tcW w:w="5" w:type="pct"/>
            <w:shd w:val="clear" w:color="auto" w:fill="auto"/>
          </w:tcPr>
          <w:p w14:paraId="7268E272" w14:textId="77777777" w:rsidR="005F762A" w:rsidRDefault="005F762A">
            <w:pPr>
              <w:rPr>
                <w:rFonts w:ascii="宋体"/>
              </w:rPr>
            </w:pPr>
          </w:p>
        </w:tc>
        <w:tc>
          <w:tcPr>
            <w:tcW w:w="50" w:type="pct"/>
            <w:shd w:val="clear" w:color="auto" w:fill="auto"/>
          </w:tcPr>
          <w:p w14:paraId="7268E273" w14:textId="77777777" w:rsidR="005F762A" w:rsidRDefault="005F762A">
            <w:pPr>
              <w:rPr>
                <w:rFonts w:ascii="宋体"/>
              </w:rPr>
            </w:pPr>
          </w:p>
        </w:tc>
        <w:tc>
          <w:tcPr>
            <w:tcW w:w="529" w:type="pct"/>
            <w:shd w:val="clear" w:color="auto" w:fill="auto"/>
          </w:tcPr>
          <w:p w14:paraId="7268E274" w14:textId="77777777" w:rsidR="005F762A" w:rsidRDefault="005F762A">
            <w:pPr>
              <w:rPr>
                <w:rFonts w:ascii="宋体"/>
              </w:rPr>
            </w:pPr>
          </w:p>
        </w:tc>
        <w:tc>
          <w:tcPr>
            <w:tcW w:w="5" w:type="pct"/>
            <w:shd w:val="clear" w:color="auto" w:fill="auto"/>
          </w:tcPr>
          <w:p w14:paraId="7268E275" w14:textId="77777777" w:rsidR="005F762A" w:rsidRDefault="005F762A">
            <w:pPr>
              <w:rPr>
                <w:rFonts w:ascii="宋体"/>
              </w:rPr>
            </w:pPr>
          </w:p>
        </w:tc>
        <w:tc>
          <w:tcPr>
            <w:tcW w:w="0" w:type="auto"/>
            <w:gridSpan w:val="3"/>
            <w:shd w:val="clear" w:color="auto" w:fill="auto"/>
          </w:tcPr>
          <w:p w14:paraId="7268E276" w14:textId="77777777" w:rsidR="005F762A" w:rsidRDefault="005F762A">
            <w:pPr>
              <w:rPr>
                <w:rFonts w:ascii="宋体"/>
                <w:vanish/>
              </w:rPr>
            </w:pPr>
          </w:p>
        </w:tc>
        <w:tc>
          <w:tcPr>
            <w:tcW w:w="0" w:type="auto"/>
            <w:gridSpan w:val="3"/>
            <w:shd w:val="clear" w:color="auto" w:fill="auto"/>
          </w:tcPr>
          <w:p w14:paraId="7268E277" w14:textId="77777777" w:rsidR="005F762A" w:rsidRDefault="005F762A">
            <w:pPr>
              <w:rPr>
                <w:rFonts w:ascii="宋体"/>
                <w:vanish/>
              </w:rPr>
            </w:pPr>
          </w:p>
        </w:tc>
        <w:tc>
          <w:tcPr>
            <w:tcW w:w="0" w:type="auto"/>
            <w:gridSpan w:val="3"/>
            <w:shd w:val="clear" w:color="auto" w:fill="auto"/>
          </w:tcPr>
          <w:p w14:paraId="7268E278" w14:textId="77777777" w:rsidR="005F762A" w:rsidRDefault="005F762A">
            <w:pPr>
              <w:rPr>
                <w:rFonts w:ascii="宋体"/>
                <w:vanish/>
              </w:rPr>
            </w:pPr>
          </w:p>
        </w:tc>
        <w:tc>
          <w:tcPr>
            <w:tcW w:w="0" w:type="auto"/>
            <w:gridSpan w:val="3"/>
            <w:shd w:val="clear" w:color="auto" w:fill="auto"/>
          </w:tcPr>
          <w:p w14:paraId="7268E279" w14:textId="77777777" w:rsidR="005F762A" w:rsidRDefault="005F762A">
            <w:pPr>
              <w:rPr>
                <w:rFonts w:ascii="宋体"/>
                <w:vanish/>
              </w:rPr>
            </w:pPr>
          </w:p>
        </w:tc>
      </w:tr>
      <w:tr w:rsidR="005F762A" w14:paraId="7268E28D" w14:textId="77777777">
        <w:trPr>
          <w:jc w:val="center"/>
        </w:trPr>
        <w:tc>
          <w:tcPr>
            <w:tcW w:w="0" w:type="auto"/>
            <w:gridSpan w:val="3"/>
            <w:shd w:val="clear" w:color="auto" w:fill="auto"/>
            <w:tcMar>
              <w:top w:w="40" w:type="dxa"/>
              <w:left w:w="20" w:type="dxa"/>
              <w:bottom w:w="40" w:type="dxa"/>
              <w:right w:w="20" w:type="dxa"/>
            </w:tcMar>
            <w:vAlign w:val="bottom"/>
          </w:tcPr>
          <w:p w14:paraId="7268E27B"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27C"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27D"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27E" w14:textId="77777777" w:rsidR="005F762A" w:rsidRDefault="00D74111">
            <w:pPr>
              <w:jc w:val="center"/>
              <w:textAlignment w:val="bottom"/>
            </w:pPr>
            <w:r>
              <w:rPr>
                <w:rFonts w:ascii="Arial" w:eastAsia="宋体" w:hAnsi="Arial" w:cs="Arial"/>
                <w:b/>
                <w:bCs/>
                <w:color w:val="000000"/>
                <w:sz w:val="16"/>
                <w:szCs w:val="16"/>
              </w:rPr>
              <w:t>Thre</w:t>
            </w:r>
            <w:r>
              <w:rPr>
                <w:rFonts w:ascii="Arial" w:eastAsia="宋体" w:hAnsi="Arial" w:cs="Arial"/>
                <w:b/>
                <w:bCs/>
                <w:color w:val="000000"/>
                <w:sz w:val="16"/>
                <w:szCs w:val="16"/>
              </w:rPr>
              <w:t>e Months Ended</w:t>
            </w:r>
            <w:r>
              <w:rPr>
                <w:rFonts w:ascii="Arial" w:eastAsia="宋体" w:hAnsi="Arial" w:cs="Arial"/>
                <w:b/>
                <w:bCs/>
                <w:color w:val="000000"/>
                <w:sz w:val="16"/>
                <w:szCs w:val="16"/>
              </w:rPr>
              <w:br/>
              <w:t>March 31,</w:t>
            </w:r>
          </w:p>
        </w:tc>
        <w:tc>
          <w:tcPr>
            <w:tcW w:w="0" w:type="auto"/>
            <w:gridSpan w:val="3"/>
            <w:shd w:val="clear" w:color="auto" w:fill="auto"/>
          </w:tcPr>
          <w:p w14:paraId="7268E27F" w14:textId="77777777" w:rsidR="005F762A" w:rsidRDefault="005F762A">
            <w:pPr>
              <w:rPr>
                <w:rFonts w:ascii="宋体"/>
                <w:vanish/>
              </w:rPr>
            </w:pPr>
          </w:p>
        </w:tc>
        <w:tc>
          <w:tcPr>
            <w:tcW w:w="0" w:type="auto"/>
            <w:gridSpan w:val="3"/>
            <w:shd w:val="clear" w:color="auto" w:fill="auto"/>
          </w:tcPr>
          <w:p w14:paraId="7268E280" w14:textId="77777777" w:rsidR="005F762A" w:rsidRDefault="005F762A">
            <w:pPr>
              <w:rPr>
                <w:rFonts w:ascii="宋体"/>
                <w:vanish/>
              </w:rPr>
            </w:pPr>
          </w:p>
        </w:tc>
        <w:tc>
          <w:tcPr>
            <w:tcW w:w="0" w:type="auto"/>
            <w:shd w:val="clear" w:color="auto" w:fill="auto"/>
          </w:tcPr>
          <w:p w14:paraId="7268E281" w14:textId="77777777" w:rsidR="005F762A" w:rsidRDefault="005F762A">
            <w:pPr>
              <w:rPr>
                <w:rFonts w:ascii="宋体"/>
              </w:rPr>
            </w:pPr>
          </w:p>
        </w:tc>
        <w:tc>
          <w:tcPr>
            <w:tcW w:w="0" w:type="auto"/>
            <w:shd w:val="clear" w:color="auto" w:fill="auto"/>
          </w:tcPr>
          <w:p w14:paraId="7268E282" w14:textId="77777777" w:rsidR="005F762A" w:rsidRDefault="005F762A">
            <w:pPr>
              <w:rPr>
                <w:rFonts w:ascii="宋体"/>
              </w:rPr>
            </w:pPr>
          </w:p>
        </w:tc>
        <w:tc>
          <w:tcPr>
            <w:tcW w:w="0" w:type="auto"/>
            <w:shd w:val="clear" w:color="auto" w:fill="auto"/>
          </w:tcPr>
          <w:p w14:paraId="7268E283" w14:textId="77777777" w:rsidR="005F762A" w:rsidRDefault="005F762A">
            <w:pPr>
              <w:rPr>
                <w:rFonts w:ascii="宋体"/>
              </w:rPr>
            </w:pPr>
          </w:p>
        </w:tc>
        <w:tc>
          <w:tcPr>
            <w:tcW w:w="0" w:type="auto"/>
            <w:shd w:val="clear" w:color="auto" w:fill="auto"/>
          </w:tcPr>
          <w:p w14:paraId="7268E284" w14:textId="77777777" w:rsidR="005F762A" w:rsidRDefault="005F762A">
            <w:pPr>
              <w:rPr>
                <w:rFonts w:ascii="宋体"/>
              </w:rPr>
            </w:pPr>
          </w:p>
        </w:tc>
        <w:tc>
          <w:tcPr>
            <w:tcW w:w="0" w:type="auto"/>
            <w:shd w:val="clear" w:color="auto" w:fill="auto"/>
          </w:tcPr>
          <w:p w14:paraId="7268E285" w14:textId="77777777" w:rsidR="005F762A" w:rsidRDefault="005F762A">
            <w:pPr>
              <w:rPr>
                <w:rFonts w:ascii="宋体"/>
              </w:rPr>
            </w:pPr>
          </w:p>
        </w:tc>
        <w:tc>
          <w:tcPr>
            <w:tcW w:w="0" w:type="auto"/>
            <w:shd w:val="clear" w:color="auto" w:fill="auto"/>
          </w:tcPr>
          <w:p w14:paraId="7268E286" w14:textId="77777777" w:rsidR="005F762A" w:rsidRDefault="005F762A">
            <w:pPr>
              <w:rPr>
                <w:rFonts w:ascii="宋体"/>
              </w:rPr>
            </w:pPr>
          </w:p>
        </w:tc>
        <w:tc>
          <w:tcPr>
            <w:tcW w:w="0" w:type="auto"/>
            <w:shd w:val="clear" w:color="auto" w:fill="auto"/>
          </w:tcPr>
          <w:p w14:paraId="7268E287" w14:textId="77777777" w:rsidR="005F762A" w:rsidRDefault="005F762A">
            <w:pPr>
              <w:rPr>
                <w:rFonts w:ascii="宋体"/>
              </w:rPr>
            </w:pPr>
          </w:p>
        </w:tc>
        <w:tc>
          <w:tcPr>
            <w:tcW w:w="0" w:type="auto"/>
            <w:shd w:val="clear" w:color="auto" w:fill="auto"/>
          </w:tcPr>
          <w:p w14:paraId="7268E288" w14:textId="77777777" w:rsidR="005F762A" w:rsidRDefault="005F762A">
            <w:pPr>
              <w:rPr>
                <w:rFonts w:ascii="宋体"/>
              </w:rPr>
            </w:pPr>
          </w:p>
        </w:tc>
        <w:tc>
          <w:tcPr>
            <w:tcW w:w="0" w:type="auto"/>
            <w:shd w:val="clear" w:color="auto" w:fill="auto"/>
          </w:tcPr>
          <w:p w14:paraId="7268E289" w14:textId="77777777" w:rsidR="005F762A" w:rsidRDefault="005F762A">
            <w:pPr>
              <w:rPr>
                <w:rFonts w:ascii="宋体"/>
              </w:rPr>
            </w:pPr>
          </w:p>
        </w:tc>
        <w:tc>
          <w:tcPr>
            <w:tcW w:w="0" w:type="auto"/>
            <w:shd w:val="clear" w:color="auto" w:fill="auto"/>
          </w:tcPr>
          <w:p w14:paraId="7268E28A" w14:textId="77777777" w:rsidR="005F762A" w:rsidRDefault="005F762A">
            <w:pPr>
              <w:rPr>
                <w:rFonts w:ascii="宋体"/>
              </w:rPr>
            </w:pPr>
          </w:p>
        </w:tc>
        <w:tc>
          <w:tcPr>
            <w:tcW w:w="0" w:type="auto"/>
            <w:shd w:val="clear" w:color="auto" w:fill="auto"/>
          </w:tcPr>
          <w:p w14:paraId="7268E28B" w14:textId="77777777" w:rsidR="005F762A" w:rsidRDefault="005F762A">
            <w:pPr>
              <w:rPr>
                <w:rFonts w:ascii="宋体"/>
              </w:rPr>
            </w:pPr>
          </w:p>
        </w:tc>
        <w:tc>
          <w:tcPr>
            <w:tcW w:w="0" w:type="auto"/>
            <w:shd w:val="clear" w:color="auto" w:fill="auto"/>
          </w:tcPr>
          <w:p w14:paraId="7268E28C" w14:textId="77777777" w:rsidR="005F762A" w:rsidRDefault="005F762A">
            <w:pPr>
              <w:rPr>
                <w:rFonts w:ascii="宋体"/>
              </w:rPr>
            </w:pPr>
          </w:p>
        </w:tc>
      </w:tr>
      <w:tr w:rsidR="005F762A" w14:paraId="7268E29A" w14:textId="77777777">
        <w:trPr>
          <w:jc w:val="center"/>
        </w:trPr>
        <w:tc>
          <w:tcPr>
            <w:tcW w:w="0" w:type="auto"/>
            <w:gridSpan w:val="3"/>
            <w:shd w:val="clear" w:color="auto" w:fill="auto"/>
            <w:tcMar>
              <w:top w:w="40" w:type="dxa"/>
              <w:left w:w="20" w:type="dxa"/>
              <w:bottom w:w="40" w:type="dxa"/>
              <w:right w:w="20" w:type="dxa"/>
            </w:tcMar>
            <w:vAlign w:val="bottom"/>
          </w:tcPr>
          <w:p w14:paraId="7268E28E"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28F" w14:textId="77777777" w:rsidR="005F762A" w:rsidRDefault="005F762A">
            <w:pPr>
              <w:rPr>
                <w:rFonts w:ascii="宋体"/>
                <w:vanish/>
              </w:rPr>
            </w:pPr>
          </w:p>
        </w:tc>
        <w:tc>
          <w:tcPr>
            <w:tcW w:w="0" w:type="auto"/>
            <w:shd w:val="clear" w:color="auto" w:fill="auto"/>
          </w:tcPr>
          <w:p w14:paraId="7268E290" w14:textId="77777777" w:rsidR="005F762A" w:rsidRDefault="005F762A">
            <w:pPr>
              <w:rPr>
                <w:rFonts w:ascii="宋体"/>
                <w:vanish/>
              </w:rPr>
            </w:pPr>
          </w:p>
        </w:tc>
        <w:tc>
          <w:tcPr>
            <w:tcW w:w="0" w:type="auto"/>
            <w:shd w:val="clear" w:color="auto" w:fill="auto"/>
          </w:tcPr>
          <w:p w14:paraId="7268E291"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29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293"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29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295" w14:textId="77777777" w:rsidR="005F762A" w:rsidRDefault="00D74111">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shd w:val="clear" w:color="auto" w:fill="auto"/>
          </w:tcPr>
          <w:p w14:paraId="7268E296" w14:textId="77777777" w:rsidR="005F762A" w:rsidRDefault="005F762A">
            <w:pPr>
              <w:rPr>
                <w:rFonts w:ascii="宋体"/>
                <w:vanish/>
              </w:rPr>
            </w:pPr>
          </w:p>
        </w:tc>
        <w:tc>
          <w:tcPr>
            <w:tcW w:w="0" w:type="auto"/>
            <w:gridSpan w:val="3"/>
            <w:shd w:val="clear" w:color="auto" w:fill="auto"/>
          </w:tcPr>
          <w:p w14:paraId="7268E297" w14:textId="77777777" w:rsidR="005F762A" w:rsidRDefault="005F762A">
            <w:pPr>
              <w:rPr>
                <w:rFonts w:ascii="宋体"/>
                <w:vanish/>
              </w:rPr>
            </w:pPr>
          </w:p>
        </w:tc>
        <w:tc>
          <w:tcPr>
            <w:tcW w:w="0" w:type="auto"/>
            <w:gridSpan w:val="3"/>
            <w:shd w:val="clear" w:color="auto" w:fill="auto"/>
          </w:tcPr>
          <w:p w14:paraId="7268E298" w14:textId="77777777" w:rsidR="005F762A" w:rsidRDefault="005F762A">
            <w:pPr>
              <w:rPr>
                <w:rFonts w:ascii="宋体"/>
                <w:vanish/>
              </w:rPr>
            </w:pPr>
          </w:p>
        </w:tc>
        <w:tc>
          <w:tcPr>
            <w:tcW w:w="0" w:type="auto"/>
            <w:gridSpan w:val="3"/>
            <w:shd w:val="clear" w:color="auto" w:fill="auto"/>
          </w:tcPr>
          <w:p w14:paraId="7268E299" w14:textId="77777777" w:rsidR="005F762A" w:rsidRDefault="005F762A">
            <w:pPr>
              <w:rPr>
                <w:rFonts w:ascii="宋体"/>
                <w:vanish/>
              </w:rPr>
            </w:pPr>
          </w:p>
        </w:tc>
      </w:tr>
      <w:tr w:rsidR="005F762A" w14:paraId="7268E2AB" w14:textId="77777777">
        <w:trPr>
          <w:jc w:val="center"/>
        </w:trPr>
        <w:tc>
          <w:tcPr>
            <w:tcW w:w="0" w:type="auto"/>
            <w:gridSpan w:val="3"/>
            <w:shd w:val="clear" w:color="auto" w:fill="E1E1E1"/>
            <w:tcMar>
              <w:top w:w="40" w:type="dxa"/>
              <w:left w:w="20" w:type="dxa"/>
              <w:bottom w:w="40" w:type="dxa"/>
              <w:right w:w="20" w:type="dxa"/>
            </w:tcMar>
            <w:vAlign w:val="bottom"/>
          </w:tcPr>
          <w:p w14:paraId="7268E29B" w14:textId="77777777" w:rsidR="005F762A" w:rsidRDefault="00D74111">
            <w:pPr>
              <w:textAlignment w:val="bottom"/>
            </w:pPr>
            <w:r>
              <w:rPr>
                <w:rFonts w:ascii="Arial" w:eastAsia="宋体" w:hAnsi="Arial" w:cs="Arial"/>
                <w:color w:val="000000"/>
                <w:sz w:val="18"/>
                <w:szCs w:val="18"/>
              </w:rPr>
              <w:t>Classifieds income from discontinued operations, net of income taxes</w:t>
            </w:r>
          </w:p>
        </w:tc>
        <w:tc>
          <w:tcPr>
            <w:tcW w:w="0" w:type="auto"/>
            <w:shd w:val="clear" w:color="auto" w:fill="auto"/>
          </w:tcPr>
          <w:p w14:paraId="7268E29C" w14:textId="77777777" w:rsidR="005F762A" w:rsidRDefault="005F762A">
            <w:pPr>
              <w:rPr>
                <w:rFonts w:ascii="宋体"/>
                <w:vanish/>
              </w:rPr>
            </w:pPr>
          </w:p>
        </w:tc>
        <w:tc>
          <w:tcPr>
            <w:tcW w:w="0" w:type="auto"/>
            <w:shd w:val="clear" w:color="auto" w:fill="auto"/>
          </w:tcPr>
          <w:p w14:paraId="7268E29D" w14:textId="77777777" w:rsidR="005F762A" w:rsidRDefault="005F762A">
            <w:pPr>
              <w:rPr>
                <w:rFonts w:ascii="宋体"/>
                <w:vanish/>
              </w:rPr>
            </w:pPr>
          </w:p>
        </w:tc>
        <w:tc>
          <w:tcPr>
            <w:tcW w:w="0" w:type="auto"/>
            <w:shd w:val="clear" w:color="auto" w:fill="auto"/>
          </w:tcPr>
          <w:p w14:paraId="7268E29E"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29F"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2A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2A1" w14:textId="77777777" w:rsidR="005F762A" w:rsidRDefault="00D74111">
            <w:pPr>
              <w:jc w:val="right"/>
              <w:textAlignment w:val="bottom"/>
            </w:pPr>
            <w:r>
              <w:rPr>
                <w:rFonts w:ascii="Arial" w:eastAsia="宋体" w:hAnsi="Arial" w:cs="Arial"/>
                <w:color w:val="000000"/>
                <w:sz w:val="18"/>
                <w:szCs w:val="18"/>
              </w:rPr>
              <w:t>72 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2A2"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2A3"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2A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2A5" w14:textId="77777777" w:rsidR="005F762A" w:rsidRDefault="00D74111">
            <w:pPr>
              <w:jc w:val="right"/>
              <w:textAlignment w:val="bottom"/>
            </w:pPr>
            <w:r>
              <w:rPr>
                <w:rFonts w:ascii="Arial" w:eastAsia="宋体" w:hAnsi="Arial" w:cs="Arial"/>
                <w:color w:val="000000"/>
                <w:sz w:val="18"/>
                <w:szCs w:val="18"/>
              </w:rPr>
              <w:t>54 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2A6" w14:textId="77777777" w:rsidR="005F762A" w:rsidRDefault="005F762A">
            <w:pPr>
              <w:jc w:val="right"/>
              <w:rPr>
                <w:rFonts w:ascii="宋体"/>
              </w:rPr>
            </w:pPr>
          </w:p>
        </w:tc>
        <w:tc>
          <w:tcPr>
            <w:tcW w:w="0" w:type="auto"/>
            <w:gridSpan w:val="3"/>
            <w:shd w:val="clear" w:color="auto" w:fill="auto"/>
          </w:tcPr>
          <w:p w14:paraId="7268E2A7" w14:textId="77777777" w:rsidR="005F762A" w:rsidRDefault="005F762A">
            <w:pPr>
              <w:rPr>
                <w:rFonts w:ascii="宋体"/>
                <w:vanish/>
              </w:rPr>
            </w:pPr>
          </w:p>
        </w:tc>
        <w:tc>
          <w:tcPr>
            <w:tcW w:w="0" w:type="auto"/>
            <w:gridSpan w:val="3"/>
            <w:shd w:val="clear" w:color="auto" w:fill="auto"/>
          </w:tcPr>
          <w:p w14:paraId="7268E2A8" w14:textId="77777777" w:rsidR="005F762A" w:rsidRDefault="005F762A">
            <w:pPr>
              <w:rPr>
                <w:rFonts w:ascii="宋体"/>
                <w:vanish/>
              </w:rPr>
            </w:pPr>
          </w:p>
        </w:tc>
        <w:tc>
          <w:tcPr>
            <w:tcW w:w="0" w:type="auto"/>
            <w:gridSpan w:val="3"/>
            <w:shd w:val="clear" w:color="auto" w:fill="auto"/>
          </w:tcPr>
          <w:p w14:paraId="7268E2A9" w14:textId="77777777" w:rsidR="005F762A" w:rsidRDefault="005F762A">
            <w:pPr>
              <w:rPr>
                <w:rFonts w:ascii="宋体"/>
                <w:vanish/>
              </w:rPr>
            </w:pPr>
          </w:p>
        </w:tc>
        <w:tc>
          <w:tcPr>
            <w:tcW w:w="0" w:type="auto"/>
            <w:gridSpan w:val="3"/>
            <w:shd w:val="clear" w:color="auto" w:fill="auto"/>
          </w:tcPr>
          <w:p w14:paraId="7268E2AA" w14:textId="77777777" w:rsidR="005F762A" w:rsidRDefault="005F762A">
            <w:pPr>
              <w:rPr>
                <w:rFonts w:ascii="宋体"/>
                <w:vanish/>
              </w:rPr>
            </w:pPr>
          </w:p>
        </w:tc>
      </w:tr>
      <w:tr w:rsidR="005F762A" w14:paraId="7268E2BA" w14:textId="77777777">
        <w:trPr>
          <w:jc w:val="center"/>
        </w:trPr>
        <w:tc>
          <w:tcPr>
            <w:tcW w:w="0" w:type="auto"/>
            <w:gridSpan w:val="3"/>
            <w:shd w:val="clear" w:color="auto" w:fill="FFFFFF"/>
            <w:tcMar>
              <w:top w:w="40" w:type="dxa"/>
              <w:left w:w="20" w:type="dxa"/>
              <w:bottom w:w="40" w:type="dxa"/>
              <w:right w:w="20" w:type="dxa"/>
            </w:tcMar>
            <w:vAlign w:val="bottom"/>
          </w:tcPr>
          <w:p w14:paraId="7268E2AC" w14:textId="77777777" w:rsidR="005F762A" w:rsidRDefault="00D74111">
            <w:pPr>
              <w:ind w:hanging="180"/>
              <w:textAlignment w:val="bottom"/>
            </w:pPr>
            <w:r>
              <w:rPr>
                <w:rFonts w:ascii="Arial" w:eastAsia="宋体" w:hAnsi="Arial" w:cs="Arial"/>
                <w:color w:val="000000"/>
                <w:sz w:val="18"/>
                <w:szCs w:val="18"/>
              </w:rPr>
              <w:t>StubHub income from discontinued operations, net of income taxes</w:t>
            </w:r>
          </w:p>
        </w:tc>
        <w:tc>
          <w:tcPr>
            <w:tcW w:w="0" w:type="auto"/>
            <w:shd w:val="clear" w:color="auto" w:fill="auto"/>
          </w:tcPr>
          <w:p w14:paraId="7268E2AD" w14:textId="77777777" w:rsidR="005F762A" w:rsidRDefault="005F762A">
            <w:pPr>
              <w:rPr>
                <w:rFonts w:ascii="宋体"/>
                <w:vanish/>
              </w:rPr>
            </w:pPr>
          </w:p>
        </w:tc>
        <w:tc>
          <w:tcPr>
            <w:tcW w:w="0" w:type="auto"/>
            <w:shd w:val="clear" w:color="auto" w:fill="auto"/>
          </w:tcPr>
          <w:p w14:paraId="7268E2AE" w14:textId="77777777" w:rsidR="005F762A" w:rsidRDefault="005F762A">
            <w:pPr>
              <w:rPr>
                <w:rFonts w:ascii="宋体"/>
                <w:vanish/>
              </w:rPr>
            </w:pPr>
          </w:p>
        </w:tc>
        <w:tc>
          <w:tcPr>
            <w:tcW w:w="0" w:type="auto"/>
            <w:shd w:val="clear" w:color="auto" w:fill="auto"/>
          </w:tcPr>
          <w:p w14:paraId="7268E2AF"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2B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2B1"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2B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2B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2B4" w14:textId="77777777" w:rsidR="005F762A" w:rsidRDefault="00D74111">
            <w:pPr>
              <w:jc w:val="right"/>
              <w:textAlignment w:val="bottom"/>
            </w:pPr>
            <w:r>
              <w:rPr>
                <w:rFonts w:ascii="Arial" w:eastAsia="宋体" w:hAnsi="Arial" w:cs="Arial"/>
                <w:color w:val="000000"/>
                <w:sz w:val="18"/>
                <w:szCs w:val="18"/>
              </w:rPr>
              <w:t>2,928 </w:t>
            </w:r>
          </w:p>
        </w:tc>
        <w:tc>
          <w:tcPr>
            <w:tcW w:w="0" w:type="auto"/>
            <w:shd w:val="clear" w:color="auto" w:fill="FFFFFF"/>
            <w:tcMar>
              <w:top w:w="40" w:type="dxa"/>
              <w:left w:w="0" w:type="dxa"/>
              <w:bottom w:w="40" w:type="dxa"/>
              <w:right w:w="20" w:type="dxa"/>
            </w:tcMar>
            <w:vAlign w:val="bottom"/>
          </w:tcPr>
          <w:p w14:paraId="7268E2B5" w14:textId="77777777" w:rsidR="005F762A" w:rsidRDefault="005F762A">
            <w:pPr>
              <w:jc w:val="right"/>
              <w:rPr>
                <w:rFonts w:ascii="宋体"/>
              </w:rPr>
            </w:pPr>
          </w:p>
        </w:tc>
        <w:tc>
          <w:tcPr>
            <w:tcW w:w="0" w:type="auto"/>
            <w:gridSpan w:val="3"/>
            <w:shd w:val="clear" w:color="auto" w:fill="auto"/>
          </w:tcPr>
          <w:p w14:paraId="7268E2B6" w14:textId="77777777" w:rsidR="005F762A" w:rsidRDefault="005F762A">
            <w:pPr>
              <w:rPr>
                <w:rFonts w:ascii="宋体"/>
                <w:vanish/>
              </w:rPr>
            </w:pPr>
          </w:p>
        </w:tc>
        <w:tc>
          <w:tcPr>
            <w:tcW w:w="0" w:type="auto"/>
            <w:gridSpan w:val="3"/>
            <w:shd w:val="clear" w:color="auto" w:fill="auto"/>
          </w:tcPr>
          <w:p w14:paraId="7268E2B7" w14:textId="77777777" w:rsidR="005F762A" w:rsidRDefault="005F762A">
            <w:pPr>
              <w:rPr>
                <w:rFonts w:ascii="宋体"/>
                <w:vanish/>
              </w:rPr>
            </w:pPr>
          </w:p>
        </w:tc>
        <w:tc>
          <w:tcPr>
            <w:tcW w:w="0" w:type="auto"/>
            <w:gridSpan w:val="3"/>
            <w:shd w:val="clear" w:color="auto" w:fill="auto"/>
          </w:tcPr>
          <w:p w14:paraId="7268E2B8" w14:textId="77777777" w:rsidR="005F762A" w:rsidRDefault="005F762A">
            <w:pPr>
              <w:rPr>
                <w:rFonts w:ascii="宋体"/>
                <w:vanish/>
              </w:rPr>
            </w:pPr>
          </w:p>
        </w:tc>
        <w:tc>
          <w:tcPr>
            <w:tcW w:w="0" w:type="auto"/>
            <w:gridSpan w:val="3"/>
            <w:shd w:val="clear" w:color="auto" w:fill="auto"/>
          </w:tcPr>
          <w:p w14:paraId="7268E2B9" w14:textId="77777777" w:rsidR="005F762A" w:rsidRDefault="005F762A">
            <w:pPr>
              <w:rPr>
                <w:rFonts w:ascii="宋体"/>
                <w:vanish/>
              </w:rPr>
            </w:pPr>
          </w:p>
        </w:tc>
      </w:tr>
      <w:tr w:rsidR="005F762A" w14:paraId="7268E2C9" w14:textId="77777777">
        <w:trPr>
          <w:jc w:val="center"/>
        </w:trPr>
        <w:tc>
          <w:tcPr>
            <w:tcW w:w="0" w:type="auto"/>
            <w:gridSpan w:val="3"/>
            <w:shd w:val="clear" w:color="auto" w:fill="E1E1E1"/>
            <w:tcMar>
              <w:top w:w="40" w:type="dxa"/>
              <w:left w:w="20" w:type="dxa"/>
              <w:bottom w:w="40" w:type="dxa"/>
              <w:right w:w="20" w:type="dxa"/>
            </w:tcMar>
            <w:vAlign w:val="bottom"/>
          </w:tcPr>
          <w:p w14:paraId="7268E2BB" w14:textId="77777777" w:rsidR="005F762A" w:rsidRDefault="00D74111">
            <w:pPr>
              <w:textAlignment w:val="bottom"/>
            </w:pPr>
            <w:r>
              <w:rPr>
                <w:rFonts w:ascii="Arial" w:eastAsia="宋体" w:hAnsi="Arial" w:cs="Arial"/>
                <w:color w:val="000000"/>
                <w:sz w:val="18"/>
                <w:szCs w:val="18"/>
              </w:rPr>
              <w:t>PayPal and Enterprise (loss) from discontinued operations, net of income taxes</w:t>
            </w:r>
          </w:p>
        </w:tc>
        <w:tc>
          <w:tcPr>
            <w:tcW w:w="0" w:type="auto"/>
            <w:shd w:val="clear" w:color="auto" w:fill="auto"/>
          </w:tcPr>
          <w:p w14:paraId="7268E2BC" w14:textId="77777777" w:rsidR="005F762A" w:rsidRDefault="005F762A">
            <w:pPr>
              <w:rPr>
                <w:rFonts w:ascii="宋体"/>
                <w:vanish/>
              </w:rPr>
            </w:pPr>
          </w:p>
        </w:tc>
        <w:tc>
          <w:tcPr>
            <w:tcW w:w="0" w:type="auto"/>
            <w:shd w:val="clear" w:color="auto" w:fill="auto"/>
          </w:tcPr>
          <w:p w14:paraId="7268E2BD" w14:textId="77777777" w:rsidR="005F762A" w:rsidRDefault="005F762A">
            <w:pPr>
              <w:rPr>
                <w:rFonts w:ascii="宋体"/>
                <w:vanish/>
              </w:rPr>
            </w:pPr>
          </w:p>
        </w:tc>
        <w:tc>
          <w:tcPr>
            <w:tcW w:w="0" w:type="auto"/>
            <w:shd w:val="clear" w:color="auto" w:fill="auto"/>
          </w:tcPr>
          <w:p w14:paraId="7268E2BE"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2BF"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2C0"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2C1"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2C2"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2C3"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7268E2C4" w14:textId="77777777" w:rsidR="005F762A" w:rsidRDefault="005F762A">
            <w:pPr>
              <w:jc w:val="right"/>
              <w:rPr>
                <w:rFonts w:ascii="宋体"/>
              </w:rPr>
            </w:pPr>
          </w:p>
        </w:tc>
        <w:tc>
          <w:tcPr>
            <w:tcW w:w="0" w:type="auto"/>
            <w:gridSpan w:val="3"/>
            <w:shd w:val="clear" w:color="auto" w:fill="auto"/>
          </w:tcPr>
          <w:p w14:paraId="7268E2C5" w14:textId="77777777" w:rsidR="005F762A" w:rsidRDefault="005F762A">
            <w:pPr>
              <w:rPr>
                <w:rFonts w:ascii="宋体"/>
                <w:vanish/>
              </w:rPr>
            </w:pPr>
          </w:p>
        </w:tc>
        <w:tc>
          <w:tcPr>
            <w:tcW w:w="0" w:type="auto"/>
            <w:gridSpan w:val="3"/>
            <w:shd w:val="clear" w:color="auto" w:fill="auto"/>
          </w:tcPr>
          <w:p w14:paraId="7268E2C6" w14:textId="77777777" w:rsidR="005F762A" w:rsidRDefault="005F762A">
            <w:pPr>
              <w:rPr>
                <w:rFonts w:ascii="宋体"/>
                <w:vanish/>
              </w:rPr>
            </w:pPr>
          </w:p>
        </w:tc>
        <w:tc>
          <w:tcPr>
            <w:tcW w:w="0" w:type="auto"/>
            <w:gridSpan w:val="3"/>
            <w:shd w:val="clear" w:color="auto" w:fill="auto"/>
          </w:tcPr>
          <w:p w14:paraId="7268E2C7" w14:textId="77777777" w:rsidR="005F762A" w:rsidRDefault="005F762A">
            <w:pPr>
              <w:rPr>
                <w:rFonts w:ascii="宋体"/>
                <w:vanish/>
              </w:rPr>
            </w:pPr>
          </w:p>
        </w:tc>
        <w:tc>
          <w:tcPr>
            <w:tcW w:w="0" w:type="auto"/>
            <w:gridSpan w:val="3"/>
            <w:shd w:val="clear" w:color="auto" w:fill="auto"/>
          </w:tcPr>
          <w:p w14:paraId="7268E2C8" w14:textId="77777777" w:rsidR="005F762A" w:rsidRDefault="005F762A">
            <w:pPr>
              <w:rPr>
                <w:rFonts w:ascii="宋体"/>
                <w:vanish/>
              </w:rPr>
            </w:pPr>
          </w:p>
        </w:tc>
      </w:tr>
      <w:tr w:rsidR="005F762A" w14:paraId="7268E2DA" w14:textId="77777777">
        <w:trPr>
          <w:jc w:val="center"/>
        </w:trPr>
        <w:tc>
          <w:tcPr>
            <w:tcW w:w="0" w:type="auto"/>
            <w:gridSpan w:val="3"/>
            <w:shd w:val="clear" w:color="auto" w:fill="FFFFFF"/>
            <w:tcMar>
              <w:top w:w="40" w:type="dxa"/>
              <w:left w:w="875" w:type="dxa"/>
              <w:bottom w:w="40" w:type="dxa"/>
              <w:right w:w="20" w:type="dxa"/>
            </w:tcMar>
            <w:vAlign w:val="bottom"/>
          </w:tcPr>
          <w:p w14:paraId="7268E2CA" w14:textId="77777777" w:rsidR="005F762A" w:rsidRDefault="00D74111">
            <w:pPr>
              <w:textAlignment w:val="bottom"/>
            </w:pPr>
            <w:r>
              <w:rPr>
                <w:rFonts w:ascii="Arial" w:eastAsia="宋体" w:hAnsi="Arial" w:cs="Arial"/>
                <w:color w:val="000000"/>
                <w:sz w:val="18"/>
                <w:szCs w:val="18"/>
              </w:rPr>
              <w:t xml:space="preserve">Income from discontinued operations, net of </w:t>
            </w:r>
            <w:r>
              <w:rPr>
                <w:rFonts w:ascii="Arial" w:eastAsia="宋体" w:hAnsi="Arial" w:cs="Arial"/>
                <w:color w:val="000000"/>
                <w:sz w:val="18"/>
                <w:szCs w:val="18"/>
              </w:rPr>
              <w:t>income taxes</w:t>
            </w:r>
          </w:p>
        </w:tc>
        <w:tc>
          <w:tcPr>
            <w:tcW w:w="0" w:type="auto"/>
            <w:shd w:val="clear" w:color="auto" w:fill="auto"/>
          </w:tcPr>
          <w:p w14:paraId="7268E2CB" w14:textId="77777777" w:rsidR="005F762A" w:rsidRDefault="005F762A">
            <w:pPr>
              <w:rPr>
                <w:rFonts w:ascii="宋体"/>
                <w:vanish/>
              </w:rPr>
            </w:pPr>
          </w:p>
        </w:tc>
        <w:tc>
          <w:tcPr>
            <w:tcW w:w="0" w:type="auto"/>
            <w:shd w:val="clear" w:color="auto" w:fill="auto"/>
          </w:tcPr>
          <w:p w14:paraId="7268E2CC" w14:textId="77777777" w:rsidR="005F762A" w:rsidRDefault="005F762A">
            <w:pPr>
              <w:rPr>
                <w:rFonts w:ascii="宋体"/>
                <w:vanish/>
              </w:rPr>
            </w:pPr>
          </w:p>
        </w:tc>
        <w:tc>
          <w:tcPr>
            <w:tcW w:w="0" w:type="auto"/>
            <w:shd w:val="clear" w:color="auto" w:fill="auto"/>
          </w:tcPr>
          <w:p w14:paraId="7268E2C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2CE"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C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D0" w14:textId="77777777" w:rsidR="005F762A" w:rsidRDefault="00D74111">
            <w:pPr>
              <w:jc w:val="right"/>
              <w:textAlignment w:val="bottom"/>
            </w:pPr>
            <w:r>
              <w:rPr>
                <w:rFonts w:ascii="Arial" w:eastAsia="宋体" w:hAnsi="Arial" w:cs="Arial"/>
                <w:color w:val="000000"/>
                <w:sz w:val="18"/>
                <w:szCs w:val="18"/>
              </w:rPr>
              <w:t>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D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2D2"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2D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2D4" w14:textId="77777777" w:rsidR="005F762A" w:rsidRDefault="00D74111">
            <w:pPr>
              <w:jc w:val="right"/>
              <w:textAlignment w:val="bottom"/>
            </w:pPr>
            <w:r>
              <w:rPr>
                <w:rFonts w:ascii="Arial" w:eastAsia="宋体" w:hAnsi="Arial" w:cs="Arial"/>
                <w:color w:val="000000"/>
                <w:sz w:val="18"/>
                <w:szCs w:val="18"/>
              </w:rPr>
              <w:t>2,981 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2D5" w14:textId="77777777" w:rsidR="005F762A" w:rsidRDefault="005F762A">
            <w:pPr>
              <w:jc w:val="right"/>
              <w:rPr>
                <w:rFonts w:ascii="宋体"/>
              </w:rPr>
            </w:pPr>
          </w:p>
        </w:tc>
        <w:tc>
          <w:tcPr>
            <w:tcW w:w="0" w:type="auto"/>
            <w:gridSpan w:val="3"/>
            <w:shd w:val="clear" w:color="auto" w:fill="auto"/>
          </w:tcPr>
          <w:p w14:paraId="7268E2D6" w14:textId="77777777" w:rsidR="005F762A" w:rsidRDefault="005F762A">
            <w:pPr>
              <w:rPr>
                <w:rFonts w:ascii="宋体"/>
                <w:vanish/>
              </w:rPr>
            </w:pPr>
          </w:p>
        </w:tc>
        <w:tc>
          <w:tcPr>
            <w:tcW w:w="0" w:type="auto"/>
            <w:gridSpan w:val="3"/>
            <w:shd w:val="clear" w:color="auto" w:fill="auto"/>
          </w:tcPr>
          <w:p w14:paraId="7268E2D7" w14:textId="77777777" w:rsidR="005F762A" w:rsidRDefault="005F762A">
            <w:pPr>
              <w:rPr>
                <w:rFonts w:ascii="宋体"/>
                <w:vanish/>
              </w:rPr>
            </w:pPr>
          </w:p>
        </w:tc>
        <w:tc>
          <w:tcPr>
            <w:tcW w:w="0" w:type="auto"/>
            <w:gridSpan w:val="3"/>
            <w:shd w:val="clear" w:color="auto" w:fill="auto"/>
          </w:tcPr>
          <w:p w14:paraId="7268E2D8" w14:textId="77777777" w:rsidR="005F762A" w:rsidRDefault="005F762A">
            <w:pPr>
              <w:rPr>
                <w:rFonts w:ascii="宋体"/>
                <w:vanish/>
              </w:rPr>
            </w:pPr>
          </w:p>
        </w:tc>
        <w:tc>
          <w:tcPr>
            <w:tcW w:w="0" w:type="auto"/>
            <w:gridSpan w:val="3"/>
            <w:shd w:val="clear" w:color="auto" w:fill="auto"/>
          </w:tcPr>
          <w:p w14:paraId="7268E2D9" w14:textId="77777777" w:rsidR="005F762A" w:rsidRDefault="005F762A">
            <w:pPr>
              <w:rPr>
                <w:rFonts w:ascii="宋体"/>
                <w:vanish/>
              </w:rPr>
            </w:pPr>
          </w:p>
        </w:tc>
      </w:tr>
    </w:tbl>
    <w:p w14:paraId="7268E2DB" w14:textId="77777777" w:rsidR="005F762A" w:rsidRDefault="00D74111">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7268E2DC" w14:textId="77777777" w:rsidR="005F762A" w:rsidRDefault="005F762A"/>
    <w:p w14:paraId="7268E2DD" w14:textId="77777777" w:rsidR="005F762A" w:rsidRDefault="00D74111">
      <w:pPr>
        <w:spacing w:after="120"/>
        <w:ind w:firstLine="540"/>
      </w:pPr>
      <w:r>
        <w:rPr>
          <w:rFonts w:ascii="Arial" w:eastAsia="宋体" w:hAnsi="Arial" w:cs="Arial"/>
          <w:color w:val="000000"/>
          <w:sz w:val="20"/>
          <w:szCs w:val="20"/>
        </w:rPr>
        <w:t>The following table presents cash flo</w:t>
      </w:r>
      <w:r>
        <w:rPr>
          <w:rFonts w:ascii="Arial" w:eastAsia="宋体" w:hAnsi="Arial" w:cs="Arial"/>
          <w:color w:val="000000"/>
          <w:sz w:val="20"/>
          <w:szCs w:val="20"/>
        </w:rPr>
        <w:t>ws for discontinued operations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79"/>
        <w:gridCol w:w="38"/>
        <w:gridCol w:w="36"/>
        <w:gridCol w:w="46"/>
        <w:gridCol w:w="36"/>
        <w:gridCol w:w="36"/>
        <w:gridCol w:w="36"/>
        <w:gridCol w:w="36"/>
        <w:gridCol w:w="121"/>
        <w:gridCol w:w="750"/>
        <w:gridCol w:w="36"/>
        <w:gridCol w:w="36"/>
        <w:gridCol w:w="36"/>
        <w:gridCol w:w="36"/>
        <w:gridCol w:w="121"/>
        <w:gridCol w:w="750"/>
        <w:gridCol w:w="36"/>
        <w:gridCol w:w="36"/>
        <w:gridCol w:w="36"/>
        <w:gridCol w:w="36"/>
        <w:gridCol w:w="36"/>
        <w:gridCol w:w="36"/>
        <w:gridCol w:w="36"/>
        <w:gridCol w:w="36"/>
        <w:gridCol w:w="36"/>
        <w:gridCol w:w="36"/>
        <w:gridCol w:w="36"/>
        <w:gridCol w:w="36"/>
        <w:gridCol w:w="36"/>
      </w:tblGrid>
      <w:tr w:rsidR="005F762A" w14:paraId="7268E2F4" w14:textId="77777777">
        <w:trPr>
          <w:jc w:val="center"/>
        </w:trPr>
        <w:tc>
          <w:tcPr>
            <w:tcW w:w="50" w:type="pct"/>
            <w:shd w:val="clear" w:color="auto" w:fill="auto"/>
          </w:tcPr>
          <w:p w14:paraId="7268E2DE" w14:textId="77777777" w:rsidR="005F762A" w:rsidRDefault="005F762A">
            <w:pPr>
              <w:rPr>
                <w:rFonts w:ascii="宋体"/>
              </w:rPr>
            </w:pPr>
          </w:p>
        </w:tc>
        <w:tc>
          <w:tcPr>
            <w:tcW w:w="3716" w:type="pct"/>
            <w:shd w:val="clear" w:color="auto" w:fill="auto"/>
          </w:tcPr>
          <w:p w14:paraId="7268E2DF" w14:textId="77777777" w:rsidR="005F762A" w:rsidRDefault="005F762A">
            <w:pPr>
              <w:rPr>
                <w:rFonts w:ascii="宋体"/>
              </w:rPr>
            </w:pPr>
          </w:p>
        </w:tc>
        <w:tc>
          <w:tcPr>
            <w:tcW w:w="5" w:type="pct"/>
            <w:shd w:val="clear" w:color="auto" w:fill="auto"/>
          </w:tcPr>
          <w:p w14:paraId="7268E2E0" w14:textId="77777777" w:rsidR="005F762A" w:rsidRDefault="005F762A">
            <w:pPr>
              <w:rPr>
                <w:rFonts w:ascii="宋体"/>
              </w:rPr>
            </w:pPr>
          </w:p>
        </w:tc>
        <w:tc>
          <w:tcPr>
            <w:tcW w:w="0" w:type="auto"/>
            <w:shd w:val="clear" w:color="auto" w:fill="auto"/>
          </w:tcPr>
          <w:p w14:paraId="7268E2E1" w14:textId="77777777" w:rsidR="005F762A" w:rsidRDefault="005F762A">
            <w:pPr>
              <w:rPr>
                <w:rFonts w:ascii="宋体"/>
                <w:vanish/>
              </w:rPr>
            </w:pPr>
          </w:p>
        </w:tc>
        <w:tc>
          <w:tcPr>
            <w:tcW w:w="0" w:type="auto"/>
            <w:shd w:val="clear" w:color="auto" w:fill="auto"/>
          </w:tcPr>
          <w:p w14:paraId="7268E2E2" w14:textId="77777777" w:rsidR="005F762A" w:rsidRDefault="005F762A">
            <w:pPr>
              <w:rPr>
                <w:rFonts w:ascii="宋体"/>
                <w:vanish/>
              </w:rPr>
            </w:pPr>
          </w:p>
        </w:tc>
        <w:tc>
          <w:tcPr>
            <w:tcW w:w="0" w:type="auto"/>
            <w:shd w:val="clear" w:color="auto" w:fill="auto"/>
          </w:tcPr>
          <w:p w14:paraId="7268E2E3" w14:textId="77777777" w:rsidR="005F762A" w:rsidRDefault="005F762A">
            <w:pPr>
              <w:rPr>
                <w:rFonts w:ascii="宋体"/>
                <w:vanish/>
              </w:rPr>
            </w:pPr>
          </w:p>
        </w:tc>
        <w:tc>
          <w:tcPr>
            <w:tcW w:w="5" w:type="pct"/>
            <w:shd w:val="clear" w:color="auto" w:fill="auto"/>
          </w:tcPr>
          <w:p w14:paraId="7268E2E4" w14:textId="77777777" w:rsidR="005F762A" w:rsidRDefault="005F762A">
            <w:pPr>
              <w:rPr>
                <w:rFonts w:ascii="宋体"/>
              </w:rPr>
            </w:pPr>
          </w:p>
        </w:tc>
        <w:tc>
          <w:tcPr>
            <w:tcW w:w="19" w:type="pct"/>
            <w:shd w:val="clear" w:color="auto" w:fill="auto"/>
          </w:tcPr>
          <w:p w14:paraId="7268E2E5" w14:textId="77777777" w:rsidR="005F762A" w:rsidRDefault="005F762A">
            <w:pPr>
              <w:rPr>
                <w:rFonts w:ascii="宋体"/>
              </w:rPr>
            </w:pPr>
          </w:p>
        </w:tc>
        <w:tc>
          <w:tcPr>
            <w:tcW w:w="5" w:type="pct"/>
            <w:shd w:val="clear" w:color="auto" w:fill="auto"/>
          </w:tcPr>
          <w:p w14:paraId="7268E2E6" w14:textId="77777777" w:rsidR="005F762A" w:rsidRDefault="005F762A">
            <w:pPr>
              <w:rPr>
                <w:rFonts w:ascii="宋体"/>
              </w:rPr>
            </w:pPr>
          </w:p>
        </w:tc>
        <w:tc>
          <w:tcPr>
            <w:tcW w:w="50" w:type="pct"/>
            <w:shd w:val="clear" w:color="auto" w:fill="auto"/>
          </w:tcPr>
          <w:p w14:paraId="7268E2E7" w14:textId="77777777" w:rsidR="005F762A" w:rsidRDefault="005F762A">
            <w:pPr>
              <w:rPr>
                <w:rFonts w:ascii="宋体"/>
              </w:rPr>
            </w:pPr>
          </w:p>
        </w:tc>
        <w:tc>
          <w:tcPr>
            <w:tcW w:w="529" w:type="pct"/>
            <w:shd w:val="clear" w:color="auto" w:fill="auto"/>
          </w:tcPr>
          <w:p w14:paraId="7268E2E8" w14:textId="77777777" w:rsidR="005F762A" w:rsidRDefault="005F762A">
            <w:pPr>
              <w:rPr>
                <w:rFonts w:ascii="宋体"/>
              </w:rPr>
            </w:pPr>
          </w:p>
        </w:tc>
        <w:tc>
          <w:tcPr>
            <w:tcW w:w="5" w:type="pct"/>
            <w:shd w:val="clear" w:color="auto" w:fill="auto"/>
          </w:tcPr>
          <w:p w14:paraId="7268E2E9" w14:textId="77777777" w:rsidR="005F762A" w:rsidRDefault="005F762A">
            <w:pPr>
              <w:rPr>
                <w:rFonts w:ascii="宋体"/>
              </w:rPr>
            </w:pPr>
          </w:p>
        </w:tc>
        <w:tc>
          <w:tcPr>
            <w:tcW w:w="5" w:type="pct"/>
            <w:shd w:val="clear" w:color="auto" w:fill="auto"/>
          </w:tcPr>
          <w:p w14:paraId="7268E2EA" w14:textId="77777777" w:rsidR="005F762A" w:rsidRDefault="005F762A">
            <w:pPr>
              <w:rPr>
                <w:rFonts w:ascii="宋体"/>
              </w:rPr>
            </w:pPr>
          </w:p>
        </w:tc>
        <w:tc>
          <w:tcPr>
            <w:tcW w:w="19" w:type="pct"/>
            <w:shd w:val="clear" w:color="auto" w:fill="auto"/>
          </w:tcPr>
          <w:p w14:paraId="7268E2EB" w14:textId="77777777" w:rsidR="005F762A" w:rsidRDefault="005F762A">
            <w:pPr>
              <w:rPr>
                <w:rFonts w:ascii="宋体"/>
              </w:rPr>
            </w:pPr>
          </w:p>
        </w:tc>
        <w:tc>
          <w:tcPr>
            <w:tcW w:w="5" w:type="pct"/>
            <w:shd w:val="clear" w:color="auto" w:fill="auto"/>
          </w:tcPr>
          <w:p w14:paraId="7268E2EC" w14:textId="77777777" w:rsidR="005F762A" w:rsidRDefault="005F762A">
            <w:pPr>
              <w:rPr>
                <w:rFonts w:ascii="宋体"/>
              </w:rPr>
            </w:pPr>
          </w:p>
        </w:tc>
        <w:tc>
          <w:tcPr>
            <w:tcW w:w="50" w:type="pct"/>
            <w:shd w:val="clear" w:color="auto" w:fill="auto"/>
          </w:tcPr>
          <w:p w14:paraId="7268E2ED" w14:textId="77777777" w:rsidR="005F762A" w:rsidRDefault="005F762A">
            <w:pPr>
              <w:rPr>
                <w:rFonts w:ascii="宋体"/>
              </w:rPr>
            </w:pPr>
          </w:p>
        </w:tc>
        <w:tc>
          <w:tcPr>
            <w:tcW w:w="529" w:type="pct"/>
            <w:shd w:val="clear" w:color="auto" w:fill="auto"/>
          </w:tcPr>
          <w:p w14:paraId="7268E2EE" w14:textId="77777777" w:rsidR="005F762A" w:rsidRDefault="005F762A">
            <w:pPr>
              <w:rPr>
                <w:rFonts w:ascii="宋体"/>
              </w:rPr>
            </w:pPr>
          </w:p>
        </w:tc>
        <w:tc>
          <w:tcPr>
            <w:tcW w:w="5" w:type="pct"/>
            <w:shd w:val="clear" w:color="auto" w:fill="auto"/>
          </w:tcPr>
          <w:p w14:paraId="7268E2EF" w14:textId="77777777" w:rsidR="005F762A" w:rsidRDefault="005F762A">
            <w:pPr>
              <w:rPr>
                <w:rFonts w:ascii="宋体"/>
              </w:rPr>
            </w:pPr>
          </w:p>
        </w:tc>
        <w:tc>
          <w:tcPr>
            <w:tcW w:w="0" w:type="auto"/>
            <w:gridSpan w:val="3"/>
            <w:shd w:val="clear" w:color="auto" w:fill="auto"/>
          </w:tcPr>
          <w:p w14:paraId="7268E2F0" w14:textId="77777777" w:rsidR="005F762A" w:rsidRDefault="005F762A">
            <w:pPr>
              <w:rPr>
                <w:rFonts w:ascii="宋体"/>
                <w:vanish/>
              </w:rPr>
            </w:pPr>
          </w:p>
        </w:tc>
        <w:tc>
          <w:tcPr>
            <w:tcW w:w="0" w:type="auto"/>
            <w:gridSpan w:val="3"/>
            <w:shd w:val="clear" w:color="auto" w:fill="auto"/>
          </w:tcPr>
          <w:p w14:paraId="7268E2F1" w14:textId="77777777" w:rsidR="005F762A" w:rsidRDefault="005F762A">
            <w:pPr>
              <w:rPr>
                <w:rFonts w:ascii="宋体"/>
                <w:vanish/>
              </w:rPr>
            </w:pPr>
          </w:p>
        </w:tc>
        <w:tc>
          <w:tcPr>
            <w:tcW w:w="0" w:type="auto"/>
            <w:gridSpan w:val="3"/>
            <w:shd w:val="clear" w:color="auto" w:fill="auto"/>
          </w:tcPr>
          <w:p w14:paraId="7268E2F2" w14:textId="77777777" w:rsidR="005F762A" w:rsidRDefault="005F762A">
            <w:pPr>
              <w:rPr>
                <w:rFonts w:ascii="宋体"/>
                <w:vanish/>
              </w:rPr>
            </w:pPr>
          </w:p>
        </w:tc>
        <w:tc>
          <w:tcPr>
            <w:tcW w:w="0" w:type="auto"/>
            <w:gridSpan w:val="3"/>
            <w:shd w:val="clear" w:color="auto" w:fill="auto"/>
          </w:tcPr>
          <w:p w14:paraId="7268E2F3" w14:textId="77777777" w:rsidR="005F762A" w:rsidRDefault="005F762A">
            <w:pPr>
              <w:rPr>
                <w:rFonts w:ascii="宋体"/>
                <w:vanish/>
              </w:rPr>
            </w:pPr>
          </w:p>
        </w:tc>
      </w:tr>
      <w:tr w:rsidR="005F762A" w14:paraId="7268E307" w14:textId="77777777">
        <w:trPr>
          <w:jc w:val="center"/>
        </w:trPr>
        <w:tc>
          <w:tcPr>
            <w:tcW w:w="0" w:type="auto"/>
            <w:gridSpan w:val="3"/>
            <w:shd w:val="clear" w:color="auto" w:fill="auto"/>
            <w:tcMar>
              <w:top w:w="40" w:type="dxa"/>
              <w:left w:w="20" w:type="dxa"/>
              <w:bottom w:w="40" w:type="dxa"/>
              <w:right w:w="20" w:type="dxa"/>
            </w:tcMar>
            <w:vAlign w:val="bottom"/>
          </w:tcPr>
          <w:p w14:paraId="7268E2F5"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2F6"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2F7"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2F8"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tcPr>
          <w:p w14:paraId="7268E2F9" w14:textId="77777777" w:rsidR="005F762A" w:rsidRDefault="005F762A">
            <w:pPr>
              <w:rPr>
                <w:rFonts w:ascii="宋体"/>
                <w:vanish/>
              </w:rPr>
            </w:pPr>
          </w:p>
        </w:tc>
        <w:tc>
          <w:tcPr>
            <w:tcW w:w="0" w:type="auto"/>
            <w:gridSpan w:val="3"/>
            <w:shd w:val="clear" w:color="auto" w:fill="auto"/>
          </w:tcPr>
          <w:p w14:paraId="7268E2FA" w14:textId="77777777" w:rsidR="005F762A" w:rsidRDefault="005F762A">
            <w:pPr>
              <w:rPr>
                <w:rFonts w:ascii="宋体"/>
                <w:vanish/>
              </w:rPr>
            </w:pPr>
          </w:p>
        </w:tc>
        <w:tc>
          <w:tcPr>
            <w:tcW w:w="0" w:type="auto"/>
            <w:shd w:val="clear" w:color="auto" w:fill="auto"/>
          </w:tcPr>
          <w:p w14:paraId="7268E2FB" w14:textId="77777777" w:rsidR="005F762A" w:rsidRDefault="005F762A">
            <w:pPr>
              <w:rPr>
                <w:rFonts w:ascii="宋体"/>
              </w:rPr>
            </w:pPr>
          </w:p>
        </w:tc>
        <w:tc>
          <w:tcPr>
            <w:tcW w:w="0" w:type="auto"/>
            <w:shd w:val="clear" w:color="auto" w:fill="auto"/>
          </w:tcPr>
          <w:p w14:paraId="7268E2FC" w14:textId="77777777" w:rsidR="005F762A" w:rsidRDefault="005F762A">
            <w:pPr>
              <w:rPr>
                <w:rFonts w:ascii="宋体"/>
              </w:rPr>
            </w:pPr>
          </w:p>
        </w:tc>
        <w:tc>
          <w:tcPr>
            <w:tcW w:w="0" w:type="auto"/>
            <w:shd w:val="clear" w:color="auto" w:fill="auto"/>
          </w:tcPr>
          <w:p w14:paraId="7268E2FD" w14:textId="77777777" w:rsidR="005F762A" w:rsidRDefault="005F762A">
            <w:pPr>
              <w:rPr>
                <w:rFonts w:ascii="宋体"/>
              </w:rPr>
            </w:pPr>
          </w:p>
        </w:tc>
        <w:tc>
          <w:tcPr>
            <w:tcW w:w="0" w:type="auto"/>
            <w:shd w:val="clear" w:color="auto" w:fill="auto"/>
          </w:tcPr>
          <w:p w14:paraId="7268E2FE" w14:textId="77777777" w:rsidR="005F762A" w:rsidRDefault="005F762A">
            <w:pPr>
              <w:rPr>
                <w:rFonts w:ascii="宋体"/>
              </w:rPr>
            </w:pPr>
          </w:p>
        </w:tc>
        <w:tc>
          <w:tcPr>
            <w:tcW w:w="0" w:type="auto"/>
            <w:shd w:val="clear" w:color="auto" w:fill="auto"/>
          </w:tcPr>
          <w:p w14:paraId="7268E2FF" w14:textId="77777777" w:rsidR="005F762A" w:rsidRDefault="005F762A">
            <w:pPr>
              <w:rPr>
                <w:rFonts w:ascii="宋体"/>
              </w:rPr>
            </w:pPr>
          </w:p>
        </w:tc>
        <w:tc>
          <w:tcPr>
            <w:tcW w:w="0" w:type="auto"/>
            <w:shd w:val="clear" w:color="auto" w:fill="auto"/>
          </w:tcPr>
          <w:p w14:paraId="7268E300" w14:textId="77777777" w:rsidR="005F762A" w:rsidRDefault="005F762A">
            <w:pPr>
              <w:rPr>
                <w:rFonts w:ascii="宋体"/>
              </w:rPr>
            </w:pPr>
          </w:p>
        </w:tc>
        <w:tc>
          <w:tcPr>
            <w:tcW w:w="0" w:type="auto"/>
            <w:shd w:val="clear" w:color="auto" w:fill="auto"/>
          </w:tcPr>
          <w:p w14:paraId="7268E301" w14:textId="77777777" w:rsidR="005F762A" w:rsidRDefault="005F762A">
            <w:pPr>
              <w:rPr>
                <w:rFonts w:ascii="宋体"/>
              </w:rPr>
            </w:pPr>
          </w:p>
        </w:tc>
        <w:tc>
          <w:tcPr>
            <w:tcW w:w="0" w:type="auto"/>
            <w:shd w:val="clear" w:color="auto" w:fill="auto"/>
          </w:tcPr>
          <w:p w14:paraId="7268E302" w14:textId="77777777" w:rsidR="005F762A" w:rsidRDefault="005F762A">
            <w:pPr>
              <w:rPr>
                <w:rFonts w:ascii="宋体"/>
              </w:rPr>
            </w:pPr>
          </w:p>
        </w:tc>
        <w:tc>
          <w:tcPr>
            <w:tcW w:w="0" w:type="auto"/>
            <w:shd w:val="clear" w:color="auto" w:fill="auto"/>
          </w:tcPr>
          <w:p w14:paraId="7268E303" w14:textId="77777777" w:rsidR="005F762A" w:rsidRDefault="005F762A">
            <w:pPr>
              <w:rPr>
                <w:rFonts w:ascii="宋体"/>
              </w:rPr>
            </w:pPr>
          </w:p>
        </w:tc>
        <w:tc>
          <w:tcPr>
            <w:tcW w:w="0" w:type="auto"/>
            <w:shd w:val="clear" w:color="auto" w:fill="auto"/>
          </w:tcPr>
          <w:p w14:paraId="7268E304" w14:textId="77777777" w:rsidR="005F762A" w:rsidRDefault="005F762A">
            <w:pPr>
              <w:rPr>
                <w:rFonts w:ascii="宋体"/>
              </w:rPr>
            </w:pPr>
          </w:p>
        </w:tc>
        <w:tc>
          <w:tcPr>
            <w:tcW w:w="0" w:type="auto"/>
            <w:shd w:val="clear" w:color="auto" w:fill="auto"/>
          </w:tcPr>
          <w:p w14:paraId="7268E305" w14:textId="77777777" w:rsidR="005F762A" w:rsidRDefault="005F762A">
            <w:pPr>
              <w:rPr>
                <w:rFonts w:ascii="宋体"/>
              </w:rPr>
            </w:pPr>
          </w:p>
        </w:tc>
        <w:tc>
          <w:tcPr>
            <w:tcW w:w="0" w:type="auto"/>
            <w:shd w:val="clear" w:color="auto" w:fill="auto"/>
          </w:tcPr>
          <w:p w14:paraId="7268E306" w14:textId="77777777" w:rsidR="005F762A" w:rsidRDefault="005F762A">
            <w:pPr>
              <w:rPr>
                <w:rFonts w:ascii="宋体"/>
              </w:rPr>
            </w:pPr>
          </w:p>
        </w:tc>
      </w:tr>
      <w:tr w:rsidR="005F762A" w14:paraId="7268E314" w14:textId="77777777">
        <w:trPr>
          <w:jc w:val="center"/>
        </w:trPr>
        <w:tc>
          <w:tcPr>
            <w:tcW w:w="0" w:type="auto"/>
            <w:gridSpan w:val="3"/>
            <w:shd w:val="clear" w:color="auto" w:fill="auto"/>
            <w:tcMar>
              <w:top w:w="40" w:type="dxa"/>
              <w:left w:w="20" w:type="dxa"/>
              <w:bottom w:w="40" w:type="dxa"/>
              <w:right w:w="20" w:type="dxa"/>
            </w:tcMar>
            <w:vAlign w:val="bottom"/>
          </w:tcPr>
          <w:p w14:paraId="7268E308"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309" w14:textId="77777777" w:rsidR="005F762A" w:rsidRDefault="005F762A">
            <w:pPr>
              <w:rPr>
                <w:rFonts w:ascii="宋体"/>
                <w:vanish/>
              </w:rPr>
            </w:pPr>
          </w:p>
        </w:tc>
        <w:tc>
          <w:tcPr>
            <w:tcW w:w="0" w:type="auto"/>
            <w:shd w:val="clear" w:color="auto" w:fill="auto"/>
          </w:tcPr>
          <w:p w14:paraId="7268E30A" w14:textId="77777777" w:rsidR="005F762A" w:rsidRDefault="005F762A">
            <w:pPr>
              <w:rPr>
                <w:rFonts w:ascii="宋体"/>
                <w:vanish/>
              </w:rPr>
            </w:pPr>
          </w:p>
        </w:tc>
        <w:tc>
          <w:tcPr>
            <w:tcW w:w="0" w:type="auto"/>
            <w:shd w:val="clear" w:color="auto" w:fill="auto"/>
          </w:tcPr>
          <w:p w14:paraId="7268E30B"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30C"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30D"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30E"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30F" w14:textId="77777777" w:rsidR="005F762A" w:rsidRDefault="00D74111">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(1)</w:t>
            </w:r>
          </w:p>
        </w:tc>
        <w:tc>
          <w:tcPr>
            <w:tcW w:w="0" w:type="auto"/>
            <w:gridSpan w:val="3"/>
            <w:shd w:val="clear" w:color="auto" w:fill="auto"/>
          </w:tcPr>
          <w:p w14:paraId="7268E310" w14:textId="77777777" w:rsidR="005F762A" w:rsidRDefault="005F762A">
            <w:pPr>
              <w:rPr>
                <w:rFonts w:ascii="宋体"/>
                <w:vanish/>
              </w:rPr>
            </w:pPr>
          </w:p>
        </w:tc>
        <w:tc>
          <w:tcPr>
            <w:tcW w:w="0" w:type="auto"/>
            <w:gridSpan w:val="3"/>
            <w:shd w:val="clear" w:color="auto" w:fill="auto"/>
          </w:tcPr>
          <w:p w14:paraId="7268E311" w14:textId="77777777" w:rsidR="005F762A" w:rsidRDefault="005F762A">
            <w:pPr>
              <w:rPr>
                <w:rFonts w:ascii="宋体"/>
                <w:vanish/>
              </w:rPr>
            </w:pPr>
          </w:p>
        </w:tc>
        <w:tc>
          <w:tcPr>
            <w:tcW w:w="0" w:type="auto"/>
            <w:gridSpan w:val="3"/>
            <w:shd w:val="clear" w:color="auto" w:fill="auto"/>
          </w:tcPr>
          <w:p w14:paraId="7268E312" w14:textId="77777777" w:rsidR="005F762A" w:rsidRDefault="005F762A">
            <w:pPr>
              <w:rPr>
                <w:rFonts w:ascii="宋体"/>
                <w:vanish/>
              </w:rPr>
            </w:pPr>
          </w:p>
        </w:tc>
        <w:tc>
          <w:tcPr>
            <w:tcW w:w="0" w:type="auto"/>
            <w:gridSpan w:val="3"/>
            <w:shd w:val="clear" w:color="auto" w:fill="auto"/>
          </w:tcPr>
          <w:p w14:paraId="7268E313" w14:textId="77777777" w:rsidR="005F762A" w:rsidRDefault="005F762A">
            <w:pPr>
              <w:rPr>
                <w:rFonts w:ascii="宋体"/>
                <w:vanish/>
              </w:rPr>
            </w:pPr>
          </w:p>
        </w:tc>
      </w:tr>
      <w:tr w:rsidR="005F762A" w14:paraId="7268E325" w14:textId="77777777">
        <w:trPr>
          <w:jc w:val="center"/>
        </w:trPr>
        <w:tc>
          <w:tcPr>
            <w:tcW w:w="0" w:type="auto"/>
            <w:gridSpan w:val="3"/>
            <w:shd w:val="clear" w:color="auto" w:fill="E1E1E1"/>
            <w:tcMar>
              <w:top w:w="40" w:type="dxa"/>
              <w:left w:w="20" w:type="dxa"/>
              <w:bottom w:w="40" w:type="dxa"/>
              <w:right w:w="20" w:type="dxa"/>
            </w:tcMar>
            <w:vAlign w:val="bottom"/>
          </w:tcPr>
          <w:p w14:paraId="7268E315" w14:textId="77777777" w:rsidR="005F762A" w:rsidRDefault="00D74111">
            <w:pPr>
              <w:ind w:hanging="180"/>
              <w:textAlignment w:val="bottom"/>
            </w:pPr>
            <w:r>
              <w:rPr>
                <w:rFonts w:ascii="Arial" w:eastAsia="宋体" w:hAnsi="Arial" w:cs="Arial"/>
                <w:color w:val="000000"/>
                <w:sz w:val="18"/>
                <w:szCs w:val="18"/>
              </w:rPr>
              <w:t xml:space="preserve">Classifieds net cash provided by discontinued operating activities </w:t>
            </w:r>
          </w:p>
        </w:tc>
        <w:tc>
          <w:tcPr>
            <w:tcW w:w="0" w:type="auto"/>
            <w:shd w:val="clear" w:color="auto" w:fill="auto"/>
          </w:tcPr>
          <w:p w14:paraId="7268E316" w14:textId="77777777" w:rsidR="005F762A" w:rsidRDefault="005F762A">
            <w:pPr>
              <w:rPr>
                <w:rFonts w:ascii="宋体"/>
                <w:vanish/>
              </w:rPr>
            </w:pPr>
          </w:p>
        </w:tc>
        <w:tc>
          <w:tcPr>
            <w:tcW w:w="0" w:type="auto"/>
            <w:shd w:val="clear" w:color="auto" w:fill="auto"/>
          </w:tcPr>
          <w:p w14:paraId="7268E317" w14:textId="77777777" w:rsidR="005F762A" w:rsidRDefault="005F762A">
            <w:pPr>
              <w:rPr>
                <w:rFonts w:ascii="宋体"/>
                <w:vanish/>
              </w:rPr>
            </w:pPr>
          </w:p>
        </w:tc>
        <w:tc>
          <w:tcPr>
            <w:tcW w:w="0" w:type="auto"/>
            <w:shd w:val="clear" w:color="auto" w:fill="auto"/>
          </w:tcPr>
          <w:p w14:paraId="7268E318"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319"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1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1B" w14:textId="77777777" w:rsidR="005F762A" w:rsidRDefault="00D74111">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1C"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31D"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1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1F" w14:textId="77777777" w:rsidR="005F762A" w:rsidRDefault="00D74111">
            <w:pPr>
              <w:jc w:val="right"/>
              <w:textAlignment w:val="bottom"/>
            </w:pPr>
            <w:r>
              <w:rPr>
                <w:rFonts w:ascii="Arial" w:eastAsia="宋体" w:hAnsi="Arial" w:cs="Arial"/>
                <w:color w:val="000000"/>
                <w:sz w:val="18"/>
                <w:szCs w:val="18"/>
              </w:rPr>
              <w:t>88 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20" w14:textId="77777777" w:rsidR="005F762A" w:rsidRDefault="005F762A">
            <w:pPr>
              <w:jc w:val="right"/>
              <w:rPr>
                <w:rFonts w:ascii="宋体"/>
              </w:rPr>
            </w:pPr>
          </w:p>
        </w:tc>
        <w:tc>
          <w:tcPr>
            <w:tcW w:w="0" w:type="auto"/>
            <w:gridSpan w:val="3"/>
            <w:shd w:val="clear" w:color="auto" w:fill="auto"/>
          </w:tcPr>
          <w:p w14:paraId="7268E321" w14:textId="77777777" w:rsidR="005F762A" w:rsidRDefault="005F762A">
            <w:pPr>
              <w:rPr>
                <w:rFonts w:ascii="宋体"/>
                <w:vanish/>
              </w:rPr>
            </w:pPr>
          </w:p>
        </w:tc>
        <w:tc>
          <w:tcPr>
            <w:tcW w:w="0" w:type="auto"/>
            <w:gridSpan w:val="3"/>
            <w:shd w:val="clear" w:color="auto" w:fill="auto"/>
          </w:tcPr>
          <w:p w14:paraId="7268E322" w14:textId="77777777" w:rsidR="005F762A" w:rsidRDefault="005F762A">
            <w:pPr>
              <w:rPr>
                <w:rFonts w:ascii="宋体"/>
                <w:vanish/>
              </w:rPr>
            </w:pPr>
          </w:p>
        </w:tc>
        <w:tc>
          <w:tcPr>
            <w:tcW w:w="0" w:type="auto"/>
            <w:gridSpan w:val="3"/>
            <w:shd w:val="clear" w:color="auto" w:fill="auto"/>
          </w:tcPr>
          <w:p w14:paraId="7268E323" w14:textId="77777777" w:rsidR="005F762A" w:rsidRDefault="005F762A">
            <w:pPr>
              <w:rPr>
                <w:rFonts w:ascii="宋体"/>
                <w:vanish/>
              </w:rPr>
            </w:pPr>
          </w:p>
        </w:tc>
        <w:tc>
          <w:tcPr>
            <w:tcW w:w="0" w:type="auto"/>
            <w:gridSpan w:val="3"/>
            <w:shd w:val="clear" w:color="auto" w:fill="auto"/>
          </w:tcPr>
          <w:p w14:paraId="7268E324" w14:textId="77777777" w:rsidR="005F762A" w:rsidRDefault="005F762A">
            <w:pPr>
              <w:rPr>
                <w:rFonts w:ascii="宋体"/>
                <w:vanish/>
              </w:rPr>
            </w:pPr>
          </w:p>
        </w:tc>
      </w:tr>
      <w:tr w:rsidR="005F762A" w14:paraId="7268E334" w14:textId="77777777">
        <w:trPr>
          <w:jc w:val="center"/>
        </w:trPr>
        <w:tc>
          <w:tcPr>
            <w:tcW w:w="0" w:type="auto"/>
            <w:gridSpan w:val="3"/>
            <w:shd w:val="clear" w:color="auto" w:fill="FFFFFF"/>
            <w:tcMar>
              <w:top w:w="40" w:type="dxa"/>
              <w:left w:w="20" w:type="dxa"/>
              <w:bottom w:w="40" w:type="dxa"/>
              <w:right w:w="20" w:type="dxa"/>
            </w:tcMar>
            <w:vAlign w:val="bottom"/>
          </w:tcPr>
          <w:p w14:paraId="7268E326" w14:textId="77777777" w:rsidR="005F762A" w:rsidRDefault="00D74111">
            <w:pPr>
              <w:textAlignment w:val="bottom"/>
            </w:pPr>
            <w:r>
              <w:rPr>
                <w:rFonts w:ascii="Arial" w:eastAsia="宋体" w:hAnsi="Arial" w:cs="Arial"/>
                <w:color w:val="000000"/>
                <w:sz w:val="18"/>
                <w:szCs w:val="18"/>
              </w:rPr>
              <w:t>StubHub net cash provided by (used in) discontinued operating activities</w:t>
            </w:r>
          </w:p>
        </w:tc>
        <w:tc>
          <w:tcPr>
            <w:tcW w:w="0" w:type="auto"/>
            <w:shd w:val="clear" w:color="auto" w:fill="auto"/>
          </w:tcPr>
          <w:p w14:paraId="7268E327" w14:textId="77777777" w:rsidR="005F762A" w:rsidRDefault="005F762A">
            <w:pPr>
              <w:rPr>
                <w:rFonts w:ascii="宋体"/>
                <w:vanish/>
              </w:rPr>
            </w:pPr>
          </w:p>
        </w:tc>
        <w:tc>
          <w:tcPr>
            <w:tcW w:w="0" w:type="auto"/>
            <w:shd w:val="clear" w:color="auto" w:fill="auto"/>
          </w:tcPr>
          <w:p w14:paraId="7268E328" w14:textId="77777777" w:rsidR="005F762A" w:rsidRDefault="005F762A">
            <w:pPr>
              <w:rPr>
                <w:rFonts w:ascii="宋体"/>
                <w:vanish/>
              </w:rPr>
            </w:pPr>
          </w:p>
        </w:tc>
        <w:tc>
          <w:tcPr>
            <w:tcW w:w="0" w:type="auto"/>
            <w:shd w:val="clear" w:color="auto" w:fill="auto"/>
          </w:tcPr>
          <w:p w14:paraId="7268E32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32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32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32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32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32E" w14:textId="77777777" w:rsidR="005F762A" w:rsidRDefault="00D74111">
            <w:pPr>
              <w:jc w:val="right"/>
              <w:textAlignment w:val="bottom"/>
            </w:pPr>
            <w:r>
              <w:rPr>
                <w:rFonts w:ascii="Arial" w:eastAsia="宋体" w:hAnsi="Arial" w:cs="Arial"/>
                <w:color w:val="000000"/>
                <w:sz w:val="18"/>
                <w:szCs w:val="18"/>
              </w:rPr>
              <w:t>(110)</w:t>
            </w:r>
          </w:p>
        </w:tc>
        <w:tc>
          <w:tcPr>
            <w:tcW w:w="0" w:type="auto"/>
            <w:shd w:val="clear" w:color="auto" w:fill="FFFFFF"/>
            <w:tcMar>
              <w:top w:w="40" w:type="dxa"/>
              <w:left w:w="0" w:type="dxa"/>
              <w:bottom w:w="40" w:type="dxa"/>
              <w:right w:w="20" w:type="dxa"/>
            </w:tcMar>
            <w:vAlign w:val="bottom"/>
          </w:tcPr>
          <w:p w14:paraId="7268E32F" w14:textId="77777777" w:rsidR="005F762A" w:rsidRDefault="005F762A">
            <w:pPr>
              <w:jc w:val="right"/>
              <w:rPr>
                <w:rFonts w:ascii="宋体"/>
              </w:rPr>
            </w:pPr>
          </w:p>
        </w:tc>
        <w:tc>
          <w:tcPr>
            <w:tcW w:w="0" w:type="auto"/>
            <w:gridSpan w:val="3"/>
            <w:shd w:val="clear" w:color="auto" w:fill="auto"/>
          </w:tcPr>
          <w:p w14:paraId="7268E330" w14:textId="77777777" w:rsidR="005F762A" w:rsidRDefault="005F762A">
            <w:pPr>
              <w:rPr>
                <w:rFonts w:ascii="宋体"/>
                <w:vanish/>
              </w:rPr>
            </w:pPr>
          </w:p>
        </w:tc>
        <w:tc>
          <w:tcPr>
            <w:tcW w:w="0" w:type="auto"/>
            <w:gridSpan w:val="3"/>
            <w:shd w:val="clear" w:color="auto" w:fill="auto"/>
          </w:tcPr>
          <w:p w14:paraId="7268E331" w14:textId="77777777" w:rsidR="005F762A" w:rsidRDefault="005F762A">
            <w:pPr>
              <w:rPr>
                <w:rFonts w:ascii="宋体"/>
                <w:vanish/>
              </w:rPr>
            </w:pPr>
          </w:p>
        </w:tc>
        <w:tc>
          <w:tcPr>
            <w:tcW w:w="0" w:type="auto"/>
            <w:gridSpan w:val="3"/>
            <w:shd w:val="clear" w:color="auto" w:fill="auto"/>
          </w:tcPr>
          <w:p w14:paraId="7268E332" w14:textId="77777777" w:rsidR="005F762A" w:rsidRDefault="005F762A">
            <w:pPr>
              <w:rPr>
                <w:rFonts w:ascii="宋体"/>
                <w:vanish/>
              </w:rPr>
            </w:pPr>
          </w:p>
        </w:tc>
        <w:tc>
          <w:tcPr>
            <w:tcW w:w="0" w:type="auto"/>
            <w:gridSpan w:val="3"/>
            <w:shd w:val="clear" w:color="auto" w:fill="auto"/>
          </w:tcPr>
          <w:p w14:paraId="7268E333" w14:textId="77777777" w:rsidR="005F762A" w:rsidRDefault="005F762A">
            <w:pPr>
              <w:rPr>
                <w:rFonts w:ascii="宋体"/>
                <w:vanish/>
              </w:rPr>
            </w:pPr>
          </w:p>
        </w:tc>
      </w:tr>
      <w:tr w:rsidR="005F762A" w14:paraId="7268E345" w14:textId="77777777">
        <w:trPr>
          <w:jc w:val="center"/>
        </w:trPr>
        <w:tc>
          <w:tcPr>
            <w:tcW w:w="0" w:type="auto"/>
            <w:gridSpan w:val="3"/>
            <w:shd w:val="clear" w:color="auto" w:fill="E1E1E1"/>
            <w:tcMar>
              <w:top w:w="40" w:type="dxa"/>
              <w:left w:w="140" w:type="dxa"/>
              <w:bottom w:w="40" w:type="dxa"/>
              <w:right w:w="20" w:type="dxa"/>
            </w:tcMar>
            <w:vAlign w:val="bottom"/>
          </w:tcPr>
          <w:p w14:paraId="7268E335" w14:textId="77777777" w:rsidR="005F762A" w:rsidRDefault="00D74111">
            <w:pPr>
              <w:textAlignment w:val="bottom"/>
            </w:pPr>
            <w:r>
              <w:rPr>
                <w:rFonts w:ascii="Arial" w:eastAsia="宋体" w:hAnsi="Arial" w:cs="Arial"/>
                <w:color w:val="000000"/>
                <w:sz w:val="18"/>
                <w:szCs w:val="18"/>
              </w:rPr>
              <w:t>Net cash provided by (used in) discontinued operating activities</w:t>
            </w:r>
          </w:p>
        </w:tc>
        <w:tc>
          <w:tcPr>
            <w:tcW w:w="0" w:type="auto"/>
            <w:shd w:val="clear" w:color="auto" w:fill="auto"/>
          </w:tcPr>
          <w:p w14:paraId="7268E336" w14:textId="77777777" w:rsidR="005F762A" w:rsidRDefault="005F762A">
            <w:pPr>
              <w:rPr>
                <w:rFonts w:ascii="宋体"/>
                <w:vanish/>
              </w:rPr>
            </w:pPr>
          </w:p>
        </w:tc>
        <w:tc>
          <w:tcPr>
            <w:tcW w:w="0" w:type="auto"/>
            <w:shd w:val="clear" w:color="auto" w:fill="auto"/>
          </w:tcPr>
          <w:p w14:paraId="7268E337" w14:textId="77777777" w:rsidR="005F762A" w:rsidRDefault="005F762A">
            <w:pPr>
              <w:rPr>
                <w:rFonts w:ascii="宋体"/>
                <w:vanish/>
              </w:rPr>
            </w:pPr>
          </w:p>
        </w:tc>
        <w:tc>
          <w:tcPr>
            <w:tcW w:w="0" w:type="auto"/>
            <w:shd w:val="clear" w:color="auto" w:fill="auto"/>
          </w:tcPr>
          <w:p w14:paraId="7268E338"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339"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3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3B" w14:textId="77777777" w:rsidR="005F762A" w:rsidRDefault="00D74111">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3C"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33D"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3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3F" w14:textId="77777777" w:rsidR="005F762A" w:rsidRDefault="00D74111">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40" w14:textId="77777777" w:rsidR="005F762A" w:rsidRDefault="005F762A">
            <w:pPr>
              <w:jc w:val="right"/>
              <w:rPr>
                <w:rFonts w:ascii="宋体"/>
              </w:rPr>
            </w:pPr>
          </w:p>
        </w:tc>
        <w:tc>
          <w:tcPr>
            <w:tcW w:w="0" w:type="auto"/>
            <w:gridSpan w:val="3"/>
            <w:shd w:val="clear" w:color="auto" w:fill="auto"/>
          </w:tcPr>
          <w:p w14:paraId="7268E341" w14:textId="77777777" w:rsidR="005F762A" w:rsidRDefault="005F762A">
            <w:pPr>
              <w:rPr>
                <w:rFonts w:ascii="宋体"/>
                <w:vanish/>
              </w:rPr>
            </w:pPr>
          </w:p>
        </w:tc>
        <w:tc>
          <w:tcPr>
            <w:tcW w:w="0" w:type="auto"/>
            <w:gridSpan w:val="3"/>
            <w:shd w:val="clear" w:color="auto" w:fill="auto"/>
          </w:tcPr>
          <w:p w14:paraId="7268E342" w14:textId="77777777" w:rsidR="005F762A" w:rsidRDefault="005F762A">
            <w:pPr>
              <w:rPr>
                <w:rFonts w:ascii="宋体"/>
                <w:vanish/>
              </w:rPr>
            </w:pPr>
          </w:p>
        </w:tc>
        <w:tc>
          <w:tcPr>
            <w:tcW w:w="0" w:type="auto"/>
            <w:gridSpan w:val="3"/>
            <w:shd w:val="clear" w:color="auto" w:fill="auto"/>
          </w:tcPr>
          <w:p w14:paraId="7268E343" w14:textId="77777777" w:rsidR="005F762A" w:rsidRDefault="005F762A">
            <w:pPr>
              <w:rPr>
                <w:rFonts w:ascii="宋体"/>
                <w:vanish/>
              </w:rPr>
            </w:pPr>
          </w:p>
        </w:tc>
        <w:tc>
          <w:tcPr>
            <w:tcW w:w="0" w:type="auto"/>
            <w:gridSpan w:val="3"/>
            <w:shd w:val="clear" w:color="auto" w:fill="auto"/>
          </w:tcPr>
          <w:p w14:paraId="7268E344" w14:textId="77777777" w:rsidR="005F762A" w:rsidRDefault="005F762A">
            <w:pPr>
              <w:rPr>
                <w:rFonts w:ascii="宋体"/>
                <w:vanish/>
              </w:rPr>
            </w:pPr>
          </w:p>
        </w:tc>
      </w:tr>
      <w:tr w:rsidR="005F762A" w14:paraId="7268E352" w14:textId="77777777">
        <w:trPr>
          <w:trHeight w:val="180"/>
          <w:jc w:val="center"/>
        </w:trPr>
        <w:tc>
          <w:tcPr>
            <w:tcW w:w="0" w:type="auto"/>
            <w:gridSpan w:val="3"/>
            <w:shd w:val="clear" w:color="auto" w:fill="FFFFFF"/>
            <w:tcMar>
              <w:top w:w="0" w:type="dxa"/>
              <w:left w:w="20" w:type="dxa"/>
              <w:bottom w:w="0" w:type="dxa"/>
              <w:right w:w="20" w:type="dxa"/>
            </w:tcMar>
          </w:tcPr>
          <w:p w14:paraId="7268E346" w14:textId="77777777" w:rsidR="005F762A" w:rsidRDefault="005F762A">
            <w:pPr>
              <w:rPr>
                <w:rFonts w:ascii="宋体"/>
              </w:rPr>
            </w:pPr>
          </w:p>
        </w:tc>
        <w:tc>
          <w:tcPr>
            <w:tcW w:w="0" w:type="auto"/>
            <w:shd w:val="clear" w:color="auto" w:fill="auto"/>
          </w:tcPr>
          <w:p w14:paraId="7268E347" w14:textId="77777777" w:rsidR="005F762A" w:rsidRDefault="005F762A">
            <w:pPr>
              <w:rPr>
                <w:rFonts w:ascii="宋体"/>
                <w:vanish/>
              </w:rPr>
            </w:pPr>
          </w:p>
        </w:tc>
        <w:tc>
          <w:tcPr>
            <w:tcW w:w="0" w:type="auto"/>
            <w:shd w:val="clear" w:color="auto" w:fill="auto"/>
          </w:tcPr>
          <w:p w14:paraId="7268E348" w14:textId="77777777" w:rsidR="005F762A" w:rsidRDefault="005F762A">
            <w:pPr>
              <w:rPr>
                <w:rFonts w:ascii="宋体"/>
                <w:vanish/>
              </w:rPr>
            </w:pPr>
          </w:p>
        </w:tc>
        <w:tc>
          <w:tcPr>
            <w:tcW w:w="0" w:type="auto"/>
            <w:shd w:val="clear" w:color="auto" w:fill="auto"/>
          </w:tcPr>
          <w:p w14:paraId="7268E34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34A"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34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34C"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34D" w14:textId="77777777" w:rsidR="005F762A" w:rsidRDefault="005F762A">
            <w:pPr>
              <w:rPr>
                <w:rFonts w:ascii="宋体"/>
              </w:rPr>
            </w:pPr>
          </w:p>
        </w:tc>
        <w:tc>
          <w:tcPr>
            <w:tcW w:w="0" w:type="auto"/>
            <w:gridSpan w:val="3"/>
            <w:shd w:val="clear" w:color="auto" w:fill="auto"/>
          </w:tcPr>
          <w:p w14:paraId="7268E34E" w14:textId="77777777" w:rsidR="005F762A" w:rsidRDefault="005F762A">
            <w:pPr>
              <w:rPr>
                <w:rFonts w:ascii="宋体"/>
                <w:vanish/>
              </w:rPr>
            </w:pPr>
          </w:p>
        </w:tc>
        <w:tc>
          <w:tcPr>
            <w:tcW w:w="0" w:type="auto"/>
            <w:gridSpan w:val="3"/>
            <w:shd w:val="clear" w:color="auto" w:fill="auto"/>
          </w:tcPr>
          <w:p w14:paraId="7268E34F" w14:textId="77777777" w:rsidR="005F762A" w:rsidRDefault="005F762A">
            <w:pPr>
              <w:rPr>
                <w:rFonts w:ascii="宋体"/>
                <w:vanish/>
              </w:rPr>
            </w:pPr>
          </w:p>
        </w:tc>
        <w:tc>
          <w:tcPr>
            <w:tcW w:w="0" w:type="auto"/>
            <w:gridSpan w:val="3"/>
            <w:shd w:val="clear" w:color="auto" w:fill="auto"/>
          </w:tcPr>
          <w:p w14:paraId="7268E350" w14:textId="77777777" w:rsidR="005F762A" w:rsidRDefault="005F762A">
            <w:pPr>
              <w:rPr>
                <w:rFonts w:ascii="宋体"/>
                <w:vanish/>
              </w:rPr>
            </w:pPr>
          </w:p>
        </w:tc>
        <w:tc>
          <w:tcPr>
            <w:tcW w:w="0" w:type="auto"/>
            <w:gridSpan w:val="3"/>
            <w:shd w:val="clear" w:color="auto" w:fill="auto"/>
          </w:tcPr>
          <w:p w14:paraId="7268E351" w14:textId="77777777" w:rsidR="005F762A" w:rsidRDefault="005F762A">
            <w:pPr>
              <w:rPr>
                <w:rFonts w:ascii="宋体"/>
                <w:vanish/>
              </w:rPr>
            </w:pPr>
          </w:p>
        </w:tc>
      </w:tr>
      <w:tr w:rsidR="005F762A" w14:paraId="7268E363" w14:textId="77777777">
        <w:trPr>
          <w:jc w:val="center"/>
        </w:trPr>
        <w:tc>
          <w:tcPr>
            <w:tcW w:w="0" w:type="auto"/>
            <w:gridSpan w:val="3"/>
            <w:shd w:val="clear" w:color="auto" w:fill="E1E1E1"/>
            <w:tcMar>
              <w:top w:w="40" w:type="dxa"/>
              <w:left w:w="20" w:type="dxa"/>
              <w:bottom w:w="40" w:type="dxa"/>
              <w:right w:w="20" w:type="dxa"/>
            </w:tcMar>
            <w:vAlign w:val="bottom"/>
          </w:tcPr>
          <w:p w14:paraId="7268E353" w14:textId="77777777" w:rsidR="005F762A" w:rsidRDefault="00D74111">
            <w:pPr>
              <w:textAlignment w:val="bottom"/>
            </w:pPr>
            <w:r>
              <w:rPr>
                <w:rFonts w:ascii="Arial" w:eastAsia="宋体" w:hAnsi="Arial" w:cs="Arial"/>
                <w:color w:val="000000"/>
                <w:sz w:val="18"/>
                <w:szCs w:val="18"/>
              </w:rPr>
              <w:t xml:space="preserve">Classifieds net cash (used in) discontinued investing activities </w:t>
            </w:r>
          </w:p>
        </w:tc>
        <w:tc>
          <w:tcPr>
            <w:tcW w:w="0" w:type="auto"/>
            <w:shd w:val="clear" w:color="auto" w:fill="auto"/>
          </w:tcPr>
          <w:p w14:paraId="7268E354" w14:textId="77777777" w:rsidR="005F762A" w:rsidRDefault="005F762A">
            <w:pPr>
              <w:rPr>
                <w:rFonts w:ascii="宋体"/>
                <w:vanish/>
              </w:rPr>
            </w:pPr>
          </w:p>
        </w:tc>
        <w:tc>
          <w:tcPr>
            <w:tcW w:w="0" w:type="auto"/>
            <w:shd w:val="clear" w:color="auto" w:fill="auto"/>
          </w:tcPr>
          <w:p w14:paraId="7268E355" w14:textId="77777777" w:rsidR="005F762A" w:rsidRDefault="005F762A">
            <w:pPr>
              <w:rPr>
                <w:rFonts w:ascii="宋体"/>
                <w:vanish/>
              </w:rPr>
            </w:pPr>
          </w:p>
        </w:tc>
        <w:tc>
          <w:tcPr>
            <w:tcW w:w="0" w:type="auto"/>
            <w:shd w:val="clear" w:color="auto" w:fill="auto"/>
          </w:tcPr>
          <w:p w14:paraId="7268E356"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357"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E35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7268E359"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7268E35A"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35B"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E35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7268E35D"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7268E35E" w14:textId="77777777" w:rsidR="005F762A" w:rsidRDefault="005F762A">
            <w:pPr>
              <w:jc w:val="right"/>
              <w:rPr>
                <w:rFonts w:ascii="宋体"/>
              </w:rPr>
            </w:pPr>
          </w:p>
        </w:tc>
        <w:tc>
          <w:tcPr>
            <w:tcW w:w="0" w:type="auto"/>
            <w:gridSpan w:val="3"/>
            <w:shd w:val="clear" w:color="auto" w:fill="auto"/>
          </w:tcPr>
          <w:p w14:paraId="7268E35F" w14:textId="77777777" w:rsidR="005F762A" w:rsidRDefault="005F762A">
            <w:pPr>
              <w:rPr>
                <w:rFonts w:ascii="宋体"/>
                <w:vanish/>
              </w:rPr>
            </w:pPr>
          </w:p>
        </w:tc>
        <w:tc>
          <w:tcPr>
            <w:tcW w:w="0" w:type="auto"/>
            <w:gridSpan w:val="3"/>
            <w:shd w:val="clear" w:color="auto" w:fill="auto"/>
          </w:tcPr>
          <w:p w14:paraId="7268E360" w14:textId="77777777" w:rsidR="005F762A" w:rsidRDefault="005F762A">
            <w:pPr>
              <w:rPr>
                <w:rFonts w:ascii="宋体"/>
                <w:vanish/>
              </w:rPr>
            </w:pPr>
          </w:p>
        </w:tc>
        <w:tc>
          <w:tcPr>
            <w:tcW w:w="0" w:type="auto"/>
            <w:gridSpan w:val="3"/>
            <w:shd w:val="clear" w:color="auto" w:fill="auto"/>
          </w:tcPr>
          <w:p w14:paraId="7268E361" w14:textId="77777777" w:rsidR="005F762A" w:rsidRDefault="005F762A">
            <w:pPr>
              <w:rPr>
                <w:rFonts w:ascii="宋体"/>
                <w:vanish/>
              </w:rPr>
            </w:pPr>
          </w:p>
        </w:tc>
        <w:tc>
          <w:tcPr>
            <w:tcW w:w="0" w:type="auto"/>
            <w:gridSpan w:val="3"/>
            <w:shd w:val="clear" w:color="auto" w:fill="auto"/>
          </w:tcPr>
          <w:p w14:paraId="7268E362" w14:textId="77777777" w:rsidR="005F762A" w:rsidRDefault="005F762A">
            <w:pPr>
              <w:rPr>
                <w:rFonts w:ascii="宋体"/>
                <w:vanish/>
              </w:rPr>
            </w:pPr>
          </w:p>
        </w:tc>
      </w:tr>
      <w:tr w:rsidR="005F762A" w14:paraId="7268E372" w14:textId="77777777">
        <w:trPr>
          <w:jc w:val="center"/>
        </w:trPr>
        <w:tc>
          <w:tcPr>
            <w:tcW w:w="0" w:type="auto"/>
            <w:gridSpan w:val="3"/>
            <w:shd w:val="clear" w:color="auto" w:fill="FFFFFF"/>
            <w:tcMar>
              <w:top w:w="40" w:type="dxa"/>
              <w:left w:w="20" w:type="dxa"/>
              <w:bottom w:w="40" w:type="dxa"/>
              <w:right w:w="20" w:type="dxa"/>
            </w:tcMar>
            <w:vAlign w:val="bottom"/>
          </w:tcPr>
          <w:p w14:paraId="7268E364" w14:textId="77777777" w:rsidR="005F762A" w:rsidRDefault="00D74111">
            <w:pPr>
              <w:textAlignment w:val="bottom"/>
            </w:pPr>
            <w:r>
              <w:rPr>
                <w:rFonts w:ascii="Arial" w:eastAsia="宋体" w:hAnsi="Arial" w:cs="Arial"/>
                <w:color w:val="000000"/>
                <w:sz w:val="18"/>
                <w:szCs w:val="18"/>
              </w:rPr>
              <w:t>StubHub net cash provided by (used in) discontinued investing activities</w:t>
            </w:r>
          </w:p>
        </w:tc>
        <w:tc>
          <w:tcPr>
            <w:tcW w:w="0" w:type="auto"/>
            <w:shd w:val="clear" w:color="auto" w:fill="auto"/>
          </w:tcPr>
          <w:p w14:paraId="7268E365" w14:textId="77777777" w:rsidR="005F762A" w:rsidRDefault="005F762A">
            <w:pPr>
              <w:rPr>
                <w:rFonts w:ascii="宋体"/>
                <w:vanish/>
              </w:rPr>
            </w:pPr>
          </w:p>
        </w:tc>
        <w:tc>
          <w:tcPr>
            <w:tcW w:w="0" w:type="auto"/>
            <w:shd w:val="clear" w:color="auto" w:fill="auto"/>
          </w:tcPr>
          <w:p w14:paraId="7268E366" w14:textId="77777777" w:rsidR="005F762A" w:rsidRDefault="005F762A">
            <w:pPr>
              <w:rPr>
                <w:rFonts w:ascii="宋体"/>
                <w:vanish/>
              </w:rPr>
            </w:pPr>
          </w:p>
        </w:tc>
        <w:tc>
          <w:tcPr>
            <w:tcW w:w="0" w:type="auto"/>
            <w:shd w:val="clear" w:color="auto" w:fill="auto"/>
          </w:tcPr>
          <w:p w14:paraId="7268E36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36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369"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36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36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36C" w14:textId="77777777" w:rsidR="005F762A" w:rsidRDefault="00D74111">
            <w:pPr>
              <w:jc w:val="right"/>
              <w:textAlignment w:val="bottom"/>
            </w:pPr>
            <w:r>
              <w:rPr>
                <w:rFonts w:ascii="Arial" w:eastAsia="宋体" w:hAnsi="Arial" w:cs="Arial"/>
                <w:color w:val="000000"/>
                <w:sz w:val="18"/>
                <w:szCs w:val="18"/>
              </w:rPr>
              <w:t>4,075 </w:t>
            </w:r>
          </w:p>
        </w:tc>
        <w:tc>
          <w:tcPr>
            <w:tcW w:w="0" w:type="auto"/>
            <w:shd w:val="clear" w:color="auto" w:fill="FFFFFF"/>
            <w:tcMar>
              <w:top w:w="40" w:type="dxa"/>
              <w:left w:w="0" w:type="dxa"/>
              <w:bottom w:w="40" w:type="dxa"/>
              <w:right w:w="20" w:type="dxa"/>
            </w:tcMar>
            <w:vAlign w:val="bottom"/>
          </w:tcPr>
          <w:p w14:paraId="7268E36D" w14:textId="77777777" w:rsidR="005F762A" w:rsidRDefault="005F762A">
            <w:pPr>
              <w:jc w:val="right"/>
              <w:rPr>
                <w:rFonts w:ascii="宋体"/>
              </w:rPr>
            </w:pPr>
          </w:p>
        </w:tc>
        <w:tc>
          <w:tcPr>
            <w:tcW w:w="0" w:type="auto"/>
            <w:gridSpan w:val="3"/>
            <w:shd w:val="clear" w:color="auto" w:fill="auto"/>
          </w:tcPr>
          <w:p w14:paraId="7268E36E" w14:textId="77777777" w:rsidR="005F762A" w:rsidRDefault="005F762A">
            <w:pPr>
              <w:rPr>
                <w:rFonts w:ascii="宋体"/>
                <w:vanish/>
              </w:rPr>
            </w:pPr>
          </w:p>
        </w:tc>
        <w:tc>
          <w:tcPr>
            <w:tcW w:w="0" w:type="auto"/>
            <w:gridSpan w:val="3"/>
            <w:shd w:val="clear" w:color="auto" w:fill="auto"/>
          </w:tcPr>
          <w:p w14:paraId="7268E36F" w14:textId="77777777" w:rsidR="005F762A" w:rsidRDefault="005F762A">
            <w:pPr>
              <w:rPr>
                <w:rFonts w:ascii="宋体"/>
                <w:vanish/>
              </w:rPr>
            </w:pPr>
          </w:p>
        </w:tc>
        <w:tc>
          <w:tcPr>
            <w:tcW w:w="0" w:type="auto"/>
            <w:gridSpan w:val="3"/>
            <w:shd w:val="clear" w:color="auto" w:fill="auto"/>
          </w:tcPr>
          <w:p w14:paraId="7268E370" w14:textId="77777777" w:rsidR="005F762A" w:rsidRDefault="005F762A">
            <w:pPr>
              <w:rPr>
                <w:rFonts w:ascii="宋体"/>
                <w:vanish/>
              </w:rPr>
            </w:pPr>
          </w:p>
        </w:tc>
        <w:tc>
          <w:tcPr>
            <w:tcW w:w="0" w:type="auto"/>
            <w:gridSpan w:val="3"/>
            <w:shd w:val="clear" w:color="auto" w:fill="auto"/>
          </w:tcPr>
          <w:p w14:paraId="7268E371" w14:textId="77777777" w:rsidR="005F762A" w:rsidRDefault="005F762A">
            <w:pPr>
              <w:rPr>
                <w:rFonts w:ascii="宋体"/>
                <w:vanish/>
              </w:rPr>
            </w:pPr>
          </w:p>
        </w:tc>
      </w:tr>
      <w:tr w:rsidR="005F762A" w14:paraId="7268E383" w14:textId="77777777">
        <w:trPr>
          <w:jc w:val="center"/>
        </w:trPr>
        <w:tc>
          <w:tcPr>
            <w:tcW w:w="0" w:type="auto"/>
            <w:gridSpan w:val="3"/>
            <w:shd w:val="clear" w:color="auto" w:fill="E1E1E1"/>
            <w:tcMar>
              <w:top w:w="40" w:type="dxa"/>
              <w:left w:w="140" w:type="dxa"/>
              <w:bottom w:w="40" w:type="dxa"/>
              <w:right w:w="20" w:type="dxa"/>
            </w:tcMar>
            <w:vAlign w:val="bottom"/>
          </w:tcPr>
          <w:p w14:paraId="7268E373" w14:textId="77777777" w:rsidR="005F762A" w:rsidRDefault="00D74111">
            <w:pPr>
              <w:textAlignment w:val="bottom"/>
            </w:pPr>
            <w:r>
              <w:rPr>
                <w:rFonts w:ascii="Arial" w:eastAsia="宋体" w:hAnsi="Arial" w:cs="Arial"/>
                <w:color w:val="000000"/>
                <w:sz w:val="18"/>
                <w:szCs w:val="18"/>
              </w:rPr>
              <w:t xml:space="preserve">Net cash provided by (used in) discontinued investing activities </w:t>
            </w:r>
          </w:p>
        </w:tc>
        <w:tc>
          <w:tcPr>
            <w:tcW w:w="0" w:type="auto"/>
            <w:shd w:val="clear" w:color="auto" w:fill="auto"/>
          </w:tcPr>
          <w:p w14:paraId="7268E374" w14:textId="77777777" w:rsidR="005F762A" w:rsidRDefault="005F762A">
            <w:pPr>
              <w:rPr>
                <w:rFonts w:ascii="宋体"/>
                <w:vanish/>
              </w:rPr>
            </w:pPr>
          </w:p>
        </w:tc>
        <w:tc>
          <w:tcPr>
            <w:tcW w:w="0" w:type="auto"/>
            <w:shd w:val="clear" w:color="auto" w:fill="auto"/>
          </w:tcPr>
          <w:p w14:paraId="7268E375" w14:textId="77777777" w:rsidR="005F762A" w:rsidRDefault="005F762A">
            <w:pPr>
              <w:rPr>
                <w:rFonts w:ascii="宋体"/>
                <w:vanish/>
              </w:rPr>
            </w:pPr>
          </w:p>
        </w:tc>
        <w:tc>
          <w:tcPr>
            <w:tcW w:w="0" w:type="auto"/>
            <w:shd w:val="clear" w:color="auto" w:fill="auto"/>
          </w:tcPr>
          <w:p w14:paraId="7268E376"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377"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7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79" w14:textId="77777777" w:rsidR="005F762A" w:rsidRDefault="00D74111">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7A"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37B"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37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37D" w14:textId="77777777" w:rsidR="005F762A" w:rsidRDefault="00D74111">
            <w:pPr>
              <w:jc w:val="right"/>
              <w:textAlignment w:val="bottom"/>
            </w:pPr>
            <w:r>
              <w:rPr>
                <w:rFonts w:ascii="Arial" w:eastAsia="宋体" w:hAnsi="Arial" w:cs="Arial"/>
                <w:color w:val="000000"/>
                <w:sz w:val="18"/>
                <w:szCs w:val="18"/>
              </w:rPr>
              <w:t>4,074 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37E" w14:textId="77777777" w:rsidR="005F762A" w:rsidRDefault="005F762A">
            <w:pPr>
              <w:jc w:val="right"/>
              <w:rPr>
                <w:rFonts w:ascii="宋体"/>
              </w:rPr>
            </w:pPr>
          </w:p>
        </w:tc>
        <w:tc>
          <w:tcPr>
            <w:tcW w:w="0" w:type="auto"/>
            <w:gridSpan w:val="3"/>
            <w:shd w:val="clear" w:color="auto" w:fill="auto"/>
          </w:tcPr>
          <w:p w14:paraId="7268E37F" w14:textId="77777777" w:rsidR="005F762A" w:rsidRDefault="005F762A">
            <w:pPr>
              <w:rPr>
                <w:rFonts w:ascii="宋体"/>
                <w:vanish/>
              </w:rPr>
            </w:pPr>
          </w:p>
        </w:tc>
        <w:tc>
          <w:tcPr>
            <w:tcW w:w="0" w:type="auto"/>
            <w:gridSpan w:val="3"/>
            <w:shd w:val="clear" w:color="auto" w:fill="auto"/>
          </w:tcPr>
          <w:p w14:paraId="7268E380" w14:textId="77777777" w:rsidR="005F762A" w:rsidRDefault="005F762A">
            <w:pPr>
              <w:rPr>
                <w:rFonts w:ascii="宋体"/>
                <w:vanish/>
              </w:rPr>
            </w:pPr>
          </w:p>
        </w:tc>
        <w:tc>
          <w:tcPr>
            <w:tcW w:w="0" w:type="auto"/>
            <w:gridSpan w:val="3"/>
            <w:shd w:val="clear" w:color="auto" w:fill="auto"/>
          </w:tcPr>
          <w:p w14:paraId="7268E381" w14:textId="77777777" w:rsidR="005F762A" w:rsidRDefault="005F762A">
            <w:pPr>
              <w:rPr>
                <w:rFonts w:ascii="宋体"/>
                <w:vanish/>
              </w:rPr>
            </w:pPr>
          </w:p>
        </w:tc>
        <w:tc>
          <w:tcPr>
            <w:tcW w:w="0" w:type="auto"/>
            <w:gridSpan w:val="3"/>
            <w:shd w:val="clear" w:color="auto" w:fill="auto"/>
          </w:tcPr>
          <w:p w14:paraId="7268E382" w14:textId="77777777" w:rsidR="005F762A" w:rsidRDefault="005F762A">
            <w:pPr>
              <w:rPr>
                <w:rFonts w:ascii="宋体"/>
                <w:vanish/>
              </w:rPr>
            </w:pPr>
          </w:p>
        </w:tc>
      </w:tr>
      <w:tr w:rsidR="005F762A" w14:paraId="7268E390" w14:textId="77777777">
        <w:trPr>
          <w:trHeight w:val="180"/>
          <w:jc w:val="center"/>
        </w:trPr>
        <w:tc>
          <w:tcPr>
            <w:tcW w:w="0" w:type="auto"/>
            <w:gridSpan w:val="3"/>
            <w:shd w:val="clear" w:color="auto" w:fill="FFFFFF"/>
            <w:tcMar>
              <w:top w:w="0" w:type="dxa"/>
              <w:left w:w="20" w:type="dxa"/>
              <w:bottom w:w="0" w:type="dxa"/>
              <w:right w:w="20" w:type="dxa"/>
            </w:tcMar>
          </w:tcPr>
          <w:p w14:paraId="7268E384" w14:textId="77777777" w:rsidR="005F762A" w:rsidRDefault="005F762A">
            <w:pPr>
              <w:rPr>
                <w:rFonts w:ascii="宋体"/>
              </w:rPr>
            </w:pPr>
          </w:p>
        </w:tc>
        <w:tc>
          <w:tcPr>
            <w:tcW w:w="0" w:type="auto"/>
            <w:shd w:val="clear" w:color="auto" w:fill="auto"/>
          </w:tcPr>
          <w:p w14:paraId="7268E385" w14:textId="77777777" w:rsidR="005F762A" w:rsidRDefault="005F762A">
            <w:pPr>
              <w:rPr>
                <w:rFonts w:ascii="宋体"/>
                <w:vanish/>
              </w:rPr>
            </w:pPr>
          </w:p>
        </w:tc>
        <w:tc>
          <w:tcPr>
            <w:tcW w:w="0" w:type="auto"/>
            <w:shd w:val="clear" w:color="auto" w:fill="auto"/>
          </w:tcPr>
          <w:p w14:paraId="7268E386" w14:textId="77777777" w:rsidR="005F762A" w:rsidRDefault="005F762A">
            <w:pPr>
              <w:rPr>
                <w:rFonts w:ascii="宋体"/>
                <w:vanish/>
              </w:rPr>
            </w:pPr>
          </w:p>
        </w:tc>
        <w:tc>
          <w:tcPr>
            <w:tcW w:w="0" w:type="auto"/>
            <w:shd w:val="clear" w:color="auto" w:fill="auto"/>
          </w:tcPr>
          <w:p w14:paraId="7268E38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388"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38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38A"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38B" w14:textId="77777777" w:rsidR="005F762A" w:rsidRDefault="005F762A">
            <w:pPr>
              <w:rPr>
                <w:rFonts w:ascii="宋体"/>
              </w:rPr>
            </w:pPr>
          </w:p>
        </w:tc>
        <w:tc>
          <w:tcPr>
            <w:tcW w:w="0" w:type="auto"/>
            <w:gridSpan w:val="3"/>
            <w:shd w:val="clear" w:color="auto" w:fill="auto"/>
          </w:tcPr>
          <w:p w14:paraId="7268E38C" w14:textId="77777777" w:rsidR="005F762A" w:rsidRDefault="005F762A">
            <w:pPr>
              <w:rPr>
                <w:rFonts w:ascii="宋体"/>
                <w:vanish/>
              </w:rPr>
            </w:pPr>
          </w:p>
        </w:tc>
        <w:tc>
          <w:tcPr>
            <w:tcW w:w="0" w:type="auto"/>
            <w:gridSpan w:val="3"/>
            <w:shd w:val="clear" w:color="auto" w:fill="auto"/>
          </w:tcPr>
          <w:p w14:paraId="7268E38D" w14:textId="77777777" w:rsidR="005F762A" w:rsidRDefault="005F762A">
            <w:pPr>
              <w:rPr>
                <w:rFonts w:ascii="宋体"/>
                <w:vanish/>
              </w:rPr>
            </w:pPr>
          </w:p>
        </w:tc>
        <w:tc>
          <w:tcPr>
            <w:tcW w:w="0" w:type="auto"/>
            <w:gridSpan w:val="3"/>
            <w:shd w:val="clear" w:color="auto" w:fill="auto"/>
          </w:tcPr>
          <w:p w14:paraId="7268E38E" w14:textId="77777777" w:rsidR="005F762A" w:rsidRDefault="005F762A">
            <w:pPr>
              <w:rPr>
                <w:rFonts w:ascii="宋体"/>
                <w:vanish/>
              </w:rPr>
            </w:pPr>
          </w:p>
        </w:tc>
        <w:tc>
          <w:tcPr>
            <w:tcW w:w="0" w:type="auto"/>
            <w:gridSpan w:val="3"/>
            <w:shd w:val="clear" w:color="auto" w:fill="auto"/>
          </w:tcPr>
          <w:p w14:paraId="7268E38F" w14:textId="77777777" w:rsidR="005F762A" w:rsidRDefault="005F762A">
            <w:pPr>
              <w:rPr>
                <w:rFonts w:ascii="宋体"/>
                <w:vanish/>
              </w:rPr>
            </w:pPr>
          </w:p>
        </w:tc>
      </w:tr>
      <w:tr w:rsidR="005F762A" w14:paraId="7268E3A1" w14:textId="77777777">
        <w:trPr>
          <w:jc w:val="center"/>
        </w:trPr>
        <w:tc>
          <w:tcPr>
            <w:tcW w:w="0" w:type="auto"/>
            <w:gridSpan w:val="3"/>
            <w:shd w:val="clear" w:color="auto" w:fill="E1E1E1"/>
            <w:tcMar>
              <w:top w:w="40" w:type="dxa"/>
              <w:left w:w="20" w:type="dxa"/>
              <w:bottom w:w="40" w:type="dxa"/>
              <w:right w:w="20" w:type="dxa"/>
            </w:tcMar>
            <w:vAlign w:val="bottom"/>
          </w:tcPr>
          <w:p w14:paraId="7268E391" w14:textId="77777777" w:rsidR="005F762A" w:rsidRDefault="00D74111">
            <w:pPr>
              <w:textAlignment w:val="bottom"/>
            </w:pPr>
            <w:r>
              <w:rPr>
                <w:rFonts w:ascii="Arial" w:eastAsia="宋体" w:hAnsi="Arial" w:cs="Arial"/>
                <w:color w:val="000000"/>
                <w:sz w:val="18"/>
                <w:szCs w:val="18"/>
              </w:rPr>
              <w:t xml:space="preserve">Classifieds net cash (used in) discontinued financing activities </w:t>
            </w:r>
          </w:p>
        </w:tc>
        <w:tc>
          <w:tcPr>
            <w:tcW w:w="0" w:type="auto"/>
            <w:shd w:val="clear" w:color="auto" w:fill="auto"/>
          </w:tcPr>
          <w:p w14:paraId="7268E392" w14:textId="77777777" w:rsidR="005F762A" w:rsidRDefault="005F762A">
            <w:pPr>
              <w:rPr>
                <w:rFonts w:ascii="宋体"/>
                <w:vanish/>
              </w:rPr>
            </w:pPr>
          </w:p>
        </w:tc>
        <w:tc>
          <w:tcPr>
            <w:tcW w:w="0" w:type="auto"/>
            <w:shd w:val="clear" w:color="auto" w:fill="auto"/>
          </w:tcPr>
          <w:p w14:paraId="7268E393" w14:textId="77777777" w:rsidR="005F762A" w:rsidRDefault="005F762A">
            <w:pPr>
              <w:rPr>
                <w:rFonts w:ascii="宋体"/>
                <w:vanish/>
              </w:rPr>
            </w:pPr>
          </w:p>
        </w:tc>
        <w:tc>
          <w:tcPr>
            <w:tcW w:w="0" w:type="auto"/>
            <w:shd w:val="clear" w:color="auto" w:fill="auto"/>
          </w:tcPr>
          <w:p w14:paraId="7268E394"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395"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E396"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7268E397"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398"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399"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E39A"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7268E39B" w14:textId="77777777" w:rsidR="005F762A" w:rsidRDefault="00D74111">
            <w:pPr>
              <w:jc w:val="right"/>
              <w:textAlignment w:val="bottom"/>
            </w:pPr>
            <w:r>
              <w:rPr>
                <w:rFonts w:ascii="Arial" w:eastAsia="宋体" w:hAnsi="Arial" w:cs="Arial"/>
                <w:color w:val="000000"/>
                <w:sz w:val="18"/>
                <w:szCs w:val="18"/>
              </w:rPr>
              <w:t>(2)</w:t>
            </w:r>
          </w:p>
        </w:tc>
        <w:tc>
          <w:tcPr>
            <w:tcW w:w="0" w:type="auto"/>
            <w:shd w:val="clear" w:color="auto" w:fill="E1E1E1"/>
            <w:tcMar>
              <w:top w:w="40" w:type="dxa"/>
              <w:left w:w="0" w:type="dxa"/>
              <w:bottom w:w="40" w:type="dxa"/>
              <w:right w:w="20" w:type="dxa"/>
            </w:tcMar>
            <w:vAlign w:val="bottom"/>
          </w:tcPr>
          <w:p w14:paraId="7268E39C" w14:textId="77777777" w:rsidR="005F762A" w:rsidRDefault="005F762A">
            <w:pPr>
              <w:jc w:val="right"/>
              <w:rPr>
                <w:rFonts w:ascii="宋体"/>
              </w:rPr>
            </w:pPr>
          </w:p>
        </w:tc>
        <w:tc>
          <w:tcPr>
            <w:tcW w:w="0" w:type="auto"/>
            <w:gridSpan w:val="3"/>
            <w:shd w:val="clear" w:color="auto" w:fill="auto"/>
          </w:tcPr>
          <w:p w14:paraId="7268E39D" w14:textId="77777777" w:rsidR="005F762A" w:rsidRDefault="005F762A">
            <w:pPr>
              <w:rPr>
                <w:rFonts w:ascii="宋体"/>
                <w:vanish/>
              </w:rPr>
            </w:pPr>
          </w:p>
        </w:tc>
        <w:tc>
          <w:tcPr>
            <w:tcW w:w="0" w:type="auto"/>
            <w:gridSpan w:val="3"/>
            <w:shd w:val="clear" w:color="auto" w:fill="auto"/>
          </w:tcPr>
          <w:p w14:paraId="7268E39E" w14:textId="77777777" w:rsidR="005F762A" w:rsidRDefault="005F762A">
            <w:pPr>
              <w:rPr>
                <w:rFonts w:ascii="宋体"/>
                <w:vanish/>
              </w:rPr>
            </w:pPr>
          </w:p>
        </w:tc>
        <w:tc>
          <w:tcPr>
            <w:tcW w:w="0" w:type="auto"/>
            <w:gridSpan w:val="3"/>
            <w:shd w:val="clear" w:color="auto" w:fill="auto"/>
          </w:tcPr>
          <w:p w14:paraId="7268E39F" w14:textId="77777777" w:rsidR="005F762A" w:rsidRDefault="005F762A">
            <w:pPr>
              <w:rPr>
                <w:rFonts w:ascii="宋体"/>
                <w:vanish/>
              </w:rPr>
            </w:pPr>
          </w:p>
        </w:tc>
        <w:tc>
          <w:tcPr>
            <w:tcW w:w="0" w:type="auto"/>
            <w:gridSpan w:val="3"/>
            <w:shd w:val="clear" w:color="auto" w:fill="auto"/>
          </w:tcPr>
          <w:p w14:paraId="7268E3A0" w14:textId="77777777" w:rsidR="005F762A" w:rsidRDefault="005F762A">
            <w:pPr>
              <w:rPr>
                <w:rFonts w:ascii="宋体"/>
                <w:vanish/>
              </w:rPr>
            </w:pPr>
          </w:p>
        </w:tc>
      </w:tr>
      <w:tr w:rsidR="005F762A" w14:paraId="7268E3AE" w14:textId="77777777">
        <w:trPr>
          <w:jc w:val="center"/>
          <w:hidden/>
        </w:trPr>
        <w:tc>
          <w:tcPr>
            <w:tcW w:w="0" w:type="auto"/>
            <w:gridSpan w:val="3"/>
            <w:shd w:val="clear" w:color="auto" w:fill="auto"/>
          </w:tcPr>
          <w:p w14:paraId="7268E3A2" w14:textId="77777777" w:rsidR="005F762A" w:rsidRDefault="005F762A">
            <w:pPr>
              <w:rPr>
                <w:rFonts w:ascii="宋体"/>
                <w:vanish/>
              </w:rPr>
            </w:pPr>
          </w:p>
        </w:tc>
        <w:tc>
          <w:tcPr>
            <w:tcW w:w="0" w:type="auto"/>
            <w:shd w:val="clear" w:color="auto" w:fill="auto"/>
          </w:tcPr>
          <w:p w14:paraId="7268E3A3" w14:textId="77777777" w:rsidR="005F762A" w:rsidRDefault="005F762A">
            <w:pPr>
              <w:rPr>
                <w:rFonts w:ascii="宋体"/>
                <w:vanish/>
              </w:rPr>
            </w:pPr>
          </w:p>
        </w:tc>
        <w:tc>
          <w:tcPr>
            <w:tcW w:w="0" w:type="auto"/>
            <w:shd w:val="clear" w:color="auto" w:fill="auto"/>
          </w:tcPr>
          <w:p w14:paraId="7268E3A4" w14:textId="77777777" w:rsidR="005F762A" w:rsidRDefault="005F762A">
            <w:pPr>
              <w:rPr>
                <w:rFonts w:ascii="宋体"/>
                <w:vanish/>
              </w:rPr>
            </w:pPr>
          </w:p>
        </w:tc>
        <w:tc>
          <w:tcPr>
            <w:tcW w:w="0" w:type="auto"/>
            <w:shd w:val="clear" w:color="auto" w:fill="auto"/>
          </w:tcPr>
          <w:p w14:paraId="7268E3A5" w14:textId="77777777" w:rsidR="005F762A" w:rsidRDefault="005F762A">
            <w:pPr>
              <w:rPr>
                <w:rFonts w:ascii="宋体"/>
                <w:vanish/>
              </w:rPr>
            </w:pPr>
          </w:p>
        </w:tc>
        <w:tc>
          <w:tcPr>
            <w:tcW w:w="0" w:type="auto"/>
            <w:gridSpan w:val="3"/>
            <w:shd w:val="clear" w:color="auto" w:fill="auto"/>
          </w:tcPr>
          <w:p w14:paraId="7268E3A6" w14:textId="77777777" w:rsidR="005F762A" w:rsidRDefault="005F762A">
            <w:pPr>
              <w:rPr>
                <w:rFonts w:ascii="宋体"/>
                <w:vanish/>
              </w:rPr>
            </w:pPr>
          </w:p>
        </w:tc>
        <w:tc>
          <w:tcPr>
            <w:tcW w:w="0" w:type="auto"/>
            <w:gridSpan w:val="3"/>
            <w:shd w:val="clear" w:color="auto" w:fill="auto"/>
          </w:tcPr>
          <w:p w14:paraId="7268E3A7" w14:textId="77777777" w:rsidR="005F762A" w:rsidRDefault="005F762A">
            <w:pPr>
              <w:rPr>
                <w:rFonts w:ascii="宋体"/>
                <w:vanish/>
              </w:rPr>
            </w:pPr>
          </w:p>
        </w:tc>
        <w:tc>
          <w:tcPr>
            <w:tcW w:w="0" w:type="auto"/>
            <w:gridSpan w:val="3"/>
            <w:shd w:val="clear" w:color="auto" w:fill="auto"/>
          </w:tcPr>
          <w:p w14:paraId="7268E3A8" w14:textId="77777777" w:rsidR="005F762A" w:rsidRDefault="005F762A">
            <w:pPr>
              <w:rPr>
                <w:rFonts w:ascii="宋体"/>
                <w:vanish/>
              </w:rPr>
            </w:pPr>
          </w:p>
        </w:tc>
        <w:tc>
          <w:tcPr>
            <w:tcW w:w="0" w:type="auto"/>
            <w:gridSpan w:val="3"/>
            <w:shd w:val="clear" w:color="auto" w:fill="auto"/>
          </w:tcPr>
          <w:p w14:paraId="7268E3A9" w14:textId="77777777" w:rsidR="005F762A" w:rsidRDefault="005F762A">
            <w:pPr>
              <w:rPr>
                <w:rFonts w:ascii="宋体"/>
                <w:vanish/>
              </w:rPr>
            </w:pPr>
          </w:p>
        </w:tc>
        <w:tc>
          <w:tcPr>
            <w:tcW w:w="0" w:type="auto"/>
            <w:gridSpan w:val="3"/>
            <w:shd w:val="clear" w:color="auto" w:fill="auto"/>
          </w:tcPr>
          <w:p w14:paraId="7268E3AA" w14:textId="77777777" w:rsidR="005F762A" w:rsidRDefault="005F762A">
            <w:pPr>
              <w:rPr>
                <w:rFonts w:ascii="宋体"/>
                <w:vanish/>
              </w:rPr>
            </w:pPr>
          </w:p>
        </w:tc>
        <w:tc>
          <w:tcPr>
            <w:tcW w:w="0" w:type="auto"/>
            <w:gridSpan w:val="3"/>
            <w:shd w:val="clear" w:color="auto" w:fill="auto"/>
          </w:tcPr>
          <w:p w14:paraId="7268E3AB" w14:textId="77777777" w:rsidR="005F762A" w:rsidRDefault="005F762A">
            <w:pPr>
              <w:rPr>
                <w:rFonts w:ascii="宋体"/>
                <w:vanish/>
              </w:rPr>
            </w:pPr>
          </w:p>
        </w:tc>
        <w:tc>
          <w:tcPr>
            <w:tcW w:w="0" w:type="auto"/>
            <w:gridSpan w:val="3"/>
            <w:shd w:val="clear" w:color="auto" w:fill="auto"/>
          </w:tcPr>
          <w:p w14:paraId="7268E3AC" w14:textId="77777777" w:rsidR="005F762A" w:rsidRDefault="005F762A">
            <w:pPr>
              <w:rPr>
                <w:rFonts w:ascii="宋体"/>
                <w:vanish/>
              </w:rPr>
            </w:pPr>
          </w:p>
        </w:tc>
        <w:tc>
          <w:tcPr>
            <w:tcW w:w="0" w:type="auto"/>
            <w:gridSpan w:val="3"/>
            <w:shd w:val="clear" w:color="auto" w:fill="auto"/>
          </w:tcPr>
          <w:p w14:paraId="7268E3AD" w14:textId="77777777" w:rsidR="005F762A" w:rsidRDefault="005F762A">
            <w:pPr>
              <w:rPr>
                <w:rFonts w:ascii="宋体"/>
                <w:vanish/>
              </w:rPr>
            </w:pPr>
          </w:p>
        </w:tc>
      </w:tr>
      <w:tr w:rsidR="005F762A" w14:paraId="7268E3BF" w14:textId="77777777">
        <w:trPr>
          <w:jc w:val="center"/>
        </w:trPr>
        <w:tc>
          <w:tcPr>
            <w:tcW w:w="0" w:type="auto"/>
            <w:gridSpan w:val="3"/>
            <w:shd w:val="clear" w:color="auto" w:fill="FFFFFF"/>
            <w:tcMar>
              <w:top w:w="40" w:type="dxa"/>
              <w:left w:w="140" w:type="dxa"/>
              <w:bottom w:w="40" w:type="dxa"/>
              <w:right w:w="20" w:type="dxa"/>
            </w:tcMar>
            <w:vAlign w:val="bottom"/>
          </w:tcPr>
          <w:p w14:paraId="7268E3AF" w14:textId="77777777" w:rsidR="005F762A" w:rsidRDefault="00D74111">
            <w:pPr>
              <w:textAlignment w:val="bottom"/>
            </w:pPr>
            <w:r>
              <w:rPr>
                <w:rFonts w:ascii="Arial" w:eastAsia="宋体" w:hAnsi="Arial" w:cs="Arial"/>
                <w:color w:val="000000"/>
                <w:sz w:val="18"/>
                <w:szCs w:val="18"/>
              </w:rPr>
              <w:t>Net cash (used in) discontinued financing activities</w:t>
            </w:r>
          </w:p>
        </w:tc>
        <w:tc>
          <w:tcPr>
            <w:tcW w:w="0" w:type="auto"/>
            <w:shd w:val="clear" w:color="auto" w:fill="auto"/>
          </w:tcPr>
          <w:p w14:paraId="7268E3B0" w14:textId="77777777" w:rsidR="005F762A" w:rsidRDefault="005F762A">
            <w:pPr>
              <w:rPr>
                <w:rFonts w:ascii="宋体"/>
                <w:vanish/>
              </w:rPr>
            </w:pPr>
          </w:p>
        </w:tc>
        <w:tc>
          <w:tcPr>
            <w:tcW w:w="0" w:type="auto"/>
            <w:shd w:val="clear" w:color="auto" w:fill="auto"/>
          </w:tcPr>
          <w:p w14:paraId="7268E3B1" w14:textId="77777777" w:rsidR="005F762A" w:rsidRDefault="005F762A">
            <w:pPr>
              <w:rPr>
                <w:rFonts w:ascii="宋体"/>
                <w:vanish/>
              </w:rPr>
            </w:pPr>
          </w:p>
        </w:tc>
        <w:tc>
          <w:tcPr>
            <w:tcW w:w="0" w:type="auto"/>
            <w:shd w:val="clear" w:color="auto" w:fill="auto"/>
          </w:tcPr>
          <w:p w14:paraId="7268E3B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3B3"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3B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3B5"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3B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3B7"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3B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3B9" w14:textId="77777777" w:rsidR="005F762A" w:rsidRDefault="00D74111">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3BA" w14:textId="77777777" w:rsidR="005F762A" w:rsidRDefault="005F762A">
            <w:pPr>
              <w:jc w:val="right"/>
              <w:rPr>
                <w:rFonts w:ascii="宋体"/>
              </w:rPr>
            </w:pPr>
          </w:p>
        </w:tc>
        <w:tc>
          <w:tcPr>
            <w:tcW w:w="0" w:type="auto"/>
            <w:gridSpan w:val="3"/>
            <w:shd w:val="clear" w:color="auto" w:fill="auto"/>
          </w:tcPr>
          <w:p w14:paraId="7268E3BB" w14:textId="77777777" w:rsidR="005F762A" w:rsidRDefault="005F762A">
            <w:pPr>
              <w:rPr>
                <w:rFonts w:ascii="宋体"/>
                <w:vanish/>
              </w:rPr>
            </w:pPr>
          </w:p>
        </w:tc>
        <w:tc>
          <w:tcPr>
            <w:tcW w:w="0" w:type="auto"/>
            <w:gridSpan w:val="3"/>
            <w:shd w:val="clear" w:color="auto" w:fill="auto"/>
          </w:tcPr>
          <w:p w14:paraId="7268E3BC" w14:textId="77777777" w:rsidR="005F762A" w:rsidRDefault="005F762A">
            <w:pPr>
              <w:rPr>
                <w:rFonts w:ascii="宋体"/>
                <w:vanish/>
              </w:rPr>
            </w:pPr>
          </w:p>
        </w:tc>
        <w:tc>
          <w:tcPr>
            <w:tcW w:w="0" w:type="auto"/>
            <w:gridSpan w:val="3"/>
            <w:shd w:val="clear" w:color="auto" w:fill="auto"/>
          </w:tcPr>
          <w:p w14:paraId="7268E3BD" w14:textId="77777777" w:rsidR="005F762A" w:rsidRDefault="005F762A">
            <w:pPr>
              <w:rPr>
                <w:rFonts w:ascii="宋体"/>
                <w:vanish/>
              </w:rPr>
            </w:pPr>
          </w:p>
        </w:tc>
        <w:tc>
          <w:tcPr>
            <w:tcW w:w="0" w:type="auto"/>
            <w:gridSpan w:val="3"/>
            <w:shd w:val="clear" w:color="auto" w:fill="auto"/>
          </w:tcPr>
          <w:p w14:paraId="7268E3BE" w14:textId="77777777" w:rsidR="005F762A" w:rsidRDefault="005F762A">
            <w:pPr>
              <w:rPr>
                <w:rFonts w:ascii="宋体"/>
                <w:vanish/>
              </w:rPr>
            </w:pPr>
          </w:p>
        </w:tc>
      </w:tr>
    </w:tbl>
    <w:p w14:paraId="7268E3C0" w14:textId="77777777" w:rsidR="005F762A" w:rsidRDefault="00D74111">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7268E3C1" w14:textId="77777777" w:rsidR="005F762A" w:rsidRDefault="005F762A"/>
    <w:p w14:paraId="7268E3C2" w14:textId="77777777" w:rsidR="005F762A" w:rsidRDefault="00D74111">
      <w:pPr>
        <w:jc w:val="center"/>
      </w:pPr>
      <w:r>
        <w:rPr>
          <w:rFonts w:ascii="Arial" w:eastAsia="宋体" w:hAnsi="Arial" w:cs="Arial"/>
          <w:color w:val="000000"/>
          <w:sz w:val="20"/>
          <w:szCs w:val="20"/>
        </w:rPr>
        <w:t>11</w:t>
      </w:r>
    </w:p>
    <w:p w14:paraId="7268E3C3" w14:textId="77777777" w:rsidR="005F762A" w:rsidRDefault="00D74111">
      <w:r>
        <w:pict w14:anchorId="7269014A">
          <v:rect id="_x0000_i1035" style="width:415.3pt;height:1.5pt" o:hralign="center" o:hrstd="t" o:hr="t" fillcolor="#a0a0a0" stroked="f"/>
        </w:pict>
      </w:r>
    </w:p>
    <w:p w14:paraId="7268E3C4" w14:textId="77777777" w:rsidR="005F762A" w:rsidRDefault="005F762A"/>
    <w:p w14:paraId="7268E3C5" w14:textId="77777777" w:rsidR="005F762A" w:rsidRDefault="00D74111">
      <w:pPr>
        <w:spacing w:after="120"/>
        <w:ind w:firstLine="540"/>
        <w:jc w:val="both"/>
      </w:pPr>
      <w:r>
        <w:rPr>
          <w:rFonts w:ascii="Arial" w:eastAsia="宋体" w:hAnsi="Arial" w:cs="Arial"/>
          <w:color w:val="000000"/>
          <w:sz w:val="20"/>
          <w:szCs w:val="20"/>
        </w:rPr>
        <w:t xml:space="preserve">The financial results of StubHub are presented as </w:t>
      </w:r>
      <w:r>
        <w:rPr>
          <w:rFonts w:ascii="Arial" w:eastAsia="宋体" w:hAnsi="Arial" w:cs="Arial"/>
          <w:color w:val="000000"/>
          <w:sz w:val="20"/>
          <w:szCs w:val="20"/>
        </w:rPr>
        <w:t>income from discontinued operations, net of income taxes on our condensed consolidated statement of income. The following table presents the financial results of StubHub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8"/>
        <w:gridCol w:w="39"/>
        <w:gridCol w:w="36"/>
        <w:gridCol w:w="46"/>
        <w:gridCol w:w="536"/>
        <w:gridCol w:w="36"/>
        <w:gridCol w:w="36"/>
        <w:gridCol w:w="36"/>
        <w:gridCol w:w="122"/>
        <w:gridCol w:w="673"/>
        <w:gridCol w:w="37"/>
        <w:gridCol w:w="36"/>
        <w:gridCol w:w="36"/>
        <w:gridCol w:w="36"/>
        <w:gridCol w:w="121"/>
        <w:gridCol w:w="674"/>
        <w:gridCol w:w="36"/>
        <w:gridCol w:w="36"/>
        <w:gridCol w:w="36"/>
        <w:gridCol w:w="36"/>
        <w:gridCol w:w="36"/>
        <w:gridCol w:w="36"/>
        <w:gridCol w:w="36"/>
        <w:gridCol w:w="36"/>
        <w:gridCol w:w="36"/>
        <w:gridCol w:w="36"/>
        <w:gridCol w:w="36"/>
        <w:gridCol w:w="36"/>
        <w:gridCol w:w="36"/>
      </w:tblGrid>
      <w:tr w:rsidR="005F762A" w14:paraId="7268E3DC" w14:textId="77777777">
        <w:trPr>
          <w:jc w:val="center"/>
        </w:trPr>
        <w:tc>
          <w:tcPr>
            <w:tcW w:w="50" w:type="pct"/>
            <w:shd w:val="clear" w:color="auto" w:fill="auto"/>
          </w:tcPr>
          <w:p w14:paraId="7268E3C6" w14:textId="77777777" w:rsidR="005F762A" w:rsidRDefault="005F762A">
            <w:pPr>
              <w:rPr>
                <w:rFonts w:ascii="宋体"/>
              </w:rPr>
            </w:pPr>
          </w:p>
        </w:tc>
        <w:tc>
          <w:tcPr>
            <w:tcW w:w="3702" w:type="pct"/>
            <w:shd w:val="clear" w:color="auto" w:fill="auto"/>
          </w:tcPr>
          <w:p w14:paraId="7268E3C7" w14:textId="77777777" w:rsidR="005F762A" w:rsidRDefault="005F762A">
            <w:pPr>
              <w:rPr>
                <w:rFonts w:ascii="宋体"/>
              </w:rPr>
            </w:pPr>
          </w:p>
        </w:tc>
        <w:tc>
          <w:tcPr>
            <w:tcW w:w="5" w:type="pct"/>
            <w:shd w:val="clear" w:color="auto" w:fill="auto"/>
          </w:tcPr>
          <w:p w14:paraId="7268E3C8" w14:textId="77777777" w:rsidR="005F762A" w:rsidRDefault="005F762A">
            <w:pPr>
              <w:rPr>
                <w:rFonts w:ascii="宋体"/>
              </w:rPr>
            </w:pPr>
          </w:p>
        </w:tc>
        <w:tc>
          <w:tcPr>
            <w:tcW w:w="0" w:type="auto"/>
            <w:shd w:val="clear" w:color="auto" w:fill="auto"/>
          </w:tcPr>
          <w:p w14:paraId="7268E3C9" w14:textId="77777777" w:rsidR="005F762A" w:rsidRDefault="005F762A">
            <w:pPr>
              <w:rPr>
                <w:rFonts w:ascii="宋体"/>
                <w:vanish/>
              </w:rPr>
            </w:pPr>
          </w:p>
        </w:tc>
        <w:tc>
          <w:tcPr>
            <w:tcW w:w="0" w:type="auto"/>
            <w:shd w:val="clear" w:color="auto" w:fill="auto"/>
          </w:tcPr>
          <w:p w14:paraId="7268E3CA" w14:textId="77777777" w:rsidR="005F762A" w:rsidRDefault="005F762A">
            <w:pPr>
              <w:rPr>
                <w:rFonts w:ascii="宋体"/>
                <w:vanish/>
              </w:rPr>
            </w:pPr>
          </w:p>
        </w:tc>
        <w:tc>
          <w:tcPr>
            <w:tcW w:w="0" w:type="auto"/>
            <w:shd w:val="clear" w:color="auto" w:fill="auto"/>
          </w:tcPr>
          <w:p w14:paraId="7268E3CB" w14:textId="77777777" w:rsidR="005F762A" w:rsidRDefault="005F762A">
            <w:pPr>
              <w:rPr>
                <w:rFonts w:ascii="宋体"/>
                <w:vanish/>
              </w:rPr>
            </w:pPr>
          </w:p>
        </w:tc>
        <w:tc>
          <w:tcPr>
            <w:tcW w:w="5" w:type="pct"/>
            <w:shd w:val="clear" w:color="auto" w:fill="auto"/>
          </w:tcPr>
          <w:p w14:paraId="7268E3CC" w14:textId="77777777" w:rsidR="005F762A" w:rsidRDefault="005F762A">
            <w:pPr>
              <w:rPr>
                <w:rFonts w:ascii="宋体"/>
              </w:rPr>
            </w:pPr>
          </w:p>
        </w:tc>
        <w:tc>
          <w:tcPr>
            <w:tcW w:w="26" w:type="pct"/>
            <w:shd w:val="clear" w:color="auto" w:fill="auto"/>
          </w:tcPr>
          <w:p w14:paraId="7268E3CD" w14:textId="77777777" w:rsidR="005F762A" w:rsidRDefault="005F762A">
            <w:pPr>
              <w:rPr>
                <w:rFonts w:ascii="宋体"/>
              </w:rPr>
            </w:pPr>
          </w:p>
        </w:tc>
        <w:tc>
          <w:tcPr>
            <w:tcW w:w="5" w:type="pct"/>
            <w:shd w:val="clear" w:color="auto" w:fill="auto"/>
          </w:tcPr>
          <w:p w14:paraId="7268E3CE" w14:textId="77777777" w:rsidR="005F762A" w:rsidRDefault="005F762A">
            <w:pPr>
              <w:rPr>
                <w:rFonts w:ascii="宋体"/>
              </w:rPr>
            </w:pPr>
          </w:p>
        </w:tc>
        <w:tc>
          <w:tcPr>
            <w:tcW w:w="50" w:type="pct"/>
            <w:shd w:val="clear" w:color="auto" w:fill="auto"/>
          </w:tcPr>
          <w:p w14:paraId="7268E3CF" w14:textId="77777777" w:rsidR="005F762A" w:rsidRDefault="005F762A">
            <w:pPr>
              <w:rPr>
                <w:rFonts w:ascii="宋体"/>
              </w:rPr>
            </w:pPr>
          </w:p>
        </w:tc>
        <w:tc>
          <w:tcPr>
            <w:tcW w:w="529" w:type="pct"/>
            <w:shd w:val="clear" w:color="auto" w:fill="auto"/>
          </w:tcPr>
          <w:p w14:paraId="7268E3D0" w14:textId="77777777" w:rsidR="005F762A" w:rsidRDefault="005F762A">
            <w:pPr>
              <w:rPr>
                <w:rFonts w:ascii="宋体"/>
              </w:rPr>
            </w:pPr>
          </w:p>
        </w:tc>
        <w:tc>
          <w:tcPr>
            <w:tcW w:w="5" w:type="pct"/>
            <w:shd w:val="clear" w:color="auto" w:fill="auto"/>
          </w:tcPr>
          <w:p w14:paraId="7268E3D1" w14:textId="77777777" w:rsidR="005F762A" w:rsidRDefault="005F762A">
            <w:pPr>
              <w:rPr>
                <w:rFonts w:ascii="宋体"/>
              </w:rPr>
            </w:pPr>
          </w:p>
        </w:tc>
        <w:tc>
          <w:tcPr>
            <w:tcW w:w="5" w:type="pct"/>
            <w:shd w:val="clear" w:color="auto" w:fill="auto"/>
          </w:tcPr>
          <w:p w14:paraId="7268E3D2" w14:textId="77777777" w:rsidR="005F762A" w:rsidRDefault="005F762A">
            <w:pPr>
              <w:rPr>
                <w:rFonts w:ascii="宋体"/>
              </w:rPr>
            </w:pPr>
          </w:p>
        </w:tc>
        <w:tc>
          <w:tcPr>
            <w:tcW w:w="26" w:type="pct"/>
            <w:shd w:val="clear" w:color="auto" w:fill="auto"/>
          </w:tcPr>
          <w:p w14:paraId="7268E3D3" w14:textId="77777777" w:rsidR="005F762A" w:rsidRDefault="005F762A">
            <w:pPr>
              <w:rPr>
                <w:rFonts w:ascii="宋体"/>
              </w:rPr>
            </w:pPr>
          </w:p>
        </w:tc>
        <w:tc>
          <w:tcPr>
            <w:tcW w:w="5" w:type="pct"/>
            <w:shd w:val="clear" w:color="auto" w:fill="auto"/>
          </w:tcPr>
          <w:p w14:paraId="7268E3D4" w14:textId="77777777" w:rsidR="005F762A" w:rsidRDefault="005F762A">
            <w:pPr>
              <w:rPr>
                <w:rFonts w:ascii="宋体"/>
              </w:rPr>
            </w:pPr>
          </w:p>
        </w:tc>
        <w:tc>
          <w:tcPr>
            <w:tcW w:w="50" w:type="pct"/>
            <w:shd w:val="clear" w:color="auto" w:fill="auto"/>
          </w:tcPr>
          <w:p w14:paraId="7268E3D5" w14:textId="77777777" w:rsidR="005F762A" w:rsidRDefault="005F762A">
            <w:pPr>
              <w:rPr>
                <w:rFonts w:ascii="宋体"/>
              </w:rPr>
            </w:pPr>
          </w:p>
        </w:tc>
        <w:tc>
          <w:tcPr>
            <w:tcW w:w="529" w:type="pct"/>
            <w:shd w:val="clear" w:color="auto" w:fill="auto"/>
          </w:tcPr>
          <w:p w14:paraId="7268E3D6" w14:textId="77777777" w:rsidR="005F762A" w:rsidRDefault="005F762A">
            <w:pPr>
              <w:rPr>
                <w:rFonts w:ascii="宋体"/>
              </w:rPr>
            </w:pPr>
          </w:p>
        </w:tc>
        <w:tc>
          <w:tcPr>
            <w:tcW w:w="5" w:type="pct"/>
            <w:shd w:val="clear" w:color="auto" w:fill="auto"/>
          </w:tcPr>
          <w:p w14:paraId="7268E3D7" w14:textId="77777777" w:rsidR="005F762A" w:rsidRDefault="005F762A">
            <w:pPr>
              <w:rPr>
                <w:rFonts w:ascii="宋体"/>
              </w:rPr>
            </w:pPr>
          </w:p>
        </w:tc>
        <w:tc>
          <w:tcPr>
            <w:tcW w:w="0" w:type="auto"/>
            <w:gridSpan w:val="3"/>
            <w:shd w:val="clear" w:color="auto" w:fill="auto"/>
          </w:tcPr>
          <w:p w14:paraId="7268E3D8" w14:textId="77777777" w:rsidR="005F762A" w:rsidRDefault="005F762A">
            <w:pPr>
              <w:rPr>
                <w:rFonts w:ascii="宋体"/>
                <w:vanish/>
              </w:rPr>
            </w:pPr>
          </w:p>
        </w:tc>
        <w:tc>
          <w:tcPr>
            <w:tcW w:w="0" w:type="auto"/>
            <w:gridSpan w:val="3"/>
            <w:shd w:val="clear" w:color="auto" w:fill="auto"/>
          </w:tcPr>
          <w:p w14:paraId="7268E3D9" w14:textId="77777777" w:rsidR="005F762A" w:rsidRDefault="005F762A">
            <w:pPr>
              <w:rPr>
                <w:rFonts w:ascii="宋体"/>
                <w:vanish/>
              </w:rPr>
            </w:pPr>
          </w:p>
        </w:tc>
        <w:tc>
          <w:tcPr>
            <w:tcW w:w="0" w:type="auto"/>
            <w:gridSpan w:val="3"/>
            <w:shd w:val="clear" w:color="auto" w:fill="auto"/>
          </w:tcPr>
          <w:p w14:paraId="7268E3DA" w14:textId="77777777" w:rsidR="005F762A" w:rsidRDefault="005F762A">
            <w:pPr>
              <w:rPr>
                <w:rFonts w:ascii="宋体"/>
                <w:vanish/>
              </w:rPr>
            </w:pPr>
          </w:p>
        </w:tc>
        <w:tc>
          <w:tcPr>
            <w:tcW w:w="0" w:type="auto"/>
            <w:gridSpan w:val="3"/>
            <w:shd w:val="clear" w:color="auto" w:fill="auto"/>
          </w:tcPr>
          <w:p w14:paraId="7268E3DB" w14:textId="77777777" w:rsidR="005F762A" w:rsidRDefault="005F762A">
            <w:pPr>
              <w:rPr>
                <w:rFonts w:ascii="宋体"/>
                <w:vanish/>
              </w:rPr>
            </w:pPr>
          </w:p>
        </w:tc>
      </w:tr>
      <w:tr w:rsidR="005F762A" w14:paraId="7268E3EF" w14:textId="77777777">
        <w:trPr>
          <w:jc w:val="center"/>
        </w:trPr>
        <w:tc>
          <w:tcPr>
            <w:tcW w:w="0" w:type="auto"/>
            <w:gridSpan w:val="3"/>
            <w:shd w:val="clear" w:color="auto" w:fill="auto"/>
            <w:tcMar>
              <w:top w:w="40" w:type="dxa"/>
              <w:left w:w="20" w:type="dxa"/>
              <w:bottom w:w="40" w:type="dxa"/>
              <w:right w:w="20" w:type="dxa"/>
            </w:tcMar>
            <w:vAlign w:val="bottom"/>
          </w:tcPr>
          <w:p w14:paraId="7268E3DD"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3DE"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3DF"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3E0"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tcPr>
          <w:p w14:paraId="7268E3E1" w14:textId="77777777" w:rsidR="005F762A" w:rsidRDefault="005F762A">
            <w:pPr>
              <w:rPr>
                <w:rFonts w:ascii="宋体"/>
                <w:vanish/>
              </w:rPr>
            </w:pPr>
          </w:p>
        </w:tc>
        <w:tc>
          <w:tcPr>
            <w:tcW w:w="0" w:type="auto"/>
            <w:gridSpan w:val="3"/>
            <w:shd w:val="clear" w:color="auto" w:fill="auto"/>
          </w:tcPr>
          <w:p w14:paraId="7268E3E2" w14:textId="77777777" w:rsidR="005F762A" w:rsidRDefault="005F762A">
            <w:pPr>
              <w:rPr>
                <w:rFonts w:ascii="宋体"/>
                <w:vanish/>
              </w:rPr>
            </w:pPr>
          </w:p>
        </w:tc>
        <w:tc>
          <w:tcPr>
            <w:tcW w:w="0" w:type="auto"/>
            <w:shd w:val="clear" w:color="auto" w:fill="auto"/>
          </w:tcPr>
          <w:p w14:paraId="7268E3E3" w14:textId="77777777" w:rsidR="005F762A" w:rsidRDefault="005F762A">
            <w:pPr>
              <w:rPr>
                <w:rFonts w:ascii="宋体"/>
              </w:rPr>
            </w:pPr>
          </w:p>
        </w:tc>
        <w:tc>
          <w:tcPr>
            <w:tcW w:w="0" w:type="auto"/>
            <w:shd w:val="clear" w:color="auto" w:fill="auto"/>
          </w:tcPr>
          <w:p w14:paraId="7268E3E4" w14:textId="77777777" w:rsidR="005F762A" w:rsidRDefault="005F762A">
            <w:pPr>
              <w:rPr>
                <w:rFonts w:ascii="宋体"/>
              </w:rPr>
            </w:pPr>
          </w:p>
        </w:tc>
        <w:tc>
          <w:tcPr>
            <w:tcW w:w="0" w:type="auto"/>
            <w:shd w:val="clear" w:color="auto" w:fill="auto"/>
          </w:tcPr>
          <w:p w14:paraId="7268E3E5" w14:textId="77777777" w:rsidR="005F762A" w:rsidRDefault="005F762A">
            <w:pPr>
              <w:rPr>
                <w:rFonts w:ascii="宋体"/>
              </w:rPr>
            </w:pPr>
          </w:p>
        </w:tc>
        <w:tc>
          <w:tcPr>
            <w:tcW w:w="0" w:type="auto"/>
            <w:shd w:val="clear" w:color="auto" w:fill="auto"/>
          </w:tcPr>
          <w:p w14:paraId="7268E3E6" w14:textId="77777777" w:rsidR="005F762A" w:rsidRDefault="005F762A">
            <w:pPr>
              <w:rPr>
                <w:rFonts w:ascii="宋体"/>
              </w:rPr>
            </w:pPr>
          </w:p>
        </w:tc>
        <w:tc>
          <w:tcPr>
            <w:tcW w:w="0" w:type="auto"/>
            <w:shd w:val="clear" w:color="auto" w:fill="auto"/>
          </w:tcPr>
          <w:p w14:paraId="7268E3E7" w14:textId="77777777" w:rsidR="005F762A" w:rsidRDefault="005F762A">
            <w:pPr>
              <w:rPr>
                <w:rFonts w:ascii="宋体"/>
              </w:rPr>
            </w:pPr>
          </w:p>
        </w:tc>
        <w:tc>
          <w:tcPr>
            <w:tcW w:w="0" w:type="auto"/>
            <w:shd w:val="clear" w:color="auto" w:fill="auto"/>
          </w:tcPr>
          <w:p w14:paraId="7268E3E8" w14:textId="77777777" w:rsidR="005F762A" w:rsidRDefault="005F762A">
            <w:pPr>
              <w:rPr>
                <w:rFonts w:ascii="宋体"/>
              </w:rPr>
            </w:pPr>
          </w:p>
        </w:tc>
        <w:tc>
          <w:tcPr>
            <w:tcW w:w="0" w:type="auto"/>
            <w:shd w:val="clear" w:color="auto" w:fill="auto"/>
          </w:tcPr>
          <w:p w14:paraId="7268E3E9" w14:textId="77777777" w:rsidR="005F762A" w:rsidRDefault="005F762A">
            <w:pPr>
              <w:rPr>
                <w:rFonts w:ascii="宋体"/>
              </w:rPr>
            </w:pPr>
          </w:p>
        </w:tc>
        <w:tc>
          <w:tcPr>
            <w:tcW w:w="0" w:type="auto"/>
            <w:shd w:val="clear" w:color="auto" w:fill="auto"/>
          </w:tcPr>
          <w:p w14:paraId="7268E3EA" w14:textId="77777777" w:rsidR="005F762A" w:rsidRDefault="005F762A">
            <w:pPr>
              <w:rPr>
                <w:rFonts w:ascii="宋体"/>
              </w:rPr>
            </w:pPr>
          </w:p>
        </w:tc>
        <w:tc>
          <w:tcPr>
            <w:tcW w:w="0" w:type="auto"/>
            <w:shd w:val="clear" w:color="auto" w:fill="auto"/>
          </w:tcPr>
          <w:p w14:paraId="7268E3EB" w14:textId="77777777" w:rsidR="005F762A" w:rsidRDefault="005F762A">
            <w:pPr>
              <w:rPr>
                <w:rFonts w:ascii="宋体"/>
              </w:rPr>
            </w:pPr>
          </w:p>
        </w:tc>
        <w:tc>
          <w:tcPr>
            <w:tcW w:w="0" w:type="auto"/>
            <w:shd w:val="clear" w:color="auto" w:fill="auto"/>
          </w:tcPr>
          <w:p w14:paraId="7268E3EC" w14:textId="77777777" w:rsidR="005F762A" w:rsidRDefault="005F762A">
            <w:pPr>
              <w:rPr>
                <w:rFonts w:ascii="宋体"/>
              </w:rPr>
            </w:pPr>
          </w:p>
        </w:tc>
        <w:tc>
          <w:tcPr>
            <w:tcW w:w="0" w:type="auto"/>
            <w:shd w:val="clear" w:color="auto" w:fill="auto"/>
          </w:tcPr>
          <w:p w14:paraId="7268E3ED" w14:textId="77777777" w:rsidR="005F762A" w:rsidRDefault="005F762A">
            <w:pPr>
              <w:rPr>
                <w:rFonts w:ascii="宋体"/>
              </w:rPr>
            </w:pPr>
          </w:p>
        </w:tc>
        <w:tc>
          <w:tcPr>
            <w:tcW w:w="0" w:type="auto"/>
            <w:shd w:val="clear" w:color="auto" w:fill="auto"/>
          </w:tcPr>
          <w:p w14:paraId="7268E3EE" w14:textId="77777777" w:rsidR="005F762A" w:rsidRDefault="005F762A">
            <w:pPr>
              <w:rPr>
                <w:rFonts w:ascii="宋体"/>
              </w:rPr>
            </w:pPr>
          </w:p>
        </w:tc>
      </w:tr>
      <w:tr w:rsidR="005F762A" w14:paraId="7268E3FC" w14:textId="77777777">
        <w:trPr>
          <w:jc w:val="center"/>
        </w:trPr>
        <w:tc>
          <w:tcPr>
            <w:tcW w:w="0" w:type="auto"/>
            <w:gridSpan w:val="3"/>
            <w:shd w:val="clear" w:color="auto" w:fill="auto"/>
            <w:tcMar>
              <w:top w:w="40" w:type="dxa"/>
              <w:left w:w="20" w:type="dxa"/>
              <w:bottom w:w="40" w:type="dxa"/>
              <w:right w:w="20" w:type="dxa"/>
            </w:tcMar>
            <w:vAlign w:val="bottom"/>
          </w:tcPr>
          <w:p w14:paraId="7268E3F0"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3F1" w14:textId="77777777" w:rsidR="005F762A" w:rsidRDefault="005F762A">
            <w:pPr>
              <w:rPr>
                <w:rFonts w:ascii="宋体"/>
                <w:vanish/>
              </w:rPr>
            </w:pPr>
          </w:p>
        </w:tc>
        <w:tc>
          <w:tcPr>
            <w:tcW w:w="0" w:type="auto"/>
            <w:shd w:val="clear" w:color="auto" w:fill="auto"/>
          </w:tcPr>
          <w:p w14:paraId="7268E3F2" w14:textId="77777777" w:rsidR="005F762A" w:rsidRDefault="005F762A">
            <w:pPr>
              <w:rPr>
                <w:rFonts w:ascii="宋体"/>
                <w:vanish/>
              </w:rPr>
            </w:pPr>
          </w:p>
        </w:tc>
        <w:tc>
          <w:tcPr>
            <w:tcW w:w="0" w:type="auto"/>
            <w:shd w:val="clear" w:color="auto" w:fill="auto"/>
          </w:tcPr>
          <w:p w14:paraId="7268E3F3"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3F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3F5"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tcPr>
          <w:p w14:paraId="7268E3F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3F7" w14:textId="77777777" w:rsidR="005F762A" w:rsidRDefault="00D74111">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c>
          <w:tcPr>
            <w:tcW w:w="0" w:type="auto"/>
            <w:gridSpan w:val="3"/>
            <w:shd w:val="clear" w:color="auto" w:fill="auto"/>
          </w:tcPr>
          <w:p w14:paraId="7268E3F8" w14:textId="77777777" w:rsidR="005F762A" w:rsidRDefault="005F762A">
            <w:pPr>
              <w:rPr>
                <w:rFonts w:ascii="宋体"/>
                <w:vanish/>
              </w:rPr>
            </w:pPr>
          </w:p>
        </w:tc>
        <w:tc>
          <w:tcPr>
            <w:tcW w:w="0" w:type="auto"/>
            <w:gridSpan w:val="3"/>
            <w:shd w:val="clear" w:color="auto" w:fill="auto"/>
          </w:tcPr>
          <w:p w14:paraId="7268E3F9" w14:textId="77777777" w:rsidR="005F762A" w:rsidRDefault="005F762A">
            <w:pPr>
              <w:rPr>
                <w:rFonts w:ascii="宋体"/>
                <w:vanish/>
              </w:rPr>
            </w:pPr>
          </w:p>
        </w:tc>
        <w:tc>
          <w:tcPr>
            <w:tcW w:w="0" w:type="auto"/>
            <w:gridSpan w:val="3"/>
            <w:shd w:val="clear" w:color="auto" w:fill="auto"/>
          </w:tcPr>
          <w:p w14:paraId="7268E3FA" w14:textId="77777777" w:rsidR="005F762A" w:rsidRDefault="005F762A">
            <w:pPr>
              <w:rPr>
                <w:rFonts w:ascii="宋体"/>
                <w:vanish/>
              </w:rPr>
            </w:pPr>
          </w:p>
        </w:tc>
        <w:tc>
          <w:tcPr>
            <w:tcW w:w="0" w:type="auto"/>
            <w:gridSpan w:val="3"/>
            <w:shd w:val="clear" w:color="auto" w:fill="auto"/>
          </w:tcPr>
          <w:p w14:paraId="7268E3FB" w14:textId="77777777" w:rsidR="005F762A" w:rsidRDefault="005F762A">
            <w:pPr>
              <w:rPr>
                <w:rFonts w:ascii="宋体"/>
                <w:vanish/>
              </w:rPr>
            </w:pPr>
          </w:p>
        </w:tc>
      </w:tr>
      <w:tr w:rsidR="005F762A" w14:paraId="7268E40D" w14:textId="77777777">
        <w:trPr>
          <w:jc w:val="center"/>
        </w:trPr>
        <w:tc>
          <w:tcPr>
            <w:tcW w:w="0" w:type="auto"/>
            <w:gridSpan w:val="3"/>
            <w:shd w:val="clear" w:color="auto" w:fill="E1E1E1"/>
            <w:tcMar>
              <w:top w:w="40" w:type="dxa"/>
              <w:left w:w="20" w:type="dxa"/>
              <w:bottom w:w="40" w:type="dxa"/>
              <w:right w:w="20" w:type="dxa"/>
            </w:tcMar>
            <w:vAlign w:val="bottom"/>
          </w:tcPr>
          <w:p w14:paraId="7268E3FD" w14:textId="77777777" w:rsidR="005F762A" w:rsidRDefault="00D74111">
            <w:pPr>
              <w:textAlignment w:val="bottom"/>
            </w:pPr>
            <w:r>
              <w:rPr>
                <w:rFonts w:ascii="Arial" w:eastAsia="宋体" w:hAnsi="Arial" w:cs="Arial"/>
                <w:color w:val="000000"/>
                <w:sz w:val="18"/>
                <w:szCs w:val="18"/>
              </w:rPr>
              <w:t>Net revenues</w:t>
            </w:r>
          </w:p>
        </w:tc>
        <w:tc>
          <w:tcPr>
            <w:tcW w:w="0" w:type="auto"/>
            <w:shd w:val="clear" w:color="auto" w:fill="auto"/>
          </w:tcPr>
          <w:p w14:paraId="7268E3FE" w14:textId="77777777" w:rsidR="005F762A" w:rsidRDefault="005F762A">
            <w:pPr>
              <w:rPr>
                <w:rFonts w:ascii="宋体"/>
                <w:vanish/>
              </w:rPr>
            </w:pPr>
          </w:p>
        </w:tc>
        <w:tc>
          <w:tcPr>
            <w:tcW w:w="0" w:type="auto"/>
            <w:shd w:val="clear" w:color="auto" w:fill="auto"/>
          </w:tcPr>
          <w:p w14:paraId="7268E3FF" w14:textId="77777777" w:rsidR="005F762A" w:rsidRDefault="005F762A">
            <w:pPr>
              <w:rPr>
                <w:rFonts w:ascii="宋体"/>
                <w:vanish/>
              </w:rPr>
            </w:pPr>
          </w:p>
        </w:tc>
        <w:tc>
          <w:tcPr>
            <w:tcW w:w="0" w:type="auto"/>
            <w:shd w:val="clear" w:color="auto" w:fill="auto"/>
          </w:tcPr>
          <w:p w14:paraId="7268E400"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01"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40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403"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0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05"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40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407" w14:textId="77777777" w:rsidR="005F762A" w:rsidRDefault="00D74111">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08" w14:textId="77777777" w:rsidR="005F762A" w:rsidRDefault="005F762A">
            <w:pPr>
              <w:jc w:val="right"/>
              <w:rPr>
                <w:rFonts w:ascii="宋体"/>
              </w:rPr>
            </w:pPr>
          </w:p>
        </w:tc>
        <w:tc>
          <w:tcPr>
            <w:tcW w:w="0" w:type="auto"/>
            <w:gridSpan w:val="3"/>
            <w:shd w:val="clear" w:color="auto" w:fill="auto"/>
          </w:tcPr>
          <w:p w14:paraId="7268E409" w14:textId="77777777" w:rsidR="005F762A" w:rsidRDefault="005F762A">
            <w:pPr>
              <w:rPr>
                <w:rFonts w:ascii="宋体"/>
                <w:vanish/>
              </w:rPr>
            </w:pPr>
          </w:p>
        </w:tc>
        <w:tc>
          <w:tcPr>
            <w:tcW w:w="0" w:type="auto"/>
            <w:gridSpan w:val="3"/>
            <w:shd w:val="clear" w:color="auto" w:fill="auto"/>
          </w:tcPr>
          <w:p w14:paraId="7268E40A" w14:textId="77777777" w:rsidR="005F762A" w:rsidRDefault="005F762A">
            <w:pPr>
              <w:rPr>
                <w:rFonts w:ascii="宋体"/>
                <w:vanish/>
              </w:rPr>
            </w:pPr>
          </w:p>
        </w:tc>
        <w:tc>
          <w:tcPr>
            <w:tcW w:w="0" w:type="auto"/>
            <w:gridSpan w:val="3"/>
            <w:shd w:val="clear" w:color="auto" w:fill="auto"/>
          </w:tcPr>
          <w:p w14:paraId="7268E40B" w14:textId="77777777" w:rsidR="005F762A" w:rsidRDefault="005F762A">
            <w:pPr>
              <w:rPr>
                <w:rFonts w:ascii="宋体"/>
                <w:vanish/>
              </w:rPr>
            </w:pPr>
          </w:p>
        </w:tc>
        <w:tc>
          <w:tcPr>
            <w:tcW w:w="0" w:type="auto"/>
            <w:gridSpan w:val="3"/>
            <w:shd w:val="clear" w:color="auto" w:fill="auto"/>
          </w:tcPr>
          <w:p w14:paraId="7268E40C" w14:textId="77777777" w:rsidR="005F762A" w:rsidRDefault="005F762A">
            <w:pPr>
              <w:rPr>
                <w:rFonts w:ascii="宋体"/>
                <w:vanish/>
              </w:rPr>
            </w:pPr>
          </w:p>
        </w:tc>
      </w:tr>
      <w:tr w:rsidR="005F762A" w14:paraId="7268E41C" w14:textId="77777777">
        <w:trPr>
          <w:jc w:val="center"/>
        </w:trPr>
        <w:tc>
          <w:tcPr>
            <w:tcW w:w="0" w:type="auto"/>
            <w:gridSpan w:val="3"/>
            <w:shd w:val="clear" w:color="auto" w:fill="FFFFFF"/>
            <w:tcMar>
              <w:top w:w="40" w:type="dxa"/>
              <w:left w:w="20" w:type="dxa"/>
              <w:bottom w:w="40" w:type="dxa"/>
              <w:right w:w="20" w:type="dxa"/>
            </w:tcMar>
            <w:vAlign w:val="bottom"/>
          </w:tcPr>
          <w:p w14:paraId="7268E40E" w14:textId="77777777" w:rsidR="005F762A" w:rsidRDefault="00D74111">
            <w:pPr>
              <w:textAlignment w:val="bottom"/>
            </w:pPr>
            <w:r>
              <w:rPr>
                <w:rFonts w:ascii="Arial" w:eastAsia="宋体" w:hAnsi="Arial" w:cs="Arial"/>
                <w:color w:val="000000"/>
                <w:sz w:val="18"/>
                <w:szCs w:val="18"/>
              </w:rPr>
              <w:t>Cost of net revenues</w:t>
            </w:r>
          </w:p>
        </w:tc>
        <w:tc>
          <w:tcPr>
            <w:tcW w:w="0" w:type="auto"/>
            <w:shd w:val="clear" w:color="auto" w:fill="auto"/>
          </w:tcPr>
          <w:p w14:paraId="7268E40F" w14:textId="77777777" w:rsidR="005F762A" w:rsidRDefault="005F762A">
            <w:pPr>
              <w:rPr>
                <w:rFonts w:ascii="宋体"/>
                <w:vanish/>
              </w:rPr>
            </w:pPr>
          </w:p>
        </w:tc>
        <w:tc>
          <w:tcPr>
            <w:tcW w:w="0" w:type="auto"/>
            <w:shd w:val="clear" w:color="auto" w:fill="auto"/>
          </w:tcPr>
          <w:p w14:paraId="7268E410" w14:textId="77777777" w:rsidR="005F762A" w:rsidRDefault="005F762A">
            <w:pPr>
              <w:rPr>
                <w:rFonts w:ascii="宋体"/>
                <w:vanish/>
              </w:rPr>
            </w:pPr>
          </w:p>
        </w:tc>
        <w:tc>
          <w:tcPr>
            <w:tcW w:w="0" w:type="auto"/>
            <w:shd w:val="clear" w:color="auto" w:fill="auto"/>
          </w:tcPr>
          <w:p w14:paraId="7268E41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1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1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41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1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16" w14:textId="77777777" w:rsidR="005F762A" w:rsidRDefault="00D74111">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7268E417" w14:textId="77777777" w:rsidR="005F762A" w:rsidRDefault="005F762A">
            <w:pPr>
              <w:jc w:val="right"/>
              <w:rPr>
                <w:rFonts w:ascii="宋体"/>
              </w:rPr>
            </w:pPr>
          </w:p>
        </w:tc>
        <w:tc>
          <w:tcPr>
            <w:tcW w:w="0" w:type="auto"/>
            <w:gridSpan w:val="3"/>
            <w:shd w:val="clear" w:color="auto" w:fill="auto"/>
          </w:tcPr>
          <w:p w14:paraId="7268E418" w14:textId="77777777" w:rsidR="005F762A" w:rsidRDefault="005F762A">
            <w:pPr>
              <w:rPr>
                <w:rFonts w:ascii="宋体"/>
                <w:vanish/>
              </w:rPr>
            </w:pPr>
          </w:p>
        </w:tc>
        <w:tc>
          <w:tcPr>
            <w:tcW w:w="0" w:type="auto"/>
            <w:gridSpan w:val="3"/>
            <w:shd w:val="clear" w:color="auto" w:fill="auto"/>
          </w:tcPr>
          <w:p w14:paraId="7268E419" w14:textId="77777777" w:rsidR="005F762A" w:rsidRDefault="005F762A">
            <w:pPr>
              <w:rPr>
                <w:rFonts w:ascii="宋体"/>
                <w:vanish/>
              </w:rPr>
            </w:pPr>
          </w:p>
        </w:tc>
        <w:tc>
          <w:tcPr>
            <w:tcW w:w="0" w:type="auto"/>
            <w:gridSpan w:val="3"/>
            <w:shd w:val="clear" w:color="auto" w:fill="auto"/>
          </w:tcPr>
          <w:p w14:paraId="7268E41A" w14:textId="77777777" w:rsidR="005F762A" w:rsidRDefault="005F762A">
            <w:pPr>
              <w:rPr>
                <w:rFonts w:ascii="宋体"/>
                <w:vanish/>
              </w:rPr>
            </w:pPr>
          </w:p>
        </w:tc>
        <w:tc>
          <w:tcPr>
            <w:tcW w:w="0" w:type="auto"/>
            <w:gridSpan w:val="3"/>
            <w:shd w:val="clear" w:color="auto" w:fill="auto"/>
          </w:tcPr>
          <w:p w14:paraId="7268E41B" w14:textId="77777777" w:rsidR="005F762A" w:rsidRDefault="005F762A">
            <w:pPr>
              <w:rPr>
                <w:rFonts w:ascii="宋体"/>
                <w:vanish/>
              </w:rPr>
            </w:pPr>
          </w:p>
        </w:tc>
      </w:tr>
      <w:tr w:rsidR="005F762A" w14:paraId="7268E42B" w14:textId="77777777">
        <w:trPr>
          <w:jc w:val="center"/>
        </w:trPr>
        <w:tc>
          <w:tcPr>
            <w:tcW w:w="0" w:type="auto"/>
            <w:gridSpan w:val="3"/>
            <w:shd w:val="clear" w:color="auto" w:fill="E1E1E1"/>
            <w:tcMar>
              <w:top w:w="40" w:type="dxa"/>
              <w:left w:w="875" w:type="dxa"/>
              <w:bottom w:w="40" w:type="dxa"/>
              <w:right w:w="20" w:type="dxa"/>
            </w:tcMar>
            <w:vAlign w:val="bottom"/>
          </w:tcPr>
          <w:p w14:paraId="7268E41D" w14:textId="77777777" w:rsidR="005F762A" w:rsidRDefault="00D74111">
            <w:pPr>
              <w:textAlignment w:val="bottom"/>
            </w:pPr>
            <w:r>
              <w:rPr>
                <w:rFonts w:ascii="Arial" w:eastAsia="宋体" w:hAnsi="Arial" w:cs="Arial"/>
                <w:color w:val="000000"/>
                <w:sz w:val="18"/>
                <w:szCs w:val="18"/>
              </w:rPr>
              <w:t>Gross profit</w:t>
            </w:r>
          </w:p>
        </w:tc>
        <w:tc>
          <w:tcPr>
            <w:tcW w:w="0" w:type="auto"/>
            <w:shd w:val="clear" w:color="auto" w:fill="auto"/>
          </w:tcPr>
          <w:p w14:paraId="7268E41E" w14:textId="77777777" w:rsidR="005F762A" w:rsidRDefault="005F762A">
            <w:pPr>
              <w:rPr>
                <w:rFonts w:ascii="宋体"/>
                <w:vanish/>
              </w:rPr>
            </w:pPr>
          </w:p>
        </w:tc>
        <w:tc>
          <w:tcPr>
            <w:tcW w:w="0" w:type="auto"/>
            <w:shd w:val="clear" w:color="auto" w:fill="auto"/>
          </w:tcPr>
          <w:p w14:paraId="7268E41F" w14:textId="77777777" w:rsidR="005F762A" w:rsidRDefault="005F762A">
            <w:pPr>
              <w:rPr>
                <w:rFonts w:ascii="宋体"/>
                <w:vanish/>
              </w:rPr>
            </w:pPr>
          </w:p>
        </w:tc>
        <w:tc>
          <w:tcPr>
            <w:tcW w:w="0" w:type="auto"/>
            <w:shd w:val="clear" w:color="auto" w:fill="auto"/>
          </w:tcPr>
          <w:p w14:paraId="7268E420"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21"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422"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23"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24"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425" w14:textId="77777777" w:rsidR="005F762A" w:rsidRDefault="00D74111">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26" w14:textId="77777777" w:rsidR="005F762A" w:rsidRDefault="005F762A">
            <w:pPr>
              <w:jc w:val="right"/>
              <w:rPr>
                <w:rFonts w:ascii="宋体"/>
              </w:rPr>
            </w:pPr>
          </w:p>
        </w:tc>
        <w:tc>
          <w:tcPr>
            <w:tcW w:w="0" w:type="auto"/>
            <w:gridSpan w:val="3"/>
            <w:shd w:val="clear" w:color="auto" w:fill="auto"/>
          </w:tcPr>
          <w:p w14:paraId="7268E427" w14:textId="77777777" w:rsidR="005F762A" w:rsidRDefault="005F762A">
            <w:pPr>
              <w:rPr>
                <w:rFonts w:ascii="宋体"/>
                <w:vanish/>
              </w:rPr>
            </w:pPr>
          </w:p>
        </w:tc>
        <w:tc>
          <w:tcPr>
            <w:tcW w:w="0" w:type="auto"/>
            <w:gridSpan w:val="3"/>
            <w:shd w:val="clear" w:color="auto" w:fill="auto"/>
          </w:tcPr>
          <w:p w14:paraId="7268E428" w14:textId="77777777" w:rsidR="005F762A" w:rsidRDefault="005F762A">
            <w:pPr>
              <w:rPr>
                <w:rFonts w:ascii="宋体"/>
                <w:vanish/>
              </w:rPr>
            </w:pPr>
          </w:p>
        </w:tc>
        <w:tc>
          <w:tcPr>
            <w:tcW w:w="0" w:type="auto"/>
            <w:gridSpan w:val="3"/>
            <w:shd w:val="clear" w:color="auto" w:fill="auto"/>
          </w:tcPr>
          <w:p w14:paraId="7268E429" w14:textId="77777777" w:rsidR="005F762A" w:rsidRDefault="005F762A">
            <w:pPr>
              <w:rPr>
                <w:rFonts w:ascii="宋体"/>
                <w:vanish/>
              </w:rPr>
            </w:pPr>
          </w:p>
        </w:tc>
        <w:tc>
          <w:tcPr>
            <w:tcW w:w="0" w:type="auto"/>
            <w:gridSpan w:val="3"/>
            <w:shd w:val="clear" w:color="auto" w:fill="auto"/>
          </w:tcPr>
          <w:p w14:paraId="7268E42A" w14:textId="77777777" w:rsidR="005F762A" w:rsidRDefault="005F762A">
            <w:pPr>
              <w:rPr>
                <w:rFonts w:ascii="宋体"/>
                <w:vanish/>
              </w:rPr>
            </w:pPr>
          </w:p>
        </w:tc>
      </w:tr>
      <w:tr w:rsidR="005F762A" w14:paraId="7268E438" w14:textId="77777777">
        <w:trPr>
          <w:jc w:val="center"/>
        </w:trPr>
        <w:tc>
          <w:tcPr>
            <w:tcW w:w="0" w:type="auto"/>
            <w:gridSpan w:val="3"/>
            <w:shd w:val="clear" w:color="auto" w:fill="FFFFFF"/>
            <w:tcMar>
              <w:top w:w="40" w:type="dxa"/>
              <w:left w:w="20" w:type="dxa"/>
              <w:bottom w:w="40" w:type="dxa"/>
              <w:right w:w="20" w:type="dxa"/>
            </w:tcMar>
            <w:vAlign w:val="bottom"/>
          </w:tcPr>
          <w:p w14:paraId="7268E42C" w14:textId="77777777" w:rsidR="005F762A" w:rsidRDefault="00D74111">
            <w:pPr>
              <w:textAlignment w:val="bottom"/>
            </w:pPr>
            <w:r>
              <w:rPr>
                <w:rFonts w:ascii="Arial" w:eastAsia="宋体" w:hAnsi="Arial" w:cs="Arial"/>
                <w:color w:val="000000"/>
                <w:sz w:val="18"/>
                <w:szCs w:val="18"/>
              </w:rPr>
              <w:t>Opera</w:t>
            </w:r>
            <w:r>
              <w:rPr>
                <w:rFonts w:ascii="Arial" w:eastAsia="宋体" w:hAnsi="Arial" w:cs="Arial"/>
                <w:color w:val="000000"/>
                <w:sz w:val="18"/>
                <w:szCs w:val="18"/>
              </w:rPr>
              <w:t>ting expenses:</w:t>
            </w:r>
          </w:p>
        </w:tc>
        <w:tc>
          <w:tcPr>
            <w:tcW w:w="0" w:type="auto"/>
            <w:shd w:val="clear" w:color="auto" w:fill="auto"/>
          </w:tcPr>
          <w:p w14:paraId="7268E42D" w14:textId="77777777" w:rsidR="005F762A" w:rsidRDefault="005F762A">
            <w:pPr>
              <w:rPr>
                <w:rFonts w:ascii="宋体"/>
                <w:vanish/>
              </w:rPr>
            </w:pPr>
          </w:p>
        </w:tc>
        <w:tc>
          <w:tcPr>
            <w:tcW w:w="0" w:type="auto"/>
            <w:shd w:val="clear" w:color="auto" w:fill="auto"/>
          </w:tcPr>
          <w:p w14:paraId="7268E42E" w14:textId="77777777" w:rsidR="005F762A" w:rsidRDefault="005F762A">
            <w:pPr>
              <w:rPr>
                <w:rFonts w:ascii="宋体"/>
                <w:vanish/>
              </w:rPr>
            </w:pPr>
          </w:p>
        </w:tc>
        <w:tc>
          <w:tcPr>
            <w:tcW w:w="0" w:type="auto"/>
            <w:shd w:val="clear" w:color="auto" w:fill="auto"/>
          </w:tcPr>
          <w:p w14:paraId="7268E42F"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30"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43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432"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433" w14:textId="77777777" w:rsidR="005F762A" w:rsidRDefault="005F762A">
            <w:pPr>
              <w:rPr>
                <w:rFonts w:ascii="宋体"/>
              </w:rPr>
            </w:pPr>
          </w:p>
        </w:tc>
        <w:tc>
          <w:tcPr>
            <w:tcW w:w="0" w:type="auto"/>
            <w:gridSpan w:val="3"/>
            <w:shd w:val="clear" w:color="auto" w:fill="auto"/>
          </w:tcPr>
          <w:p w14:paraId="7268E434" w14:textId="77777777" w:rsidR="005F762A" w:rsidRDefault="005F762A">
            <w:pPr>
              <w:rPr>
                <w:rFonts w:ascii="宋体"/>
                <w:vanish/>
              </w:rPr>
            </w:pPr>
          </w:p>
        </w:tc>
        <w:tc>
          <w:tcPr>
            <w:tcW w:w="0" w:type="auto"/>
            <w:gridSpan w:val="3"/>
            <w:shd w:val="clear" w:color="auto" w:fill="auto"/>
          </w:tcPr>
          <w:p w14:paraId="7268E435" w14:textId="77777777" w:rsidR="005F762A" w:rsidRDefault="005F762A">
            <w:pPr>
              <w:rPr>
                <w:rFonts w:ascii="宋体"/>
                <w:vanish/>
              </w:rPr>
            </w:pPr>
          </w:p>
        </w:tc>
        <w:tc>
          <w:tcPr>
            <w:tcW w:w="0" w:type="auto"/>
            <w:gridSpan w:val="3"/>
            <w:shd w:val="clear" w:color="auto" w:fill="auto"/>
          </w:tcPr>
          <w:p w14:paraId="7268E436" w14:textId="77777777" w:rsidR="005F762A" w:rsidRDefault="005F762A">
            <w:pPr>
              <w:rPr>
                <w:rFonts w:ascii="宋体"/>
                <w:vanish/>
              </w:rPr>
            </w:pPr>
          </w:p>
        </w:tc>
        <w:tc>
          <w:tcPr>
            <w:tcW w:w="0" w:type="auto"/>
            <w:gridSpan w:val="3"/>
            <w:shd w:val="clear" w:color="auto" w:fill="auto"/>
          </w:tcPr>
          <w:p w14:paraId="7268E437" w14:textId="77777777" w:rsidR="005F762A" w:rsidRDefault="005F762A">
            <w:pPr>
              <w:rPr>
                <w:rFonts w:ascii="宋体"/>
                <w:vanish/>
              </w:rPr>
            </w:pPr>
          </w:p>
        </w:tc>
      </w:tr>
      <w:tr w:rsidR="005F762A" w14:paraId="7268E447" w14:textId="77777777">
        <w:trPr>
          <w:jc w:val="center"/>
        </w:trPr>
        <w:tc>
          <w:tcPr>
            <w:tcW w:w="0" w:type="auto"/>
            <w:gridSpan w:val="3"/>
            <w:shd w:val="clear" w:color="auto" w:fill="E1E1E1"/>
            <w:tcMar>
              <w:top w:w="40" w:type="dxa"/>
              <w:left w:w="515" w:type="dxa"/>
              <w:bottom w:w="40" w:type="dxa"/>
              <w:right w:w="20" w:type="dxa"/>
            </w:tcMar>
            <w:vAlign w:val="bottom"/>
          </w:tcPr>
          <w:p w14:paraId="7268E439" w14:textId="77777777" w:rsidR="005F762A" w:rsidRDefault="00D74111">
            <w:pPr>
              <w:textAlignment w:val="bottom"/>
            </w:pPr>
            <w:r>
              <w:rPr>
                <w:rFonts w:ascii="Arial" w:eastAsia="宋体" w:hAnsi="Arial" w:cs="Arial"/>
                <w:color w:val="000000"/>
                <w:sz w:val="18"/>
                <w:szCs w:val="18"/>
              </w:rPr>
              <w:t>Sales and marketing</w:t>
            </w:r>
          </w:p>
        </w:tc>
        <w:tc>
          <w:tcPr>
            <w:tcW w:w="0" w:type="auto"/>
            <w:shd w:val="clear" w:color="auto" w:fill="auto"/>
          </w:tcPr>
          <w:p w14:paraId="7268E43A" w14:textId="77777777" w:rsidR="005F762A" w:rsidRDefault="005F762A">
            <w:pPr>
              <w:rPr>
                <w:rFonts w:ascii="宋体"/>
                <w:vanish/>
              </w:rPr>
            </w:pPr>
          </w:p>
        </w:tc>
        <w:tc>
          <w:tcPr>
            <w:tcW w:w="0" w:type="auto"/>
            <w:shd w:val="clear" w:color="auto" w:fill="auto"/>
          </w:tcPr>
          <w:p w14:paraId="7268E43B" w14:textId="77777777" w:rsidR="005F762A" w:rsidRDefault="005F762A">
            <w:pPr>
              <w:rPr>
                <w:rFonts w:ascii="宋体"/>
                <w:vanish/>
              </w:rPr>
            </w:pPr>
          </w:p>
        </w:tc>
        <w:tc>
          <w:tcPr>
            <w:tcW w:w="0" w:type="auto"/>
            <w:shd w:val="clear" w:color="auto" w:fill="auto"/>
          </w:tcPr>
          <w:p w14:paraId="7268E43C"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3D"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3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43F"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40"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41" w14:textId="77777777" w:rsidR="005F762A" w:rsidRDefault="00D74111">
            <w:pPr>
              <w:jc w:val="right"/>
              <w:textAlignment w:val="bottom"/>
            </w:pPr>
            <w:r>
              <w:rPr>
                <w:rFonts w:ascii="Arial" w:eastAsia="宋体" w:hAnsi="Arial" w:cs="Arial"/>
                <w:color w:val="000000"/>
                <w:sz w:val="18"/>
                <w:szCs w:val="18"/>
              </w:rPr>
              <w:t>51 </w:t>
            </w:r>
          </w:p>
        </w:tc>
        <w:tc>
          <w:tcPr>
            <w:tcW w:w="0" w:type="auto"/>
            <w:shd w:val="clear" w:color="auto" w:fill="E1E1E1"/>
            <w:tcMar>
              <w:top w:w="40" w:type="dxa"/>
              <w:left w:w="0" w:type="dxa"/>
              <w:bottom w:w="40" w:type="dxa"/>
              <w:right w:w="20" w:type="dxa"/>
            </w:tcMar>
            <w:vAlign w:val="bottom"/>
          </w:tcPr>
          <w:p w14:paraId="7268E442" w14:textId="77777777" w:rsidR="005F762A" w:rsidRDefault="005F762A">
            <w:pPr>
              <w:jc w:val="right"/>
              <w:rPr>
                <w:rFonts w:ascii="宋体"/>
              </w:rPr>
            </w:pPr>
          </w:p>
        </w:tc>
        <w:tc>
          <w:tcPr>
            <w:tcW w:w="0" w:type="auto"/>
            <w:gridSpan w:val="3"/>
            <w:shd w:val="clear" w:color="auto" w:fill="auto"/>
          </w:tcPr>
          <w:p w14:paraId="7268E443" w14:textId="77777777" w:rsidR="005F762A" w:rsidRDefault="005F762A">
            <w:pPr>
              <w:rPr>
                <w:rFonts w:ascii="宋体"/>
                <w:vanish/>
              </w:rPr>
            </w:pPr>
          </w:p>
        </w:tc>
        <w:tc>
          <w:tcPr>
            <w:tcW w:w="0" w:type="auto"/>
            <w:gridSpan w:val="3"/>
            <w:shd w:val="clear" w:color="auto" w:fill="auto"/>
          </w:tcPr>
          <w:p w14:paraId="7268E444" w14:textId="77777777" w:rsidR="005F762A" w:rsidRDefault="005F762A">
            <w:pPr>
              <w:rPr>
                <w:rFonts w:ascii="宋体"/>
                <w:vanish/>
              </w:rPr>
            </w:pPr>
          </w:p>
        </w:tc>
        <w:tc>
          <w:tcPr>
            <w:tcW w:w="0" w:type="auto"/>
            <w:gridSpan w:val="3"/>
            <w:shd w:val="clear" w:color="auto" w:fill="auto"/>
          </w:tcPr>
          <w:p w14:paraId="7268E445" w14:textId="77777777" w:rsidR="005F762A" w:rsidRDefault="005F762A">
            <w:pPr>
              <w:rPr>
                <w:rFonts w:ascii="宋体"/>
                <w:vanish/>
              </w:rPr>
            </w:pPr>
          </w:p>
        </w:tc>
        <w:tc>
          <w:tcPr>
            <w:tcW w:w="0" w:type="auto"/>
            <w:gridSpan w:val="3"/>
            <w:shd w:val="clear" w:color="auto" w:fill="auto"/>
          </w:tcPr>
          <w:p w14:paraId="7268E446" w14:textId="77777777" w:rsidR="005F762A" w:rsidRDefault="005F762A">
            <w:pPr>
              <w:rPr>
                <w:rFonts w:ascii="宋体"/>
                <w:vanish/>
              </w:rPr>
            </w:pPr>
          </w:p>
        </w:tc>
      </w:tr>
      <w:tr w:rsidR="005F762A" w14:paraId="7268E456" w14:textId="77777777">
        <w:trPr>
          <w:jc w:val="center"/>
        </w:trPr>
        <w:tc>
          <w:tcPr>
            <w:tcW w:w="0" w:type="auto"/>
            <w:gridSpan w:val="3"/>
            <w:shd w:val="clear" w:color="auto" w:fill="FFFFFF"/>
            <w:tcMar>
              <w:top w:w="40" w:type="dxa"/>
              <w:left w:w="515" w:type="dxa"/>
              <w:bottom w:w="40" w:type="dxa"/>
              <w:right w:w="20" w:type="dxa"/>
            </w:tcMar>
            <w:vAlign w:val="bottom"/>
          </w:tcPr>
          <w:p w14:paraId="7268E448" w14:textId="77777777" w:rsidR="005F762A" w:rsidRDefault="00D74111">
            <w:pPr>
              <w:textAlignment w:val="bottom"/>
            </w:pPr>
            <w:r>
              <w:rPr>
                <w:rFonts w:ascii="Arial" w:eastAsia="宋体" w:hAnsi="Arial" w:cs="Arial"/>
                <w:color w:val="000000"/>
                <w:sz w:val="18"/>
                <w:szCs w:val="18"/>
              </w:rPr>
              <w:t>Product development</w:t>
            </w:r>
          </w:p>
        </w:tc>
        <w:tc>
          <w:tcPr>
            <w:tcW w:w="0" w:type="auto"/>
            <w:shd w:val="clear" w:color="auto" w:fill="auto"/>
          </w:tcPr>
          <w:p w14:paraId="7268E449" w14:textId="77777777" w:rsidR="005F762A" w:rsidRDefault="005F762A">
            <w:pPr>
              <w:rPr>
                <w:rFonts w:ascii="宋体"/>
                <w:vanish/>
              </w:rPr>
            </w:pPr>
          </w:p>
        </w:tc>
        <w:tc>
          <w:tcPr>
            <w:tcW w:w="0" w:type="auto"/>
            <w:shd w:val="clear" w:color="auto" w:fill="auto"/>
          </w:tcPr>
          <w:p w14:paraId="7268E44A" w14:textId="77777777" w:rsidR="005F762A" w:rsidRDefault="005F762A">
            <w:pPr>
              <w:rPr>
                <w:rFonts w:ascii="宋体"/>
                <w:vanish/>
              </w:rPr>
            </w:pPr>
          </w:p>
        </w:tc>
        <w:tc>
          <w:tcPr>
            <w:tcW w:w="0" w:type="auto"/>
            <w:shd w:val="clear" w:color="auto" w:fill="auto"/>
          </w:tcPr>
          <w:p w14:paraId="7268E44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4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4D"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44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4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50" w14:textId="77777777" w:rsidR="005F762A" w:rsidRDefault="00D74111">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7268E451" w14:textId="77777777" w:rsidR="005F762A" w:rsidRDefault="005F762A">
            <w:pPr>
              <w:jc w:val="right"/>
              <w:rPr>
                <w:rFonts w:ascii="宋体"/>
              </w:rPr>
            </w:pPr>
          </w:p>
        </w:tc>
        <w:tc>
          <w:tcPr>
            <w:tcW w:w="0" w:type="auto"/>
            <w:gridSpan w:val="3"/>
            <w:shd w:val="clear" w:color="auto" w:fill="auto"/>
          </w:tcPr>
          <w:p w14:paraId="7268E452" w14:textId="77777777" w:rsidR="005F762A" w:rsidRDefault="005F762A">
            <w:pPr>
              <w:rPr>
                <w:rFonts w:ascii="宋体"/>
                <w:vanish/>
              </w:rPr>
            </w:pPr>
          </w:p>
        </w:tc>
        <w:tc>
          <w:tcPr>
            <w:tcW w:w="0" w:type="auto"/>
            <w:gridSpan w:val="3"/>
            <w:shd w:val="clear" w:color="auto" w:fill="auto"/>
          </w:tcPr>
          <w:p w14:paraId="7268E453" w14:textId="77777777" w:rsidR="005F762A" w:rsidRDefault="005F762A">
            <w:pPr>
              <w:rPr>
                <w:rFonts w:ascii="宋体"/>
                <w:vanish/>
              </w:rPr>
            </w:pPr>
          </w:p>
        </w:tc>
        <w:tc>
          <w:tcPr>
            <w:tcW w:w="0" w:type="auto"/>
            <w:gridSpan w:val="3"/>
            <w:shd w:val="clear" w:color="auto" w:fill="auto"/>
          </w:tcPr>
          <w:p w14:paraId="7268E454" w14:textId="77777777" w:rsidR="005F762A" w:rsidRDefault="005F762A">
            <w:pPr>
              <w:rPr>
                <w:rFonts w:ascii="宋体"/>
                <w:vanish/>
              </w:rPr>
            </w:pPr>
          </w:p>
        </w:tc>
        <w:tc>
          <w:tcPr>
            <w:tcW w:w="0" w:type="auto"/>
            <w:gridSpan w:val="3"/>
            <w:shd w:val="clear" w:color="auto" w:fill="auto"/>
          </w:tcPr>
          <w:p w14:paraId="7268E455" w14:textId="77777777" w:rsidR="005F762A" w:rsidRDefault="005F762A">
            <w:pPr>
              <w:rPr>
                <w:rFonts w:ascii="宋体"/>
                <w:vanish/>
              </w:rPr>
            </w:pPr>
          </w:p>
        </w:tc>
      </w:tr>
      <w:tr w:rsidR="005F762A" w14:paraId="7268E465" w14:textId="77777777">
        <w:trPr>
          <w:jc w:val="center"/>
        </w:trPr>
        <w:tc>
          <w:tcPr>
            <w:tcW w:w="0" w:type="auto"/>
            <w:gridSpan w:val="3"/>
            <w:shd w:val="clear" w:color="auto" w:fill="E1E1E1"/>
            <w:tcMar>
              <w:top w:w="40" w:type="dxa"/>
              <w:left w:w="515" w:type="dxa"/>
              <w:bottom w:w="40" w:type="dxa"/>
              <w:right w:w="20" w:type="dxa"/>
            </w:tcMar>
            <w:vAlign w:val="bottom"/>
          </w:tcPr>
          <w:p w14:paraId="7268E457" w14:textId="77777777" w:rsidR="005F762A" w:rsidRDefault="00D74111">
            <w:pPr>
              <w:textAlignment w:val="bottom"/>
            </w:pPr>
            <w:r>
              <w:rPr>
                <w:rFonts w:ascii="Arial" w:eastAsia="宋体" w:hAnsi="Arial" w:cs="Arial"/>
                <w:color w:val="000000"/>
                <w:sz w:val="18"/>
                <w:szCs w:val="18"/>
              </w:rPr>
              <w:t>General and administrative</w:t>
            </w:r>
          </w:p>
        </w:tc>
        <w:tc>
          <w:tcPr>
            <w:tcW w:w="0" w:type="auto"/>
            <w:shd w:val="clear" w:color="auto" w:fill="auto"/>
          </w:tcPr>
          <w:p w14:paraId="7268E458" w14:textId="77777777" w:rsidR="005F762A" w:rsidRDefault="005F762A">
            <w:pPr>
              <w:rPr>
                <w:rFonts w:ascii="宋体"/>
                <w:vanish/>
              </w:rPr>
            </w:pPr>
          </w:p>
        </w:tc>
        <w:tc>
          <w:tcPr>
            <w:tcW w:w="0" w:type="auto"/>
            <w:shd w:val="clear" w:color="auto" w:fill="auto"/>
          </w:tcPr>
          <w:p w14:paraId="7268E459" w14:textId="77777777" w:rsidR="005F762A" w:rsidRDefault="005F762A">
            <w:pPr>
              <w:rPr>
                <w:rFonts w:ascii="宋体"/>
                <w:vanish/>
              </w:rPr>
            </w:pPr>
          </w:p>
        </w:tc>
        <w:tc>
          <w:tcPr>
            <w:tcW w:w="0" w:type="auto"/>
            <w:shd w:val="clear" w:color="auto" w:fill="auto"/>
          </w:tcPr>
          <w:p w14:paraId="7268E45A"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5B"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5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45D"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5E"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5F" w14:textId="77777777" w:rsidR="005F762A" w:rsidRDefault="00D74111">
            <w:pPr>
              <w:jc w:val="right"/>
              <w:textAlignment w:val="bottom"/>
            </w:pPr>
            <w:r>
              <w:rPr>
                <w:rFonts w:ascii="Arial" w:eastAsia="宋体" w:hAnsi="Arial" w:cs="Arial"/>
                <w:color w:val="000000"/>
                <w:sz w:val="18"/>
                <w:szCs w:val="18"/>
              </w:rPr>
              <w:t>33 </w:t>
            </w:r>
          </w:p>
        </w:tc>
        <w:tc>
          <w:tcPr>
            <w:tcW w:w="0" w:type="auto"/>
            <w:shd w:val="clear" w:color="auto" w:fill="E1E1E1"/>
            <w:tcMar>
              <w:top w:w="40" w:type="dxa"/>
              <w:left w:w="0" w:type="dxa"/>
              <w:bottom w:w="40" w:type="dxa"/>
              <w:right w:w="20" w:type="dxa"/>
            </w:tcMar>
            <w:vAlign w:val="bottom"/>
          </w:tcPr>
          <w:p w14:paraId="7268E460" w14:textId="77777777" w:rsidR="005F762A" w:rsidRDefault="005F762A">
            <w:pPr>
              <w:jc w:val="right"/>
              <w:rPr>
                <w:rFonts w:ascii="宋体"/>
              </w:rPr>
            </w:pPr>
          </w:p>
        </w:tc>
        <w:tc>
          <w:tcPr>
            <w:tcW w:w="0" w:type="auto"/>
            <w:gridSpan w:val="3"/>
            <w:shd w:val="clear" w:color="auto" w:fill="auto"/>
          </w:tcPr>
          <w:p w14:paraId="7268E461" w14:textId="77777777" w:rsidR="005F762A" w:rsidRDefault="005F762A">
            <w:pPr>
              <w:rPr>
                <w:rFonts w:ascii="宋体"/>
                <w:vanish/>
              </w:rPr>
            </w:pPr>
          </w:p>
        </w:tc>
        <w:tc>
          <w:tcPr>
            <w:tcW w:w="0" w:type="auto"/>
            <w:gridSpan w:val="3"/>
            <w:shd w:val="clear" w:color="auto" w:fill="auto"/>
          </w:tcPr>
          <w:p w14:paraId="7268E462" w14:textId="77777777" w:rsidR="005F762A" w:rsidRDefault="005F762A">
            <w:pPr>
              <w:rPr>
                <w:rFonts w:ascii="宋体"/>
                <w:vanish/>
              </w:rPr>
            </w:pPr>
          </w:p>
        </w:tc>
        <w:tc>
          <w:tcPr>
            <w:tcW w:w="0" w:type="auto"/>
            <w:gridSpan w:val="3"/>
            <w:shd w:val="clear" w:color="auto" w:fill="auto"/>
          </w:tcPr>
          <w:p w14:paraId="7268E463" w14:textId="77777777" w:rsidR="005F762A" w:rsidRDefault="005F762A">
            <w:pPr>
              <w:rPr>
                <w:rFonts w:ascii="宋体"/>
                <w:vanish/>
              </w:rPr>
            </w:pPr>
          </w:p>
        </w:tc>
        <w:tc>
          <w:tcPr>
            <w:tcW w:w="0" w:type="auto"/>
            <w:gridSpan w:val="3"/>
            <w:shd w:val="clear" w:color="auto" w:fill="auto"/>
          </w:tcPr>
          <w:p w14:paraId="7268E464" w14:textId="77777777" w:rsidR="005F762A" w:rsidRDefault="005F762A">
            <w:pPr>
              <w:rPr>
                <w:rFonts w:ascii="宋体"/>
                <w:vanish/>
              </w:rPr>
            </w:pPr>
          </w:p>
        </w:tc>
      </w:tr>
      <w:tr w:rsidR="005F762A" w14:paraId="7268E474" w14:textId="77777777">
        <w:trPr>
          <w:jc w:val="center"/>
        </w:trPr>
        <w:tc>
          <w:tcPr>
            <w:tcW w:w="0" w:type="auto"/>
            <w:gridSpan w:val="3"/>
            <w:shd w:val="clear" w:color="auto" w:fill="FFFFFF"/>
            <w:tcMar>
              <w:top w:w="40" w:type="dxa"/>
              <w:left w:w="515" w:type="dxa"/>
              <w:bottom w:w="40" w:type="dxa"/>
              <w:right w:w="20" w:type="dxa"/>
            </w:tcMar>
            <w:vAlign w:val="bottom"/>
          </w:tcPr>
          <w:p w14:paraId="7268E466" w14:textId="77777777" w:rsidR="005F762A" w:rsidRDefault="00D74111">
            <w:pPr>
              <w:textAlignment w:val="bottom"/>
            </w:pPr>
            <w:r>
              <w:rPr>
                <w:rFonts w:ascii="Arial" w:eastAsia="宋体" w:hAnsi="Arial" w:cs="Arial"/>
                <w:color w:val="000000"/>
                <w:sz w:val="18"/>
                <w:szCs w:val="18"/>
              </w:rPr>
              <w:t>Provision for transaction losses</w:t>
            </w:r>
          </w:p>
        </w:tc>
        <w:tc>
          <w:tcPr>
            <w:tcW w:w="0" w:type="auto"/>
            <w:shd w:val="clear" w:color="auto" w:fill="auto"/>
          </w:tcPr>
          <w:p w14:paraId="7268E467" w14:textId="77777777" w:rsidR="005F762A" w:rsidRDefault="005F762A">
            <w:pPr>
              <w:rPr>
                <w:rFonts w:ascii="宋体"/>
                <w:vanish/>
              </w:rPr>
            </w:pPr>
          </w:p>
        </w:tc>
        <w:tc>
          <w:tcPr>
            <w:tcW w:w="0" w:type="auto"/>
            <w:shd w:val="clear" w:color="auto" w:fill="auto"/>
          </w:tcPr>
          <w:p w14:paraId="7268E468" w14:textId="77777777" w:rsidR="005F762A" w:rsidRDefault="005F762A">
            <w:pPr>
              <w:rPr>
                <w:rFonts w:ascii="宋体"/>
                <w:vanish/>
              </w:rPr>
            </w:pPr>
          </w:p>
        </w:tc>
        <w:tc>
          <w:tcPr>
            <w:tcW w:w="0" w:type="auto"/>
            <w:shd w:val="clear" w:color="auto" w:fill="auto"/>
          </w:tcPr>
          <w:p w14:paraId="7268E46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6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6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46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6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6E" w14:textId="77777777" w:rsidR="005F762A" w:rsidRDefault="00D74111">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7268E46F" w14:textId="77777777" w:rsidR="005F762A" w:rsidRDefault="005F762A">
            <w:pPr>
              <w:jc w:val="right"/>
              <w:rPr>
                <w:rFonts w:ascii="宋体"/>
              </w:rPr>
            </w:pPr>
          </w:p>
        </w:tc>
        <w:tc>
          <w:tcPr>
            <w:tcW w:w="0" w:type="auto"/>
            <w:gridSpan w:val="3"/>
            <w:shd w:val="clear" w:color="auto" w:fill="auto"/>
          </w:tcPr>
          <w:p w14:paraId="7268E470" w14:textId="77777777" w:rsidR="005F762A" w:rsidRDefault="005F762A">
            <w:pPr>
              <w:rPr>
                <w:rFonts w:ascii="宋体"/>
                <w:vanish/>
              </w:rPr>
            </w:pPr>
          </w:p>
        </w:tc>
        <w:tc>
          <w:tcPr>
            <w:tcW w:w="0" w:type="auto"/>
            <w:gridSpan w:val="3"/>
            <w:shd w:val="clear" w:color="auto" w:fill="auto"/>
          </w:tcPr>
          <w:p w14:paraId="7268E471" w14:textId="77777777" w:rsidR="005F762A" w:rsidRDefault="005F762A">
            <w:pPr>
              <w:rPr>
                <w:rFonts w:ascii="宋体"/>
                <w:vanish/>
              </w:rPr>
            </w:pPr>
          </w:p>
        </w:tc>
        <w:tc>
          <w:tcPr>
            <w:tcW w:w="0" w:type="auto"/>
            <w:gridSpan w:val="3"/>
            <w:shd w:val="clear" w:color="auto" w:fill="auto"/>
          </w:tcPr>
          <w:p w14:paraId="7268E472" w14:textId="77777777" w:rsidR="005F762A" w:rsidRDefault="005F762A">
            <w:pPr>
              <w:rPr>
                <w:rFonts w:ascii="宋体"/>
                <w:vanish/>
              </w:rPr>
            </w:pPr>
          </w:p>
        </w:tc>
        <w:tc>
          <w:tcPr>
            <w:tcW w:w="0" w:type="auto"/>
            <w:gridSpan w:val="3"/>
            <w:shd w:val="clear" w:color="auto" w:fill="auto"/>
          </w:tcPr>
          <w:p w14:paraId="7268E473" w14:textId="77777777" w:rsidR="005F762A" w:rsidRDefault="005F762A">
            <w:pPr>
              <w:rPr>
                <w:rFonts w:ascii="宋体"/>
                <w:vanish/>
              </w:rPr>
            </w:pPr>
          </w:p>
        </w:tc>
      </w:tr>
      <w:tr w:rsidR="005F762A" w14:paraId="7268E483" w14:textId="77777777">
        <w:trPr>
          <w:jc w:val="center"/>
        </w:trPr>
        <w:tc>
          <w:tcPr>
            <w:tcW w:w="0" w:type="auto"/>
            <w:gridSpan w:val="3"/>
            <w:shd w:val="clear" w:color="auto" w:fill="E1E1E1"/>
            <w:tcMar>
              <w:top w:w="40" w:type="dxa"/>
              <w:left w:w="515" w:type="dxa"/>
              <w:bottom w:w="40" w:type="dxa"/>
              <w:right w:w="20" w:type="dxa"/>
            </w:tcMar>
            <w:vAlign w:val="bottom"/>
          </w:tcPr>
          <w:p w14:paraId="7268E475" w14:textId="77777777" w:rsidR="005F762A" w:rsidRDefault="00D74111">
            <w:pPr>
              <w:textAlignment w:val="bottom"/>
            </w:pPr>
            <w:r>
              <w:rPr>
                <w:rFonts w:ascii="Arial" w:eastAsia="宋体" w:hAnsi="Arial" w:cs="Arial"/>
                <w:color w:val="000000"/>
                <w:sz w:val="18"/>
                <w:szCs w:val="18"/>
              </w:rPr>
              <w:t>Amortization of acquired intangible assets</w:t>
            </w:r>
          </w:p>
        </w:tc>
        <w:tc>
          <w:tcPr>
            <w:tcW w:w="0" w:type="auto"/>
            <w:shd w:val="clear" w:color="auto" w:fill="auto"/>
          </w:tcPr>
          <w:p w14:paraId="7268E476" w14:textId="77777777" w:rsidR="005F762A" w:rsidRDefault="005F762A">
            <w:pPr>
              <w:rPr>
                <w:rFonts w:ascii="宋体"/>
                <w:vanish/>
              </w:rPr>
            </w:pPr>
          </w:p>
        </w:tc>
        <w:tc>
          <w:tcPr>
            <w:tcW w:w="0" w:type="auto"/>
            <w:shd w:val="clear" w:color="auto" w:fill="auto"/>
          </w:tcPr>
          <w:p w14:paraId="7268E477" w14:textId="77777777" w:rsidR="005F762A" w:rsidRDefault="005F762A">
            <w:pPr>
              <w:rPr>
                <w:rFonts w:ascii="宋体"/>
                <w:vanish/>
              </w:rPr>
            </w:pPr>
          </w:p>
        </w:tc>
        <w:tc>
          <w:tcPr>
            <w:tcW w:w="0" w:type="auto"/>
            <w:shd w:val="clear" w:color="auto" w:fill="auto"/>
          </w:tcPr>
          <w:p w14:paraId="7268E478"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79"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7A"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47B"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7C"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7D"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7268E47E" w14:textId="77777777" w:rsidR="005F762A" w:rsidRDefault="005F762A">
            <w:pPr>
              <w:jc w:val="right"/>
              <w:rPr>
                <w:rFonts w:ascii="宋体"/>
              </w:rPr>
            </w:pPr>
          </w:p>
        </w:tc>
        <w:tc>
          <w:tcPr>
            <w:tcW w:w="0" w:type="auto"/>
            <w:gridSpan w:val="3"/>
            <w:shd w:val="clear" w:color="auto" w:fill="auto"/>
          </w:tcPr>
          <w:p w14:paraId="7268E47F" w14:textId="77777777" w:rsidR="005F762A" w:rsidRDefault="005F762A">
            <w:pPr>
              <w:rPr>
                <w:rFonts w:ascii="宋体"/>
                <w:vanish/>
              </w:rPr>
            </w:pPr>
          </w:p>
        </w:tc>
        <w:tc>
          <w:tcPr>
            <w:tcW w:w="0" w:type="auto"/>
            <w:gridSpan w:val="3"/>
            <w:shd w:val="clear" w:color="auto" w:fill="auto"/>
          </w:tcPr>
          <w:p w14:paraId="7268E480" w14:textId="77777777" w:rsidR="005F762A" w:rsidRDefault="005F762A">
            <w:pPr>
              <w:rPr>
                <w:rFonts w:ascii="宋体"/>
                <w:vanish/>
              </w:rPr>
            </w:pPr>
          </w:p>
        </w:tc>
        <w:tc>
          <w:tcPr>
            <w:tcW w:w="0" w:type="auto"/>
            <w:gridSpan w:val="3"/>
            <w:shd w:val="clear" w:color="auto" w:fill="auto"/>
          </w:tcPr>
          <w:p w14:paraId="7268E481" w14:textId="77777777" w:rsidR="005F762A" w:rsidRDefault="005F762A">
            <w:pPr>
              <w:rPr>
                <w:rFonts w:ascii="宋体"/>
                <w:vanish/>
              </w:rPr>
            </w:pPr>
          </w:p>
        </w:tc>
        <w:tc>
          <w:tcPr>
            <w:tcW w:w="0" w:type="auto"/>
            <w:gridSpan w:val="3"/>
            <w:shd w:val="clear" w:color="auto" w:fill="auto"/>
          </w:tcPr>
          <w:p w14:paraId="7268E482" w14:textId="77777777" w:rsidR="005F762A" w:rsidRDefault="005F762A">
            <w:pPr>
              <w:rPr>
                <w:rFonts w:ascii="宋体"/>
                <w:vanish/>
              </w:rPr>
            </w:pPr>
          </w:p>
        </w:tc>
      </w:tr>
      <w:tr w:rsidR="005F762A" w14:paraId="7268E492" w14:textId="77777777">
        <w:trPr>
          <w:jc w:val="center"/>
        </w:trPr>
        <w:tc>
          <w:tcPr>
            <w:tcW w:w="0" w:type="auto"/>
            <w:gridSpan w:val="3"/>
            <w:shd w:val="clear" w:color="auto" w:fill="FFFFFF"/>
            <w:tcMar>
              <w:top w:w="40" w:type="dxa"/>
              <w:left w:w="875" w:type="dxa"/>
              <w:bottom w:w="40" w:type="dxa"/>
              <w:right w:w="20" w:type="dxa"/>
            </w:tcMar>
            <w:vAlign w:val="bottom"/>
          </w:tcPr>
          <w:p w14:paraId="7268E484" w14:textId="77777777" w:rsidR="005F762A" w:rsidRDefault="00D74111">
            <w:pPr>
              <w:textAlignment w:val="bottom"/>
            </w:pPr>
            <w:r>
              <w:rPr>
                <w:rFonts w:ascii="Arial" w:eastAsia="宋体" w:hAnsi="Arial" w:cs="Arial"/>
                <w:color w:val="000000"/>
                <w:sz w:val="18"/>
                <w:szCs w:val="18"/>
              </w:rPr>
              <w:t>Total operating expenses</w:t>
            </w:r>
          </w:p>
        </w:tc>
        <w:tc>
          <w:tcPr>
            <w:tcW w:w="0" w:type="auto"/>
            <w:shd w:val="clear" w:color="auto" w:fill="auto"/>
          </w:tcPr>
          <w:p w14:paraId="7268E485" w14:textId="77777777" w:rsidR="005F762A" w:rsidRDefault="005F762A">
            <w:pPr>
              <w:rPr>
                <w:rFonts w:ascii="宋体"/>
                <w:vanish/>
              </w:rPr>
            </w:pPr>
          </w:p>
        </w:tc>
        <w:tc>
          <w:tcPr>
            <w:tcW w:w="0" w:type="auto"/>
            <w:shd w:val="clear" w:color="auto" w:fill="auto"/>
          </w:tcPr>
          <w:p w14:paraId="7268E486" w14:textId="77777777" w:rsidR="005F762A" w:rsidRDefault="005F762A">
            <w:pPr>
              <w:rPr>
                <w:rFonts w:ascii="宋体"/>
                <w:vanish/>
              </w:rPr>
            </w:pPr>
          </w:p>
        </w:tc>
        <w:tc>
          <w:tcPr>
            <w:tcW w:w="0" w:type="auto"/>
            <w:shd w:val="clear" w:color="auto" w:fill="auto"/>
          </w:tcPr>
          <w:p w14:paraId="7268E48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88"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489"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48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8B"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48C" w14:textId="77777777" w:rsidR="005F762A" w:rsidRDefault="00D74111">
            <w:pPr>
              <w:jc w:val="right"/>
              <w:textAlignment w:val="bottom"/>
            </w:pPr>
            <w:r>
              <w:rPr>
                <w:rFonts w:ascii="Arial" w:eastAsia="宋体" w:hAnsi="Arial" w:cs="Arial"/>
                <w:color w:val="000000"/>
                <w:sz w:val="18"/>
                <w:szCs w:val="18"/>
              </w:rPr>
              <w:t>117 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48D" w14:textId="77777777" w:rsidR="005F762A" w:rsidRDefault="005F762A">
            <w:pPr>
              <w:jc w:val="right"/>
              <w:rPr>
                <w:rFonts w:ascii="宋体"/>
              </w:rPr>
            </w:pPr>
          </w:p>
        </w:tc>
        <w:tc>
          <w:tcPr>
            <w:tcW w:w="0" w:type="auto"/>
            <w:gridSpan w:val="3"/>
            <w:shd w:val="clear" w:color="auto" w:fill="auto"/>
          </w:tcPr>
          <w:p w14:paraId="7268E48E" w14:textId="77777777" w:rsidR="005F762A" w:rsidRDefault="005F762A">
            <w:pPr>
              <w:rPr>
                <w:rFonts w:ascii="宋体"/>
                <w:vanish/>
              </w:rPr>
            </w:pPr>
          </w:p>
        </w:tc>
        <w:tc>
          <w:tcPr>
            <w:tcW w:w="0" w:type="auto"/>
            <w:gridSpan w:val="3"/>
            <w:shd w:val="clear" w:color="auto" w:fill="auto"/>
          </w:tcPr>
          <w:p w14:paraId="7268E48F" w14:textId="77777777" w:rsidR="005F762A" w:rsidRDefault="005F762A">
            <w:pPr>
              <w:rPr>
                <w:rFonts w:ascii="宋体"/>
                <w:vanish/>
              </w:rPr>
            </w:pPr>
          </w:p>
        </w:tc>
        <w:tc>
          <w:tcPr>
            <w:tcW w:w="0" w:type="auto"/>
            <w:gridSpan w:val="3"/>
            <w:shd w:val="clear" w:color="auto" w:fill="auto"/>
          </w:tcPr>
          <w:p w14:paraId="7268E490" w14:textId="77777777" w:rsidR="005F762A" w:rsidRDefault="005F762A">
            <w:pPr>
              <w:rPr>
                <w:rFonts w:ascii="宋体"/>
                <w:vanish/>
              </w:rPr>
            </w:pPr>
          </w:p>
        </w:tc>
        <w:tc>
          <w:tcPr>
            <w:tcW w:w="0" w:type="auto"/>
            <w:gridSpan w:val="3"/>
            <w:shd w:val="clear" w:color="auto" w:fill="auto"/>
          </w:tcPr>
          <w:p w14:paraId="7268E491" w14:textId="77777777" w:rsidR="005F762A" w:rsidRDefault="005F762A">
            <w:pPr>
              <w:rPr>
                <w:rFonts w:ascii="宋体"/>
                <w:vanish/>
              </w:rPr>
            </w:pPr>
          </w:p>
        </w:tc>
      </w:tr>
      <w:tr w:rsidR="005F762A" w14:paraId="7268E4A1" w14:textId="77777777">
        <w:trPr>
          <w:jc w:val="center"/>
        </w:trPr>
        <w:tc>
          <w:tcPr>
            <w:tcW w:w="0" w:type="auto"/>
            <w:gridSpan w:val="3"/>
            <w:shd w:val="clear" w:color="auto" w:fill="E1E1E1"/>
            <w:tcMar>
              <w:top w:w="40" w:type="dxa"/>
              <w:left w:w="20" w:type="dxa"/>
              <w:bottom w:w="40" w:type="dxa"/>
              <w:right w:w="20" w:type="dxa"/>
            </w:tcMar>
            <w:vAlign w:val="bottom"/>
          </w:tcPr>
          <w:p w14:paraId="7268E493" w14:textId="77777777" w:rsidR="005F762A" w:rsidRDefault="00D74111">
            <w:pPr>
              <w:textAlignment w:val="bottom"/>
            </w:pPr>
            <w:r>
              <w:rPr>
                <w:rFonts w:ascii="Arial" w:eastAsia="宋体" w:hAnsi="Arial" w:cs="Arial"/>
                <w:color w:val="000000"/>
                <w:sz w:val="18"/>
                <w:szCs w:val="18"/>
              </w:rPr>
              <w:t>Incom</w:t>
            </w:r>
            <w:r>
              <w:rPr>
                <w:rFonts w:ascii="Arial" w:eastAsia="宋体" w:hAnsi="Arial" w:cs="Arial"/>
                <w:color w:val="000000"/>
                <w:sz w:val="18"/>
                <w:szCs w:val="18"/>
              </w:rPr>
              <w:t>e (loss) from operations of discontinued operations</w:t>
            </w:r>
          </w:p>
        </w:tc>
        <w:tc>
          <w:tcPr>
            <w:tcW w:w="0" w:type="auto"/>
            <w:shd w:val="clear" w:color="auto" w:fill="auto"/>
          </w:tcPr>
          <w:p w14:paraId="7268E494" w14:textId="77777777" w:rsidR="005F762A" w:rsidRDefault="005F762A">
            <w:pPr>
              <w:rPr>
                <w:rFonts w:ascii="宋体"/>
                <w:vanish/>
              </w:rPr>
            </w:pPr>
          </w:p>
        </w:tc>
        <w:tc>
          <w:tcPr>
            <w:tcW w:w="0" w:type="auto"/>
            <w:shd w:val="clear" w:color="auto" w:fill="auto"/>
          </w:tcPr>
          <w:p w14:paraId="7268E495" w14:textId="77777777" w:rsidR="005F762A" w:rsidRDefault="005F762A">
            <w:pPr>
              <w:rPr>
                <w:rFonts w:ascii="宋体"/>
                <w:vanish/>
              </w:rPr>
            </w:pPr>
          </w:p>
        </w:tc>
        <w:tc>
          <w:tcPr>
            <w:tcW w:w="0" w:type="auto"/>
            <w:shd w:val="clear" w:color="auto" w:fill="auto"/>
          </w:tcPr>
          <w:p w14:paraId="7268E496"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97"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9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499"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9A"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49B" w14:textId="77777777" w:rsidR="005F762A" w:rsidRDefault="00D74111">
            <w:pPr>
              <w:jc w:val="right"/>
              <w:textAlignment w:val="bottom"/>
            </w:pPr>
            <w:r>
              <w:rPr>
                <w:rFonts w:ascii="Arial" w:eastAsia="宋体" w:hAnsi="Arial" w:cs="Arial"/>
                <w:color w:val="000000"/>
                <w:sz w:val="18"/>
                <w:szCs w:val="18"/>
              </w:rPr>
              <w:t>(48)</w:t>
            </w:r>
          </w:p>
        </w:tc>
        <w:tc>
          <w:tcPr>
            <w:tcW w:w="0" w:type="auto"/>
            <w:shd w:val="clear" w:color="auto" w:fill="E1E1E1"/>
            <w:tcMar>
              <w:top w:w="40" w:type="dxa"/>
              <w:left w:w="0" w:type="dxa"/>
              <w:bottom w:w="40" w:type="dxa"/>
              <w:right w:w="20" w:type="dxa"/>
            </w:tcMar>
            <w:vAlign w:val="bottom"/>
          </w:tcPr>
          <w:p w14:paraId="7268E49C" w14:textId="77777777" w:rsidR="005F762A" w:rsidRDefault="005F762A">
            <w:pPr>
              <w:jc w:val="right"/>
              <w:rPr>
                <w:rFonts w:ascii="宋体"/>
              </w:rPr>
            </w:pPr>
          </w:p>
        </w:tc>
        <w:tc>
          <w:tcPr>
            <w:tcW w:w="0" w:type="auto"/>
            <w:gridSpan w:val="3"/>
            <w:shd w:val="clear" w:color="auto" w:fill="auto"/>
          </w:tcPr>
          <w:p w14:paraId="7268E49D" w14:textId="77777777" w:rsidR="005F762A" w:rsidRDefault="005F762A">
            <w:pPr>
              <w:rPr>
                <w:rFonts w:ascii="宋体"/>
                <w:vanish/>
              </w:rPr>
            </w:pPr>
          </w:p>
        </w:tc>
        <w:tc>
          <w:tcPr>
            <w:tcW w:w="0" w:type="auto"/>
            <w:gridSpan w:val="3"/>
            <w:shd w:val="clear" w:color="auto" w:fill="auto"/>
          </w:tcPr>
          <w:p w14:paraId="7268E49E" w14:textId="77777777" w:rsidR="005F762A" w:rsidRDefault="005F762A">
            <w:pPr>
              <w:rPr>
                <w:rFonts w:ascii="宋体"/>
                <w:vanish/>
              </w:rPr>
            </w:pPr>
          </w:p>
        </w:tc>
        <w:tc>
          <w:tcPr>
            <w:tcW w:w="0" w:type="auto"/>
            <w:gridSpan w:val="3"/>
            <w:shd w:val="clear" w:color="auto" w:fill="auto"/>
          </w:tcPr>
          <w:p w14:paraId="7268E49F" w14:textId="77777777" w:rsidR="005F762A" w:rsidRDefault="005F762A">
            <w:pPr>
              <w:rPr>
                <w:rFonts w:ascii="宋体"/>
                <w:vanish/>
              </w:rPr>
            </w:pPr>
          </w:p>
        </w:tc>
        <w:tc>
          <w:tcPr>
            <w:tcW w:w="0" w:type="auto"/>
            <w:gridSpan w:val="3"/>
            <w:shd w:val="clear" w:color="auto" w:fill="auto"/>
          </w:tcPr>
          <w:p w14:paraId="7268E4A0" w14:textId="77777777" w:rsidR="005F762A" w:rsidRDefault="005F762A">
            <w:pPr>
              <w:rPr>
                <w:rFonts w:ascii="宋体"/>
                <w:vanish/>
              </w:rPr>
            </w:pPr>
          </w:p>
        </w:tc>
      </w:tr>
      <w:tr w:rsidR="005F762A" w14:paraId="7268E4B0" w14:textId="77777777">
        <w:trPr>
          <w:jc w:val="center"/>
        </w:trPr>
        <w:tc>
          <w:tcPr>
            <w:tcW w:w="0" w:type="auto"/>
            <w:gridSpan w:val="3"/>
            <w:shd w:val="clear" w:color="auto" w:fill="FFFFFF"/>
            <w:tcMar>
              <w:top w:w="40" w:type="dxa"/>
              <w:left w:w="20" w:type="dxa"/>
              <w:bottom w:w="40" w:type="dxa"/>
              <w:right w:w="20" w:type="dxa"/>
            </w:tcMar>
            <w:vAlign w:val="bottom"/>
          </w:tcPr>
          <w:p w14:paraId="7268E4A2" w14:textId="77777777" w:rsidR="005F762A" w:rsidRDefault="00D74111">
            <w:pPr>
              <w:textAlignment w:val="bottom"/>
            </w:pPr>
            <w:r>
              <w:rPr>
                <w:rFonts w:ascii="Arial" w:eastAsia="宋体" w:hAnsi="Arial" w:cs="Arial"/>
                <w:color w:val="000000"/>
                <w:sz w:val="18"/>
                <w:szCs w:val="18"/>
              </w:rPr>
              <w:t>Pre-tax gain (loss) on sale</w:t>
            </w:r>
          </w:p>
        </w:tc>
        <w:tc>
          <w:tcPr>
            <w:tcW w:w="0" w:type="auto"/>
            <w:shd w:val="clear" w:color="auto" w:fill="auto"/>
          </w:tcPr>
          <w:p w14:paraId="7268E4A3" w14:textId="77777777" w:rsidR="005F762A" w:rsidRDefault="005F762A">
            <w:pPr>
              <w:rPr>
                <w:rFonts w:ascii="宋体"/>
                <w:vanish/>
              </w:rPr>
            </w:pPr>
          </w:p>
        </w:tc>
        <w:tc>
          <w:tcPr>
            <w:tcW w:w="0" w:type="auto"/>
            <w:shd w:val="clear" w:color="auto" w:fill="auto"/>
          </w:tcPr>
          <w:p w14:paraId="7268E4A4" w14:textId="77777777" w:rsidR="005F762A" w:rsidRDefault="005F762A">
            <w:pPr>
              <w:rPr>
                <w:rFonts w:ascii="宋体"/>
                <w:vanish/>
              </w:rPr>
            </w:pPr>
          </w:p>
        </w:tc>
        <w:tc>
          <w:tcPr>
            <w:tcW w:w="0" w:type="auto"/>
            <w:shd w:val="clear" w:color="auto" w:fill="auto"/>
          </w:tcPr>
          <w:p w14:paraId="7268E4A5"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A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A7"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4A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A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AA" w14:textId="77777777" w:rsidR="005F762A" w:rsidRDefault="00D74111">
            <w:pPr>
              <w:jc w:val="right"/>
              <w:textAlignment w:val="bottom"/>
            </w:pPr>
            <w:r>
              <w:rPr>
                <w:rFonts w:ascii="Arial" w:eastAsia="宋体" w:hAnsi="Arial" w:cs="Arial"/>
                <w:color w:val="000000"/>
                <w:sz w:val="18"/>
                <w:szCs w:val="18"/>
              </w:rPr>
              <w:t>3,876 </w:t>
            </w:r>
          </w:p>
        </w:tc>
        <w:tc>
          <w:tcPr>
            <w:tcW w:w="0" w:type="auto"/>
            <w:shd w:val="clear" w:color="auto" w:fill="FFFFFF"/>
            <w:tcMar>
              <w:top w:w="40" w:type="dxa"/>
              <w:left w:w="0" w:type="dxa"/>
              <w:bottom w:w="40" w:type="dxa"/>
              <w:right w:w="20" w:type="dxa"/>
            </w:tcMar>
            <w:vAlign w:val="bottom"/>
          </w:tcPr>
          <w:p w14:paraId="7268E4AB" w14:textId="77777777" w:rsidR="005F762A" w:rsidRDefault="005F762A">
            <w:pPr>
              <w:jc w:val="right"/>
              <w:rPr>
                <w:rFonts w:ascii="宋体"/>
              </w:rPr>
            </w:pPr>
          </w:p>
        </w:tc>
        <w:tc>
          <w:tcPr>
            <w:tcW w:w="0" w:type="auto"/>
            <w:gridSpan w:val="3"/>
            <w:shd w:val="clear" w:color="auto" w:fill="auto"/>
          </w:tcPr>
          <w:p w14:paraId="7268E4AC" w14:textId="77777777" w:rsidR="005F762A" w:rsidRDefault="005F762A">
            <w:pPr>
              <w:rPr>
                <w:rFonts w:ascii="宋体"/>
                <w:vanish/>
              </w:rPr>
            </w:pPr>
          </w:p>
        </w:tc>
        <w:tc>
          <w:tcPr>
            <w:tcW w:w="0" w:type="auto"/>
            <w:gridSpan w:val="3"/>
            <w:shd w:val="clear" w:color="auto" w:fill="auto"/>
          </w:tcPr>
          <w:p w14:paraId="7268E4AD" w14:textId="77777777" w:rsidR="005F762A" w:rsidRDefault="005F762A">
            <w:pPr>
              <w:rPr>
                <w:rFonts w:ascii="宋体"/>
                <w:vanish/>
              </w:rPr>
            </w:pPr>
          </w:p>
        </w:tc>
        <w:tc>
          <w:tcPr>
            <w:tcW w:w="0" w:type="auto"/>
            <w:gridSpan w:val="3"/>
            <w:shd w:val="clear" w:color="auto" w:fill="auto"/>
          </w:tcPr>
          <w:p w14:paraId="7268E4AE" w14:textId="77777777" w:rsidR="005F762A" w:rsidRDefault="005F762A">
            <w:pPr>
              <w:rPr>
                <w:rFonts w:ascii="宋体"/>
                <w:vanish/>
              </w:rPr>
            </w:pPr>
          </w:p>
        </w:tc>
        <w:tc>
          <w:tcPr>
            <w:tcW w:w="0" w:type="auto"/>
            <w:gridSpan w:val="3"/>
            <w:shd w:val="clear" w:color="auto" w:fill="auto"/>
          </w:tcPr>
          <w:p w14:paraId="7268E4AF" w14:textId="77777777" w:rsidR="005F762A" w:rsidRDefault="005F762A">
            <w:pPr>
              <w:rPr>
                <w:rFonts w:ascii="宋体"/>
                <w:vanish/>
              </w:rPr>
            </w:pPr>
          </w:p>
        </w:tc>
      </w:tr>
      <w:tr w:rsidR="005F762A" w14:paraId="7268E4BF" w14:textId="77777777">
        <w:trPr>
          <w:jc w:val="center"/>
        </w:trPr>
        <w:tc>
          <w:tcPr>
            <w:tcW w:w="0" w:type="auto"/>
            <w:gridSpan w:val="3"/>
            <w:shd w:val="clear" w:color="auto" w:fill="E1E1E1"/>
            <w:tcMar>
              <w:top w:w="40" w:type="dxa"/>
              <w:left w:w="20" w:type="dxa"/>
              <w:bottom w:w="40" w:type="dxa"/>
              <w:right w:w="20" w:type="dxa"/>
            </w:tcMar>
            <w:vAlign w:val="bottom"/>
          </w:tcPr>
          <w:p w14:paraId="7268E4B1" w14:textId="77777777" w:rsidR="005F762A" w:rsidRDefault="00D74111">
            <w:pPr>
              <w:textAlignment w:val="bottom"/>
            </w:pPr>
            <w:r>
              <w:rPr>
                <w:rFonts w:ascii="Arial" w:eastAsia="宋体" w:hAnsi="Arial" w:cs="Arial"/>
                <w:color w:val="000000"/>
                <w:sz w:val="18"/>
                <w:szCs w:val="18"/>
              </w:rPr>
              <w:t>Income (loss) from discontinued operations before income taxes</w:t>
            </w:r>
          </w:p>
        </w:tc>
        <w:tc>
          <w:tcPr>
            <w:tcW w:w="0" w:type="auto"/>
            <w:shd w:val="clear" w:color="auto" w:fill="auto"/>
          </w:tcPr>
          <w:p w14:paraId="7268E4B2" w14:textId="77777777" w:rsidR="005F762A" w:rsidRDefault="005F762A">
            <w:pPr>
              <w:rPr>
                <w:rFonts w:ascii="宋体"/>
                <w:vanish/>
              </w:rPr>
            </w:pPr>
          </w:p>
        </w:tc>
        <w:tc>
          <w:tcPr>
            <w:tcW w:w="0" w:type="auto"/>
            <w:shd w:val="clear" w:color="auto" w:fill="auto"/>
          </w:tcPr>
          <w:p w14:paraId="7268E4B3" w14:textId="77777777" w:rsidR="005F762A" w:rsidRDefault="005F762A">
            <w:pPr>
              <w:rPr>
                <w:rFonts w:ascii="宋体"/>
                <w:vanish/>
              </w:rPr>
            </w:pPr>
          </w:p>
        </w:tc>
        <w:tc>
          <w:tcPr>
            <w:tcW w:w="0" w:type="auto"/>
            <w:shd w:val="clear" w:color="auto" w:fill="auto"/>
          </w:tcPr>
          <w:p w14:paraId="7268E4B4"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B5"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4B6"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B7"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B8"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4B9" w14:textId="77777777" w:rsidR="005F762A" w:rsidRDefault="00D74111">
            <w:pPr>
              <w:jc w:val="right"/>
              <w:textAlignment w:val="bottom"/>
            </w:pPr>
            <w:r>
              <w:rPr>
                <w:rFonts w:ascii="Arial" w:eastAsia="宋体" w:hAnsi="Arial" w:cs="Arial"/>
                <w:color w:val="000000"/>
                <w:sz w:val="18"/>
                <w:szCs w:val="18"/>
              </w:rPr>
              <w:t>3,828 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4BA" w14:textId="77777777" w:rsidR="005F762A" w:rsidRDefault="005F762A">
            <w:pPr>
              <w:jc w:val="right"/>
              <w:rPr>
                <w:rFonts w:ascii="宋体"/>
              </w:rPr>
            </w:pPr>
          </w:p>
        </w:tc>
        <w:tc>
          <w:tcPr>
            <w:tcW w:w="0" w:type="auto"/>
            <w:gridSpan w:val="3"/>
            <w:shd w:val="clear" w:color="auto" w:fill="auto"/>
          </w:tcPr>
          <w:p w14:paraId="7268E4BB" w14:textId="77777777" w:rsidR="005F762A" w:rsidRDefault="005F762A">
            <w:pPr>
              <w:rPr>
                <w:rFonts w:ascii="宋体"/>
                <w:vanish/>
              </w:rPr>
            </w:pPr>
          </w:p>
        </w:tc>
        <w:tc>
          <w:tcPr>
            <w:tcW w:w="0" w:type="auto"/>
            <w:gridSpan w:val="3"/>
            <w:shd w:val="clear" w:color="auto" w:fill="auto"/>
          </w:tcPr>
          <w:p w14:paraId="7268E4BC" w14:textId="77777777" w:rsidR="005F762A" w:rsidRDefault="005F762A">
            <w:pPr>
              <w:rPr>
                <w:rFonts w:ascii="宋体"/>
                <w:vanish/>
              </w:rPr>
            </w:pPr>
          </w:p>
        </w:tc>
        <w:tc>
          <w:tcPr>
            <w:tcW w:w="0" w:type="auto"/>
            <w:gridSpan w:val="3"/>
            <w:shd w:val="clear" w:color="auto" w:fill="auto"/>
          </w:tcPr>
          <w:p w14:paraId="7268E4BD" w14:textId="77777777" w:rsidR="005F762A" w:rsidRDefault="005F762A">
            <w:pPr>
              <w:rPr>
                <w:rFonts w:ascii="宋体"/>
                <w:vanish/>
              </w:rPr>
            </w:pPr>
          </w:p>
        </w:tc>
        <w:tc>
          <w:tcPr>
            <w:tcW w:w="0" w:type="auto"/>
            <w:gridSpan w:val="3"/>
            <w:shd w:val="clear" w:color="auto" w:fill="auto"/>
          </w:tcPr>
          <w:p w14:paraId="7268E4BE" w14:textId="77777777" w:rsidR="005F762A" w:rsidRDefault="005F762A">
            <w:pPr>
              <w:rPr>
                <w:rFonts w:ascii="宋体"/>
                <w:vanish/>
              </w:rPr>
            </w:pPr>
          </w:p>
        </w:tc>
      </w:tr>
      <w:tr w:rsidR="005F762A" w14:paraId="7268E4CE" w14:textId="77777777">
        <w:trPr>
          <w:jc w:val="center"/>
        </w:trPr>
        <w:tc>
          <w:tcPr>
            <w:tcW w:w="0" w:type="auto"/>
            <w:gridSpan w:val="3"/>
            <w:shd w:val="clear" w:color="auto" w:fill="FFFFFF"/>
            <w:tcMar>
              <w:top w:w="40" w:type="dxa"/>
              <w:left w:w="20" w:type="dxa"/>
              <w:bottom w:w="40" w:type="dxa"/>
              <w:right w:w="20" w:type="dxa"/>
            </w:tcMar>
            <w:vAlign w:val="bottom"/>
          </w:tcPr>
          <w:p w14:paraId="7268E4C0" w14:textId="77777777" w:rsidR="005F762A" w:rsidRDefault="00D74111">
            <w:pPr>
              <w:textAlignment w:val="bottom"/>
            </w:pPr>
            <w:r>
              <w:rPr>
                <w:rFonts w:ascii="Arial" w:eastAsia="宋体" w:hAnsi="Arial" w:cs="Arial"/>
                <w:color w:val="000000"/>
                <w:sz w:val="18"/>
                <w:szCs w:val="18"/>
              </w:rPr>
              <w:t>Income tax</w:t>
            </w:r>
            <w:r>
              <w:rPr>
                <w:rFonts w:ascii="Arial" w:eastAsia="宋体" w:hAnsi="Arial" w:cs="Arial"/>
                <w:color w:val="000000"/>
                <w:sz w:val="18"/>
                <w:szCs w:val="18"/>
              </w:rPr>
              <w:t xml:space="preserve"> benefit (provision)</w:t>
            </w:r>
          </w:p>
        </w:tc>
        <w:tc>
          <w:tcPr>
            <w:tcW w:w="0" w:type="auto"/>
            <w:shd w:val="clear" w:color="auto" w:fill="auto"/>
          </w:tcPr>
          <w:p w14:paraId="7268E4C1" w14:textId="77777777" w:rsidR="005F762A" w:rsidRDefault="005F762A">
            <w:pPr>
              <w:rPr>
                <w:rFonts w:ascii="宋体"/>
                <w:vanish/>
              </w:rPr>
            </w:pPr>
          </w:p>
        </w:tc>
        <w:tc>
          <w:tcPr>
            <w:tcW w:w="0" w:type="auto"/>
            <w:shd w:val="clear" w:color="auto" w:fill="auto"/>
          </w:tcPr>
          <w:p w14:paraId="7268E4C2" w14:textId="77777777" w:rsidR="005F762A" w:rsidRDefault="005F762A">
            <w:pPr>
              <w:rPr>
                <w:rFonts w:ascii="宋体"/>
                <w:vanish/>
              </w:rPr>
            </w:pPr>
          </w:p>
        </w:tc>
        <w:tc>
          <w:tcPr>
            <w:tcW w:w="0" w:type="auto"/>
            <w:shd w:val="clear" w:color="auto" w:fill="auto"/>
          </w:tcPr>
          <w:p w14:paraId="7268E4C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4C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C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4C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4C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4C8" w14:textId="77777777" w:rsidR="005F762A" w:rsidRDefault="00D74111">
            <w:pPr>
              <w:jc w:val="right"/>
              <w:textAlignment w:val="bottom"/>
            </w:pPr>
            <w:r>
              <w:rPr>
                <w:rFonts w:ascii="Arial" w:eastAsia="宋体" w:hAnsi="Arial" w:cs="Arial"/>
                <w:color w:val="000000"/>
                <w:sz w:val="18"/>
                <w:szCs w:val="18"/>
              </w:rPr>
              <w:t>(900)</w:t>
            </w:r>
          </w:p>
        </w:tc>
        <w:tc>
          <w:tcPr>
            <w:tcW w:w="0" w:type="auto"/>
            <w:shd w:val="clear" w:color="auto" w:fill="FFFFFF"/>
            <w:tcMar>
              <w:top w:w="40" w:type="dxa"/>
              <w:left w:w="0" w:type="dxa"/>
              <w:bottom w:w="40" w:type="dxa"/>
              <w:right w:w="20" w:type="dxa"/>
            </w:tcMar>
            <w:vAlign w:val="bottom"/>
          </w:tcPr>
          <w:p w14:paraId="7268E4C9" w14:textId="77777777" w:rsidR="005F762A" w:rsidRDefault="005F762A">
            <w:pPr>
              <w:jc w:val="right"/>
              <w:rPr>
                <w:rFonts w:ascii="宋体"/>
              </w:rPr>
            </w:pPr>
          </w:p>
        </w:tc>
        <w:tc>
          <w:tcPr>
            <w:tcW w:w="0" w:type="auto"/>
            <w:gridSpan w:val="3"/>
            <w:shd w:val="clear" w:color="auto" w:fill="auto"/>
          </w:tcPr>
          <w:p w14:paraId="7268E4CA" w14:textId="77777777" w:rsidR="005F762A" w:rsidRDefault="005F762A">
            <w:pPr>
              <w:rPr>
                <w:rFonts w:ascii="宋体"/>
                <w:vanish/>
              </w:rPr>
            </w:pPr>
          </w:p>
        </w:tc>
        <w:tc>
          <w:tcPr>
            <w:tcW w:w="0" w:type="auto"/>
            <w:gridSpan w:val="3"/>
            <w:shd w:val="clear" w:color="auto" w:fill="auto"/>
          </w:tcPr>
          <w:p w14:paraId="7268E4CB" w14:textId="77777777" w:rsidR="005F762A" w:rsidRDefault="005F762A">
            <w:pPr>
              <w:rPr>
                <w:rFonts w:ascii="宋体"/>
                <w:vanish/>
              </w:rPr>
            </w:pPr>
          </w:p>
        </w:tc>
        <w:tc>
          <w:tcPr>
            <w:tcW w:w="0" w:type="auto"/>
            <w:gridSpan w:val="3"/>
            <w:shd w:val="clear" w:color="auto" w:fill="auto"/>
          </w:tcPr>
          <w:p w14:paraId="7268E4CC" w14:textId="77777777" w:rsidR="005F762A" w:rsidRDefault="005F762A">
            <w:pPr>
              <w:rPr>
                <w:rFonts w:ascii="宋体"/>
                <w:vanish/>
              </w:rPr>
            </w:pPr>
          </w:p>
        </w:tc>
        <w:tc>
          <w:tcPr>
            <w:tcW w:w="0" w:type="auto"/>
            <w:gridSpan w:val="3"/>
            <w:shd w:val="clear" w:color="auto" w:fill="auto"/>
          </w:tcPr>
          <w:p w14:paraId="7268E4CD" w14:textId="77777777" w:rsidR="005F762A" w:rsidRDefault="005F762A">
            <w:pPr>
              <w:rPr>
                <w:rFonts w:ascii="宋体"/>
                <w:vanish/>
              </w:rPr>
            </w:pPr>
          </w:p>
        </w:tc>
      </w:tr>
      <w:tr w:rsidR="005F762A" w14:paraId="7268E4DF" w14:textId="77777777">
        <w:trPr>
          <w:jc w:val="center"/>
        </w:trPr>
        <w:tc>
          <w:tcPr>
            <w:tcW w:w="0" w:type="auto"/>
            <w:gridSpan w:val="3"/>
            <w:shd w:val="clear" w:color="auto" w:fill="E1E1E1"/>
            <w:tcMar>
              <w:top w:w="40" w:type="dxa"/>
              <w:left w:w="20" w:type="dxa"/>
              <w:bottom w:w="40" w:type="dxa"/>
              <w:right w:w="20" w:type="dxa"/>
            </w:tcMar>
            <w:vAlign w:val="bottom"/>
          </w:tcPr>
          <w:p w14:paraId="7268E4CF" w14:textId="77777777" w:rsidR="005F762A" w:rsidRDefault="00D74111">
            <w:pPr>
              <w:textAlignment w:val="bottom"/>
            </w:pPr>
            <w:r>
              <w:rPr>
                <w:rFonts w:ascii="Arial" w:eastAsia="宋体" w:hAnsi="Arial" w:cs="Arial"/>
                <w:color w:val="000000"/>
                <w:sz w:val="18"/>
                <w:szCs w:val="18"/>
              </w:rPr>
              <w:t>Income (loss) from discontinued operations, net of income taxes</w:t>
            </w:r>
          </w:p>
        </w:tc>
        <w:tc>
          <w:tcPr>
            <w:tcW w:w="0" w:type="auto"/>
            <w:shd w:val="clear" w:color="auto" w:fill="auto"/>
          </w:tcPr>
          <w:p w14:paraId="7268E4D0" w14:textId="77777777" w:rsidR="005F762A" w:rsidRDefault="005F762A">
            <w:pPr>
              <w:rPr>
                <w:rFonts w:ascii="宋体"/>
                <w:vanish/>
              </w:rPr>
            </w:pPr>
          </w:p>
        </w:tc>
        <w:tc>
          <w:tcPr>
            <w:tcW w:w="0" w:type="auto"/>
            <w:shd w:val="clear" w:color="auto" w:fill="auto"/>
          </w:tcPr>
          <w:p w14:paraId="7268E4D1" w14:textId="77777777" w:rsidR="005F762A" w:rsidRDefault="005F762A">
            <w:pPr>
              <w:rPr>
                <w:rFonts w:ascii="宋体"/>
                <w:vanish/>
              </w:rPr>
            </w:pPr>
          </w:p>
        </w:tc>
        <w:tc>
          <w:tcPr>
            <w:tcW w:w="0" w:type="auto"/>
            <w:shd w:val="clear" w:color="auto" w:fill="auto"/>
          </w:tcPr>
          <w:p w14:paraId="7268E4D2"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4D3"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4D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4D5"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4D6"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4D7"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4D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4D9" w14:textId="77777777" w:rsidR="005F762A" w:rsidRDefault="00D74111">
            <w:pPr>
              <w:jc w:val="right"/>
              <w:textAlignment w:val="bottom"/>
            </w:pPr>
            <w:r>
              <w:rPr>
                <w:rFonts w:ascii="Arial" w:eastAsia="宋体" w:hAnsi="Arial" w:cs="Arial"/>
                <w:color w:val="000000"/>
                <w:sz w:val="18"/>
                <w:szCs w:val="18"/>
              </w:rPr>
              <w:t>2,928 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4DA" w14:textId="77777777" w:rsidR="005F762A" w:rsidRDefault="005F762A">
            <w:pPr>
              <w:jc w:val="right"/>
              <w:rPr>
                <w:rFonts w:ascii="宋体"/>
              </w:rPr>
            </w:pPr>
          </w:p>
        </w:tc>
        <w:tc>
          <w:tcPr>
            <w:tcW w:w="0" w:type="auto"/>
            <w:gridSpan w:val="3"/>
            <w:shd w:val="clear" w:color="auto" w:fill="auto"/>
          </w:tcPr>
          <w:p w14:paraId="7268E4DB" w14:textId="77777777" w:rsidR="005F762A" w:rsidRDefault="005F762A">
            <w:pPr>
              <w:rPr>
                <w:rFonts w:ascii="宋体"/>
                <w:vanish/>
              </w:rPr>
            </w:pPr>
          </w:p>
        </w:tc>
        <w:tc>
          <w:tcPr>
            <w:tcW w:w="0" w:type="auto"/>
            <w:gridSpan w:val="3"/>
            <w:shd w:val="clear" w:color="auto" w:fill="auto"/>
          </w:tcPr>
          <w:p w14:paraId="7268E4DC" w14:textId="77777777" w:rsidR="005F762A" w:rsidRDefault="005F762A">
            <w:pPr>
              <w:rPr>
                <w:rFonts w:ascii="宋体"/>
                <w:vanish/>
              </w:rPr>
            </w:pPr>
          </w:p>
        </w:tc>
        <w:tc>
          <w:tcPr>
            <w:tcW w:w="0" w:type="auto"/>
            <w:gridSpan w:val="3"/>
            <w:shd w:val="clear" w:color="auto" w:fill="auto"/>
          </w:tcPr>
          <w:p w14:paraId="7268E4DD" w14:textId="77777777" w:rsidR="005F762A" w:rsidRDefault="005F762A">
            <w:pPr>
              <w:rPr>
                <w:rFonts w:ascii="宋体"/>
                <w:vanish/>
              </w:rPr>
            </w:pPr>
          </w:p>
        </w:tc>
        <w:tc>
          <w:tcPr>
            <w:tcW w:w="0" w:type="auto"/>
            <w:gridSpan w:val="3"/>
            <w:shd w:val="clear" w:color="auto" w:fill="auto"/>
          </w:tcPr>
          <w:p w14:paraId="7268E4DE" w14:textId="77777777" w:rsidR="005F762A" w:rsidRDefault="005F762A">
            <w:pPr>
              <w:rPr>
                <w:rFonts w:ascii="宋体"/>
                <w:vanish/>
              </w:rPr>
            </w:pPr>
          </w:p>
        </w:tc>
      </w:tr>
    </w:tbl>
    <w:p w14:paraId="7268E4E0" w14:textId="77777777" w:rsidR="005F762A" w:rsidRDefault="00D74111">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7268E4E1" w14:textId="77777777" w:rsidR="005F762A" w:rsidRDefault="005F762A">
      <w:pPr>
        <w:ind w:hanging="180"/>
      </w:pPr>
    </w:p>
    <w:p w14:paraId="7268E4E2" w14:textId="77777777" w:rsidR="005F762A" w:rsidRDefault="00D74111">
      <w:pPr>
        <w:spacing w:after="120"/>
        <w:ind w:firstLine="540"/>
        <w:jc w:val="both"/>
      </w:pPr>
      <w:r>
        <w:rPr>
          <w:rFonts w:ascii="Arial" w:eastAsia="宋体" w:hAnsi="Arial" w:cs="Arial"/>
          <w:color w:val="000000"/>
          <w:sz w:val="20"/>
          <w:szCs w:val="20"/>
        </w:rPr>
        <w:t xml:space="preserve">The financial results of Classifieds are presented as income </w:t>
      </w:r>
      <w:r>
        <w:rPr>
          <w:rFonts w:ascii="Arial" w:eastAsia="宋体" w:hAnsi="Arial" w:cs="Arial"/>
          <w:color w:val="000000"/>
          <w:sz w:val="20"/>
          <w:szCs w:val="20"/>
        </w:rPr>
        <w:t>from discontinued operations, net of income taxes on our condensed consolidated statement of income. Each period presented below includes the impact of intercompany revenue agreements that will continue with eBay subsequent to the completion of the transfe</w:t>
      </w:r>
      <w:r>
        <w:rPr>
          <w:rFonts w:ascii="Arial" w:eastAsia="宋体" w:hAnsi="Arial" w:cs="Arial"/>
          <w:color w:val="000000"/>
          <w:sz w:val="20"/>
          <w:szCs w:val="20"/>
        </w:rPr>
        <w:t>r of the Classifieds business. The impact of these intercompany revenue agreements to net revenues and cost of net revenues were $2 million and $4 million for the three months ended March 31, 2021 and 2020. The expected continuing cash flows are not consid</w:t>
      </w:r>
      <w:r>
        <w:rPr>
          <w:rFonts w:ascii="Arial" w:eastAsia="宋体" w:hAnsi="Arial" w:cs="Arial"/>
          <w:color w:val="000000"/>
          <w:sz w:val="20"/>
          <w:szCs w:val="20"/>
        </w:rPr>
        <w:t>ered to be significant. The following table presents the financial results of Classifieds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11"/>
        <w:gridCol w:w="39"/>
        <w:gridCol w:w="36"/>
        <w:gridCol w:w="46"/>
        <w:gridCol w:w="36"/>
        <w:gridCol w:w="36"/>
        <w:gridCol w:w="36"/>
        <w:gridCol w:w="36"/>
        <w:gridCol w:w="121"/>
        <w:gridCol w:w="732"/>
        <w:gridCol w:w="36"/>
        <w:gridCol w:w="36"/>
        <w:gridCol w:w="36"/>
        <w:gridCol w:w="36"/>
        <w:gridCol w:w="121"/>
        <w:gridCol w:w="734"/>
        <w:gridCol w:w="36"/>
        <w:gridCol w:w="36"/>
        <w:gridCol w:w="36"/>
        <w:gridCol w:w="36"/>
        <w:gridCol w:w="36"/>
        <w:gridCol w:w="36"/>
        <w:gridCol w:w="36"/>
        <w:gridCol w:w="36"/>
        <w:gridCol w:w="36"/>
        <w:gridCol w:w="36"/>
        <w:gridCol w:w="36"/>
        <w:gridCol w:w="36"/>
        <w:gridCol w:w="36"/>
      </w:tblGrid>
      <w:tr w:rsidR="005F762A" w14:paraId="7268E4F9" w14:textId="77777777">
        <w:trPr>
          <w:jc w:val="center"/>
        </w:trPr>
        <w:tc>
          <w:tcPr>
            <w:tcW w:w="50" w:type="pct"/>
            <w:shd w:val="clear" w:color="auto" w:fill="auto"/>
          </w:tcPr>
          <w:p w14:paraId="7268E4E3" w14:textId="77777777" w:rsidR="005F762A" w:rsidRDefault="005F762A">
            <w:pPr>
              <w:rPr>
                <w:rFonts w:ascii="宋体"/>
              </w:rPr>
            </w:pPr>
          </w:p>
        </w:tc>
        <w:tc>
          <w:tcPr>
            <w:tcW w:w="3702" w:type="pct"/>
            <w:shd w:val="clear" w:color="auto" w:fill="auto"/>
          </w:tcPr>
          <w:p w14:paraId="7268E4E4" w14:textId="77777777" w:rsidR="005F762A" w:rsidRDefault="005F762A">
            <w:pPr>
              <w:rPr>
                <w:rFonts w:ascii="宋体"/>
              </w:rPr>
            </w:pPr>
          </w:p>
        </w:tc>
        <w:tc>
          <w:tcPr>
            <w:tcW w:w="5" w:type="pct"/>
            <w:shd w:val="clear" w:color="auto" w:fill="auto"/>
          </w:tcPr>
          <w:p w14:paraId="7268E4E5" w14:textId="77777777" w:rsidR="005F762A" w:rsidRDefault="005F762A">
            <w:pPr>
              <w:rPr>
                <w:rFonts w:ascii="宋体"/>
              </w:rPr>
            </w:pPr>
          </w:p>
        </w:tc>
        <w:tc>
          <w:tcPr>
            <w:tcW w:w="0" w:type="auto"/>
            <w:shd w:val="clear" w:color="auto" w:fill="auto"/>
          </w:tcPr>
          <w:p w14:paraId="7268E4E6" w14:textId="77777777" w:rsidR="005F762A" w:rsidRDefault="005F762A">
            <w:pPr>
              <w:rPr>
                <w:rFonts w:ascii="宋体"/>
                <w:vanish/>
              </w:rPr>
            </w:pPr>
          </w:p>
        </w:tc>
        <w:tc>
          <w:tcPr>
            <w:tcW w:w="0" w:type="auto"/>
            <w:shd w:val="clear" w:color="auto" w:fill="auto"/>
          </w:tcPr>
          <w:p w14:paraId="7268E4E7" w14:textId="77777777" w:rsidR="005F762A" w:rsidRDefault="005F762A">
            <w:pPr>
              <w:rPr>
                <w:rFonts w:ascii="宋体"/>
                <w:vanish/>
              </w:rPr>
            </w:pPr>
          </w:p>
        </w:tc>
        <w:tc>
          <w:tcPr>
            <w:tcW w:w="0" w:type="auto"/>
            <w:shd w:val="clear" w:color="auto" w:fill="auto"/>
          </w:tcPr>
          <w:p w14:paraId="7268E4E8" w14:textId="77777777" w:rsidR="005F762A" w:rsidRDefault="005F762A">
            <w:pPr>
              <w:rPr>
                <w:rFonts w:ascii="宋体"/>
                <w:vanish/>
              </w:rPr>
            </w:pPr>
          </w:p>
        </w:tc>
        <w:tc>
          <w:tcPr>
            <w:tcW w:w="5" w:type="pct"/>
            <w:shd w:val="clear" w:color="auto" w:fill="auto"/>
          </w:tcPr>
          <w:p w14:paraId="7268E4E9" w14:textId="77777777" w:rsidR="005F762A" w:rsidRDefault="005F762A">
            <w:pPr>
              <w:rPr>
                <w:rFonts w:ascii="宋体"/>
              </w:rPr>
            </w:pPr>
          </w:p>
        </w:tc>
        <w:tc>
          <w:tcPr>
            <w:tcW w:w="26" w:type="pct"/>
            <w:shd w:val="clear" w:color="auto" w:fill="auto"/>
          </w:tcPr>
          <w:p w14:paraId="7268E4EA" w14:textId="77777777" w:rsidR="005F762A" w:rsidRDefault="005F762A">
            <w:pPr>
              <w:rPr>
                <w:rFonts w:ascii="宋体"/>
              </w:rPr>
            </w:pPr>
          </w:p>
        </w:tc>
        <w:tc>
          <w:tcPr>
            <w:tcW w:w="5" w:type="pct"/>
            <w:shd w:val="clear" w:color="auto" w:fill="auto"/>
          </w:tcPr>
          <w:p w14:paraId="7268E4EB" w14:textId="77777777" w:rsidR="005F762A" w:rsidRDefault="005F762A">
            <w:pPr>
              <w:rPr>
                <w:rFonts w:ascii="宋体"/>
              </w:rPr>
            </w:pPr>
          </w:p>
        </w:tc>
        <w:tc>
          <w:tcPr>
            <w:tcW w:w="50" w:type="pct"/>
            <w:shd w:val="clear" w:color="auto" w:fill="auto"/>
          </w:tcPr>
          <w:p w14:paraId="7268E4EC" w14:textId="77777777" w:rsidR="005F762A" w:rsidRDefault="005F762A">
            <w:pPr>
              <w:rPr>
                <w:rFonts w:ascii="宋体"/>
              </w:rPr>
            </w:pPr>
          </w:p>
        </w:tc>
        <w:tc>
          <w:tcPr>
            <w:tcW w:w="529" w:type="pct"/>
            <w:shd w:val="clear" w:color="auto" w:fill="auto"/>
          </w:tcPr>
          <w:p w14:paraId="7268E4ED" w14:textId="77777777" w:rsidR="005F762A" w:rsidRDefault="005F762A">
            <w:pPr>
              <w:rPr>
                <w:rFonts w:ascii="宋体"/>
              </w:rPr>
            </w:pPr>
          </w:p>
        </w:tc>
        <w:tc>
          <w:tcPr>
            <w:tcW w:w="5" w:type="pct"/>
            <w:shd w:val="clear" w:color="auto" w:fill="auto"/>
          </w:tcPr>
          <w:p w14:paraId="7268E4EE" w14:textId="77777777" w:rsidR="005F762A" w:rsidRDefault="005F762A">
            <w:pPr>
              <w:rPr>
                <w:rFonts w:ascii="宋体"/>
              </w:rPr>
            </w:pPr>
          </w:p>
        </w:tc>
        <w:tc>
          <w:tcPr>
            <w:tcW w:w="5" w:type="pct"/>
            <w:shd w:val="clear" w:color="auto" w:fill="auto"/>
          </w:tcPr>
          <w:p w14:paraId="7268E4EF" w14:textId="77777777" w:rsidR="005F762A" w:rsidRDefault="005F762A">
            <w:pPr>
              <w:rPr>
                <w:rFonts w:ascii="宋体"/>
              </w:rPr>
            </w:pPr>
          </w:p>
        </w:tc>
        <w:tc>
          <w:tcPr>
            <w:tcW w:w="26" w:type="pct"/>
            <w:shd w:val="clear" w:color="auto" w:fill="auto"/>
          </w:tcPr>
          <w:p w14:paraId="7268E4F0" w14:textId="77777777" w:rsidR="005F762A" w:rsidRDefault="005F762A">
            <w:pPr>
              <w:rPr>
                <w:rFonts w:ascii="宋体"/>
              </w:rPr>
            </w:pPr>
          </w:p>
        </w:tc>
        <w:tc>
          <w:tcPr>
            <w:tcW w:w="5" w:type="pct"/>
            <w:shd w:val="clear" w:color="auto" w:fill="auto"/>
          </w:tcPr>
          <w:p w14:paraId="7268E4F1" w14:textId="77777777" w:rsidR="005F762A" w:rsidRDefault="005F762A">
            <w:pPr>
              <w:rPr>
                <w:rFonts w:ascii="宋体"/>
              </w:rPr>
            </w:pPr>
          </w:p>
        </w:tc>
        <w:tc>
          <w:tcPr>
            <w:tcW w:w="50" w:type="pct"/>
            <w:shd w:val="clear" w:color="auto" w:fill="auto"/>
          </w:tcPr>
          <w:p w14:paraId="7268E4F2" w14:textId="77777777" w:rsidR="005F762A" w:rsidRDefault="005F762A">
            <w:pPr>
              <w:rPr>
                <w:rFonts w:ascii="宋体"/>
              </w:rPr>
            </w:pPr>
          </w:p>
        </w:tc>
        <w:tc>
          <w:tcPr>
            <w:tcW w:w="529" w:type="pct"/>
            <w:shd w:val="clear" w:color="auto" w:fill="auto"/>
          </w:tcPr>
          <w:p w14:paraId="7268E4F3" w14:textId="77777777" w:rsidR="005F762A" w:rsidRDefault="005F762A">
            <w:pPr>
              <w:rPr>
                <w:rFonts w:ascii="宋体"/>
              </w:rPr>
            </w:pPr>
          </w:p>
        </w:tc>
        <w:tc>
          <w:tcPr>
            <w:tcW w:w="5" w:type="pct"/>
            <w:shd w:val="clear" w:color="auto" w:fill="auto"/>
          </w:tcPr>
          <w:p w14:paraId="7268E4F4" w14:textId="77777777" w:rsidR="005F762A" w:rsidRDefault="005F762A">
            <w:pPr>
              <w:rPr>
                <w:rFonts w:ascii="宋体"/>
              </w:rPr>
            </w:pPr>
          </w:p>
        </w:tc>
        <w:tc>
          <w:tcPr>
            <w:tcW w:w="0" w:type="auto"/>
            <w:gridSpan w:val="3"/>
            <w:shd w:val="clear" w:color="auto" w:fill="auto"/>
          </w:tcPr>
          <w:p w14:paraId="7268E4F5" w14:textId="77777777" w:rsidR="005F762A" w:rsidRDefault="005F762A">
            <w:pPr>
              <w:rPr>
                <w:rFonts w:ascii="宋体"/>
                <w:vanish/>
              </w:rPr>
            </w:pPr>
          </w:p>
        </w:tc>
        <w:tc>
          <w:tcPr>
            <w:tcW w:w="0" w:type="auto"/>
            <w:gridSpan w:val="3"/>
            <w:shd w:val="clear" w:color="auto" w:fill="auto"/>
          </w:tcPr>
          <w:p w14:paraId="7268E4F6" w14:textId="77777777" w:rsidR="005F762A" w:rsidRDefault="005F762A">
            <w:pPr>
              <w:rPr>
                <w:rFonts w:ascii="宋体"/>
                <w:vanish/>
              </w:rPr>
            </w:pPr>
          </w:p>
        </w:tc>
        <w:tc>
          <w:tcPr>
            <w:tcW w:w="0" w:type="auto"/>
            <w:gridSpan w:val="3"/>
            <w:shd w:val="clear" w:color="auto" w:fill="auto"/>
          </w:tcPr>
          <w:p w14:paraId="7268E4F7" w14:textId="77777777" w:rsidR="005F762A" w:rsidRDefault="005F762A">
            <w:pPr>
              <w:rPr>
                <w:rFonts w:ascii="宋体"/>
                <w:vanish/>
              </w:rPr>
            </w:pPr>
          </w:p>
        </w:tc>
        <w:tc>
          <w:tcPr>
            <w:tcW w:w="0" w:type="auto"/>
            <w:gridSpan w:val="3"/>
            <w:shd w:val="clear" w:color="auto" w:fill="auto"/>
          </w:tcPr>
          <w:p w14:paraId="7268E4F8" w14:textId="77777777" w:rsidR="005F762A" w:rsidRDefault="005F762A">
            <w:pPr>
              <w:rPr>
                <w:rFonts w:ascii="宋体"/>
                <w:vanish/>
              </w:rPr>
            </w:pPr>
          </w:p>
        </w:tc>
      </w:tr>
      <w:tr w:rsidR="005F762A" w14:paraId="7268E50C" w14:textId="77777777">
        <w:trPr>
          <w:jc w:val="center"/>
        </w:trPr>
        <w:tc>
          <w:tcPr>
            <w:tcW w:w="0" w:type="auto"/>
            <w:gridSpan w:val="3"/>
            <w:shd w:val="clear" w:color="auto" w:fill="auto"/>
            <w:tcMar>
              <w:top w:w="40" w:type="dxa"/>
              <w:left w:w="20" w:type="dxa"/>
              <w:bottom w:w="40" w:type="dxa"/>
              <w:right w:w="20" w:type="dxa"/>
            </w:tcMar>
            <w:vAlign w:val="bottom"/>
          </w:tcPr>
          <w:p w14:paraId="7268E4FA"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4FB"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4FC"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4FD"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gridSpan w:val="3"/>
            <w:shd w:val="clear" w:color="auto" w:fill="auto"/>
          </w:tcPr>
          <w:p w14:paraId="7268E4FE" w14:textId="77777777" w:rsidR="005F762A" w:rsidRDefault="005F762A">
            <w:pPr>
              <w:rPr>
                <w:rFonts w:ascii="宋体"/>
                <w:vanish/>
              </w:rPr>
            </w:pPr>
          </w:p>
        </w:tc>
        <w:tc>
          <w:tcPr>
            <w:tcW w:w="0" w:type="auto"/>
            <w:gridSpan w:val="3"/>
            <w:shd w:val="clear" w:color="auto" w:fill="auto"/>
          </w:tcPr>
          <w:p w14:paraId="7268E4FF" w14:textId="77777777" w:rsidR="005F762A" w:rsidRDefault="005F762A">
            <w:pPr>
              <w:rPr>
                <w:rFonts w:ascii="宋体"/>
                <w:vanish/>
              </w:rPr>
            </w:pPr>
          </w:p>
        </w:tc>
        <w:tc>
          <w:tcPr>
            <w:tcW w:w="0" w:type="auto"/>
            <w:shd w:val="clear" w:color="auto" w:fill="auto"/>
          </w:tcPr>
          <w:p w14:paraId="7268E500" w14:textId="77777777" w:rsidR="005F762A" w:rsidRDefault="005F762A">
            <w:pPr>
              <w:rPr>
                <w:rFonts w:ascii="宋体"/>
              </w:rPr>
            </w:pPr>
          </w:p>
        </w:tc>
        <w:tc>
          <w:tcPr>
            <w:tcW w:w="0" w:type="auto"/>
            <w:shd w:val="clear" w:color="auto" w:fill="auto"/>
          </w:tcPr>
          <w:p w14:paraId="7268E501" w14:textId="77777777" w:rsidR="005F762A" w:rsidRDefault="005F762A">
            <w:pPr>
              <w:rPr>
                <w:rFonts w:ascii="宋体"/>
              </w:rPr>
            </w:pPr>
          </w:p>
        </w:tc>
        <w:tc>
          <w:tcPr>
            <w:tcW w:w="0" w:type="auto"/>
            <w:shd w:val="clear" w:color="auto" w:fill="auto"/>
          </w:tcPr>
          <w:p w14:paraId="7268E502" w14:textId="77777777" w:rsidR="005F762A" w:rsidRDefault="005F762A">
            <w:pPr>
              <w:rPr>
                <w:rFonts w:ascii="宋体"/>
              </w:rPr>
            </w:pPr>
          </w:p>
        </w:tc>
        <w:tc>
          <w:tcPr>
            <w:tcW w:w="0" w:type="auto"/>
            <w:shd w:val="clear" w:color="auto" w:fill="auto"/>
          </w:tcPr>
          <w:p w14:paraId="7268E503" w14:textId="77777777" w:rsidR="005F762A" w:rsidRDefault="005F762A">
            <w:pPr>
              <w:rPr>
                <w:rFonts w:ascii="宋体"/>
              </w:rPr>
            </w:pPr>
          </w:p>
        </w:tc>
        <w:tc>
          <w:tcPr>
            <w:tcW w:w="0" w:type="auto"/>
            <w:shd w:val="clear" w:color="auto" w:fill="auto"/>
          </w:tcPr>
          <w:p w14:paraId="7268E504" w14:textId="77777777" w:rsidR="005F762A" w:rsidRDefault="005F762A">
            <w:pPr>
              <w:rPr>
                <w:rFonts w:ascii="宋体"/>
              </w:rPr>
            </w:pPr>
          </w:p>
        </w:tc>
        <w:tc>
          <w:tcPr>
            <w:tcW w:w="0" w:type="auto"/>
            <w:shd w:val="clear" w:color="auto" w:fill="auto"/>
          </w:tcPr>
          <w:p w14:paraId="7268E505" w14:textId="77777777" w:rsidR="005F762A" w:rsidRDefault="005F762A">
            <w:pPr>
              <w:rPr>
                <w:rFonts w:ascii="宋体"/>
              </w:rPr>
            </w:pPr>
          </w:p>
        </w:tc>
        <w:tc>
          <w:tcPr>
            <w:tcW w:w="0" w:type="auto"/>
            <w:shd w:val="clear" w:color="auto" w:fill="auto"/>
          </w:tcPr>
          <w:p w14:paraId="7268E506" w14:textId="77777777" w:rsidR="005F762A" w:rsidRDefault="005F762A">
            <w:pPr>
              <w:rPr>
                <w:rFonts w:ascii="宋体"/>
              </w:rPr>
            </w:pPr>
          </w:p>
        </w:tc>
        <w:tc>
          <w:tcPr>
            <w:tcW w:w="0" w:type="auto"/>
            <w:shd w:val="clear" w:color="auto" w:fill="auto"/>
          </w:tcPr>
          <w:p w14:paraId="7268E507" w14:textId="77777777" w:rsidR="005F762A" w:rsidRDefault="005F762A">
            <w:pPr>
              <w:rPr>
                <w:rFonts w:ascii="宋体"/>
              </w:rPr>
            </w:pPr>
          </w:p>
        </w:tc>
        <w:tc>
          <w:tcPr>
            <w:tcW w:w="0" w:type="auto"/>
            <w:shd w:val="clear" w:color="auto" w:fill="auto"/>
          </w:tcPr>
          <w:p w14:paraId="7268E508" w14:textId="77777777" w:rsidR="005F762A" w:rsidRDefault="005F762A">
            <w:pPr>
              <w:rPr>
                <w:rFonts w:ascii="宋体"/>
              </w:rPr>
            </w:pPr>
          </w:p>
        </w:tc>
        <w:tc>
          <w:tcPr>
            <w:tcW w:w="0" w:type="auto"/>
            <w:shd w:val="clear" w:color="auto" w:fill="auto"/>
          </w:tcPr>
          <w:p w14:paraId="7268E509" w14:textId="77777777" w:rsidR="005F762A" w:rsidRDefault="005F762A">
            <w:pPr>
              <w:rPr>
                <w:rFonts w:ascii="宋体"/>
              </w:rPr>
            </w:pPr>
          </w:p>
        </w:tc>
        <w:tc>
          <w:tcPr>
            <w:tcW w:w="0" w:type="auto"/>
            <w:shd w:val="clear" w:color="auto" w:fill="auto"/>
          </w:tcPr>
          <w:p w14:paraId="7268E50A" w14:textId="77777777" w:rsidR="005F762A" w:rsidRDefault="005F762A">
            <w:pPr>
              <w:rPr>
                <w:rFonts w:ascii="宋体"/>
              </w:rPr>
            </w:pPr>
          </w:p>
        </w:tc>
        <w:tc>
          <w:tcPr>
            <w:tcW w:w="0" w:type="auto"/>
            <w:shd w:val="clear" w:color="auto" w:fill="auto"/>
          </w:tcPr>
          <w:p w14:paraId="7268E50B" w14:textId="77777777" w:rsidR="005F762A" w:rsidRDefault="005F762A">
            <w:pPr>
              <w:rPr>
                <w:rFonts w:ascii="宋体"/>
              </w:rPr>
            </w:pPr>
          </w:p>
        </w:tc>
      </w:tr>
      <w:tr w:rsidR="005F762A" w14:paraId="7268E519" w14:textId="77777777">
        <w:trPr>
          <w:jc w:val="center"/>
        </w:trPr>
        <w:tc>
          <w:tcPr>
            <w:tcW w:w="0" w:type="auto"/>
            <w:gridSpan w:val="3"/>
            <w:shd w:val="clear" w:color="auto" w:fill="auto"/>
            <w:tcMar>
              <w:top w:w="40" w:type="dxa"/>
              <w:left w:w="20" w:type="dxa"/>
              <w:bottom w:w="40" w:type="dxa"/>
              <w:right w:w="20" w:type="dxa"/>
            </w:tcMar>
            <w:vAlign w:val="bottom"/>
          </w:tcPr>
          <w:p w14:paraId="7268E50D" w14:textId="77777777" w:rsidR="005F762A" w:rsidRDefault="00D74111">
            <w:pPr>
              <w:textAlignment w:val="bottom"/>
            </w:pPr>
            <w:r>
              <w:rPr>
                <w:rFonts w:ascii="Arial" w:eastAsia="宋体" w:hAnsi="Arial" w:cs="Arial"/>
                <w:b/>
                <w:bCs/>
                <w:color w:val="000000"/>
                <w:sz w:val="18"/>
                <w:szCs w:val="18"/>
              </w:rPr>
              <w:t> </w:t>
            </w:r>
          </w:p>
        </w:tc>
        <w:tc>
          <w:tcPr>
            <w:tcW w:w="0" w:type="auto"/>
            <w:shd w:val="clear" w:color="auto" w:fill="auto"/>
          </w:tcPr>
          <w:p w14:paraId="7268E50E" w14:textId="77777777" w:rsidR="005F762A" w:rsidRDefault="005F762A">
            <w:pPr>
              <w:rPr>
                <w:rFonts w:ascii="宋体"/>
                <w:vanish/>
              </w:rPr>
            </w:pPr>
          </w:p>
        </w:tc>
        <w:tc>
          <w:tcPr>
            <w:tcW w:w="0" w:type="auto"/>
            <w:shd w:val="clear" w:color="auto" w:fill="auto"/>
          </w:tcPr>
          <w:p w14:paraId="7268E50F" w14:textId="77777777" w:rsidR="005F762A" w:rsidRDefault="005F762A">
            <w:pPr>
              <w:rPr>
                <w:rFonts w:ascii="宋体"/>
                <w:vanish/>
              </w:rPr>
            </w:pPr>
          </w:p>
        </w:tc>
        <w:tc>
          <w:tcPr>
            <w:tcW w:w="0" w:type="auto"/>
            <w:shd w:val="clear" w:color="auto" w:fill="auto"/>
          </w:tcPr>
          <w:p w14:paraId="7268E510"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511"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512"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tcPr>
          <w:p w14:paraId="7268E513"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514" w14:textId="77777777" w:rsidR="005F762A" w:rsidRDefault="00D74111">
            <w:pPr>
              <w:jc w:val="center"/>
              <w:textAlignment w:val="bottom"/>
            </w:pPr>
            <w:r>
              <w:rPr>
                <w:rFonts w:ascii="Arial" w:eastAsia="宋体" w:hAnsi="Arial" w:cs="Arial"/>
                <w:b/>
                <w:bCs/>
                <w:color w:val="000000"/>
                <w:sz w:val="16"/>
                <w:szCs w:val="16"/>
              </w:rPr>
              <w:t>2020</w:t>
            </w:r>
          </w:p>
        </w:tc>
        <w:tc>
          <w:tcPr>
            <w:tcW w:w="0" w:type="auto"/>
            <w:gridSpan w:val="3"/>
            <w:shd w:val="clear" w:color="auto" w:fill="auto"/>
          </w:tcPr>
          <w:p w14:paraId="7268E515" w14:textId="77777777" w:rsidR="005F762A" w:rsidRDefault="005F762A">
            <w:pPr>
              <w:rPr>
                <w:rFonts w:ascii="宋体"/>
                <w:vanish/>
              </w:rPr>
            </w:pPr>
          </w:p>
        </w:tc>
        <w:tc>
          <w:tcPr>
            <w:tcW w:w="0" w:type="auto"/>
            <w:gridSpan w:val="3"/>
            <w:shd w:val="clear" w:color="auto" w:fill="auto"/>
          </w:tcPr>
          <w:p w14:paraId="7268E516" w14:textId="77777777" w:rsidR="005F762A" w:rsidRDefault="005F762A">
            <w:pPr>
              <w:rPr>
                <w:rFonts w:ascii="宋体"/>
                <w:vanish/>
              </w:rPr>
            </w:pPr>
          </w:p>
        </w:tc>
        <w:tc>
          <w:tcPr>
            <w:tcW w:w="0" w:type="auto"/>
            <w:gridSpan w:val="3"/>
            <w:shd w:val="clear" w:color="auto" w:fill="auto"/>
          </w:tcPr>
          <w:p w14:paraId="7268E517" w14:textId="77777777" w:rsidR="005F762A" w:rsidRDefault="005F762A">
            <w:pPr>
              <w:rPr>
                <w:rFonts w:ascii="宋体"/>
                <w:vanish/>
              </w:rPr>
            </w:pPr>
          </w:p>
        </w:tc>
        <w:tc>
          <w:tcPr>
            <w:tcW w:w="0" w:type="auto"/>
            <w:gridSpan w:val="3"/>
            <w:shd w:val="clear" w:color="auto" w:fill="auto"/>
          </w:tcPr>
          <w:p w14:paraId="7268E518" w14:textId="77777777" w:rsidR="005F762A" w:rsidRDefault="005F762A">
            <w:pPr>
              <w:rPr>
                <w:rFonts w:ascii="宋体"/>
                <w:vanish/>
              </w:rPr>
            </w:pPr>
          </w:p>
        </w:tc>
      </w:tr>
      <w:tr w:rsidR="005F762A" w14:paraId="7268E52A" w14:textId="77777777">
        <w:trPr>
          <w:jc w:val="center"/>
        </w:trPr>
        <w:tc>
          <w:tcPr>
            <w:tcW w:w="0" w:type="auto"/>
            <w:gridSpan w:val="3"/>
            <w:shd w:val="clear" w:color="auto" w:fill="E1E1E1"/>
            <w:tcMar>
              <w:top w:w="40" w:type="dxa"/>
              <w:left w:w="20" w:type="dxa"/>
              <w:bottom w:w="40" w:type="dxa"/>
              <w:right w:w="20" w:type="dxa"/>
            </w:tcMar>
            <w:vAlign w:val="bottom"/>
          </w:tcPr>
          <w:p w14:paraId="7268E51A" w14:textId="77777777" w:rsidR="005F762A" w:rsidRDefault="00D74111">
            <w:pPr>
              <w:textAlignment w:val="bottom"/>
            </w:pPr>
            <w:r>
              <w:rPr>
                <w:rFonts w:ascii="Arial" w:eastAsia="宋体" w:hAnsi="Arial" w:cs="Arial"/>
                <w:color w:val="000000"/>
                <w:sz w:val="18"/>
                <w:szCs w:val="18"/>
              </w:rPr>
              <w:t>Net revenues</w:t>
            </w:r>
          </w:p>
        </w:tc>
        <w:tc>
          <w:tcPr>
            <w:tcW w:w="0" w:type="auto"/>
            <w:shd w:val="clear" w:color="auto" w:fill="auto"/>
          </w:tcPr>
          <w:p w14:paraId="7268E51B" w14:textId="77777777" w:rsidR="005F762A" w:rsidRDefault="005F762A">
            <w:pPr>
              <w:rPr>
                <w:rFonts w:ascii="宋体"/>
                <w:vanish/>
              </w:rPr>
            </w:pPr>
          </w:p>
        </w:tc>
        <w:tc>
          <w:tcPr>
            <w:tcW w:w="0" w:type="auto"/>
            <w:shd w:val="clear" w:color="auto" w:fill="auto"/>
          </w:tcPr>
          <w:p w14:paraId="7268E51C" w14:textId="77777777" w:rsidR="005F762A" w:rsidRDefault="005F762A">
            <w:pPr>
              <w:rPr>
                <w:rFonts w:ascii="宋体"/>
                <w:vanish/>
              </w:rPr>
            </w:pPr>
          </w:p>
        </w:tc>
        <w:tc>
          <w:tcPr>
            <w:tcW w:w="0" w:type="auto"/>
            <w:shd w:val="clear" w:color="auto" w:fill="auto"/>
          </w:tcPr>
          <w:p w14:paraId="7268E51D"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1E"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51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520" w14:textId="77777777" w:rsidR="005F762A" w:rsidRDefault="00D74111">
            <w:pPr>
              <w:jc w:val="right"/>
              <w:textAlignment w:val="bottom"/>
            </w:pPr>
            <w:r>
              <w:rPr>
                <w:rFonts w:ascii="Arial" w:eastAsia="宋体" w:hAnsi="Arial" w:cs="Arial"/>
                <w:color w:val="000000"/>
                <w:sz w:val="18"/>
                <w:szCs w:val="18"/>
              </w:rPr>
              <w:t>276 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21"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22"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52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524" w14:textId="77777777" w:rsidR="005F762A" w:rsidRDefault="00D74111">
            <w:pPr>
              <w:jc w:val="right"/>
              <w:textAlignment w:val="bottom"/>
            </w:pPr>
            <w:r>
              <w:rPr>
                <w:rFonts w:ascii="Arial" w:eastAsia="宋体" w:hAnsi="Arial" w:cs="Arial"/>
                <w:color w:val="000000"/>
                <w:sz w:val="18"/>
                <w:szCs w:val="18"/>
              </w:rPr>
              <w:t>245 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25" w14:textId="77777777" w:rsidR="005F762A" w:rsidRDefault="005F762A">
            <w:pPr>
              <w:jc w:val="right"/>
              <w:rPr>
                <w:rFonts w:ascii="宋体"/>
              </w:rPr>
            </w:pPr>
          </w:p>
        </w:tc>
        <w:tc>
          <w:tcPr>
            <w:tcW w:w="0" w:type="auto"/>
            <w:gridSpan w:val="3"/>
            <w:shd w:val="clear" w:color="auto" w:fill="auto"/>
          </w:tcPr>
          <w:p w14:paraId="7268E526" w14:textId="77777777" w:rsidR="005F762A" w:rsidRDefault="005F762A">
            <w:pPr>
              <w:rPr>
                <w:rFonts w:ascii="宋体"/>
                <w:vanish/>
              </w:rPr>
            </w:pPr>
          </w:p>
        </w:tc>
        <w:tc>
          <w:tcPr>
            <w:tcW w:w="0" w:type="auto"/>
            <w:gridSpan w:val="3"/>
            <w:shd w:val="clear" w:color="auto" w:fill="auto"/>
          </w:tcPr>
          <w:p w14:paraId="7268E527" w14:textId="77777777" w:rsidR="005F762A" w:rsidRDefault="005F762A">
            <w:pPr>
              <w:rPr>
                <w:rFonts w:ascii="宋体"/>
                <w:vanish/>
              </w:rPr>
            </w:pPr>
          </w:p>
        </w:tc>
        <w:tc>
          <w:tcPr>
            <w:tcW w:w="0" w:type="auto"/>
            <w:gridSpan w:val="3"/>
            <w:shd w:val="clear" w:color="auto" w:fill="auto"/>
          </w:tcPr>
          <w:p w14:paraId="7268E528" w14:textId="77777777" w:rsidR="005F762A" w:rsidRDefault="005F762A">
            <w:pPr>
              <w:rPr>
                <w:rFonts w:ascii="宋体"/>
                <w:vanish/>
              </w:rPr>
            </w:pPr>
          </w:p>
        </w:tc>
        <w:tc>
          <w:tcPr>
            <w:tcW w:w="0" w:type="auto"/>
            <w:gridSpan w:val="3"/>
            <w:shd w:val="clear" w:color="auto" w:fill="auto"/>
          </w:tcPr>
          <w:p w14:paraId="7268E529" w14:textId="77777777" w:rsidR="005F762A" w:rsidRDefault="005F762A">
            <w:pPr>
              <w:rPr>
                <w:rFonts w:ascii="宋体"/>
                <w:vanish/>
              </w:rPr>
            </w:pPr>
          </w:p>
        </w:tc>
      </w:tr>
      <w:tr w:rsidR="005F762A" w14:paraId="7268E539" w14:textId="77777777">
        <w:trPr>
          <w:jc w:val="center"/>
        </w:trPr>
        <w:tc>
          <w:tcPr>
            <w:tcW w:w="0" w:type="auto"/>
            <w:gridSpan w:val="3"/>
            <w:shd w:val="clear" w:color="auto" w:fill="FFFFFF"/>
            <w:tcMar>
              <w:top w:w="40" w:type="dxa"/>
              <w:left w:w="20" w:type="dxa"/>
              <w:bottom w:w="40" w:type="dxa"/>
              <w:right w:w="20" w:type="dxa"/>
            </w:tcMar>
            <w:vAlign w:val="bottom"/>
          </w:tcPr>
          <w:p w14:paraId="7268E52B" w14:textId="77777777" w:rsidR="005F762A" w:rsidRDefault="00D74111">
            <w:pPr>
              <w:textAlignment w:val="bottom"/>
            </w:pPr>
            <w:r>
              <w:rPr>
                <w:rFonts w:ascii="Arial" w:eastAsia="宋体" w:hAnsi="Arial" w:cs="Arial"/>
                <w:color w:val="000000"/>
                <w:sz w:val="18"/>
                <w:szCs w:val="18"/>
              </w:rPr>
              <w:t>Cost of net revenues</w:t>
            </w:r>
          </w:p>
        </w:tc>
        <w:tc>
          <w:tcPr>
            <w:tcW w:w="0" w:type="auto"/>
            <w:shd w:val="clear" w:color="auto" w:fill="auto"/>
          </w:tcPr>
          <w:p w14:paraId="7268E52C" w14:textId="77777777" w:rsidR="005F762A" w:rsidRDefault="005F762A">
            <w:pPr>
              <w:rPr>
                <w:rFonts w:ascii="宋体"/>
                <w:vanish/>
              </w:rPr>
            </w:pPr>
          </w:p>
        </w:tc>
        <w:tc>
          <w:tcPr>
            <w:tcW w:w="0" w:type="auto"/>
            <w:shd w:val="clear" w:color="auto" w:fill="auto"/>
          </w:tcPr>
          <w:p w14:paraId="7268E52D" w14:textId="77777777" w:rsidR="005F762A" w:rsidRDefault="005F762A">
            <w:pPr>
              <w:rPr>
                <w:rFonts w:ascii="宋体"/>
                <w:vanish/>
              </w:rPr>
            </w:pPr>
          </w:p>
        </w:tc>
        <w:tc>
          <w:tcPr>
            <w:tcW w:w="0" w:type="auto"/>
            <w:shd w:val="clear" w:color="auto" w:fill="auto"/>
          </w:tcPr>
          <w:p w14:paraId="7268E52E"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2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30" w14:textId="77777777" w:rsidR="005F762A" w:rsidRDefault="00D74111">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7268E53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3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33" w14:textId="77777777" w:rsidR="005F762A" w:rsidRDefault="00D74111">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7268E534" w14:textId="77777777" w:rsidR="005F762A" w:rsidRDefault="005F762A">
            <w:pPr>
              <w:jc w:val="right"/>
              <w:rPr>
                <w:rFonts w:ascii="宋体"/>
              </w:rPr>
            </w:pPr>
          </w:p>
        </w:tc>
        <w:tc>
          <w:tcPr>
            <w:tcW w:w="0" w:type="auto"/>
            <w:gridSpan w:val="3"/>
            <w:shd w:val="clear" w:color="auto" w:fill="auto"/>
          </w:tcPr>
          <w:p w14:paraId="7268E535" w14:textId="77777777" w:rsidR="005F762A" w:rsidRDefault="005F762A">
            <w:pPr>
              <w:rPr>
                <w:rFonts w:ascii="宋体"/>
                <w:vanish/>
              </w:rPr>
            </w:pPr>
          </w:p>
        </w:tc>
        <w:tc>
          <w:tcPr>
            <w:tcW w:w="0" w:type="auto"/>
            <w:gridSpan w:val="3"/>
            <w:shd w:val="clear" w:color="auto" w:fill="auto"/>
          </w:tcPr>
          <w:p w14:paraId="7268E536" w14:textId="77777777" w:rsidR="005F762A" w:rsidRDefault="005F762A">
            <w:pPr>
              <w:rPr>
                <w:rFonts w:ascii="宋体"/>
                <w:vanish/>
              </w:rPr>
            </w:pPr>
          </w:p>
        </w:tc>
        <w:tc>
          <w:tcPr>
            <w:tcW w:w="0" w:type="auto"/>
            <w:gridSpan w:val="3"/>
            <w:shd w:val="clear" w:color="auto" w:fill="auto"/>
          </w:tcPr>
          <w:p w14:paraId="7268E537" w14:textId="77777777" w:rsidR="005F762A" w:rsidRDefault="005F762A">
            <w:pPr>
              <w:rPr>
                <w:rFonts w:ascii="宋体"/>
                <w:vanish/>
              </w:rPr>
            </w:pPr>
          </w:p>
        </w:tc>
        <w:tc>
          <w:tcPr>
            <w:tcW w:w="0" w:type="auto"/>
            <w:gridSpan w:val="3"/>
            <w:shd w:val="clear" w:color="auto" w:fill="auto"/>
          </w:tcPr>
          <w:p w14:paraId="7268E538" w14:textId="77777777" w:rsidR="005F762A" w:rsidRDefault="005F762A">
            <w:pPr>
              <w:rPr>
                <w:rFonts w:ascii="宋体"/>
                <w:vanish/>
              </w:rPr>
            </w:pPr>
          </w:p>
        </w:tc>
      </w:tr>
      <w:tr w:rsidR="005F762A" w14:paraId="7268E548" w14:textId="77777777">
        <w:trPr>
          <w:jc w:val="center"/>
        </w:trPr>
        <w:tc>
          <w:tcPr>
            <w:tcW w:w="0" w:type="auto"/>
            <w:gridSpan w:val="3"/>
            <w:shd w:val="clear" w:color="auto" w:fill="E1E1E1"/>
            <w:tcMar>
              <w:top w:w="40" w:type="dxa"/>
              <w:left w:w="875" w:type="dxa"/>
              <w:bottom w:w="40" w:type="dxa"/>
              <w:right w:w="20" w:type="dxa"/>
            </w:tcMar>
            <w:vAlign w:val="bottom"/>
          </w:tcPr>
          <w:p w14:paraId="7268E53A" w14:textId="77777777" w:rsidR="005F762A" w:rsidRDefault="00D74111">
            <w:pPr>
              <w:textAlignment w:val="bottom"/>
            </w:pPr>
            <w:r>
              <w:rPr>
                <w:rFonts w:ascii="Arial" w:eastAsia="宋体" w:hAnsi="Arial" w:cs="Arial"/>
                <w:color w:val="000000"/>
                <w:sz w:val="18"/>
                <w:szCs w:val="18"/>
              </w:rPr>
              <w:t>Gross profit</w:t>
            </w:r>
          </w:p>
        </w:tc>
        <w:tc>
          <w:tcPr>
            <w:tcW w:w="0" w:type="auto"/>
            <w:shd w:val="clear" w:color="auto" w:fill="auto"/>
          </w:tcPr>
          <w:p w14:paraId="7268E53B" w14:textId="77777777" w:rsidR="005F762A" w:rsidRDefault="005F762A">
            <w:pPr>
              <w:rPr>
                <w:rFonts w:ascii="宋体"/>
                <w:vanish/>
              </w:rPr>
            </w:pPr>
          </w:p>
        </w:tc>
        <w:tc>
          <w:tcPr>
            <w:tcW w:w="0" w:type="auto"/>
            <w:shd w:val="clear" w:color="auto" w:fill="auto"/>
          </w:tcPr>
          <w:p w14:paraId="7268E53C" w14:textId="77777777" w:rsidR="005F762A" w:rsidRDefault="005F762A">
            <w:pPr>
              <w:rPr>
                <w:rFonts w:ascii="宋体"/>
                <w:vanish/>
              </w:rPr>
            </w:pPr>
          </w:p>
        </w:tc>
        <w:tc>
          <w:tcPr>
            <w:tcW w:w="0" w:type="auto"/>
            <w:shd w:val="clear" w:color="auto" w:fill="auto"/>
          </w:tcPr>
          <w:p w14:paraId="7268E53D"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3E"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53F" w14:textId="77777777" w:rsidR="005F762A" w:rsidRDefault="00D74111">
            <w:pPr>
              <w:jc w:val="right"/>
              <w:textAlignment w:val="bottom"/>
            </w:pPr>
            <w:r>
              <w:rPr>
                <w:rFonts w:ascii="Arial" w:eastAsia="宋体" w:hAnsi="Arial" w:cs="Arial"/>
                <w:color w:val="000000"/>
                <w:sz w:val="18"/>
                <w:szCs w:val="18"/>
              </w:rPr>
              <w:t>246 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40"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41"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542" w14:textId="77777777" w:rsidR="005F762A" w:rsidRDefault="00D74111">
            <w:pPr>
              <w:jc w:val="right"/>
              <w:textAlignment w:val="bottom"/>
            </w:pPr>
            <w:r>
              <w:rPr>
                <w:rFonts w:ascii="Arial" w:eastAsia="宋体" w:hAnsi="Arial" w:cs="Arial"/>
                <w:color w:val="000000"/>
                <w:sz w:val="18"/>
                <w:szCs w:val="18"/>
              </w:rPr>
              <w:t>221 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43" w14:textId="77777777" w:rsidR="005F762A" w:rsidRDefault="005F762A">
            <w:pPr>
              <w:jc w:val="right"/>
              <w:rPr>
                <w:rFonts w:ascii="宋体"/>
              </w:rPr>
            </w:pPr>
          </w:p>
        </w:tc>
        <w:tc>
          <w:tcPr>
            <w:tcW w:w="0" w:type="auto"/>
            <w:gridSpan w:val="3"/>
            <w:shd w:val="clear" w:color="auto" w:fill="auto"/>
          </w:tcPr>
          <w:p w14:paraId="7268E544" w14:textId="77777777" w:rsidR="005F762A" w:rsidRDefault="005F762A">
            <w:pPr>
              <w:rPr>
                <w:rFonts w:ascii="宋体"/>
                <w:vanish/>
              </w:rPr>
            </w:pPr>
          </w:p>
        </w:tc>
        <w:tc>
          <w:tcPr>
            <w:tcW w:w="0" w:type="auto"/>
            <w:gridSpan w:val="3"/>
            <w:shd w:val="clear" w:color="auto" w:fill="auto"/>
          </w:tcPr>
          <w:p w14:paraId="7268E545" w14:textId="77777777" w:rsidR="005F762A" w:rsidRDefault="005F762A">
            <w:pPr>
              <w:rPr>
                <w:rFonts w:ascii="宋体"/>
                <w:vanish/>
              </w:rPr>
            </w:pPr>
          </w:p>
        </w:tc>
        <w:tc>
          <w:tcPr>
            <w:tcW w:w="0" w:type="auto"/>
            <w:gridSpan w:val="3"/>
            <w:shd w:val="clear" w:color="auto" w:fill="auto"/>
          </w:tcPr>
          <w:p w14:paraId="7268E546" w14:textId="77777777" w:rsidR="005F762A" w:rsidRDefault="005F762A">
            <w:pPr>
              <w:rPr>
                <w:rFonts w:ascii="宋体"/>
                <w:vanish/>
              </w:rPr>
            </w:pPr>
          </w:p>
        </w:tc>
        <w:tc>
          <w:tcPr>
            <w:tcW w:w="0" w:type="auto"/>
            <w:gridSpan w:val="3"/>
            <w:shd w:val="clear" w:color="auto" w:fill="auto"/>
          </w:tcPr>
          <w:p w14:paraId="7268E547" w14:textId="77777777" w:rsidR="005F762A" w:rsidRDefault="005F762A">
            <w:pPr>
              <w:rPr>
                <w:rFonts w:ascii="宋体"/>
                <w:vanish/>
              </w:rPr>
            </w:pPr>
          </w:p>
        </w:tc>
      </w:tr>
      <w:tr w:rsidR="005F762A" w14:paraId="7268E555" w14:textId="77777777">
        <w:trPr>
          <w:jc w:val="center"/>
        </w:trPr>
        <w:tc>
          <w:tcPr>
            <w:tcW w:w="0" w:type="auto"/>
            <w:gridSpan w:val="3"/>
            <w:shd w:val="clear" w:color="auto" w:fill="FFFFFF"/>
            <w:tcMar>
              <w:top w:w="40" w:type="dxa"/>
              <w:left w:w="20" w:type="dxa"/>
              <w:bottom w:w="40" w:type="dxa"/>
              <w:right w:w="20" w:type="dxa"/>
            </w:tcMar>
            <w:vAlign w:val="bottom"/>
          </w:tcPr>
          <w:p w14:paraId="7268E549" w14:textId="77777777" w:rsidR="005F762A" w:rsidRDefault="00D74111">
            <w:pPr>
              <w:textAlignment w:val="bottom"/>
            </w:pPr>
            <w:r>
              <w:rPr>
                <w:rFonts w:ascii="Arial" w:eastAsia="宋体" w:hAnsi="Arial" w:cs="Arial"/>
                <w:color w:val="000000"/>
                <w:sz w:val="18"/>
                <w:szCs w:val="18"/>
              </w:rPr>
              <w:t>Operatin</w:t>
            </w:r>
            <w:r>
              <w:rPr>
                <w:rFonts w:ascii="Arial" w:eastAsia="宋体" w:hAnsi="Arial" w:cs="Arial"/>
                <w:color w:val="000000"/>
                <w:sz w:val="18"/>
                <w:szCs w:val="18"/>
              </w:rPr>
              <w:t>g expenses:</w:t>
            </w:r>
          </w:p>
        </w:tc>
        <w:tc>
          <w:tcPr>
            <w:tcW w:w="0" w:type="auto"/>
            <w:shd w:val="clear" w:color="auto" w:fill="auto"/>
          </w:tcPr>
          <w:p w14:paraId="7268E54A" w14:textId="77777777" w:rsidR="005F762A" w:rsidRDefault="005F762A">
            <w:pPr>
              <w:rPr>
                <w:rFonts w:ascii="宋体"/>
                <w:vanish/>
              </w:rPr>
            </w:pPr>
          </w:p>
        </w:tc>
        <w:tc>
          <w:tcPr>
            <w:tcW w:w="0" w:type="auto"/>
            <w:shd w:val="clear" w:color="auto" w:fill="auto"/>
          </w:tcPr>
          <w:p w14:paraId="7268E54B" w14:textId="77777777" w:rsidR="005F762A" w:rsidRDefault="005F762A">
            <w:pPr>
              <w:rPr>
                <w:rFonts w:ascii="宋体"/>
                <w:vanish/>
              </w:rPr>
            </w:pPr>
          </w:p>
        </w:tc>
        <w:tc>
          <w:tcPr>
            <w:tcW w:w="0" w:type="auto"/>
            <w:shd w:val="clear" w:color="auto" w:fill="auto"/>
          </w:tcPr>
          <w:p w14:paraId="7268E54C"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4D"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54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54F"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550" w14:textId="77777777" w:rsidR="005F762A" w:rsidRDefault="005F762A">
            <w:pPr>
              <w:rPr>
                <w:rFonts w:ascii="宋体"/>
              </w:rPr>
            </w:pPr>
          </w:p>
        </w:tc>
        <w:tc>
          <w:tcPr>
            <w:tcW w:w="0" w:type="auto"/>
            <w:gridSpan w:val="3"/>
            <w:shd w:val="clear" w:color="auto" w:fill="auto"/>
          </w:tcPr>
          <w:p w14:paraId="7268E551" w14:textId="77777777" w:rsidR="005F762A" w:rsidRDefault="005F762A">
            <w:pPr>
              <w:rPr>
                <w:rFonts w:ascii="宋体"/>
                <w:vanish/>
              </w:rPr>
            </w:pPr>
          </w:p>
        </w:tc>
        <w:tc>
          <w:tcPr>
            <w:tcW w:w="0" w:type="auto"/>
            <w:gridSpan w:val="3"/>
            <w:shd w:val="clear" w:color="auto" w:fill="auto"/>
          </w:tcPr>
          <w:p w14:paraId="7268E552" w14:textId="77777777" w:rsidR="005F762A" w:rsidRDefault="005F762A">
            <w:pPr>
              <w:rPr>
                <w:rFonts w:ascii="宋体"/>
                <w:vanish/>
              </w:rPr>
            </w:pPr>
          </w:p>
        </w:tc>
        <w:tc>
          <w:tcPr>
            <w:tcW w:w="0" w:type="auto"/>
            <w:gridSpan w:val="3"/>
            <w:shd w:val="clear" w:color="auto" w:fill="auto"/>
          </w:tcPr>
          <w:p w14:paraId="7268E553" w14:textId="77777777" w:rsidR="005F762A" w:rsidRDefault="005F762A">
            <w:pPr>
              <w:rPr>
                <w:rFonts w:ascii="宋体"/>
                <w:vanish/>
              </w:rPr>
            </w:pPr>
          </w:p>
        </w:tc>
        <w:tc>
          <w:tcPr>
            <w:tcW w:w="0" w:type="auto"/>
            <w:gridSpan w:val="3"/>
            <w:shd w:val="clear" w:color="auto" w:fill="auto"/>
          </w:tcPr>
          <w:p w14:paraId="7268E554" w14:textId="77777777" w:rsidR="005F762A" w:rsidRDefault="005F762A">
            <w:pPr>
              <w:rPr>
                <w:rFonts w:ascii="宋体"/>
                <w:vanish/>
              </w:rPr>
            </w:pPr>
          </w:p>
        </w:tc>
      </w:tr>
      <w:tr w:rsidR="005F762A" w14:paraId="7268E564" w14:textId="77777777">
        <w:trPr>
          <w:jc w:val="center"/>
        </w:trPr>
        <w:tc>
          <w:tcPr>
            <w:tcW w:w="0" w:type="auto"/>
            <w:gridSpan w:val="3"/>
            <w:shd w:val="clear" w:color="auto" w:fill="E1E1E1"/>
            <w:tcMar>
              <w:top w:w="40" w:type="dxa"/>
              <w:left w:w="515" w:type="dxa"/>
              <w:bottom w:w="40" w:type="dxa"/>
              <w:right w:w="20" w:type="dxa"/>
            </w:tcMar>
            <w:vAlign w:val="bottom"/>
          </w:tcPr>
          <w:p w14:paraId="7268E556" w14:textId="77777777" w:rsidR="005F762A" w:rsidRDefault="00D74111">
            <w:pPr>
              <w:textAlignment w:val="bottom"/>
            </w:pPr>
            <w:r>
              <w:rPr>
                <w:rFonts w:ascii="Arial" w:eastAsia="宋体" w:hAnsi="Arial" w:cs="Arial"/>
                <w:color w:val="000000"/>
                <w:sz w:val="18"/>
                <w:szCs w:val="18"/>
              </w:rPr>
              <w:t>Sales and marketing</w:t>
            </w:r>
          </w:p>
        </w:tc>
        <w:tc>
          <w:tcPr>
            <w:tcW w:w="0" w:type="auto"/>
            <w:shd w:val="clear" w:color="auto" w:fill="auto"/>
          </w:tcPr>
          <w:p w14:paraId="7268E557" w14:textId="77777777" w:rsidR="005F762A" w:rsidRDefault="005F762A">
            <w:pPr>
              <w:rPr>
                <w:rFonts w:ascii="宋体"/>
                <w:vanish/>
              </w:rPr>
            </w:pPr>
          </w:p>
        </w:tc>
        <w:tc>
          <w:tcPr>
            <w:tcW w:w="0" w:type="auto"/>
            <w:shd w:val="clear" w:color="auto" w:fill="auto"/>
          </w:tcPr>
          <w:p w14:paraId="7268E558" w14:textId="77777777" w:rsidR="005F762A" w:rsidRDefault="005F762A">
            <w:pPr>
              <w:rPr>
                <w:rFonts w:ascii="宋体"/>
                <w:vanish/>
              </w:rPr>
            </w:pPr>
          </w:p>
        </w:tc>
        <w:tc>
          <w:tcPr>
            <w:tcW w:w="0" w:type="auto"/>
            <w:shd w:val="clear" w:color="auto" w:fill="auto"/>
          </w:tcPr>
          <w:p w14:paraId="7268E559"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5A"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5B" w14:textId="77777777" w:rsidR="005F762A" w:rsidRDefault="00D74111">
            <w:pPr>
              <w:jc w:val="right"/>
              <w:textAlignment w:val="bottom"/>
            </w:pPr>
            <w:r>
              <w:rPr>
                <w:rFonts w:ascii="Arial" w:eastAsia="宋体" w:hAnsi="Arial" w:cs="Arial"/>
                <w:color w:val="000000"/>
                <w:sz w:val="18"/>
                <w:szCs w:val="18"/>
              </w:rPr>
              <w:t>87 </w:t>
            </w:r>
          </w:p>
        </w:tc>
        <w:tc>
          <w:tcPr>
            <w:tcW w:w="0" w:type="auto"/>
            <w:shd w:val="clear" w:color="auto" w:fill="E1E1E1"/>
            <w:tcMar>
              <w:top w:w="40" w:type="dxa"/>
              <w:left w:w="0" w:type="dxa"/>
              <w:bottom w:w="40" w:type="dxa"/>
              <w:right w:w="20" w:type="dxa"/>
            </w:tcMar>
            <w:vAlign w:val="bottom"/>
          </w:tcPr>
          <w:p w14:paraId="7268E55C"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5D"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5E" w14:textId="77777777" w:rsidR="005F762A" w:rsidRDefault="00D74111">
            <w:pPr>
              <w:jc w:val="right"/>
              <w:textAlignment w:val="bottom"/>
            </w:pPr>
            <w:r>
              <w:rPr>
                <w:rFonts w:ascii="Arial" w:eastAsia="宋体" w:hAnsi="Arial" w:cs="Arial"/>
                <w:color w:val="000000"/>
                <w:sz w:val="18"/>
                <w:szCs w:val="18"/>
              </w:rPr>
              <w:t>87 </w:t>
            </w:r>
          </w:p>
        </w:tc>
        <w:tc>
          <w:tcPr>
            <w:tcW w:w="0" w:type="auto"/>
            <w:shd w:val="clear" w:color="auto" w:fill="E1E1E1"/>
            <w:tcMar>
              <w:top w:w="40" w:type="dxa"/>
              <w:left w:w="0" w:type="dxa"/>
              <w:bottom w:w="40" w:type="dxa"/>
              <w:right w:w="20" w:type="dxa"/>
            </w:tcMar>
            <w:vAlign w:val="bottom"/>
          </w:tcPr>
          <w:p w14:paraId="7268E55F" w14:textId="77777777" w:rsidR="005F762A" w:rsidRDefault="005F762A">
            <w:pPr>
              <w:jc w:val="right"/>
              <w:rPr>
                <w:rFonts w:ascii="宋体"/>
              </w:rPr>
            </w:pPr>
          </w:p>
        </w:tc>
        <w:tc>
          <w:tcPr>
            <w:tcW w:w="0" w:type="auto"/>
            <w:gridSpan w:val="3"/>
            <w:shd w:val="clear" w:color="auto" w:fill="auto"/>
          </w:tcPr>
          <w:p w14:paraId="7268E560" w14:textId="77777777" w:rsidR="005F762A" w:rsidRDefault="005F762A">
            <w:pPr>
              <w:rPr>
                <w:rFonts w:ascii="宋体"/>
                <w:vanish/>
              </w:rPr>
            </w:pPr>
          </w:p>
        </w:tc>
        <w:tc>
          <w:tcPr>
            <w:tcW w:w="0" w:type="auto"/>
            <w:gridSpan w:val="3"/>
            <w:shd w:val="clear" w:color="auto" w:fill="auto"/>
          </w:tcPr>
          <w:p w14:paraId="7268E561" w14:textId="77777777" w:rsidR="005F762A" w:rsidRDefault="005F762A">
            <w:pPr>
              <w:rPr>
                <w:rFonts w:ascii="宋体"/>
                <w:vanish/>
              </w:rPr>
            </w:pPr>
          </w:p>
        </w:tc>
        <w:tc>
          <w:tcPr>
            <w:tcW w:w="0" w:type="auto"/>
            <w:gridSpan w:val="3"/>
            <w:shd w:val="clear" w:color="auto" w:fill="auto"/>
          </w:tcPr>
          <w:p w14:paraId="7268E562" w14:textId="77777777" w:rsidR="005F762A" w:rsidRDefault="005F762A">
            <w:pPr>
              <w:rPr>
                <w:rFonts w:ascii="宋体"/>
                <w:vanish/>
              </w:rPr>
            </w:pPr>
          </w:p>
        </w:tc>
        <w:tc>
          <w:tcPr>
            <w:tcW w:w="0" w:type="auto"/>
            <w:gridSpan w:val="3"/>
            <w:shd w:val="clear" w:color="auto" w:fill="auto"/>
          </w:tcPr>
          <w:p w14:paraId="7268E563" w14:textId="77777777" w:rsidR="005F762A" w:rsidRDefault="005F762A">
            <w:pPr>
              <w:rPr>
                <w:rFonts w:ascii="宋体"/>
                <w:vanish/>
              </w:rPr>
            </w:pPr>
          </w:p>
        </w:tc>
      </w:tr>
      <w:tr w:rsidR="005F762A" w14:paraId="7268E573" w14:textId="77777777">
        <w:trPr>
          <w:jc w:val="center"/>
        </w:trPr>
        <w:tc>
          <w:tcPr>
            <w:tcW w:w="0" w:type="auto"/>
            <w:gridSpan w:val="3"/>
            <w:shd w:val="clear" w:color="auto" w:fill="FFFFFF"/>
            <w:tcMar>
              <w:top w:w="40" w:type="dxa"/>
              <w:left w:w="515" w:type="dxa"/>
              <w:bottom w:w="40" w:type="dxa"/>
              <w:right w:w="20" w:type="dxa"/>
            </w:tcMar>
            <w:vAlign w:val="bottom"/>
          </w:tcPr>
          <w:p w14:paraId="7268E565" w14:textId="77777777" w:rsidR="005F762A" w:rsidRDefault="00D74111">
            <w:pPr>
              <w:textAlignment w:val="bottom"/>
            </w:pPr>
            <w:r>
              <w:rPr>
                <w:rFonts w:ascii="Arial" w:eastAsia="宋体" w:hAnsi="Arial" w:cs="Arial"/>
                <w:color w:val="000000"/>
                <w:sz w:val="18"/>
                <w:szCs w:val="18"/>
              </w:rPr>
              <w:t>Product development</w:t>
            </w:r>
          </w:p>
        </w:tc>
        <w:tc>
          <w:tcPr>
            <w:tcW w:w="0" w:type="auto"/>
            <w:shd w:val="clear" w:color="auto" w:fill="auto"/>
          </w:tcPr>
          <w:p w14:paraId="7268E566" w14:textId="77777777" w:rsidR="005F762A" w:rsidRDefault="005F762A">
            <w:pPr>
              <w:rPr>
                <w:rFonts w:ascii="宋体"/>
                <w:vanish/>
              </w:rPr>
            </w:pPr>
          </w:p>
        </w:tc>
        <w:tc>
          <w:tcPr>
            <w:tcW w:w="0" w:type="auto"/>
            <w:shd w:val="clear" w:color="auto" w:fill="auto"/>
          </w:tcPr>
          <w:p w14:paraId="7268E567" w14:textId="77777777" w:rsidR="005F762A" w:rsidRDefault="005F762A">
            <w:pPr>
              <w:rPr>
                <w:rFonts w:ascii="宋体"/>
                <w:vanish/>
              </w:rPr>
            </w:pPr>
          </w:p>
        </w:tc>
        <w:tc>
          <w:tcPr>
            <w:tcW w:w="0" w:type="auto"/>
            <w:shd w:val="clear" w:color="auto" w:fill="auto"/>
          </w:tcPr>
          <w:p w14:paraId="7268E568"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6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6A" w14:textId="77777777" w:rsidR="005F762A" w:rsidRDefault="00D74111">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7268E56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6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6D" w14:textId="77777777" w:rsidR="005F762A" w:rsidRDefault="00D74111">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7268E56E" w14:textId="77777777" w:rsidR="005F762A" w:rsidRDefault="005F762A">
            <w:pPr>
              <w:jc w:val="right"/>
              <w:rPr>
                <w:rFonts w:ascii="宋体"/>
              </w:rPr>
            </w:pPr>
          </w:p>
        </w:tc>
        <w:tc>
          <w:tcPr>
            <w:tcW w:w="0" w:type="auto"/>
            <w:gridSpan w:val="3"/>
            <w:shd w:val="clear" w:color="auto" w:fill="auto"/>
          </w:tcPr>
          <w:p w14:paraId="7268E56F" w14:textId="77777777" w:rsidR="005F762A" w:rsidRDefault="005F762A">
            <w:pPr>
              <w:rPr>
                <w:rFonts w:ascii="宋体"/>
                <w:vanish/>
              </w:rPr>
            </w:pPr>
          </w:p>
        </w:tc>
        <w:tc>
          <w:tcPr>
            <w:tcW w:w="0" w:type="auto"/>
            <w:gridSpan w:val="3"/>
            <w:shd w:val="clear" w:color="auto" w:fill="auto"/>
          </w:tcPr>
          <w:p w14:paraId="7268E570" w14:textId="77777777" w:rsidR="005F762A" w:rsidRDefault="005F762A">
            <w:pPr>
              <w:rPr>
                <w:rFonts w:ascii="宋体"/>
                <w:vanish/>
              </w:rPr>
            </w:pPr>
          </w:p>
        </w:tc>
        <w:tc>
          <w:tcPr>
            <w:tcW w:w="0" w:type="auto"/>
            <w:gridSpan w:val="3"/>
            <w:shd w:val="clear" w:color="auto" w:fill="auto"/>
          </w:tcPr>
          <w:p w14:paraId="7268E571" w14:textId="77777777" w:rsidR="005F762A" w:rsidRDefault="005F762A">
            <w:pPr>
              <w:rPr>
                <w:rFonts w:ascii="宋体"/>
                <w:vanish/>
              </w:rPr>
            </w:pPr>
          </w:p>
        </w:tc>
        <w:tc>
          <w:tcPr>
            <w:tcW w:w="0" w:type="auto"/>
            <w:gridSpan w:val="3"/>
            <w:shd w:val="clear" w:color="auto" w:fill="auto"/>
          </w:tcPr>
          <w:p w14:paraId="7268E572" w14:textId="77777777" w:rsidR="005F762A" w:rsidRDefault="005F762A">
            <w:pPr>
              <w:rPr>
                <w:rFonts w:ascii="宋体"/>
                <w:vanish/>
              </w:rPr>
            </w:pPr>
          </w:p>
        </w:tc>
      </w:tr>
      <w:tr w:rsidR="005F762A" w14:paraId="7268E582" w14:textId="77777777">
        <w:trPr>
          <w:jc w:val="center"/>
        </w:trPr>
        <w:tc>
          <w:tcPr>
            <w:tcW w:w="0" w:type="auto"/>
            <w:gridSpan w:val="3"/>
            <w:shd w:val="clear" w:color="auto" w:fill="E1E1E1"/>
            <w:tcMar>
              <w:top w:w="40" w:type="dxa"/>
              <w:left w:w="515" w:type="dxa"/>
              <w:bottom w:w="40" w:type="dxa"/>
              <w:right w:w="20" w:type="dxa"/>
            </w:tcMar>
            <w:vAlign w:val="bottom"/>
          </w:tcPr>
          <w:p w14:paraId="7268E574" w14:textId="77777777" w:rsidR="005F762A" w:rsidRDefault="00D74111">
            <w:pPr>
              <w:textAlignment w:val="bottom"/>
            </w:pPr>
            <w:r>
              <w:rPr>
                <w:rFonts w:ascii="Arial" w:eastAsia="宋体" w:hAnsi="Arial" w:cs="Arial"/>
                <w:color w:val="000000"/>
                <w:sz w:val="18"/>
                <w:szCs w:val="18"/>
              </w:rPr>
              <w:t>General and administrative</w:t>
            </w:r>
          </w:p>
        </w:tc>
        <w:tc>
          <w:tcPr>
            <w:tcW w:w="0" w:type="auto"/>
            <w:shd w:val="clear" w:color="auto" w:fill="auto"/>
          </w:tcPr>
          <w:p w14:paraId="7268E575" w14:textId="77777777" w:rsidR="005F762A" w:rsidRDefault="005F762A">
            <w:pPr>
              <w:rPr>
                <w:rFonts w:ascii="宋体"/>
                <w:vanish/>
              </w:rPr>
            </w:pPr>
          </w:p>
        </w:tc>
        <w:tc>
          <w:tcPr>
            <w:tcW w:w="0" w:type="auto"/>
            <w:shd w:val="clear" w:color="auto" w:fill="auto"/>
          </w:tcPr>
          <w:p w14:paraId="7268E576" w14:textId="77777777" w:rsidR="005F762A" w:rsidRDefault="005F762A">
            <w:pPr>
              <w:rPr>
                <w:rFonts w:ascii="宋体"/>
                <w:vanish/>
              </w:rPr>
            </w:pPr>
          </w:p>
        </w:tc>
        <w:tc>
          <w:tcPr>
            <w:tcW w:w="0" w:type="auto"/>
            <w:shd w:val="clear" w:color="auto" w:fill="auto"/>
          </w:tcPr>
          <w:p w14:paraId="7268E577"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78"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79" w14:textId="77777777" w:rsidR="005F762A" w:rsidRDefault="00D74111">
            <w:pPr>
              <w:jc w:val="right"/>
              <w:textAlignment w:val="bottom"/>
            </w:pPr>
            <w:r>
              <w:rPr>
                <w:rFonts w:ascii="Arial" w:eastAsia="宋体" w:hAnsi="Arial" w:cs="Arial"/>
                <w:color w:val="000000"/>
                <w:sz w:val="18"/>
                <w:szCs w:val="18"/>
              </w:rPr>
              <w:t>27 </w:t>
            </w:r>
          </w:p>
        </w:tc>
        <w:tc>
          <w:tcPr>
            <w:tcW w:w="0" w:type="auto"/>
            <w:shd w:val="clear" w:color="auto" w:fill="E1E1E1"/>
            <w:tcMar>
              <w:top w:w="40" w:type="dxa"/>
              <w:left w:w="0" w:type="dxa"/>
              <w:bottom w:w="40" w:type="dxa"/>
              <w:right w:w="20" w:type="dxa"/>
            </w:tcMar>
            <w:vAlign w:val="bottom"/>
          </w:tcPr>
          <w:p w14:paraId="7268E57A"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7B"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7C" w14:textId="77777777" w:rsidR="005F762A" w:rsidRDefault="00D74111">
            <w:pPr>
              <w:jc w:val="right"/>
              <w:textAlignment w:val="bottom"/>
            </w:pPr>
            <w:r>
              <w:rPr>
                <w:rFonts w:ascii="Arial" w:eastAsia="宋体" w:hAnsi="Arial" w:cs="Arial"/>
                <w:color w:val="000000"/>
                <w:sz w:val="18"/>
                <w:szCs w:val="18"/>
              </w:rPr>
              <w:t>27 </w:t>
            </w:r>
          </w:p>
        </w:tc>
        <w:tc>
          <w:tcPr>
            <w:tcW w:w="0" w:type="auto"/>
            <w:shd w:val="clear" w:color="auto" w:fill="E1E1E1"/>
            <w:tcMar>
              <w:top w:w="40" w:type="dxa"/>
              <w:left w:w="0" w:type="dxa"/>
              <w:bottom w:w="40" w:type="dxa"/>
              <w:right w:w="20" w:type="dxa"/>
            </w:tcMar>
            <w:vAlign w:val="bottom"/>
          </w:tcPr>
          <w:p w14:paraId="7268E57D" w14:textId="77777777" w:rsidR="005F762A" w:rsidRDefault="005F762A">
            <w:pPr>
              <w:jc w:val="right"/>
              <w:rPr>
                <w:rFonts w:ascii="宋体"/>
              </w:rPr>
            </w:pPr>
          </w:p>
        </w:tc>
        <w:tc>
          <w:tcPr>
            <w:tcW w:w="0" w:type="auto"/>
            <w:gridSpan w:val="3"/>
            <w:shd w:val="clear" w:color="auto" w:fill="auto"/>
          </w:tcPr>
          <w:p w14:paraId="7268E57E" w14:textId="77777777" w:rsidR="005F762A" w:rsidRDefault="005F762A">
            <w:pPr>
              <w:rPr>
                <w:rFonts w:ascii="宋体"/>
                <w:vanish/>
              </w:rPr>
            </w:pPr>
          </w:p>
        </w:tc>
        <w:tc>
          <w:tcPr>
            <w:tcW w:w="0" w:type="auto"/>
            <w:gridSpan w:val="3"/>
            <w:shd w:val="clear" w:color="auto" w:fill="auto"/>
          </w:tcPr>
          <w:p w14:paraId="7268E57F" w14:textId="77777777" w:rsidR="005F762A" w:rsidRDefault="005F762A">
            <w:pPr>
              <w:rPr>
                <w:rFonts w:ascii="宋体"/>
                <w:vanish/>
              </w:rPr>
            </w:pPr>
          </w:p>
        </w:tc>
        <w:tc>
          <w:tcPr>
            <w:tcW w:w="0" w:type="auto"/>
            <w:gridSpan w:val="3"/>
            <w:shd w:val="clear" w:color="auto" w:fill="auto"/>
          </w:tcPr>
          <w:p w14:paraId="7268E580" w14:textId="77777777" w:rsidR="005F762A" w:rsidRDefault="005F762A">
            <w:pPr>
              <w:rPr>
                <w:rFonts w:ascii="宋体"/>
                <w:vanish/>
              </w:rPr>
            </w:pPr>
          </w:p>
        </w:tc>
        <w:tc>
          <w:tcPr>
            <w:tcW w:w="0" w:type="auto"/>
            <w:gridSpan w:val="3"/>
            <w:shd w:val="clear" w:color="auto" w:fill="auto"/>
          </w:tcPr>
          <w:p w14:paraId="7268E581" w14:textId="77777777" w:rsidR="005F762A" w:rsidRDefault="005F762A">
            <w:pPr>
              <w:rPr>
                <w:rFonts w:ascii="宋体"/>
                <w:vanish/>
              </w:rPr>
            </w:pPr>
          </w:p>
        </w:tc>
      </w:tr>
      <w:tr w:rsidR="005F762A" w14:paraId="7268E591" w14:textId="77777777">
        <w:trPr>
          <w:jc w:val="center"/>
        </w:trPr>
        <w:tc>
          <w:tcPr>
            <w:tcW w:w="0" w:type="auto"/>
            <w:gridSpan w:val="3"/>
            <w:shd w:val="clear" w:color="auto" w:fill="FFFFFF"/>
            <w:tcMar>
              <w:top w:w="40" w:type="dxa"/>
              <w:left w:w="515" w:type="dxa"/>
              <w:bottom w:w="40" w:type="dxa"/>
              <w:right w:w="20" w:type="dxa"/>
            </w:tcMar>
            <w:vAlign w:val="bottom"/>
          </w:tcPr>
          <w:p w14:paraId="7268E583" w14:textId="77777777" w:rsidR="005F762A" w:rsidRDefault="00D74111">
            <w:pPr>
              <w:textAlignment w:val="bottom"/>
            </w:pPr>
            <w:r>
              <w:rPr>
                <w:rFonts w:ascii="Arial" w:eastAsia="宋体" w:hAnsi="Arial" w:cs="Arial"/>
                <w:color w:val="000000"/>
                <w:sz w:val="18"/>
                <w:szCs w:val="18"/>
              </w:rPr>
              <w:t>Provision for transaction losses</w:t>
            </w:r>
          </w:p>
        </w:tc>
        <w:tc>
          <w:tcPr>
            <w:tcW w:w="0" w:type="auto"/>
            <w:shd w:val="clear" w:color="auto" w:fill="auto"/>
          </w:tcPr>
          <w:p w14:paraId="7268E584" w14:textId="77777777" w:rsidR="005F762A" w:rsidRDefault="005F762A">
            <w:pPr>
              <w:rPr>
                <w:rFonts w:ascii="宋体"/>
                <w:vanish/>
              </w:rPr>
            </w:pPr>
          </w:p>
        </w:tc>
        <w:tc>
          <w:tcPr>
            <w:tcW w:w="0" w:type="auto"/>
            <w:shd w:val="clear" w:color="auto" w:fill="auto"/>
          </w:tcPr>
          <w:p w14:paraId="7268E585" w14:textId="77777777" w:rsidR="005F762A" w:rsidRDefault="005F762A">
            <w:pPr>
              <w:rPr>
                <w:rFonts w:ascii="宋体"/>
                <w:vanish/>
              </w:rPr>
            </w:pPr>
          </w:p>
        </w:tc>
        <w:tc>
          <w:tcPr>
            <w:tcW w:w="0" w:type="auto"/>
            <w:shd w:val="clear" w:color="auto" w:fill="auto"/>
          </w:tcPr>
          <w:p w14:paraId="7268E586"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8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88"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E58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8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8B" w14:textId="77777777" w:rsidR="005F762A" w:rsidRDefault="00D74111">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7268E58C" w14:textId="77777777" w:rsidR="005F762A" w:rsidRDefault="005F762A">
            <w:pPr>
              <w:jc w:val="right"/>
              <w:rPr>
                <w:rFonts w:ascii="宋体"/>
              </w:rPr>
            </w:pPr>
          </w:p>
        </w:tc>
        <w:tc>
          <w:tcPr>
            <w:tcW w:w="0" w:type="auto"/>
            <w:gridSpan w:val="3"/>
            <w:shd w:val="clear" w:color="auto" w:fill="auto"/>
          </w:tcPr>
          <w:p w14:paraId="7268E58D" w14:textId="77777777" w:rsidR="005F762A" w:rsidRDefault="005F762A">
            <w:pPr>
              <w:rPr>
                <w:rFonts w:ascii="宋体"/>
                <w:vanish/>
              </w:rPr>
            </w:pPr>
          </w:p>
        </w:tc>
        <w:tc>
          <w:tcPr>
            <w:tcW w:w="0" w:type="auto"/>
            <w:gridSpan w:val="3"/>
            <w:shd w:val="clear" w:color="auto" w:fill="auto"/>
          </w:tcPr>
          <w:p w14:paraId="7268E58E" w14:textId="77777777" w:rsidR="005F762A" w:rsidRDefault="005F762A">
            <w:pPr>
              <w:rPr>
                <w:rFonts w:ascii="宋体"/>
                <w:vanish/>
              </w:rPr>
            </w:pPr>
          </w:p>
        </w:tc>
        <w:tc>
          <w:tcPr>
            <w:tcW w:w="0" w:type="auto"/>
            <w:gridSpan w:val="3"/>
            <w:shd w:val="clear" w:color="auto" w:fill="auto"/>
          </w:tcPr>
          <w:p w14:paraId="7268E58F" w14:textId="77777777" w:rsidR="005F762A" w:rsidRDefault="005F762A">
            <w:pPr>
              <w:rPr>
                <w:rFonts w:ascii="宋体"/>
                <w:vanish/>
              </w:rPr>
            </w:pPr>
          </w:p>
        </w:tc>
        <w:tc>
          <w:tcPr>
            <w:tcW w:w="0" w:type="auto"/>
            <w:gridSpan w:val="3"/>
            <w:shd w:val="clear" w:color="auto" w:fill="auto"/>
          </w:tcPr>
          <w:p w14:paraId="7268E590" w14:textId="77777777" w:rsidR="005F762A" w:rsidRDefault="005F762A">
            <w:pPr>
              <w:rPr>
                <w:rFonts w:ascii="宋体"/>
                <w:vanish/>
              </w:rPr>
            </w:pPr>
          </w:p>
        </w:tc>
      </w:tr>
      <w:tr w:rsidR="005F762A" w14:paraId="7268E5A0" w14:textId="77777777">
        <w:trPr>
          <w:jc w:val="center"/>
        </w:trPr>
        <w:tc>
          <w:tcPr>
            <w:tcW w:w="0" w:type="auto"/>
            <w:gridSpan w:val="3"/>
            <w:shd w:val="clear" w:color="auto" w:fill="E1E1E1"/>
            <w:tcMar>
              <w:top w:w="40" w:type="dxa"/>
              <w:left w:w="515" w:type="dxa"/>
              <w:bottom w:w="40" w:type="dxa"/>
              <w:right w:w="20" w:type="dxa"/>
            </w:tcMar>
            <w:vAlign w:val="bottom"/>
          </w:tcPr>
          <w:p w14:paraId="7268E592" w14:textId="77777777" w:rsidR="005F762A" w:rsidRDefault="00D74111">
            <w:pPr>
              <w:textAlignment w:val="bottom"/>
            </w:pPr>
            <w:r>
              <w:rPr>
                <w:rFonts w:ascii="Arial" w:eastAsia="宋体" w:hAnsi="Arial" w:cs="Arial"/>
                <w:color w:val="000000"/>
                <w:sz w:val="18"/>
                <w:szCs w:val="18"/>
              </w:rPr>
              <w:t>Amortization of acquired intangible assets</w:t>
            </w:r>
          </w:p>
        </w:tc>
        <w:tc>
          <w:tcPr>
            <w:tcW w:w="0" w:type="auto"/>
            <w:shd w:val="clear" w:color="auto" w:fill="auto"/>
          </w:tcPr>
          <w:p w14:paraId="7268E593" w14:textId="77777777" w:rsidR="005F762A" w:rsidRDefault="005F762A">
            <w:pPr>
              <w:rPr>
                <w:rFonts w:ascii="宋体"/>
                <w:vanish/>
              </w:rPr>
            </w:pPr>
          </w:p>
        </w:tc>
        <w:tc>
          <w:tcPr>
            <w:tcW w:w="0" w:type="auto"/>
            <w:shd w:val="clear" w:color="auto" w:fill="auto"/>
          </w:tcPr>
          <w:p w14:paraId="7268E594" w14:textId="77777777" w:rsidR="005F762A" w:rsidRDefault="005F762A">
            <w:pPr>
              <w:rPr>
                <w:rFonts w:ascii="宋体"/>
                <w:vanish/>
              </w:rPr>
            </w:pPr>
          </w:p>
        </w:tc>
        <w:tc>
          <w:tcPr>
            <w:tcW w:w="0" w:type="auto"/>
            <w:shd w:val="clear" w:color="auto" w:fill="auto"/>
          </w:tcPr>
          <w:p w14:paraId="7268E595"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96"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97"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7268E598"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99"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9A"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7268E59B" w14:textId="77777777" w:rsidR="005F762A" w:rsidRDefault="005F762A">
            <w:pPr>
              <w:jc w:val="right"/>
              <w:rPr>
                <w:rFonts w:ascii="宋体"/>
              </w:rPr>
            </w:pPr>
          </w:p>
        </w:tc>
        <w:tc>
          <w:tcPr>
            <w:tcW w:w="0" w:type="auto"/>
            <w:gridSpan w:val="3"/>
            <w:shd w:val="clear" w:color="auto" w:fill="auto"/>
          </w:tcPr>
          <w:p w14:paraId="7268E59C" w14:textId="77777777" w:rsidR="005F762A" w:rsidRDefault="005F762A">
            <w:pPr>
              <w:rPr>
                <w:rFonts w:ascii="宋体"/>
                <w:vanish/>
              </w:rPr>
            </w:pPr>
          </w:p>
        </w:tc>
        <w:tc>
          <w:tcPr>
            <w:tcW w:w="0" w:type="auto"/>
            <w:gridSpan w:val="3"/>
            <w:shd w:val="clear" w:color="auto" w:fill="auto"/>
          </w:tcPr>
          <w:p w14:paraId="7268E59D" w14:textId="77777777" w:rsidR="005F762A" w:rsidRDefault="005F762A">
            <w:pPr>
              <w:rPr>
                <w:rFonts w:ascii="宋体"/>
                <w:vanish/>
              </w:rPr>
            </w:pPr>
          </w:p>
        </w:tc>
        <w:tc>
          <w:tcPr>
            <w:tcW w:w="0" w:type="auto"/>
            <w:gridSpan w:val="3"/>
            <w:shd w:val="clear" w:color="auto" w:fill="auto"/>
          </w:tcPr>
          <w:p w14:paraId="7268E59E" w14:textId="77777777" w:rsidR="005F762A" w:rsidRDefault="005F762A">
            <w:pPr>
              <w:rPr>
                <w:rFonts w:ascii="宋体"/>
                <w:vanish/>
              </w:rPr>
            </w:pPr>
          </w:p>
        </w:tc>
        <w:tc>
          <w:tcPr>
            <w:tcW w:w="0" w:type="auto"/>
            <w:gridSpan w:val="3"/>
            <w:shd w:val="clear" w:color="auto" w:fill="auto"/>
          </w:tcPr>
          <w:p w14:paraId="7268E59F" w14:textId="77777777" w:rsidR="005F762A" w:rsidRDefault="005F762A">
            <w:pPr>
              <w:rPr>
                <w:rFonts w:ascii="宋体"/>
                <w:vanish/>
              </w:rPr>
            </w:pPr>
          </w:p>
        </w:tc>
      </w:tr>
      <w:tr w:rsidR="005F762A" w14:paraId="7268E5AF" w14:textId="77777777">
        <w:trPr>
          <w:jc w:val="center"/>
        </w:trPr>
        <w:tc>
          <w:tcPr>
            <w:tcW w:w="0" w:type="auto"/>
            <w:gridSpan w:val="3"/>
            <w:shd w:val="clear" w:color="auto" w:fill="FFFFFF"/>
            <w:tcMar>
              <w:top w:w="40" w:type="dxa"/>
              <w:left w:w="875" w:type="dxa"/>
              <w:bottom w:w="40" w:type="dxa"/>
              <w:right w:w="20" w:type="dxa"/>
            </w:tcMar>
            <w:vAlign w:val="bottom"/>
          </w:tcPr>
          <w:p w14:paraId="7268E5A1" w14:textId="77777777" w:rsidR="005F762A" w:rsidRDefault="00D74111">
            <w:pPr>
              <w:textAlignment w:val="bottom"/>
            </w:pPr>
            <w:r>
              <w:rPr>
                <w:rFonts w:ascii="Arial" w:eastAsia="宋体" w:hAnsi="Arial" w:cs="Arial"/>
                <w:color w:val="000000"/>
                <w:sz w:val="18"/>
                <w:szCs w:val="18"/>
              </w:rPr>
              <w:t>Total operating expenses</w:t>
            </w:r>
          </w:p>
        </w:tc>
        <w:tc>
          <w:tcPr>
            <w:tcW w:w="0" w:type="auto"/>
            <w:shd w:val="clear" w:color="auto" w:fill="auto"/>
          </w:tcPr>
          <w:p w14:paraId="7268E5A2" w14:textId="77777777" w:rsidR="005F762A" w:rsidRDefault="005F762A">
            <w:pPr>
              <w:rPr>
                <w:rFonts w:ascii="宋体"/>
                <w:vanish/>
              </w:rPr>
            </w:pPr>
          </w:p>
        </w:tc>
        <w:tc>
          <w:tcPr>
            <w:tcW w:w="0" w:type="auto"/>
            <w:shd w:val="clear" w:color="auto" w:fill="auto"/>
          </w:tcPr>
          <w:p w14:paraId="7268E5A3" w14:textId="77777777" w:rsidR="005F762A" w:rsidRDefault="005F762A">
            <w:pPr>
              <w:rPr>
                <w:rFonts w:ascii="宋体"/>
                <w:vanish/>
              </w:rPr>
            </w:pPr>
          </w:p>
        </w:tc>
        <w:tc>
          <w:tcPr>
            <w:tcW w:w="0" w:type="auto"/>
            <w:shd w:val="clear" w:color="auto" w:fill="auto"/>
          </w:tcPr>
          <w:p w14:paraId="7268E5A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A5"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5A6" w14:textId="77777777" w:rsidR="005F762A" w:rsidRDefault="00D74111">
            <w:pPr>
              <w:jc w:val="right"/>
              <w:textAlignment w:val="bottom"/>
            </w:pPr>
            <w:r>
              <w:rPr>
                <w:rFonts w:ascii="Arial" w:eastAsia="宋体" w:hAnsi="Arial" w:cs="Arial"/>
                <w:color w:val="000000"/>
                <w:sz w:val="18"/>
                <w:szCs w:val="18"/>
              </w:rPr>
              <w:t>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5A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A8"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5A9" w14:textId="77777777" w:rsidR="005F762A" w:rsidRDefault="00D74111">
            <w:pPr>
              <w:jc w:val="right"/>
              <w:textAlignment w:val="bottom"/>
            </w:pPr>
            <w:r>
              <w:rPr>
                <w:rFonts w:ascii="Arial" w:eastAsia="宋体" w:hAnsi="Arial" w:cs="Arial"/>
                <w:color w:val="000000"/>
                <w:sz w:val="18"/>
                <w:szCs w:val="18"/>
              </w:rPr>
              <w:t>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5AA" w14:textId="77777777" w:rsidR="005F762A" w:rsidRDefault="005F762A">
            <w:pPr>
              <w:jc w:val="right"/>
              <w:rPr>
                <w:rFonts w:ascii="宋体"/>
              </w:rPr>
            </w:pPr>
          </w:p>
        </w:tc>
        <w:tc>
          <w:tcPr>
            <w:tcW w:w="0" w:type="auto"/>
            <w:gridSpan w:val="3"/>
            <w:shd w:val="clear" w:color="auto" w:fill="auto"/>
          </w:tcPr>
          <w:p w14:paraId="7268E5AB" w14:textId="77777777" w:rsidR="005F762A" w:rsidRDefault="005F762A">
            <w:pPr>
              <w:rPr>
                <w:rFonts w:ascii="宋体"/>
                <w:vanish/>
              </w:rPr>
            </w:pPr>
          </w:p>
        </w:tc>
        <w:tc>
          <w:tcPr>
            <w:tcW w:w="0" w:type="auto"/>
            <w:gridSpan w:val="3"/>
            <w:shd w:val="clear" w:color="auto" w:fill="auto"/>
          </w:tcPr>
          <w:p w14:paraId="7268E5AC" w14:textId="77777777" w:rsidR="005F762A" w:rsidRDefault="005F762A">
            <w:pPr>
              <w:rPr>
                <w:rFonts w:ascii="宋体"/>
                <w:vanish/>
              </w:rPr>
            </w:pPr>
          </w:p>
        </w:tc>
        <w:tc>
          <w:tcPr>
            <w:tcW w:w="0" w:type="auto"/>
            <w:gridSpan w:val="3"/>
            <w:shd w:val="clear" w:color="auto" w:fill="auto"/>
          </w:tcPr>
          <w:p w14:paraId="7268E5AD" w14:textId="77777777" w:rsidR="005F762A" w:rsidRDefault="005F762A">
            <w:pPr>
              <w:rPr>
                <w:rFonts w:ascii="宋体"/>
                <w:vanish/>
              </w:rPr>
            </w:pPr>
          </w:p>
        </w:tc>
        <w:tc>
          <w:tcPr>
            <w:tcW w:w="0" w:type="auto"/>
            <w:gridSpan w:val="3"/>
            <w:shd w:val="clear" w:color="auto" w:fill="auto"/>
          </w:tcPr>
          <w:p w14:paraId="7268E5AE" w14:textId="77777777" w:rsidR="005F762A" w:rsidRDefault="005F762A">
            <w:pPr>
              <w:rPr>
                <w:rFonts w:ascii="宋体"/>
                <w:vanish/>
              </w:rPr>
            </w:pPr>
          </w:p>
        </w:tc>
      </w:tr>
      <w:tr w:rsidR="005F762A" w14:paraId="7268E5BE" w14:textId="77777777">
        <w:trPr>
          <w:jc w:val="center"/>
        </w:trPr>
        <w:tc>
          <w:tcPr>
            <w:tcW w:w="0" w:type="auto"/>
            <w:gridSpan w:val="3"/>
            <w:shd w:val="clear" w:color="auto" w:fill="E1E1E1"/>
            <w:tcMar>
              <w:top w:w="40" w:type="dxa"/>
              <w:left w:w="20" w:type="dxa"/>
              <w:bottom w:w="40" w:type="dxa"/>
              <w:right w:w="20" w:type="dxa"/>
            </w:tcMar>
            <w:vAlign w:val="bottom"/>
          </w:tcPr>
          <w:p w14:paraId="7268E5B0" w14:textId="77777777" w:rsidR="005F762A" w:rsidRDefault="00D74111">
            <w:pPr>
              <w:textAlignment w:val="bottom"/>
            </w:pPr>
            <w:r>
              <w:rPr>
                <w:rFonts w:ascii="Arial" w:eastAsia="宋体" w:hAnsi="Arial" w:cs="Arial"/>
                <w:color w:val="000000"/>
                <w:sz w:val="18"/>
                <w:szCs w:val="18"/>
              </w:rPr>
              <w:t>Income f</w:t>
            </w:r>
            <w:r>
              <w:rPr>
                <w:rFonts w:ascii="Arial" w:eastAsia="宋体" w:hAnsi="Arial" w:cs="Arial"/>
                <w:color w:val="000000"/>
                <w:sz w:val="18"/>
                <w:szCs w:val="18"/>
              </w:rPr>
              <w:t>rom operations of discontinued operations</w:t>
            </w:r>
          </w:p>
        </w:tc>
        <w:tc>
          <w:tcPr>
            <w:tcW w:w="0" w:type="auto"/>
            <w:shd w:val="clear" w:color="auto" w:fill="auto"/>
          </w:tcPr>
          <w:p w14:paraId="7268E5B1" w14:textId="77777777" w:rsidR="005F762A" w:rsidRDefault="005F762A">
            <w:pPr>
              <w:rPr>
                <w:rFonts w:ascii="宋体"/>
                <w:vanish/>
              </w:rPr>
            </w:pPr>
          </w:p>
        </w:tc>
        <w:tc>
          <w:tcPr>
            <w:tcW w:w="0" w:type="auto"/>
            <w:shd w:val="clear" w:color="auto" w:fill="auto"/>
          </w:tcPr>
          <w:p w14:paraId="7268E5B2" w14:textId="77777777" w:rsidR="005F762A" w:rsidRDefault="005F762A">
            <w:pPr>
              <w:rPr>
                <w:rFonts w:ascii="宋体"/>
                <w:vanish/>
              </w:rPr>
            </w:pPr>
          </w:p>
        </w:tc>
        <w:tc>
          <w:tcPr>
            <w:tcW w:w="0" w:type="auto"/>
            <w:shd w:val="clear" w:color="auto" w:fill="auto"/>
          </w:tcPr>
          <w:p w14:paraId="7268E5B3"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B4"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B5" w14:textId="77777777" w:rsidR="005F762A" w:rsidRDefault="00D74111">
            <w:pPr>
              <w:jc w:val="right"/>
              <w:textAlignment w:val="bottom"/>
            </w:pPr>
            <w:r>
              <w:rPr>
                <w:rFonts w:ascii="Arial" w:eastAsia="宋体" w:hAnsi="Arial" w:cs="Arial"/>
                <w:color w:val="000000"/>
                <w:sz w:val="18"/>
                <w:szCs w:val="18"/>
              </w:rPr>
              <w:t>87 </w:t>
            </w:r>
          </w:p>
        </w:tc>
        <w:tc>
          <w:tcPr>
            <w:tcW w:w="0" w:type="auto"/>
            <w:shd w:val="clear" w:color="auto" w:fill="E1E1E1"/>
            <w:tcMar>
              <w:top w:w="40" w:type="dxa"/>
              <w:left w:w="0" w:type="dxa"/>
              <w:bottom w:w="40" w:type="dxa"/>
              <w:right w:w="20" w:type="dxa"/>
            </w:tcMar>
            <w:vAlign w:val="bottom"/>
          </w:tcPr>
          <w:p w14:paraId="7268E5B6"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B7"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5B8" w14:textId="77777777" w:rsidR="005F762A" w:rsidRDefault="00D74111">
            <w:pPr>
              <w:jc w:val="right"/>
              <w:textAlignment w:val="bottom"/>
            </w:pPr>
            <w:r>
              <w:rPr>
                <w:rFonts w:ascii="Arial" w:eastAsia="宋体" w:hAnsi="Arial" w:cs="Arial"/>
                <w:color w:val="000000"/>
                <w:sz w:val="18"/>
                <w:szCs w:val="18"/>
              </w:rPr>
              <w:t>64 </w:t>
            </w:r>
          </w:p>
        </w:tc>
        <w:tc>
          <w:tcPr>
            <w:tcW w:w="0" w:type="auto"/>
            <w:shd w:val="clear" w:color="auto" w:fill="E1E1E1"/>
            <w:tcMar>
              <w:top w:w="40" w:type="dxa"/>
              <w:left w:w="0" w:type="dxa"/>
              <w:bottom w:w="40" w:type="dxa"/>
              <w:right w:w="20" w:type="dxa"/>
            </w:tcMar>
            <w:vAlign w:val="bottom"/>
          </w:tcPr>
          <w:p w14:paraId="7268E5B9" w14:textId="77777777" w:rsidR="005F762A" w:rsidRDefault="005F762A">
            <w:pPr>
              <w:jc w:val="right"/>
              <w:rPr>
                <w:rFonts w:ascii="宋体"/>
              </w:rPr>
            </w:pPr>
          </w:p>
        </w:tc>
        <w:tc>
          <w:tcPr>
            <w:tcW w:w="0" w:type="auto"/>
            <w:gridSpan w:val="3"/>
            <w:shd w:val="clear" w:color="auto" w:fill="auto"/>
          </w:tcPr>
          <w:p w14:paraId="7268E5BA" w14:textId="77777777" w:rsidR="005F762A" w:rsidRDefault="005F762A">
            <w:pPr>
              <w:rPr>
                <w:rFonts w:ascii="宋体"/>
                <w:vanish/>
              </w:rPr>
            </w:pPr>
          </w:p>
        </w:tc>
        <w:tc>
          <w:tcPr>
            <w:tcW w:w="0" w:type="auto"/>
            <w:gridSpan w:val="3"/>
            <w:shd w:val="clear" w:color="auto" w:fill="auto"/>
          </w:tcPr>
          <w:p w14:paraId="7268E5BB" w14:textId="77777777" w:rsidR="005F762A" w:rsidRDefault="005F762A">
            <w:pPr>
              <w:rPr>
                <w:rFonts w:ascii="宋体"/>
                <w:vanish/>
              </w:rPr>
            </w:pPr>
          </w:p>
        </w:tc>
        <w:tc>
          <w:tcPr>
            <w:tcW w:w="0" w:type="auto"/>
            <w:gridSpan w:val="3"/>
            <w:shd w:val="clear" w:color="auto" w:fill="auto"/>
          </w:tcPr>
          <w:p w14:paraId="7268E5BC" w14:textId="77777777" w:rsidR="005F762A" w:rsidRDefault="005F762A">
            <w:pPr>
              <w:rPr>
                <w:rFonts w:ascii="宋体"/>
                <w:vanish/>
              </w:rPr>
            </w:pPr>
          </w:p>
        </w:tc>
        <w:tc>
          <w:tcPr>
            <w:tcW w:w="0" w:type="auto"/>
            <w:gridSpan w:val="3"/>
            <w:shd w:val="clear" w:color="auto" w:fill="auto"/>
          </w:tcPr>
          <w:p w14:paraId="7268E5BD" w14:textId="77777777" w:rsidR="005F762A" w:rsidRDefault="005F762A">
            <w:pPr>
              <w:rPr>
                <w:rFonts w:ascii="宋体"/>
                <w:vanish/>
              </w:rPr>
            </w:pPr>
          </w:p>
        </w:tc>
      </w:tr>
      <w:tr w:rsidR="005F762A" w14:paraId="7268E5CD" w14:textId="77777777">
        <w:trPr>
          <w:jc w:val="center"/>
        </w:trPr>
        <w:tc>
          <w:tcPr>
            <w:tcW w:w="0" w:type="auto"/>
            <w:gridSpan w:val="3"/>
            <w:shd w:val="clear" w:color="auto" w:fill="FFFFFF"/>
            <w:tcMar>
              <w:top w:w="40" w:type="dxa"/>
              <w:left w:w="20" w:type="dxa"/>
              <w:bottom w:w="40" w:type="dxa"/>
              <w:right w:w="20" w:type="dxa"/>
            </w:tcMar>
            <w:vAlign w:val="bottom"/>
          </w:tcPr>
          <w:p w14:paraId="7268E5BF" w14:textId="77777777" w:rsidR="005F762A" w:rsidRDefault="00D74111">
            <w:pPr>
              <w:textAlignment w:val="bottom"/>
            </w:pPr>
            <w:r>
              <w:rPr>
                <w:rFonts w:ascii="Arial" w:eastAsia="宋体" w:hAnsi="Arial" w:cs="Arial"/>
                <w:color w:val="000000"/>
                <w:sz w:val="18"/>
                <w:szCs w:val="18"/>
              </w:rPr>
              <w:t>Interest and other, net</w:t>
            </w:r>
          </w:p>
        </w:tc>
        <w:tc>
          <w:tcPr>
            <w:tcW w:w="0" w:type="auto"/>
            <w:shd w:val="clear" w:color="auto" w:fill="auto"/>
          </w:tcPr>
          <w:p w14:paraId="7268E5C0" w14:textId="77777777" w:rsidR="005F762A" w:rsidRDefault="005F762A">
            <w:pPr>
              <w:rPr>
                <w:rFonts w:ascii="宋体"/>
                <w:vanish/>
              </w:rPr>
            </w:pPr>
          </w:p>
        </w:tc>
        <w:tc>
          <w:tcPr>
            <w:tcW w:w="0" w:type="auto"/>
            <w:shd w:val="clear" w:color="auto" w:fill="auto"/>
          </w:tcPr>
          <w:p w14:paraId="7268E5C1" w14:textId="77777777" w:rsidR="005F762A" w:rsidRDefault="005F762A">
            <w:pPr>
              <w:rPr>
                <w:rFonts w:ascii="宋体"/>
                <w:vanish/>
              </w:rPr>
            </w:pPr>
          </w:p>
        </w:tc>
        <w:tc>
          <w:tcPr>
            <w:tcW w:w="0" w:type="auto"/>
            <w:shd w:val="clear" w:color="auto" w:fill="auto"/>
          </w:tcPr>
          <w:p w14:paraId="7268E5C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C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C4"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5C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C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C7"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5C8" w14:textId="77777777" w:rsidR="005F762A" w:rsidRDefault="005F762A">
            <w:pPr>
              <w:jc w:val="right"/>
              <w:rPr>
                <w:rFonts w:ascii="宋体"/>
              </w:rPr>
            </w:pPr>
          </w:p>
        </w:tc>
        <w:tc>
          <w:tcPr>
            <w:tcW w:w="0" w:type="auto"/>
            <w:gridSpan w:val="3"/>
            <w:shd w:val="clear" w:color="auto" w:fill="auto"/>
          </w:tcPr>
          <w:p w14:paraId="7268E5C9" w14:textId="77777777" w:rsidR="005F762A" w:rsidRDefault="005F762A">
            <w:pPr>
              <w:rPr>
                <w:rFonts w:ascii="宋体"/>
                <w:vanish/>
              </w:rPr>
            </w:pPr>
          </w:p>
        </w:tc>
        <w:tc>
          <w:tcPr>
            <w:tcW w:w="0" w:type="auto"/>
            <w:gridSpan w:val="3"/>
            <w:shd w:val="clear" w:color="auto" w:fill="auto"/>
          </w:tcPr>
          <w:p w14:paraId="7268E5CA" w14:textId="77777777" w:rsidR="005F762A" w:rsidRDefault="005F762A">
            <w:pPr>
              <w:rPr>
                <w:rFonts w:ascii="宋体"/>
                <w:vanish/>
              </w:rPr>
            </w:pPr>
          </w:p>
        </w:tc>
        <w:tc>
          <w:tcPr>
            <w:tcW w:w="0" w:type="auto"/>
            <w:gridSpan w:val="3"/>
            <w:shd w:val="clear" w:color="auto" w:fill="auto"/>
          </w:tcPr>
          <w:p w14:paraId="7268E5CB" w14:textId="77777777" w:rsidR="005F762A" w:rsidRDefault="005F762A">
            <w:pPr>
              <w:rPr>
                <w:rFonts w:ascii="宋体"/>
                <w:vanish/>
              </w:rPr>
            </w:pPr>
          </w:p>
        </w:tc>
        <w:tc>
          <w:tcPr>
            <w:tcW w:w="0" w:type="auto"/>
            <w:gridSpan w:val="3"/>
            <w:shd w:val="clear" w:color="auto" w:fill="auto"/>
          </w:tcPr>
          <w:p w14:paraId="7268E5CC" w14:textId="77777777" w:rsidR="005F762A" w:rsidRDefault="005F762A">
            <w:pPr>
              <w:rPr>
                <w:rFonts w:ascii="宋体"/>
                <w:vanish/>
              </w:rPr>
            </w:pPr>
          </w:p>
        </w:tc>
      </w:tr>
      <w:tr w:rsidR="005F762A" w14:paraId="7268E5DC" w14:textId="77777777">
        <w:trPr>
          <w:jc w:val="center"/>
        </w:trPr>
        <w:tc>
          <w:tcPr>
            <w:tcW w:w="0" w:type="auto"/>
            <w:gridSpan w:val="3"/>
            <w:shd w:val="clear" w:color="auto" w:fill="E1E1E1"/>
            <w:tcMar>
              <w:top w:w="40" w:type="dxa"/>
              <w:left w:w="20" w:type="dxa"/>
              <w:bottom w:w="40" w:type="dxa"/>
              <w:right w:w="20" w:type="dxa"/>
            </w:tcMar>
            <w:vAlign w:val="bottom"/>
          </w:tcPr>
          <w:p w14:paraId="7268E5CE" w14:textId="77777777" w:rsidR="005F762A" w:rsidRDefault="00D74111">
            <w:pPr>
              <w:textAlignment w:val="bottom"/>
            </w:pPr>
            <w:r>
              <w:rPr>
                <w:rFonts w:ascii="Arial" w:eastAsia="宋体" w:hAnsi="Arial" w:cs="Arial"/>
                <w:color w:val="000000"/>
                <w:sz w:val="18"/>
                <w:szCs w:val="18"/>
              </w:rPr>
              <w:t>Income from discontinued operations before income taxes</w:t>
            </w:r>
          </w:p>
        </w:tc>
        <w:tc>
          <w:tcPr>
            <w:tcW w:w="0" w:type="auto"/>
            <w:shd w:val="clear" w:color="auto" w:fill="auto"/>
          </w:tcPr>
          <w:p w14:paraId="7268E5CF" w14:textId="77777777" w:rsidR="005F762A" w:rsidRDefault="005F762A">
            <w:pPr>
              <w:rPr>
                <w:rFonts w:ascii="宋体"/>
                <w:vanish/>
              </w:rPr>
            </w:pPr>
          </w:p>
        </w:tc>
        <w:tc>
          <w:tcPr>
            <w:tcW w:w="0" w:type="auto"/>
            <w:shd w:val="clear" w:color="auto" w:fill="auto"/>
          </w:tcPr>
          <w:p w14:paraId="7268E5D0" w14:textId="77777777" w:rsidR="005F762A" w:rsidRDefault="005F762A">
            <w:pPr>
              <w:rPr>
                <w:rFonts w:ascii="宋体"/>
                <w:vanish/>
              </w:rPr>
            </w:pPr>
          </w:p>
        </w:tc>
        <w:tc>
          <w:tcPr>
            <w:tcW w:w="0" w:type="auto"/>
            <w:shd w:val="clear" w:color="auto" w:fill="auto"/>
          </w:tcPr>
          <w:p w14:paraId="7268E5D1"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D2"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5D3" w14:textId="77777777" w:rsidR="005F762A" w:rsidRDefault="00D74111">
            <w:pPr>
              <w:jc w:val="right"/>
              <w:textAlignment w:val="bottom"/>
            </w:pPr>
            <w:r>
              <w:rPr>
                <w:rFonts w:ascii="Arial" w:eastAsia="宋体" w:hAnsi="Arial" w:cs="Arial"/>
                <w:color w:val="000000"/>
                <w:sz w:val="18"/>
                <w:szCs w:val="18"/>
              </w:rPr>
              <w:t>88 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D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D5"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E5D6" w14:textId="77777777" w:rsidR="005F762A" w:rsidRDefault="00D74111">
            <w:pPr>
              <w:jc w:val="right"/>
              <w:textAlignment w:val="bottom"/>
            </w:pPr>
            <w:r>
              <w:rPr>
                <w:rFonts w:ascii="Arial" w:eastAsia="宋体" w:hAnsi="Arial" w:cs="Arial"/>
                <w:color w:val="000000"/>
                <w:sz w:val="18"/>
                <w:szCs w:val="18"/>
              </w:rPr>
              <w:t>65 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5D7" w14:textId="77777777" w:rsidR="005F762A" w:rsidRDefault="005F762A">
            <w:pPr>
              <w:jc w:val="right"/>
              <w:rPr>
                <w:rFonts w:ascii="宋体"/>
              </w:rPr>
            </w:pPr>
          </w:p>
        </w:tc>
        <w:tc>
          <w:tcPr>
            <w:tcW w:w="0" w:type="auto"/>
            <w:gridSpan w:val="3"/>
            <w:shd w:val="clear" w:color="auto" w:fill="auto"/>
          </w:tcPr>
          <w:p w14:paraId="7268E5D8" w14:textId="77777777" w:rsidR="005F762A" w:rsidRDefault="005F762A">
            <w:pPr>
              <w:rPr>
                <w:rFonts w:ascii="宋体"/>
                <w:vanish/>
              </w:rPr>
            </w:pPr>
          </w:p>
        </w:tc>
        <w:tc>
          <w:tcPr>
            <w:tcW w:w="0" w:type="auto"/>
            <w:gridSpan w:val="3"/>
            <w:shd w:val="clear" w:color="auto" w:fill="auto"/>
          </w:tcPr>
          <w:p w14:paraId="7268E5D9" w14:textId="77777777" w:rsidR="005F762A" w:rsidRDefault="005F762A">
            <w:pPr>
              <w:rPr>
                <w:rFonts w:ascii="宋体"/>
                <w:vanish/>
              </w:rPr>
            </w:pPr>
          </w:p>
        </w:tc>
        <w:tc>
          <w:tcPr>
            <w:tcW w:w="0" w:type="auto"/>
            <w:gridSpan w:val="3"/>
            <w:shd w:val="clear" w:color="auto" w:fill="auto"/>
          </w:tcPr>
          <w:p w14:paraId="7268E5DA" w14:textId="77777777" w:rsidR="005F762A" w:rsidRDefault="005F762A">
            <w:pPr>
              <w:rPr>
                <w:rFonts w:ascii="宋体"/>
                <w:vanish/>
              </w:rPr>
            </w:pPr>
          </w:p>
        </w:tc>
        <w:tc>
          <w:tcPr>
            <w:tcW w:w="0" w:type="auto"/>
            <w:gridSpan w:val="3"/>
            <w:shd w:val="clear" w:color="auto" w:fill="auto"/>
          </w:tcPr>
          <w:p w14:paraId="7268E5DB" w14:textId="77777777" w:rsidR="005F762A" w:rsidRDefault="005F762A">
            <w:pPr>
              <w:rPr>
                <w:rFonts w:ascii="宋体"/>
                <w:vanish/>
              </w:rPr>
            </w:pPr>
          </w:p>
        </w:tc>
      </w:tr>
      <w:tr w:rsidR="005F762A" w14:paraId="7268E5EB" w14:textId="77777777">
        <w:trPr>
          <w:jc w:val="center"/>
        </w:trPr>
        <w:tc>
          <w:tcPr>
            <w:tcW w:w="0" w:type="auto"/>
            <w:gridSpan w:val="3"/>
            <w:shd w:val="clear" w:color="auto" w:fill="FFFFFF"/>
            <w:tcMar>
              <w:top w:w="40" w:type="dxa"/>
              <w:left w:w="20" w:type="dxa"/>
              <w:bottom w:w="40" w:type="dxa"/>
              <w:right w:w="20" w:type="dxa"/>
            </w:tcMar>
            <w:vAlign w:val="bottom"/>
          </w:tcPr>
          <w:p w14:paraId="7268E5DD" w14:textId="77777777" w:rsidR="005F762A" w:rsidRDefault="00D74111">
            <w:pPr>
              <w:textAlignment w:val="bottom"/>
            </w:pPr>
            <w:r>
              <w:rPr>
                <w:rFonts w:ascii="Arial" w:eastAsia="宋体" w:hAnsi="Arial" w:cs="Arial"/>
                <w:color w:val="000000"/>
                <w:sz w:val="18"/>
                <w:szCs w:val="18"/>
              </w:rPr>
              <w:t>Income tax provision</w:t>
            </w:r>
          </w:p>
        </w:tc>
        <w:tc>
          <w:tcPr>
            <w:tcW w:w="0" w:type="auto"/>
            <w:shd w:val="clear" w:color="auto" w:fill="auto"/>
          </w:tcPr>
          <w:p w14:paraId="7268E5DE" w14:textId="77777777" w:rsidR="005F762A" w:rsidRDefault="005F762A">
            <w:pPr>
              <w:rPr>
                <w:rFonts w:ascii="宋体"/>
                <w:vanish/>
              </w:rPr>
            </w:pPr>
          </w:p>
        </w:tc>
        <w:tc>
          <w:tcPr>
            <w:tcW w:w="0" w:type="auto"/>
            <w:shd w:val="clear" w:color="auto" w:fill="auto"/>
          </w:tcPr>
          <w:p w14:paraId="7268E5DF" w14:textId="77777777" w:rsidR="005F762A" w:rsidRDefault="005F762A">
            <w:pPr>
              <w:rPr>
                <w:rFonts w:ascii="宋体"/>
                <w:vanish/>
              </w:rPr>
            </w:pPr>
          </w:p>
        </w:tc>
        <w:tc>
          <w:tcPr>
            <w:tcW w:w="0" w:type="auto"/>
            <w:shd w:val="clear" w:color="auto" w:fill="auto"/>
          </w:tcPr>
          <w:p w14:paraId="7268E5E0"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5E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E2" w14:textId="77777777" w:rsidR="005F762A" w:rsidRDefault="00D74111">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7268E5E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5E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5E5"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7268E5E6" w14:textId="77777777" w:rsidR="005F762A" w:rsidRDefault="005F762A">
            <w:pPr>
              <w:jc w:val="right"/>
              <w:rPr>
                <w:rFonts w:ascii="宋体"/>
              </w:rPr>
            </w:pPr>
          </w:p>
        </w:tc>
        <w:tc>
          <w:tcPr>
            <w:tcW w:w="0" w:type="auto"/>
            <w:gridSpan w:val="3"/>
            <w:shd w:val="clear" w:color="auto" w:fill="auto"/>
          </w:tcPr>
          <w:p w14:paraId="7268E5E7" w14:textId="77777777" w:rsidR="005F762A" w:rsidRDefault="005F762A">
            <w:pPr>
              <w:rPr>
                <w:rFonts w:ascii="宋体"/>
                <w:vanish/>
              </w:rPr>
            </w:pPr>
          </w:p>
        </w:tc>
        <w:tc>
          <w:tcPr>
            <w:tcW w:w="0" w:type="auto"/>
            <w:gridSpan w:val="3"/>
            <w:shd w:val="clear" w:color="auto" w:fill="auto"/>
          </w:tcPr>
          <w:p w14:paraId="7268E5E8" w14:textId="77777777" w:rsidR="005F762A" w:rsidRDefault="005F762A">
            <w:pPr>
              <w:rPr>
                <w:rFonts w:ascii="宋体"/>
                <w:vanish/>
              </w:rPr>
            </w:pPr>
          </w:p>
        </w:tc>
        <w:tc>
          <w:tcPr>
            <w:tcW w:w="0" w:type="auto"/>
            <w:gridSpan w:val="3"/>
            <w:shd w:val="clear" w:color="auto" w:fill="auto"/>
          </w:tcPr>
          <w:p w14:paraId="7268E5E9" w14:textId="77777777" w:rsidR="005F762A" w:rsidRDefault="005F762A">
            <w:pPr>
              <w:rPr>
                <w:rFonts w:ascii="宋体"/>
                <w:vanish/>
              </w:rPr>
            </w:pPr>
          </w:p>
        </w:tc>
        <w:tc>
          <w:tcPr>
            <w:tcW w:w="0" w:type="auto"/>
            <w:gridSpan w:val="3"/>
            <w:shd w:val="clear" w:color="auto" w:fill="auto"/>
          </w:tcPr>
          <w:p w14:paraId="7268E5EA" w14:textId="77777777" w:rsidR="005F762A" w:rsidRDefault="005F762A">
            <w:pPr>
              <w:rPr>
                <w:rFonts w:ascii="宋体"/>
                <w:vanish/>
              </w:rPr>
            </w:pPr>
          </w:p>
        </w:tc>
      </w:tr>
      <w:tr w:rsidR="005F762A" w14:paraId="7268E5FC" w14:textId="77777777">
        <w:trPr>
          <w:jc w:val="center"/>
        </w:trPr>
        <w:tc>
          <w:tcPr>
            <w:tcW w:w="0" w:type="auto"/>
            <w:gridSpan w:val="3"/>
            <w:shd w:val="clear" w:color="auto" w:fill="E1E1E1"/>
            <w:tcMar>
              <w:top w:w="40" w:type="dxa"/>
              <w:left w:w="20" w:type="dxa"/>
              <w:bottom w:w="40" w:type="dxa"/>
              <w:right w:w="20" w:type="dxa"/>
            </w:tcMar>
            <w:vAlign w:val="bottom"/>
          </w:tcPr>
          <w:p w14:paraId="7268E5EC" w14:textId="77777777" w:rsidR="005F762A" w:rsidRDefault="00D74111">
            <w:pPr>
              <w:textAlignment w:val="bottom"/>
            </w:pPr>
            <w:r>
              <w:rPr>
                <w:rFonts w:ascii="Arial" w:eastAsia="宋体" w:hAnsi="Arial" w:cs="Arial"/>
                <w:color w:val="000000"/>
                <w:sz w:val="18"/>
                <w:szCs w:val="18"/>
              </w:rPr>
              <w:t xml:space="preserve">Income from </w:t>
            </w:r>
            <w:r>
              <w:rPr>
                <w:rFonts w:ascii="Arial" w:eastAsia="宋体" w:hAnsi="Arial" w:cs="Arial"/>
                <w:color w:val="000000"/>
                <w:sz w:val="18"/>
                <w:szCs w:val="18"/>
              </w:rPr>
              <w:t>discontinued operations, net of income taxes</w:t>
            </w:r>
          </w:p>
        </w:tc>
        <w:tc>
          <w:tcPr>
            <w:tcW w:w="0" w:type="auto"/>
            <w:shd w:val="clear" w:color="auto" w:fill="auto"/>
          </w:tcPr>
          <w:p w14:paraId="7268E5ED" w14:textId="77777777" w:rsidR="005F762A" w:rsidRDefault="005F762A">
            <w:pPr>
              <w:rPr>
                <w:rFonts w:ascii="宋体"/>
                <w:vanish/>
              </w:rPr>
            </w:pPr>
          </w:p>
        </w:tc>
        <w:tc>
          <w:tcPr>
            <w:tcW w:w="0" w:type="auto"/>
            <w:shd w:val="clear" w:color="auto" w:fill="auto"/>
          </w:tcPr>
          <w:p w14:paraId="7268E5EE" w14:textId="77777777" w:rsidR="005F762A" w:rsidRDefault="005F762A">
            <w:pPr>
              <w:rPr>
                <w:rFonts w:ascii="宋体"/>
                <w:vanish/>
              </w:rPr>
            </w:pPr>
          </w:p>
        </w:tc>
        <w:tc>
          <w:tcPr>
            <w:tcW w:w="0" w:type="auto"/>
            <w:shd w:val="clear" w:color="auto" w:fill="auto"/>
          </w:tcPr>
          <w:p w14:paraId="7268E5EF" w14:textId="77777777" w:rsidR="005F762A" w:rsidRDefault="005F762A">
            <w:pPr>
              <w:rPr>
                <w:rFonts w:ascii="宋体"/>
                <w:vanish/>
              </w:rPr>
            </w:pPr>
          </w:p>
        </w:tc>
        <w:tc>
          <w:tcPr>
            <w:tcW w:w="0" w:type="auto"/>
            <w:gridSpan w:val="3"/>
            <w:shd w:val="clear" w:color="auto" w:fill="E1E1E1"/>
            <w:tcMar>
              <w:top w:w="0" w:type="dxa"/>
              <w:left w:w="20" w:type="dxa"/>
              <w:bottom w:w="0" w:type="dxa"/>
              <w:right w:w="20" w:type="dxa"/>
            </w:tcMar>
          </w:tcPr>
          <w:p w14:paraId="7268E5F0"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5F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5F2" w14:textId="77777777" w:rsidR="005F762A" w:rsidRDefault="00D74111">
            <w:pPr>
              <w:jc w:val="right"/>
              <w:textAlignment w:val="bottom"/>
            </w:pPr>
            <w:r>
              <w:rPr>
                <w:rFonts w:ascii="Arial" w:eastAsia="宋体" w:hAnsi="Arial" w:cs="Arial"/>
                <w:color w:val="000000"/>
                <w:sz w:val="18"/>
                <w:szCs w:val="18"/>
              </w:rPr>
              <w:t>72 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5F3"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5F4"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5F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5F6" w14:textId="77777777" w:rsidR="005F762A" w:rsidRDefault="00D74111">
            <w:pPr>
              <w:jc w:val="right"/>
              <w:textAlignment w:val="bottom"/>
            </w:pPr>
            <w:r>
              <w:rPr>
                <w:rFonts w:ascii="Arial" w:eastAsia="宋体" w:hAnsi="Arial" w:cs="Arial"/>
                <w:color w:val="000000"/>
                <w:sz w:val="18"/>
                <w:szCs w:val="18"/>
              </w:rPr>
              <w:t>54 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5F7" w14:textId="77777777" w:rsidR="005F762A" w:rsidRDefault="005F762A">
            <w:pPr>
              <w:jc w:val="right"/>
              <w:rPr>
                <w:rFonts w:ascii="宋体"/>
              </w:rPr>
            </w:pPr>
          </w:p>
        </w:tc>
        <w:tc>
          <w:tcPr>
            <w:tcW w:w="0" w:type="auto"/>
            <w:gridSpan w:val="3"/>
            <w:shd w:val="clear" w:color="auto" w:fill="auto"/>
          </w:tcPr>
          <w:p w14:paraId="7268E5F8" w14:textId="77777777" w:rsidR="005F762A" w:rsidRDefault="005F762A">
            <w:pPr>
              <w:rPr>
                <w:rFonts w:ascii="宋体"/>
                <w:vanish/>
              </w:rPr>
            </w:pPr>
          </w:p>
        </w:tc>
        <w:tc>
          <w:tcPr>
            <w:tcW w:w="0" w:type="auto"/>
            <w:gridSpan w:val="3"/>
            <w:shd w:val="clear" w:color="auto" w:fill="auto"/>
          </w:tcPr>
          <w:p w14:paraId="7268E5F9" w14:textId="77777777" w:rsidR="005F762A" w:rsidRDefault="005F762A">
            <w:pPr>
              <w:rPr>
                <w:rFonts w:ascii="宋体"/>
                <w:vanish/>
              </w:rPr>
            </w:pPr>
          </w:p>
        </w:tc>
        <w:tc>
          <w:tcPr>
            <w:tcW w:w="0" w:type="auto"/>
            <w:gridSpan w:val="3"/>
            <w:shd w:val="clear" w:color="auto" w:fill="auto"/>
          </w:tcPr>
          <w:p w14:paraId="7268E5FA" w14:textId="77777777" w:rsidR="005F762A" w:rsidRDefault="005F762A">
            <w:pPr>
              <w:rPr>
                <w:rFonts w:ascii="宋体"/>
                <w:vanish/>
              </w:rPr>
            </w:pPr>
          </w:p>
        </w:tc>
        <w:tc>
          <w:tcPr>
            <w:tcW w:w="0" w:type="auto"/>
            <w:gridSpan w:val="3"/>
            <w:shd w:val="clear" w:color="auto" w:fill="auto"/>
          </w:tcPr>
          <w:p w14:paraId="7268E5FB" w14:textId="77777777" w:rsidR="005F762A" w:rsidRDefault="005F762A">
            <w:pPr>
              <w:rPr>
                <w:rFonts w:ascii="宋体"/>
                <w:vanish/>
              </w:rPr>
            </w:pPr>
          </w:p>
        </w:tc>
      </w:tr>
    </w:tbl>
    <w:p w14:paraId="7268E5FD" w14:textId="77777777" w:rsidR="005F762A" w:rsidRDefault="005F762A">
      <w:pPr>
        <w:spacing w:after="60"/>
        <w:ind w:hanging="180"/>
      </w:pPr>
    </w:p>
    <w:p w14:paraId="7268E5FE" w14:textId="77777777" w:rsidR="005F762A" w:rsidRDefault="00D74111">
      <w:pPr>
        <w:jc w:val="center"/>
      </w:pPr>
      <w:r>
        <w:rPr>
          <w:rFonts w:ascii="Arial" w:eastAsia="宋体" w:hAnsi="Arial" w:cs="Arial"/>
          <w:color w:val="000000"/>
          <w:sz w:val="20"/>
          <w:szCs w:val="20"/>
        </w:rPr>
        <w:t>12</w:t>
      </w:r>
    </w:p>
    <w:p w14:paraId="7268E5FF" w14:textId="77777777" w:rsidR="005F762A" w:rsidRDefault="00D74111">
      <w:r>
        <w:pict w14:anchorId="7269014B">
          <v:rect id="_x0000_i1036" style="width:415.3pt;height:1.5pt" o:hralign="center" o:hrstd="t" o:hr="t" fillcolor="#a0a0a0" stroked="f"/>
        </w:pict>
      </w:r>
    </w:p>
    <w:p w14:paraId="7268E600" w14:textId="77777777" w:rsidR="005F762A" w:rsidRDefault="005F762A"/>
    <w:p w14:paraId="7268E601" w14:textId="77777777" w:rsidR="005F762A" w:rsidRDefault="00D74111">
      <w:pPr>
        <w:ind w:firstLine="540"/>
        <w:jc w:val="both"/>
      </w:pPr>
      <w:r>
        <w:rPr>
          <w:rFonts w:ascii="Arial" w:eastAsia="宋体" w:hAnsi="Arial" w:cs="Arial"/>
          <w:color w:val="000000"/>
          <w:sz w:val="20"/>
          <w:szCs w:val="20"/>
        </w:rPr>
        <w:t xml:space="preserve">For the three months ended March 31, 2021 and 2020, the discontinued operations activity related to our former PayPal and Enterprise businesses was immaterial. </w:t>
      </w:r>
    </w:p>
    <w:p w14:paraId="7268E602" w14:textId="77777777" w:rsidR="005F762A" w:rsidRDefault="005F762A">
      <w:pPr>
        <w:ind w:firstLine="540"/>
      </w:pPr>
    </w:p>
    <w:p w14:paraId="7268E603" w14:textId="77777777" w:rsidR="005F762A" w:rsidRDefault="00D74111">
      <w:pPr>
        <w:ind w:firstLine="540"/>
        <w:jc w:val="both"/>
      </w:pPr>
      <w:r>
        <w:rPr>
          <w:rFonts w:ascii="Arial" w:eastAsia="宋体" w:hAnsi="Arial" w:cs="Arial"/>
          <w:color w:val="000000"/>
          <w:sz w:val="20"/>
          <w:szCs w:val="20"/>
        </w:rPr>
        <w:t>The following table presents the aggregate carrying amounts of held for sale assets and liabil</w:t>
      </w:r>
      <w:r>
        <w:rPr>
          <w:rFonts w:ascii="Arial" w:eastAsia="宋体" w:hAnsi="Arial" w:cs="Arial"/>
          <w:color w:val="000000"/>
          <w:sz w:val="20"/>
          <w:szCs w:val="20"/>
        </w:rPr>
        <w:t>ities related to Classifieds in the condensed consolidated balance sheet (in millions):</w:t>
      </w:r>
    </w:p>
    <w:tbl>
      <w:tblPr>
        <w:tblW w:w="4963" w:type="pct"/>
        <w:tblCellMar>
          <w:top w:w="15" w:type="dxa"/>
          <w:left w:w="15" w:type="dxa"/>
          <w:bottom w:w="15" w:type="dxa"/>
          <w:right w:w="15" w:type="dxa"/>
        </w:tblCellMar>
        <w:tblLook w:val="04A0" w:firstRow="1" w:lastRow="0" w:firstColumn="1" w:lastColumn="0" w:noHBand="0" w:noVBand="1"/>
      </w:tblPr>
      <w:tblGrid>
        <w:gridCol w:w="39"/>
        <w:gridCol w:w="6105"/>
        <w:gridCol w:w="38"/>
        <w:gridCol w:w="121"/>
        <w:gridCol w:w="840"/>
        <w:gridCol w:w="36"/>
        <w:gridCol w:w="36"/>
        <w:gridCol w:w="36"/>
        <w:gridCol w:w="36"/>
        <w:gridCol w:w="122"/>
        <w:gridCol w:w="829"/>
        <w:gridCol w:w="36"/>
      </w:tblGrid>
      <w:tr w:rsidR="005F762A" w14:paraId="7268E610" w14:textId="77777777">
        <w:tc>
          <w:tcPr>
            <w:tcW w:w="50" w:type="pct"/>
            <w:shd w:val="clear" w:color="auto" w:fill="auto"/>
          </w:tcPr>
          <w:p w14:paraId="7268E604" w14:textId="77777777" w:rsidR="005F762A" w:rsidRDefault="005F762A">
            <w:pPr>
              <w:rPr>
                <w:rFonts w:ascii="宋体"/>
              </w:rPr>
            </w:pPr>
          </w:p>
        </w:tc>
        <w:tc>
          <w:tcPr>
            <w:tcW w:w="3715" w:type="pct"/>
            <w:shd w:val="clear" w:color="auto" w:fill="auto"/>
          </w:tcPr>
          <w:p w14:paraId="7268E605" w14:textId="77777777" w:rsidR="005F762A" w:rsidRDefault="005F762A">
            <w:pPr>
              <w:rPr>
                <w:rFonts w:ascii="宋体"/>
              </w:rPr>
            </w:pPr>
          </w:p>
        </w:tc>
        <w:tc>
          <w:tcPr>
            <w:tcW w:w="5" w:type="pct"/>
            <w:shd w:val="clear" w:color="auto" w:fill="auto"/>
          </w:tcPr>
          <w:p w14:paraId="7268E606" w14:textId="77777777" w:rsidR="005F762A" w:rsidRDefault="005F762A">
            <w:pPr>
              <w:rPr>
                <w:rFonts w:ascii="宋体"/>
              </w:rPr>
            </w:pPr>
          </w:p>
        </w:tc>
        <w:tc>
          <w:tcPr>
            <w:tcW w:w="50" w:type="pct"/>
            <w:shd w:val="clear" w:color="auto" w:fill="auto"/>
          </w:tcPr>
          <w:p w14:paraId="7268E607" w14:textId="77777777" w:rsidR="005F762A" w:rsidRDefault="005F762A">
            <w:pPr>
              <w:rPr>
                <w:rFonts w:ascii="宋体"/>
              </w:rPr>
            </w:pPr>
          </w:p>
        </w:tc>
        <w:tc>
          <w:tcPr>
            <w:tcW w:w="534" w:type="pct"/>
            <w:shd w:val="clear" w:color="auto" w:fill="auto"/>
          </w:tcPr>
          <w:p w14:paraId="7268E608" w14:textId="77777777" w:rsidR="005F762A" w:rsidRDefault="005F762A">
            <w:pPr>
              <w:rPr>
                <w:rFonts w:ascii="宋体"/>
              </w:rPr>
            </w:pPr>
          </w:p>
        </w:tc>
        <w:tc>
          <w:tcPr>
            <w:tcW w:w="5" w:type="pct"/>
            <w:shd w:val="clear" w:color="auto" w:fill="auto"/>
          </w:tcPr>
          <w:p w14:paraId="7268E609" w14:textId="77777777" w:rsidR="005F762A" w:rsidRDefault="005F762A">
            <w:pPr>
              <w:rPr>
                <w:rFonts w:ascii="宋体"/>
              </w:rPr>
            </w:pPr>
          </w:p>
        </w:tc>
        <w:tc>
          <w:tcPr>
            <w:tcW w:w="5" w:type="pct"/>
            <w:shd w:val="clear" w:color="auto" w:fill="auto"/>
          </w:tcPr>
          <w:p w14:paraId="7268E60A" w14:textId="77777777" w:rsidR="005F762A" w:rsidRDefault="005F762A">
            <w:pPr>
              <w:rPr>
                <w:rFonts w:ascii="宋体"/>
              </w:rPr>
            </w:pPr>
          </w:p>
        </w:tc>
        <w:tc>
          <w:tcPr>
            <w:tcW w:w="41" w:type="pct"/>
            <w:shd w:val="clear" w:color="auto" w:fill="auto"/>
          </w:tcPr>
          <w:p w14:paraId="7268E60B" w14:textId="77777777" w:rsidR="005F762A" w:rsidRDefault="005F762A">
            <w:pPr>
              <w:rPr>
                <w:rFonts w:ascii="宋体"/>
              </w:rPr>
            </w:pPr>
          </w:p>
        </w:tc>
        <w:tc>
          <w:tcPr>
            <w:tcW w:w="5" w:type="pct"/>
            <w:shd w:val="clear" w:color="auto" w:fill="auto"/>
          </w:tcPr>
          <w:p w14:paraId="7268E60C" w14:textId="77777777" w:rsidR="005F762A" w:rsidRDefault="005F762A">
            <w:pPr>
              <w:rPr>
                <w:rFonts w:ascii="宋体"/>
              </w:rPr>
            </w:pPr>
          </w:p>
        </w:tc>
        <w:tc>
          <w:tcPr>
            <w:tcW w:w="50" w:type="pct"/>
            <w:shd w:val="clear" w:color="auto" w:fill="auto"/>
          </w:tcPr>
          <w:p w14:paraId="7268E60D" w14:textId="77777777" w:rsidR="005F762A" w:rsidRDefault="005F762A">
            <w:pPr>
              <w:rPr>
                <w:rFonts w:ascii="宋体"/>
              </w:rPr>
            </w:pPr>
          </w:p>
        </w:tc>
        <w:tc>
          <w:tcPr>
            <w:tcW w:w="534" w:type="pct"/>
            <w:shd w:val="clear" w:color="auto" w:fill="auto"/>
          </w:tcPr>
          <w:p w14:paraId="7268E60E" w14:textId="77777777" w:rsidR="005F762A" w:rsidRDefault="005F762A">
            <w:pPr>
              <w:rPr>
                <w:rFonts w:ascii="宋体"/>
              </w:rPr>
            </w:pPr>
          </w:p>
        </w:tc>
        <w:tc>
          <w:tcPr>
            <w:tcW w:w="5" w:type="pct"/>
            <w:shd w:val="clear" w:color="auto" w:fill="auto"/>
          </w:tcPr>
          <w:p w14:paraId="7268E60F" w14:textId="77777777" w:rsidR="005F762A" w:rsidRDefault="005F762A">
            <w:pPr>
              <w:rPr>
                <w:rFonts w:ascii="宋体"/>
              </w:rPr>
            </w:pPr>
          </w:p>
        </w:tc>
      </w:tr>
      <w:tr w:rsidR="005F762A" w14:paraId="7268E615" w14:textId="77777777">
        <w:tc>
          <w:tcPr>
            <w:tcW w:w="0" w:type="auto"/>
            <w:gridSpan w:val="3"/>
            <w:shd w:val="clear" w:color="auto" w:fill="auto"/>
            <w:tcMar>
              <w:top w:w="40" w:type="dxa"/>
              <w:left w:w="20" w:type="dxa"/>
              <w:bottom w:w="40" w:type="dxa"/>
              <w:right w:w="20" w:type="dxa"/>
            </w:tcMar>
            <w:vAlign w:val="bottom"/>
          </w:tcPr>
          <w:p w14:paraId="7268E611" w14:textId="77777777" w:rsidR="005F762A" w:rsidRDefault="00D74111">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7268E612" w14:textId="77777777" w:rsidR="005F762A" w:rsidRDefault="00D74111">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Mar>
              <w:top w:w="0" w:type="dxa"/>
              <w:left w:w="20" w:type="dxa"/>
              <w:bottom w:w="0" w:type="dxa"/>
              <w:right w:w="20" w:type="dxa"/>
            </w:tcMar>
          </w:tcPr>
          <w:p w14:paraId="7268E61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614" w14:textId="77777777" w:rsidR="005F762A" w:rsidRDefault="00D74111">
            <w:pPr>
              <w:jc w:val="center"/>
              <w:textAlignment w:val="bottom"/>
            </w:pPr>
            <w:r>
              <w:rPr>
                <w:rFonts w:ascii="Arial" w:eastAsia="宋体" w:hAnsi="Arial" w:cs="Arial"/>
                <w:b/>
                <w:bCs/>
                <w:color w:val="000000"/>
                <w:sz w:val="16"/>
                <w:szCs w:val="16"/>
              </w:rPr>
              <w:t>December 31, 2020</w:t>
            </w:r>
          </w:p>
        </w:tc>
      </w:tr>
      <w:tr w:rsidR="005F762A" w14:paraId="7268E61A" w14:textId="77777777">
        <w:tc>
          <w:tcPr>
            <w:tcW w:w="0" w:type="auto"/>
            <w:gridSpan w:val="3"/>
            <w:shd w:val="clear" w:color="auto" w:fill="E1E1E1"/>
            <w:tcMar>
              <w:top w:w="40" w:type="dxa"/>
              <w:left w:w="20" w:type="dxa"/>
              <w:bottom w:w="40" w:type="dxa"/>
              <w:right w:w="20" w:type="dxa"/>
            </w:tcMar>
            <w:vAlign w:val="bottom"/>
          </w:tcPr>
          <w:p w14:paraId="7268E616" w14:textId="77777777" w:rsidR="005F762A" w:rsidRDefault="00D74111">
            <w:pPr>
              <w:textAlignment w:val="bottom"/>
            </w:pPr>
            <w:r>
              <w:rPr>
                <w:rFonts w:ascii="Arial" w:eastAsia="宋体" w:hAnsi="Arial" w:cs="Arial"/>
                <w:color w:val="000000"/>
                <w:sz w:val="18"/>
                <w:szCs w:val="18"/>
              </w:rPr>
              <w:t>Carrying amounts of assets included as part of held for sale:</w:t>
            </w:r>
          </w:p>
        </w:tc>
        <w:tc>
          <w:tcPr>
            <w:tcW w:w="0" w:type="auto"/>
            <w:gridSpan w:val="3"/>
            <w:tcBorders>
              <w:top w:val="single" w:sz="8" w:space="0" w:color="000000"/>
            </w:tcBorders>
            <w:shd w:val="clear" w:color="auto" w:fill="E1E1E1"/>
            <w:tcMar>
              <w:top w:w="0" w:type="dxa"/>
              <w:left w:w="20" w:type="dxa"/>
              <w:bottom w:w="0" w:type="dxa"/>
              <w:right w:w="20" w:type="dxa"/>
            </w:tcMar>
          </w:tcPr>
          <w:p w14:paraId="7268E617"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E618" w14:textId="77777777" w:rsidR="005F762A" w:rsidRDefault="005F762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E619" w14:textId="77777777" w:rsidR="005F762A" w:rsidRDefault="005F762A">
            <w:pPr>
              <w:rPr>
                <w:rFonts w:ascii="宋体"/>
              </w:rPr>
            </w:pPr>
          </w:p>
        </w:tc>
      </w:tr>
      <w:tr w:rsidR="005F762A" w14:paraId="7268E623" w14:textId="77777777">
        <w:tc>
          <w:tcPr>
            <w:tcW w:w="0" w:type="auto"/>
            <w:gridSpan w:val="3"/>
            <w:shd w:val="clear" w:color="auto" w:fill="FFFFFF"/>
            <w:tcMar>
              <w:top w:w="40" w:type="dxa"/>
              <w:left w:w="20" w:type="dxa"/>
              <w:bottom w:w="40" w:type="dxa"/>
              <w:right w:w="20" w:type="dxa"/>
            </w:tcMar>
            <w:vAlign w:val="bottom"/>
          </w:tcPr>
          <w:p w14:paraId="7268E61B" w14:textId="77777777" w:rsidR="005F762A" w:rsidRDefault="00D74111">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7268E61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61D" w14:textId="77777777" w:rsidR="005F762A" w:rsidRDefault="00D74111">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7268E61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1F"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620"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621"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622" w14:textId="77777777" w:rsidR="005F762A" w:rsidRDefault="005F762A">
            <w:pPr>
              <w:jc w:val="right"/>
              <w:rPr>
                <w:rFonts w:ascii="宋体"/>
              </w:rPr>
            </w:pPr>
          </w:p>
        </w:tc>
      </w:tr>
      <w:tr w:rsidR="005F762A" w14:paraId="7268E62A" w14:textId="77777777">
        <w:tc>
          <w:tcPr>
            <w:tcW w:w="0" w:type="auto"/>
            <w:gridSpan w:val="3"/>
            <w:shd w:val="clear" w:color="auto" w:fill="E1E1E1"/>
            <w:tcMar>
              <w:top w:w="40" w:type="dxa"/>
              <w:left w:w="20" w:type="dxa"/>
              <w:bottom w:w="40" w:type="dxa"/>
              <w:right w:w="20" w:type="dxa"/>
            </w:tcMar>
            <w:vAlign w:val="bottom"/>
          </w:tcPr>
          <w:p w14:paraId="7268E624" w14:textId="77777777" w:rsidR="005F762A" w:rsidRDefault="00D74111">
            <w:pPr>
              <w:textAlignment w:val="bottom"/>
            </w:pPr>
            <w:r>
              <w:rPr>
                <w:rFonts w:ascii="Arial" w:eastAsia="宋体" w:hAnsi="Arial" w:cs="Arial"/>
                <w:color w:val="000000"/>
                <w:sz w:val="18"/>
                <w:szCs w:val="18"/>
              </w:rPr>
              <w:t>Accounts receivable, net</w:t>
            </w:r>
          </w:p>
        </w:tc>
        <w:tc>
          <w:tcPr>
            <w:tcW w:w="0" w:type="auto"/>
            <w:gridSpan w:val="2"/>
            <w:shd w:val="clear" w:color="auto" w:fill="E1E1E1"/>
            <w:tcMar>
              <w:top w:w="40" w:type="dxa"/>
              <w:left w:w="20" w:type="dxa"/>
              <w:bottom w:w="40" w:type="dxa"/>
              <w:right w:w="0" w:type="dxa"/>
            </w:tcMar>
            <w:vAlign w:val="bottom"/>
          </w:tcPr>
          <w:p w14:paraId="7268E625" w14:textId="77777777" w:rsidR="005F762A" w:rsidRDefault="00D74111">
            <w:pPr>
              <w:jc w:val="right"/>
              <w:textAlignment w:val="bottom"/>
            </w:pPr>
            <w:r>
              <w:rPr>
                <w:rFonts w:ascii="Arial" w:eastAsia="宋体" w:hAnsi="Arial" w:cs="Arial"/>
                <w:color w:val="000000"/>
                <w:sz w:val="18"/>
                <w:szCs w:val="18"/>
              </w:rPr>
              <w:t>113 </w:t>
            </w:r>
          </w:p>
        </w:tc>
        <w:tc>
          <w:tcPr>
            <w:tcW w:w="0" w:type="auto"/>
            <w:shd w:val="clear" w:color="auto" w:fill="E1E1E1"/>
            <w:tcMar>
              <w:top w:w="40" w:type="dxa"/>
              <w:left w:w="0" w:type="dxa"/>
              <w:bottom w:w="40" w:type="dxa"/>
              <w:right w:w="20" w:type="dxa"/>
            </w:tcMar>
            <w:vAlign w:val="bottom"/>
          </w:tcPr>
          <w:p w14:paraId="7268E626"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27"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28" w14:textId="77777777" w:rsidR="005F762A" w:rsidRDefault="00D74111">
            <w:pPr>
              <w:jc w:val="right"/>
              <w:textAlignment w:val="bottom"/>
            </w:pPr>
            <w:r>
              <w:rPr>
                <w:rFonts w:ascii="Arial" w:eastAsia="宋体" w:hAnsi="Arial" w:cs="Arial"/>
                <w:color w:val="000000"/>
                <w:sz w:val="18"/>
                <w:szCs w:val="18"/>
              </w:rPr>
              <w:t>117 </w:t>
            </w:r>
          </w:p>
        </w:tc>
        <w:tc>
          <w:tcPr>
            <w:tcW w:w="0" w:type="auto"/>
            <w:shd w:val="clear" w:color="auto" w:fill="E1E1E1"/>
            <w:tcMar>
              <w:top w:w="40" w:type="dxa"/>
              <w:left w:w="0" w:type="dxa"/>
              <w:bottom w:w="40" w:type="dxa"/>
              <w:right w:w="20" w:type="dxa"/>
            </w:tcMar>
            <w:vAlign w:val="bottom"/>
          </w:tcPr>
          <w:p w14:paraId="7268E629" w14:textId="77777777" w:rsidR="005F762A" w:rsidRDefault="005F762A">
            <w:pPr>
              <w:jc w:val="right"/>
              <w:rPr>
                <w:rFonts w:ascii="宋体"/>
              </w:rPr>
            </w:pPr>
          </w:p>
        </w:tc>
      </w:tr>
      <w:tr w:rsidR="005F762A" w14:paraId="7268E631" w14:textId="77777777">
        <w:tc>
          <w:tcPr>
            <w:tcW w:w="0" w:type="auto"/>
            <w:gridSpan w:val="3"/>
            <w:shd w:val="clear" w:color="auto" w:fill="FFFFFF"/>
            <w:tcMar>
              <w:top w:w="40" w:type="dxa"/>
              <w:left w:w="20" w:type="dxa"/>
              <w:bottom w:w="40" w:type="dxa"/>
              <w:right w:w="20" w:type="dxa"/>
            </w:tcMar>
            <w:vAlign w:val="bottom"/>
          </w:tcPr>
          <w:p w14:paraId="7268E62B" w14:textId="77777777" w:rsidR="005F762A" w:rsidRDefault="00D74111">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7268E62C" w14:textId="77777777" w:rsidR="005F762A" w:rsidRDefault="00D74111">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7268E62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2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2F" w14:textId="77777777" w:rsidR="005F762A" w:rsidRDefault="00D74111">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7268E630" w14:textId="77777777" w:rsidR="005F762A" w:rsidRDefault="005F762A">
            <w:pPr>
              <w:jc w:val="right"/>
              <w:rPr>
                <w:rFonts w:ascii="宋体"/>
              </w:rPr>
            </w:pPr>
          </w:p>
        </w:tc>
      </w:tr>
      <w:tr w:rsidR="005F762A" w14:paraId="7268E638" w14:textId="77777777">
        <w:tc>
          <w:tcPr>
            <w:tcW w:w="0" w:type="auto"/>
            <w:gridSpan w:val="3"/>
            <w:shd w:val="clear" w:color="auto" w:fill="E1E1E1"/>
            <w:tcMar>
              <w:top w:w="40" w:type="dxa"/>
              <w:left w:w="20" w:type="dxa"/>
              <w:bottom w:w="40" w:type="dxa"/>
              <w:right w:w="20" w:type="dxa"/>
            </w:tcMar>
            <w:vAlign w:val="bottom"/>
          </w:tcPr>
          <w:p w14:paraId="7268E632"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2"/>
            <w:shd w:val="clear" w:color="auto" w:fill="E1E1E1"/>
            <w:tcMar>
              <w:top w:w="40" w:type="dxa"/>
              <w:left w:w="20" w:type="dxa"/>
              <w:bottom w:w="40" w:type="dxa"/>
              <w:right w:w="0" w:type="dxa"/>
            </w:tcMar>
            <w:vAlign w:val="bottom"/>
          </w:tcPr>
          <w:p w14:paraId="7268E633" w14:textId="77777777" w:rsidR="005F762A" w:rsidRDefault="00D74111">
            <w:pPr>
              <w:jc w:val="right"/>
              <w:textAlignment w:val="bottom"/>
            </w:pPr>
            <w:r>
              <w:rPr>
                <w:rFonts w:ascii="Arial" w:eastAsia="宋体" w:hAnsi="Arial" w:cs="Arial"/>
                <w:color w:val="000000"/>
                <w:sz w:val="18"/>
                <w:szCs w:val="18"/>
              </w:rPr>
              <w:t>32 </w:t>
            </w:r>
          </w:p>
        </w:tc>
        <w:tc>
          <w:tcPr>
            <w:tcW w:w="0" w:type="auto"/>
            <w:shd w:val="clear" w:color="auto" w:fill="E1E1E1"/>
            <w:tcMar>
              <w:top w:w="40" w:type="dxa"/>
              <w:left w:w="0" w:type="dxa"/>
              <w:bottom w:w="40" w:type="dxa"/>
              <w:right w:w="20" w:type="dxa"/>
            </w:tcMar>
            <w:vAlign w:val="bottom"/>
          </w:tcPr>
          <w:p w14:paraId="7268E63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35"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36" w14:textId="77777777" w:rsidR="005F762A" w:rsidRDefault="00D74111">
            <w:pPr>
              <w:jc w:val="right"/>
              <w:textAlignment w:val="bottom"/>
            </w:pPr>
            <w:r>
              <w:rPr>
                <w:rFonts w:ascii="Arial" w:eastAsia="宋体" w:hAnsi="Arial" w:cs="Arial"/>
                <w:color w:val="000000"/>
                <w:sz w:val="18"/>
                <w:szCs w:val="18"/>
              </w:rPr>
              <w:t>32 </w:t>
            </w:r>
          </w:p>
        </w:tc>
        <w:tc>
          <w:tcPr>
            <w:tcW w:w="0" w:type="auto"/>
            <w:shd w:val="clear" w:color="auto" w:fill="E1E1E1"/>
            <w:tcMar>
              <w:top w:w="40" w:type="dxa"/>
              <w:left w:w="0" w:type="dxa"/>
              <w:bottom w:w="40" w:type="dxa"/>
              <w:right w:w="20" w:type="dxa"/>
            </w:tcMar>
            <w:vAlign w:val="bottom"/>
          </w:tcPr>
          <w:p w14:paraId="7268E637" w14:textId="77777777" w:rsidR="005F762A" w:rsidRDefault="005F762A">
            <w:pPr>
              <w:jc w:val="right"/>
              <w:rPr>
                <w:rFonts w:ascii="宋体"/>
              </w:rPr>
            </w:pPr>
          </w:p>
        </w:tc>
      </w:tr>
      <w:tr w:rsidR="005F762A" w14:paraId="7268E63F" w14:textId="77777777">
        <w:tc>
          <w:tcPr>
            <w:tcW w:w="0" w:type="auto"/>
            <w:gridSpan w:val="3"/>
            <w:shd w:val="clear" w:color="auto" w:fill="FFFFFF"/>
            <w:tcMar>
              <w:top w:w="40" w:type="dxa"/>
              <w:left w:w="20" w:type="dxa"/>
              <w:bottom w:w="40" w:type="dxa"/>
              <w:right w:w="20" w:type="dxa"/>
            </w:tcMar>
            <w:vAlign w:val="bottom"/>
          </w:tcPr>
          <w:p w14:paraId="7268E639" w14:textId="77777777" w:rsidR="005F762A" w:rsidRDefault="00D74111">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7268E63A" w14:textId="77777777" w:rsidR="005F762A" w:rsidRDefault="00D74111">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7268E63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3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3D" w14:textId="77777777" w:rsidR="005F762A" w:rsidRDefault="00D74111">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7268E63E" w14:textId="77777777" w:rsidR="005F762A" w:rsidRDefault="005F762A">
            <w:pPr>
              <w:jc w:val="right"/>
              <w:rPr>
                <w:rFonts w:ascii="宋体"/>
              </w:rPr>
            </w:pPr>
          </w:p>
        </w:tc>
      </w:tr>
      <w:tr w:rsidR="005F762A" w14:paraId="7268E646" w14:textId="77777777">
        <w:tc>
          <w:tcPr>
            <w:tcW w:w="0" w:type="auto"/>
            <w:gridSpan w:val="3"/>
            <w:shd w:val="clear" w:color="auto" w:fill="E1E1E1"/>
            <w:tcMar>
              <w:top w:w="40" w:type="dxa"/>
              <w:left w:w="20" w:type="dxa"/>
              <w:bottom w:w="40" w:type="dxa"/>
              <w:right w:w="20" w:type="dxa"/>
            </w:tcMar>
            <w:vAlign w:val="bottom"/>
          </w:tcPr>
          <w:p w14:paraId="7268E640" w14:textId="77777777" w:rsidR="005F762A" w:rsidRDefault="00D74111">
            <w:pPr>
              <w:textAlignment w:val="bottom"/>
            </w:pPr>
            <w:r>
              <w:rPr>
                <w:rFonts w:ascii="Arial" w:eastAsia="宋体" w:hAnsi="Arial" w:cs="Arial"/>
                <w:color w:val="000000"/>
                <w:sz w:val="18"/>
                <w:szCs w:val="18"/>
              </w:rPr>
              <w:t>Goodwill</w:t>
            </w:r>
          </w:p>
        </w:tc>
        <w:tc>
          <w:tcPr>
            <w:tcW w:w="0" w:type="auto"/>
            <w:gridSpan w:val="2"/>
            <w:shd w:val="clear" w:color="auto" w:fill="E1E1E1"/>
            <w:tcMar>
              <w:top w:w="40" w:type="dxa"/>
              <w:left w:w="20" w:type="dxa"/>
              <w:bottom w:w="40" w:type="dxa"/>
              <w:right w:w="0" w:type="dxa"/>
            </w:tcMar>
            <w:vAlign w:val="bottom"/>
          </w:tcPr>
          <w:p w14:paraId="7268E641" w14:textId="77777777" w:rsidR="005F762A" w:rsidRDefault="00D74111">
            <w:pPr>
              <w:jc w:val="right"/>
              <w:textAlignment w:val="bottom"/>
            </w:pPr>
            <w:r>
              <w:rPr>
                <w:rFonts w:ascii="Arial" w:eastAsia="宋体" w:hAnsi="Arial" w:cs="Arial"/>
                <w:color w:val="000000"/>
                <w:sz w:val="18"/>
                <w:szCs w:val="18"/>
              </w:rPr>
              <w:t>454 </w:t>
            </w:r>
          </w:p>
        </w:tc>
        <w:tc>
          <w:tcPr>
            <w:tcW w:w="0" w:type="auto"/>
            <w:shd w:val="clear" w:color="auto" w:fill="E1E1E1"/>
            <w:tcMar>
              <w:top w:w="40" w:type="dxa"/>
              <w:left w:w="0" w:type="dxa"/>
              <w:bottom w:w="40" w:type="dxa"/>
              <w:right w:w="20" w:type="dxa"/>
            </w:tcMar>
            <w:vAlign w:val="bottom"/>
          </w:tcPr>
          <w:p w14:paraId="7268E642"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43"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44" w14:textId="77777777" w:rsidR="005F762A" w:rsidRDefault="00D74111">
            <w:pPr>
              <w:jc w:val="right"/>
              <w:textAlignment w:val="bottom"/>
            </w:pPr>
            <w:r>
              <w:rPr>
                <w:rFonts w:ascii="Arial" w:eastAsia="宋体" w:hAnsi="Arial" w:cs="Arial"/>
                <w:color w:val="000000"/>
                <w:sz w:val="18"/>
                <w:szCs w:val="18"/>
              </w:rPr>
              <w:t>465 </w:t>
            </w:r>
          </w:p>
        </w:tc>
        <w:tc>
          <w:tcPr>
            <w:tcW w:w="0" w:type="auto"/>
            <w:shd w:val="clear" w:color="auto" w:fill="E1E1E1"/>
            <w:tcMar>
              <w:top w:w="40" w:type="dxa"/>
              <w:left w:w="0" w:type="dxa"/>
              <w:bottom w:w="40" w:type="dxa"/>
              <w:right w:w="20" w:type="dxa"/>
            </w:tcMar>
            <w:vAlign w:val="bottom"/>
          </w:tcPr>
          <w:p w14:paraId="7268E645" w14:textId="77777777" w:rsidR="005F762A" w:rsidRDefault="005F762A">
            <w:pPr>
              <w:jc w:val="right"/>
              <w:rPr>
                <w:rFonts w:ascii="宋体"/>
              </w:rPr>
            </w:pPr>
          </w:p>
        </w:tc>
      </w:tr>
      <w:tr w:rsidR="005F762A" w14:paraId="7268E64D" w14:textId="77777777">
        <w:tc>
          <w:tcPr>
            <w:tcW w:w="0" w:type="auto"/>
            <w:gridSpan w:val="3"/>
            <w:shd w:val="clear" w:color="auto" w:fill="FFFFFF"/>
            <w:tcMar>
              <w:top w:w="40" w:type="dxa"/>
              <w:left w:w="20" w:type="dxa"/>
              <w:bottom w:w="40" w:type="dxa"/>
              <w:right w:w="20" w:type="dxa"/>
            </w:tcMar>
            <w:vAlign w:val="bottom"/>
          </w:tcPr>
          <w:p w14:paraId="7268E647" w14:textId="77777777" w:rsidR="005F762A" w:rsidRDefault="00D74111">
            <w:pPr>
              <w:textAlignment w:val="bottom"/>
            </w:pPr>
            <w:r>
              <w:rPr>
                <w:rFonts w:ascii="Arial" w:eastAsia="宋体" w:hAnsi="Arial" w:cs="Arial"/>
                <w:color w:val="000000"/>
                <w:sz w:val="18"/>
                <w:szCs w:val="18"/>
              </w:rPr>
              <w:t>Intangible assets, net</w:t>
            </w:r>
          </w:p>
        </w:tc>
        <w:tc>
          <w:tcPr>
            <w:tcW w:w="0" w:type="auto"/>
            <w:gridSpan w:val="2"/>
            <w:shd w:val="clear" w:color="auto" w:fill="FFFFFF"/>
            <w:tcMar>
              <w:top w:w="40" w:type="dxa"/>
              <w:left w:w="20" w:type="dxa"/>
              <w:bottom w:w="40" w:type="dxa"/>
              <w:right w:w="0" w:type="dxa"/>
            </w:tcMar>
            <w:vAlign w:val="bottom"/>
          </w:tcPr>
          <w:p w14:paraId="7268E648" w14:textId="77777777" w:rsidR="005F762A" w:rsidRDefault="00D74111">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7268E64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4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4B" w14:textId="77777777" w:rsidR="005F762A" w:rsidRDefault="00D74111">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7268E64C" w14:textId="77777777" w:rsidR="005F762A" w:rsidRDefault="005F762A">
            <w:pPr>
              <w:jc w:val="right"/>
              <w:rPr>
                <w:rFonts w:ascii="宋体"/>
              </w:rPr>
            </w:pPr>
          </w:p>
        </w:tc>
      </w:tr>
      <w:tr w:rsidR="005F762A" w14:paraId="7268E654" w14:textId="77777777">
        <w:tc>
          <w:tcPr>
            <w:tcW w:w="0" w:type="auto"/>
            <w:gridSpan w:val="3"/>
            <w:shd w:val="clear" w:color="auto" w:fill="E1E1E1"/>
            <w:tcMar>
              <w:top w:w="40" w:type="dxa"/>
              <w:left w:w="20" w:type="dxa"/>
              <w:bottom w:w="40" w:type="dxa"/>
              <w:right w:w="20" w:type="dxa"/>
            </w:tcMar>
            <w:vAlign w:val="bottom"/>
          </w:tcPr>
          <w:p w14:paraId="7268E64E" w14:textId="77777777" w:rsidR="005F762A" w:rsidRDefault="00D74111">
            <w:pPr>
              <w:textAlignment w:val="bottom"/>
            </w:pPr>
            <w:r>
              <w:rPr>
                <w:rFonts w:ascii="Arial" w:eastAsia="宋体" w:hAnsi="Arial" w:cs="Arial"/>
                <w:color w:val="000000"/>
                <w:sz w:val="18"/>
                <w:szCs w:val="18"/>
              </w:rPr>
              <w:t>Operating lease right-of-use assets</w:t>
            </w:r>
          </w:p>
        </w:tc>
        <w:tc>
          <w:tcPr>
            <w:tcW w:w="0" w:type="auto"/>
            <w:gridSpan w:val="2"/>
            <w:shd w:val="clear" w:color="auto" w:fill="E1E1E1"/>
            <w:tcMar>
              <w:top w:w="40" w:type="dxa"/>
              <w:left w:w="20" w:type="dxa"/>
              <w:bottom w:w="40" w:type="dxa"/>
              <w:right w:w="0" w:type="dxa"/>
            </w:tcMar>
            <w:vAlign w:val="bottom"/>
          </w:tcPr>
          <w:p w14:paraId="7268E64F"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E1E1E1"/>
            <w:tcMar>
              <w:top w:w="40" w:type="dxa"/>
              <w:left w:w="0" w:type="dxa"/>
              <w:bottom w:w="40" w:type="dxa"/>
              <w:right w:w="20" w:type="dxa"/>
            </w:tcMar>
            <w:vAlign w:val="bottom"/>
          </w:tcPr>
          <w:p w14:paraId="7268E650"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51"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52" w14:textId="77777777" w:rsidR="005F762A" w:rsidRDefault="00D74111">
            <w:pPr>
              <w:jc w:val="right"/>
              <w:textAlignment w:val="bottom"/>
            </w:pPr>
            <w:r>
              <w:rPr>
                <w:rFonts w:ascii="Arial" w:eastAsia="宋体" w:hAnsi="Arial" w:cs="Arial"/>
                <w:color w:val="000000"/>
                <w:sz w:val="18"/>
                <w:szCs w:val="18"/>
              </w:rPr>
              <w:t>20 </w:t>
            </w:r>
          </w:p>
        </w:tc>
        <w:tc>
          <w:tcPr>
            <w:tcW w:w="0" w:type="auto"/>
            <w:shd w:val="clear" w:color="auto" w:fill="E1E1E1"/>
            <w:tcMar>
              <w:top w:w="40" w:type="dxa"/>
              <w:left w:w="0" w:type="dxa"/>
              <w:bottom w:w="40" w:type="dxa"/>
              <w:right w:w="20" w:type="dxa"/>
            </w:tcMar>
            <w:vAlign w:val="bottom"/>
          </w:tcPr>
          <w:p w14:paraId="7268E653" w14:textId="77777777" w:rsidR="005F762A" w:rsidRDefault="005F762A">
            <w:pPr>
              <w:jc w:val="right"/>
              <w:rPr>
                <w:rFonts w:ascii="宋体"/>
              </w:rPr>
            </w:pPr>
          </w:p>
        </w:tc>
      </w:tr>
      <w:tr w:rsidR="005F762A" w14:paraId="7268E65B" w14:textId="77777777">
        <w:tc>
          <w:tcPr>
            <w:tcW w:w="0" w:type="auto"/>
            <w:gridSpan w:val="3"/>
            <w:shd w:val="clear" w:color="auto" w:fill="FFFFFF"/>
            <w:tcMar>
              <w:top w:w="40" w:type="dxa"/>
              <w:left w:w="20" w:type="dxa"/>
              <w:bottom w:w="40" w:type="dxa"/>
              <w:right w:w="20" w:type="dxa"/>
            </w:tcMar>
            <w:vAlign w:val="bottom"/>
          </w:tcPr>
          <w:p w14:paraId="7268E655" w14:textId="77777777" w:rsidR="005F762A" w:rsidRDefault="00D74111">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7268E656" w14:textId="77777777" w:rsidR="005F762A" w:rsidRDefault="00D74111">
            <w:pPr>
              <w:jc w:val="right"/>
              <w:textAlignment w:val="bottom"/>
            </w:pPr>
            <w:r>
              <w:rPr>
                <w:rFonts w:ascii="Arial" w:eastAsia="宋体" w:hAnsi="Arial" w:cs="Arial"/>
                <w:color w:val="000000"/>
                <w:sz w:val="18"/>
                <w:szCs w:val="18"/>
              </w:rPr>
              <w:t>415 </w:t>
            </w:r>
          </w:p>
        </w:tc>
        <w:tc>
          <w:tcPr>
            <w:tcW w:w="0" w:type="auto"/>
            <w:shd w:val="clear" w:color="auto" w:fill="FFFFFF"/>
            <w:tcMar>
              <w:top w:w="40" w:type="dxa"/>
              <w:left w:w="0" w:type="dxa"/>
              <w:bottom w:w="40" w:type="dxa"/>
              <w:right w:w="20" w:type="dxa"/>
            </w:tcMar>
            <w:vAlign w:val="bottom"/>
          </w:tcPr>
          <w:p w14:paraId="7268E65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5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59" w14:textId="77777777" w:rsidR="005F762A" w:rsidRDefault="00D74111">
            <w:pPr>
              <w:jc w:val="right"/>
              <w:textAlignment w:val="bottom"/>
            </w:pPr>
            <w:r>
              <w:rPr>
                <w:rFonts w:ascii="Arial" w:eastAsia="宋体" w:hAnsi="Arial" w:cs="Arial"/>
                <w:color w:val="000000"/>
                <w:sz w:val="18"/>
                <w:szCs w:val="18"/>
              </w:rPr>
              <w:t>435 </w:t>
            </w:r>
          </w:p>
        </w:tc>
        <w:tc>
          <w:tcPr>
            <w:tcW w:w="0" w:type="auto"/>
            <w:shd w:val="clear" w:color="auto" w:fill="FFFFFF"/>
            <w:tcMar>
              <w:top w:w="40" w:type="dxa"/>
              <w:left w:w="0" w:type="dxa"/>
              <w:bottom w:w="40" w:type="dxa"/>
              <w:right w:w="20" w:type="dxa"/>
            </w:tcMar>
            <w:vAlign w:val="bottom"/>
          </w:tcPr>
          <w:p w14:paraId="7268E65A" w14:textId="77777777" w:rsidR="005F762A" w:rsidRDefault="005F762A">
            <w:pPr>
              <w:jc w:val="right"/>
              <w:rPr>
                <w:rFonts w:ascii="宋体"/>
              </w:rPr>
            </w:pPr>
          </w:p>
        </w:tc>
      </w:tr>
      <w:tr w:rsidR="005F762A" w14:paraId="7268E660" w14:textId="77777777">
        <w:trPr>
          <w:hidden/>
        </w:trPr>
        <w:tc>
          <w:tcPr>
            <w:tcW w:w="0" w:type="auto"/>
            <w:gridSpan w:val="3"/>
            <w:shd w:val="clear" w:color="auto" w:fill="auto"/>
          </w:tcPr>
          <w:p w14:paraId="7268E65C" w14:textId="77777777" w:rsidR="005F762A" w:rsidRDefault="005F762A">
            <w:pPr>
              <w:rPr>
                <w:rFonts w:ascii="宋体"/>
                <w:vanish/>
              </w:rPr>
            </w:pPr>
          </w:p>
        </w:tc>
        <w:tc>
          <w:tcPr>
            <w:tcW w:w="0" w:type="auto"/>
            <w:gridSpan w:val="3"/>
            <w:shd w:val="clear" w:color="auto" w:fill="auto"/>
          </w:tcPr>
          <w:p w14:paraId="7268E65D" w14:textId="77777777" w:rsidR="005F762A" w:rsidRDefault="005F762A">
            <w:pPr>
              <w:rPr>
                <w:rFonts w:ascii="宋体"/>
                <w:vanish/>
              </w:rPr>
            </w:pPr>
          </w:p>
        </w:tc>
        <w:tc>
          <w:tcPr>
            <w:tcW w:w="0" w:type="auto"/>
            <w:gridSpan w:val="3"/>
            <w:shd w:val="clear" w:color="auto" w:fill="auto"/>
          </w:tcPr>
          <w:p w14:paraId="7268E65E" w14:textId="77777777" w:rsidR="005F762A" w:rsidRDefault="005F762A">
            <w:pPr>
              <w:rPr>
                <w:rFonts w:ascii="宋体"/>
                <w:vanish/>
              </w:rPr>
            </w:pPr>
          </w:p>
        </w:tc>
        <w:tc>
          <w:tcPr>
            <w:tcW w:w="0" w:type="auto"/>
            <w:gridSpan w:val="3"/>
            <w:shd w:val="clear" w:color="auto" w:fill="auto"/>
          </w:tcPr>
          <w:p w14:paraId="7268E65F" w14:textId="77777777" w:rsidR="005F762A" w:rsidRDefault="005F762A">
            <w:pPr>
              <w:rPr>
                <w:rFonts w:ascii="宋体"/>
                <w:vanish/>
              </w:rPr>
            </w:pPr>
          </w:p>
        </w:tc>
      </w:tr>
      <w:tr w:rsidR="005F762A" w14:paraId="7268E669" w14:textId="77777777">
        <w:tc>
          <w:tcPr>
            <w:tcW w:w="0" w:type="auto"/>
            <w:gridSpan w:val="3"/>
            <w:shd w:val="clear" w:color="auto" w:fill="E1E1E1"/>
            <w:tcMar>
              <w:top w:w="40" w:type="dxa"/>
              <w:left w:w="500" w:type="dxa"/>
              <w:bottom w:w="40" w:type="dxa"/>
              <w:right w:w="20" w:type="dxa"/>
            </w:tcMar>
            <w:vAlign w:val="bottom"/>
          </w:tcPr>
          <w:p w14:paraId="7268E661" w14:textId="77777777" w:rsidR="005F762A" w:rsidRDefault="00D74111">
            <w:pPr>
              <w:textAlignment w:val="bottom"/>
            </w:pPr>
            <w:r>
              <w:rPr>
                <w:rFonts w:ascii="Arial" w:eastAsia="宋体" w:hAnsi="Arial" w:cs="Arial"/>
                <w:color w:val="000000"/>
                <w:sz w:val="18"/>
                <w:szCs w:val="18"/>
              </w:rPr>
              <w:t>Total assets classified as held for sale in the condensed consolidated balance sheet</w:t>
            </w:r>
          </w:p>
        </w:tc>
        <w:tc>
          <w:tcPr>
            <w:tcW w:w="0" w:type="auto"/>
            <w:tcBorders>
              <w:top w:val="single" w:sz="8" w:space="0" w:color="000000"/>
            </w:tcBorders>
            <w:shd w:val="clear" w:color="auto" w:fill="E1E1E1"/>
            <w:tcMar>
              <w:top w:w="40" w:type="dxa"/>
              <w:left w:w="20" w:type="dxa"/>
              <w:bottom w:w="40" w:type="dxa"/>
              <w:right w:w="0" w:type="dxa"/>
            </w:tcMar>
            <w:vAlign w:val="bottom"/>
          </w:tcPr>
          <w:p w14:paraId="7268E66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663" w14:textId="77777777" w:rsidR="005F762A" w:rsidRDefault="00D74111">
            <w:pPr>
              <w:jc w:val="right"/>
              <w:textAlignment w:val="bottom"/>
            </w:pPr>
            <w:r>
              <w:rPr>
                <w:rFonts w:ascii="Arial" w:eastAsia="宋体" w:hAnsi="Arial" w:cs="Arial"/>
                <w:color w:val="000000"/>
                <w:sz w:val="18"/>
                <w:szCs w:val="18"/>
              </w:rPr>
              <w:t>1,171 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66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65" w14:textId="77777777" w:rsidR="005F762A" w:rsidRDefault="005F762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7268E66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7268E667" w14:textId="77777777" w:rsidR="005F762A" w:rsidRDefault="00D74111">
            <w:pPr>
              <w:jc w:val="right"/>
              <w:textAlignment w:val="bottom"/>
            </w:pPr>
            <w:r>
              <w:rPr>
                <w:rFonts w:ascii="Arial" w:eastAsia="宋体" w:hAnsi="Arial" w:cs="Arial"/>
                <w:color w:val="000000"/>
                <w:sz w:val="18"/>
                <w:szCs w:val="18"/>
              </w:rPr>
              <w:t>1,188 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E668" w14:textId="77777777" w:rsidR="005F762A" w:rsidRDefault="005F762A">
            <w:pPr>
              <w:jc w:val="right"/>
              <w:rPr>
                <w:rFonts w:ascii="宋体"/>
              </w:rPr>
            </w:pPr>
          </w:p>
        </w:tc>
      </w:tr>
      <w:tr w:rsidR="005F762A" w14:paraId="7268E66E" w14:textId="77777777">
        <w:trPr>
          <w:trHeight w:val="180"/>
        </w:trPr>
        <w:tc>
          <w:tcPr>
            <w:tcW w:w="0" w:type="auto"/>
            <w:gridSpan w:val="3"/>
            <w:shd w:val="clear" w:color="auto" w:fill="FFFFFF"/>
            <w:tcMar>
              <w:top w:w="0" w:type="dxa"/>
              <w:left w:w="20" w:type="dxa"/>
              <w:bottom w:w="0" w:type="dxa"/>
              <w:right w:w="20" w:type="dxa"/>
            </w:tcMar>
          </w:tcPr>
          <w:p w14:paraId="7268E66A"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66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66C"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66D" w14:textId="77777777" w:rsidR="005F762A" w:rsidRDefault="005F762A">
            <w:pPr>
              <w:rPr>
                <w:rFonts w:ascii="宋体"/>
              </w:rPr>
            </w:pPr>
          </w:p>
        </w:tc>
      </w:tr>
      <w:tr w:rsidR="005F762A" w14:paraId="7268E673" w14:textId="77777777">
        <w:tc>
          <w:tcPr>
            <w:tcW w:w="0" w:type="auto"/>
            <w:gridSpan w:val="3"/>
            <w:shd w:val="clear" w:color="auto" w:fill="E1E1E1"/>
            <w:tcMar>
              <w:top w:w="40" w:type="dxa"/>
              <w:left w:w="20" w:type="dxa"/>
              <w:bottom w:w="40" w:type="dxa"/>
              <w:right w:w="20" w:type="dxa"/>
            </w:tcMar>
            <w:vAlign w:val="bottom"/>
          </w:tcPr>
          <w:p w14:paraId="7268E66F" w14:textId="77777777" w:rsidR="005F762A" w:rsidRDefault="00D74111">
            <w:pPr>
              <w:textAlignment w:val="bottom"/>
            </w:pPr>
            <w:r>
              <w:rPr>
                <w:rFonts w:ascii="Arial" w:eastAsia="宋体" w:hAnsi="Arial" w:cs="Arial"/>
                <w:color w:val="000000"/>
                <w:sz w:val="18"/>
                <w:szCs w:val="18"/>
              </w:rPr>
              <w:t>Carrying amounts of liabilities included as part of held for sale:</w:t>
            </w:r>
          </w:p>
        </w:tc>
        <w:tc>
          <w:tcPr>
            <w:tcW w:w="0" w:type="auto"/>
            <w:gridSpan w:val="3"/>
            <w:shd w:val="clear" w:color="auto" w:fill="E1E1E1"/>
            <w:tcMar>
              <w:top w:w="0" w:type="dxa"/>
              <w:left w:w="20" w:type="dxa"/>
              <w:bottom w:w="0" w:type="dxa"/>
              <w:right w:w="20" w:type="dxa"/>
            </w:tcMar>
          </w:tcPr>
          <w:p w14:paraId="7268E670"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E671"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E672" w14:textId="77777777" w:rsidR="005F762A" w:rsidRDefault="005F762A">
            <w:pPr>
              <w:rPr>
                <w:rFonts w:ascii="宋体"/>
              </w:rPr>
            </w:pPr>
          </w:p>
        </w:tc>
      </w:tr>
      <w:tr w:rsidR="005F762A" w14:paraId="7268E678" w14:textId="77777777">
        <w:trPr>
          <w:hidden/>
        </w:trPr>
        <w:tc>
          <w:tcPr>
            <w:tcW w:w="0" w:type="auto"/>
            <w:gridSpan w:val="3"/>
            <w:shd w:val="clear" w:color="auto" w:fill="auto"/>
          </w:tcPr>
          <w:p w14:paraId="7268E674" w14:textId="77777777" w:rsidR="005F762A" w:rsidRDefault="005F762A">
            <w:pPr>
              <w:rPr>
                <w:rFonts w:ascii="宋体"/>
                <w:vanish/>
              </w:rPr>
            </w:pPr>
          </w:p>
        </w:tc>
        <w:tc>
          <w:tcPr>
            <w:tcW w:w="0" w:type="auto"/>
            <w:gridSpan w:val="3"/>
            <w:shd w:val="clear" w:color="auto" w:fill="auto"/>
          </w:tcPr>
          <w:p w14:paraId="7268E675" w14:textId="77777777" w:rsidR="005F762A" w:rsidRDefault="005F762A">
            <w:pPr>
              <w:rPr>
                <w:rFonts w:ascii="宋体"/>
                <w:vanish/>
              </w:rPr>
            </w:pPr>
          </w:p>
        </w:tc>
        <w:tc>
          <w:tcPr>
            <w:tcW w:w="0" w:type="auto"/>
            <w:gridSpan w:val="3"/>
            <w:shd w:val="clear" w:color="auto" w:fill="auto"/>
          </w:tcPr>
          <w:p w14:paraId="7268E676" w14:textId="77777777" w:rsidR="005F762A" w:rsidRDefault="005F762A">
            <w:pPr>
              <w:rPr>
                <w:rFonts w:ascii="宋体"/>
                <w:vanish/>
              </w:rPr>
            </w:pPr>
          </w:p>
        </w:tc>
        <w:tc>
          <w:tcPr>
            <w:tcW w:w="0" w:type="auto"/>
            <w:gridSpan w:val="3"/>
            <w:shd w:val="clear" w:color="auto" w:fill="auto"/>
          </w:tcPr>
          <w:p w14:paraId="7268E677" w14:textId="77777777" w:rsidR="005F762A" w:rsidRDefault="005F762A">
            <w:pPr>
              <w:rPr>
                <w:rFonts w:ascii="宋体"/>
                <w:vanish/>
              </w:rPr>
            </w:pPr>
          </w:p>
        </w:tc>
      </w:tr>
      <w:tr w:rsidR="005F762A" w14:paraId="7268E681" w14:textId="77777777">
        <w:tc>
          <w:tcPr>
            <w:tcW w:w="0" w:type="auto"/>
            <w:gridSpan w:val="3"/>
            <w:shd w:val="clear" w:color="auto" w:fill="FFFFFF"/>
            <w:tcMar>
              <w:top w:w="40" w:type="dxa"/>
              <w:left w:w="20" w:type="dxa"/>
              <w:bottom w:w="40" w:type="dxa"/>
              <w:right w:w="20" w:type="dxa"/>
            </w:tcMar>
            <w:vAlign w:val="bottom"/>
          </w:tcPr>
          <w:p w14:paraId="7268E679" w14:textId="77777777" w:rsidR="005F762A" w:rsidRDefault="00D74111">
            <w:pPr>
              <w:textAlignment w:val="bottom"/>
            </w:pPr>
            <w:r>
              <w:rPr>
                <w:rFonts w:ascii="Arial" w:eastAsia="宋体" w:hAnsi="Arial" w:cs="Arial"/>
                <w:color w:val="000000"/>
                <w:sz w:val="18"/>
                <w:szCs w:val="18"/>
              </w:rPr>
              <w:t>Accounts payable</w:t>
            </w:r>
          </w:p>
        </w:tc>
        <w:tc>
          <w:tcPr>
            <w:tcW w:w="0" w:type="auto"/>
            <w:shd w:val="clear" w:color="auto" w:fill="FFFFFF"/>
            <w:tcMar>
              <w:top w:w="40" w:type="dxa"/>
              <w:left w:w="20" w:type="dxa"/>
              <w:bottom w:w="40" w:type="dxa"/>
              <w:right w:w="0" w:type="dxa"/>
            </w:tcMar>
            <w:vAlign w:val="bottom"/>
          </w:tcPr>
          <w:p w14:paraId="7268E67A"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67B" w14:textId="77777777" w:rsidR="005F762A" w:rsidRDefault="00D74111">
            <w:pPr>
              <w:jc w:val="right"/>
              <w:textAlignment w:val="bottom"/>
            </w:pPr>
            <w:r>
              <w:rPr>
                <w:rFonts w:ascii="Arial" w:eastAsia="宋体" w:hAnsi="Arial" w:cs="Arial"/>
                <w:color w:val="000000"/>
                <w:sz w:val="18"/>
                <w:szCs w:val="18"/>
              </w:rPr>
              <w:t>37 </w:t>
            </w:r>
          </w:p>
        </w:tc>
        <w:tc>
          <w:tcPr>
            <w:tcW w:w="0" w:type="auto"/>
            <w:shd w:val="clear" w:color="auto" w:fill="FFFFFF"/>
            <w:tcMar>
              <w:top w:w="40" w:type="dxa"/>
              <w:left w:w="0" w:type="dxa"/>
              <w:bottom w:w="40" w:type="dxa"/>
              <w:right w:w="20" w:type="dxa"/>
            </w:tcMar>
            <w:vAlign w:val="bottom"/>
          </w:tcPr>
          <w:p w14:paraId="7268E67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7D"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67E"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67F" w14:textId="77777777" w:rsidR="005F762A" w:rsidRDefault="00D74111">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7268E680" w14:textId="77777777" w:rsidR="005F762A" w:rsidRDefault="005F762A">
            <w:pPr>
              <w:jc w:val="right"/>
              <w:rPr>
                <w:rFonts w:ascii="宋体"/>
              </w:rPr>
            </w:pPr>
          </w:p>
        </w:tc>
      </w:tr>
      <w:tr w:rsidR="005F762A" w14:paraId="7268E688" w14:textId="77777777">
        <w:tc>
          <w:tcPr>
            <w:tcW w:w="0" w:type="auto"/>
            <w:gridSpan w:val="3"/>
            <w:shd w:val="clear" w:color="auto" w:fill="E1E1E1"/>
            <w:tcMar>
              <w:top w:w="40" w:type="dxa"/>
              <w:left w:w="20" w:type="dxa"/>
              <w:bottom w:w="40" w:type="dxa"/>
              <w:right w:w="20" w:type="dxa"/>
            </w:tcMar>
            <w:vAlign w:val="bottom"/>
          </w:tcPr>
          <w:p w14:paraId="7268E682" w14:textId="77777777" w:rsidR="005F762A" w:rsidRDefault="00D74111">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E1E1E1"/>
            <w:tcMar>
              <w:top w:w="40" w:type="dxa"/>
              <w:left w:w="20" w:type="dxa"/>
              <w:bottom w:w="40" w:type="dxa"/>
              <w:right w:w="0" w:type="dxa"/>
            </w:tcMar>
            <w:vAlign w:val="bottom"/>
          </w:tcPr>
          <w:p w14:paraId="7268E683" w14:textId="77777777" w:rsidR="005F762A" w:rsidRDefault="00D74111">
            <w:pPr>
              <w:jc w:val="right"/>
              <w:textAlignment w:val="bottom"/>
            </w:pPr>
            <w:r>
              <w:rPr>
                <w:rFonts w:ascii="Arial" w:eastAsia="宋体" w:hAnsi="Arial" w:cs="Arial"/>
                <w:color w:val="000000"/>
                <w:sz w:val="18"/>
                <w:szCs w:val="18"/>
              </w:rPr>
              <w:t>100 </w:t>
            </w:r>
          </w:p>
        </w:tc>
        <w:tc>
          <w:tcPr>
            <w:tcW w:w="0" w:type="auto"/>
            <w:shd w:val="clear" w:color="auto" w:fill="E1E1E1"/>
            <w:tcMar>
              <w:top w:w="40" w:type="dxa"/>
              <w:left w:w="0" w:type="dxa"/>
              <w:bottom w:w="40" w:type="dxa"/>
              <w:right w:w="20" w:type="dxa"/>
            </w:tcMar>
            <w:vAlign w:val="bottom"/>
          </w:tcPr>
          <w:p w14:paraId="7268E68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85"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86" w14:textId="77777777" w:rsidR="005F762A" w:rsidRDefault="00D74111">
            <w:pPr>
              <w:jc w:val="right"/>
              <w:textAlignment w:val="bottom"/>
            </w:pPr>
            <w:r>
              <w:rPr>
                <w:rFonts w:ascii="Arial" w:eastAsia="宋体" w:hAnsi="Arial" w:cs="Arial"/>
                <w:color w:val="000000"/>
                <w:sz w:val="18"/>
                <w:szCs w:val="18"/>
              </w:rPr>
              <w:t>104 </w:t>
            </w:r>
          </w:p>
        </w:tc>
        <w:tc>
          <w:tcPr>
            <w:tcW w:w="0" w:type="auto"/>
            <w:shd w:val="clear" w:color="auto" w:fill="E1E1E1"/>
            <w:tcMar>
              <w:top w:w="40" w:type="dxa"/>
              <w:left w:w="0" w:type="dxa"/>
              <w:bottom w:w="40" w:type="dxa"/>
              <w:right w:w="20" w:type="dxa"/>
            </w:tcMar>
            <w:vAlign w:val="bottom"/>
          </w:tcPr>
          <w:p w14:paraId="7268E687" w14:textId="77777777" w:rsidR="005F762A" w:rsidRDefault="005F762A">
            <w:pPr>
              <w:jc w:val="right"/>
              <w:rPr>
                <w:rFonts w:ascii="宋体"/>
              </w:rPr>
            </w:pPr>
          </w:p>
        </w:tc>
      </w:tr>
      <w:tr w:rsidR="005F762A" w14:paraId="7268E68F" w14:textId="77777777">
        <w:tc>
          <w:tcPr>
            <w:tcW w:w="0" w:type="auto"/>
            <w:gridSpan w:val="3"/>
            <w:shd w:val="clear" w:color="auto" w:fill="FFFFFF"/>
            <w:tcMar>
              <w:top w:w="40" w:type="dxa"/>
              <w:left w:w="20" w:type="dxa"/>
              <w:bottom w:w="40" w:type="dxa"/>
              <w:right w:w="20" w:type="dxa"/>
            </w:tcMar>
            <w:vAlign w:val="bottom"/>
          </w:tcPr>
          <w:p w14:paraId="7268E689" w14:textId="77777777" w:rsidR="005F762A" w:rsidRDefault="00D74111">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7268E68A" w14:textId="77777777" w:rsidR="005F762A" w:rsidRDefault="00D74111">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7268E68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8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8D" w14:textId="77777777" w:rsidR="005F762A" w:rsidRDefault="00D74111">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7268E68E" w14:textId="77777777" w:rsidR="005F762A" w:rsidRDefault="005F762A">
            <w:pPr>
              <w:jc w:val="right"/>
              <w:rPr>
                <w:rFonts w:ascii="宋体"/>
              </w:rPr>
            </w:pPr>
          </w:p>
        </w:tc>
      </w:tr>
      <w:tr w:rsidR="005F762A" w14:paraId="7268E696" w14:textId="77777777">
        <w:tc>
          <w:tcPr>
            <w:tcW w:w="0" w:type="auto"/>
            <w:gridSpan w:val="3"/>
            <w:shd w:val="clear" w:color="auto" w:fill="E1E1E1"/>
            <w:tcMar>
              <w:top w:w="40" w:type="dxa"/>
              <w:left w:w="20" w:type="dxa"/>
              <w:bottom w:w="40" w:type="dxa"/>
              <w:right w:w="20" w:type="dxa"/>
            </w:tcMar>
            <w:vAlign w:val="bottom"/>
          </w:tcPr>
          <w:p w14:paraId="7268E690" w14:textId="77777777" w:rsidR="005F762A" w:rsidRDefault="00D74111">
            <w:pPr>
              <w:textAlignment w:val="bottom"/>
            </w:pPr>
            <w:r>
              <w:rPr>
                <w:rFonts w:ascii="Arial" w:eastAsia="宋体" w:hAnsi="Arial" w:cs="Arial"/>
                <w:color w:val="000000"/>
                <w:sz w:val="18"/>
                <w:szCs w:val="18"/>
              </w:rPr>
              <w:t>Income taxes payable</w:t>
            </w:r>
          </w:p>
        </w:tc>
        <w:tc>
          <w:tcPr>
            <w:tcW w:w="0" w:type="auto"/>
            <w:gridSpan w:val="2"/>
            <w:shd w:val="clear" w:color="auto" w:fill="E1E1E1"/>
            <w:tcMar>
              <w:top w:w="40" w:type="dxa"/>
              <w:left w:w="20" w:type="dxa"/>
              <w:bottom w:w="40" w:type="dxa"/>
              <w:right w:w="0" w:type="dxa"/>
            </w:tcMar>
            <w:vAlign w:val="bottom"/>
          </w:tcPr>
          <w:p w14:paraId="7268E691" w14:textId="77777777" w:rsidR="005F762A" w:rsidRDefault="00D74111">
            <w:pPr>
              <w:jc w:val="right"/>
              <w:textAlignment w:val="bottom"/>
            </w:pPr>
            <w:r>
              <w:rPr>
                <w:rFonts w:ascii="Arial" w:eastAsia="宋体" w:hAnsi="Arial" w:cs="Arial"/>
                <w:color w:val="000000"/>
                <w:sz w:val="18"/>
                <w:szCs w:val="18"/>
              </w:rPr>
              <w:t>37 </w:t>
            </w:r>
          </w:p>
        </w:tc>
        <w:tc>
          <w:tcPr>
            <w:tcW w:w="0" w:type="auto"/>
            <w:shd w:val="clear" w:color="auto" w:fill="E1E1E1"/>
            <w:tcMar>
              <w:top w:w="40" w:type="dxa"/>
              <w:left w:w="0" w:type="dxa"/>
              <w:bottom w:w="40" w:type="dxa"/>
              <w:right w:w="20" w:type="dxa"/>
            </w:tcMar>
            <w:vAlign w:val="bottom"/>
          </w:tcPr>
          <w:p w14:paraId="7268E692"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93"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94" w14:textId="77777777" w:rsidR="005F762A" w:rsidRDefault="00D74111">
            <w:pPr>
              <w:jc w:val="right"/>
              <w:textAlignment w:val="bottom"/>
            </w:pPr>
            <w:r>
              <w:rPr>
                <w:rFonts w:ascii="Arial" w:eastAsia="宋体" w:hAnsi="Arial" w:cs="Arial"/>
                <w:color w:val="000000"/>
                <w:sz w:val="18"/>
                <w:szCs w:val="18"/>
              </w:rPr>
              <w:t>35 </w:t>
            </w:r>
          </w:p>
        </w:tc>
        <w:tc>
          <w:tcPr>
            <w:tcW w:w="0" w:type="auto"/>
            <w:shd w:val="clear" w:color="auto" w:fill="E1E1E1"/>
            <w:tcMar>
              <w:top w:w="40" w:type="dxa"/>
              <w:left w:w="0" w:type="dxa"/>
              <w:bottom w:w="40" w:type="dxa"/>
              <w:right w:w="20" w:type="dxa"/>
            </w:tcMar>
            <w:vAlign w:val="bottom"/>
          </w:tcPr>
          <w:p w14:paraId="7268E695" w14:textId="77777777" w:rsidR="005F762A" w:rsidRDefault="005F762A">
            <w:pPr>
              <w:jc w:val="right"/>
              <w:rPr>
                <w:rFonts w:ascii="宋体"/>
              </w:rPr>
            </w:pPr>
          </w:p>
        </w:tc>
      </w:tr>
      <w:tr w:rsidR="005F762A" w14:paraId="7268E69D" w14:textId="77777777">
        <w:tc>
          <w:tcPr>
            <w:tcW w:w="0" w:type="auto"/>
            <w:gridSpan w:val="3"/>
            <w:shd w:val="clear" w:color="auto" w:fill="FFFFFF"/>
            <w:tcMar>
              <w:top w:w="40" w:type="dxa"/>
              <w:left w:w="20" w:type="dxa"/>
              <w:bottom w:w="40" w:type="dxa"/>
              <w:right w:w="20" w:type="dxa"/>
            </w:tcMar>
            <w:vAlign w:val="bottom"/>
          </w:tcPr>
          <w:p w14:paraId="7268E697" w14:textId="77777777" w:rsidR="005F762A" w:rsidRDefault="00D74111">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7268E698" w14:textId="77777777" w:rsidR="005F762A" w:rsidRDefault="00D74111">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7268E69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9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9B" w14:textId="77777777" w:rsidR="005F762A" w:rsidRDefault="00D74111">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7268E69C" w14:textId="77777777" w:rsidR="005F762A" w:rsidRDefault="005F762A">
            <w:pPr>
              <w:jc w:val="right"/>
              <w:rPr>
                <w:rFonts w:ascii="宋体"/>
              </w:rPr>
            </w:pPr>
          </w:p>
        </w:tc>
      </w:tr>
      <w:tr w:rsidR="005F762A" w14:paraId="7268E6A4" w14:textId="77777777">
        <w:tc>
          <w:tcPr>
            <w:tcW w:w="0" w:type="auto"/>
            <w:gridSpan w:val="3"/>
            <w:shd w:val="clear" w:color="auto" w:fill="E1E1E1"/>
            <w:tcMar>
              <w:top w:w="40" w:type="dxa"/>
              <w:left w:w="20" w:type="dxa"/>
              <w:bottom w:w="40" w:type="dxa"/>
              <w:right w:w="20" w:type="dxa"/>
            </w:tcMar>
            <w:vAlign w:val="bottom"/>
          </w:tcPr>
          <w:p w14:paraId="7268E69E" w14:textId="77777777" w:rsidR="005F762A" w:rsidRDefault="00D74111">
            <w:pPr>
              <w:textAlignment w:val="bottom"/>
            </w:pPr>
            <w:r>
              <w:rPr>
                <w:rFonts w:ascii="Arial" w:eastAsia="宋体" w:hAnsi="Arial" w:cs="Arial"/>
                <w:color w:val="000000"/>
                <w:sz w:val="18"/>
                <w:szCs w:val="18"/>
              </w:rPr>
              <w:t>Deferred tax liabilities</w:t>
            </w:r>
          </w:p>
        </w:tc>
        <w:tc>
          <w:tcPr>
            <w:tcW w:w="0" w:type="auto"/>
            <w:gridSpan w:val="2"/>
            <w:shd w:val="clear" w:color="auto" w:fill="E1E1E1"/>
            <w:tcMar>
              <w:top w:w="40" w:type="dxa"/>
              <w:left w:w="20" w:type="dxa"/>
              <w:bottom w:w="40" w:type="dxa"/>
              <w:right w:w="0" w:type="dxa"/>
            </w:tcMar>
            <w:vAlign w:val="bottom"/>
          </w:tcPr>
          <w:p w14:paraId="7268E69F" w14:textId="77777777" w:rsidR="005F762A" w:rsidRDefault="00D74111">
            <w:pPr>
              <w:jc w:val="right"/>
              <w:textAlignment w:val="bottom"/>
            </w:pPr>
            <w:r>
              <w:rPr>
                <w:rFonts w:ascii="Arial" w:eastAsia="宋体" w:hAnsi="Arial" w:cs="Arial"/>
                <w:color w:val="000000"/>
                <w:sz w:val="18"/>
                <w:szCs w:val="18"/>
              </w:rPr>
              <w:t>268 </w:t>
            </w:r>
          </w:p>
        </w:tc>
        <w:tc>
          <w:tcPr>
            <w:tcW w:w="0" w:type="auto"/>
            <w:shd w:val="clear" w:color="auto" w:fill="E1E1E1"/>
            <w:tcMar>
              <w:top w:w="40" w:type="dxa"/>
              <w:left w:w="0" w:type="dxa"/>
              <w:bottom w:w="40" w:type="dxa"/>
              <w:right w:w="20" w:type="dxa"/>
            </w:tcMar>
            <w:vAlign w:val="bottom"/>
          </w:tcPr>
          <w:p w14:paraId="7268E6A0"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A1"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E6A2" w14:textId="77777777" w:rsidR="005F762A" w:rsidRDefault="00D74111">
            <w:pPr>
              <w:jc w:val="right"/>
              <w:textAlignment w:val="bottom"/>
            </w:pPr>
            <w:r>
              <w:rPr>
                <w:rFonts w:ascii="Arial" w:eastAsia="宋体" w:hAnsi="Arial" w:cs="Arial"/>
                <w:color w:val="000000"/>
                <w:sz w:val="18"/>
                <w:szCs w:val="18"/>
              </w:rPr>
              <w:t>278 </w:t>
            </w:r>
          </w:p>
        </w:tc>
        <w:tc>
          <w:tcPr>
            <w:tcW w:w="0" w:type="auto"/>
            <w:shd w:val="clear" w:color="auto" w:fill="E1E1E1"/>
            <w:tcMar>
              <w:top w:w="40" w:type="dxa"/>
              <w:left w:w="0" w:type="dxa"/>
              <w:bottom w:w="40" w:type="dxa"/>
              <w:right w:w="20" w:type="dxa"/>
            </w:tcMar>
            <w:vAlign w:val="bottom"/>
          </w:tcPr>
          <w:p w14:paraId="7268E6A3" w14:textId="77777777" w:rsidR="005F762A" w:rsidRDefault="005F762A">
            <w:pPr>
              <w:jc w:val="right"/>
              <w:rPr>
                <w:rFonts w:ascii="宋体"/>
              </w:rPr>
            </w:pPr>
          </w:p>
        </w:tc>
      </w:tr>
      <w:tr w:rsidR="005F762A" w14:paraId="7268E6AB" w14:textId="77777777">
        <w:tc>
          <w:tcPr>
            <w:tcW w:w="0" w:type="auto"/>
            <w:gridSpan w:val="3"/>
            <w:shd w:val="clear" w:color="auto" w:fill="FFFFFF"/>
            <w:tcMar>
              <w:top w:w="40" w:type="dxa"/>
              <w:left w:w="20" w:type="dxa"/>
              <w:bottom w:w="40" w:type="dxa"/>
              <w:right w:w="20" w:type="dxa"/>
            </w:tcMar>
            <w:vAlign w:val="bottom"/>
          </w:tcPr>
          <w:p w14:paraId="7268E6A5" w14:textId="77777777" w:rsidR="005F762A" w:rsidRDefault="00D74111">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7268E6A6"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E6A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6A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6A9"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E6AA" w14:textId="77777777" w:rsidR="005F762A" w:rsidRDefault="005F762A">
            <w:pPr>
              <w:jc w:val="right"/>
              <w:rPr>
                <w:rFonts w:ascii="宋体"/>
              </w:rPr>
            </w:pPr>
          </w:p>
        </w:tc>
      </w:tr>
      <w:tr w:rsidR="005F762A" w14:paraId="7268E6B4" w14:textId="77777777">
        <w:tc>
          <w:tcPr>
            <w:tcW w:w="0" w:type="auto"/>
            <w:gridSpan w:val="3"/>
            <w:shd w:val="clear" w:color="auto" w:fill="E1E1E1"/>
            <w:tcMar>
              <w:top w:w="40" w:type="dxa"/>
              <w:left w:w="20" w:type="dxa"/>
              <w:bottom w:w="40" w:type="dxa"/>
              <w:right w:w="20" w:type="dxa"/>
            </w:tcMar>
            <w:vAlign w:val="bottom"/>
          </w:tcPr>
          <w:p w14:paraId="7268E6AC" w14:textId="77777777" w:rsidR="005F762A" w:rsidRDefault="00D74111">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liabilities classified as held for sale in the condensed consolidated balance sheet</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6A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6AE" w14:textId="77777777" w:rsidR="005F762A" w:rsidRDefault="00D74111">
            <w:pPr>
              <w:jc w:val="right"/>
              <w:textAlignment w:val="bottom"/>
            </w:pPr>
            <w:r>
              <w:rPr>
                <w:rFonts w:ascii="Arial" w:eastAsia="宋体" w:hAnsi="Arial" w:cs="Arial"/>
                <w:color w:val="000000"/>
                <w:sz w:val="18"/>
                <w:szCs w:val="18"/>
              </w:rPr>
              <w:t>463 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6AF"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E6B0"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E6B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E6B2" w14:textId="77777777" w:rsidR="005F762A" w:rsidRDefault="00D74111">
            <w:pPr>
              <w:jc w:val="right"/>
              <w:textAlignment w:val="bottom"/>
            </w:pPr>
            <w:r>
              <w:rPr>
                <w:rFonts w:ascii="Arial" w:eastAsia="宋体" w:hAnsi="Arial" w:cs="Arial"/>
                <w:color w:val="000000"/>
                <w:sz w:val="18"/>
                <w:szCs w:val="18"/>
              </w:rPr>
              <w:t>452 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E6B3" w14:textId="77777777" w:rsidR="005F762A" w:rsidRDefault="005F762A">
            <w:pPr>
              <w:jc w:val="right"/>
              <w:rPr>
                <w:rFonts w:ascii="宋体"/>
              </w:rPr>
            </w:pPr>
          </w:p>
        </w:tc>
      </w:tr>
    </w:tbl>
    <w:p w14:paraId="7268E6B5" w14:textId="77777777" w:rsidR="005F762A" w:rsidRDefault="005F762A">
      <w:pPr>
        <w:spacing w:after="120"/>
      </w:pPr>
    </w:p>
    <w:p w14:paraId="7268E6B6" w14:textId="77777777" w:rsidR="005F762A" w:rsidRDefault="00D74111">
      <w:r>
        <w:rPr>
          <w:rFonts w:ascii="Arial" w:eastAsia="宋体" w:hAnsi="Arial" w:cs="Arial"/>
          <w:b/>
          <w:bCs/>
          <w:color w:val="000000"/>
          <w:sz w:val="20"/>
          <w:szCs w:val="20"/>
        </w:rPr>
        <w:t xml:space="preserve">Note 4 — Goodwill </w:t>
      </w:r>
    </w:p>
    <w:p w14:paraId="7268E6B7" w14:textId="77777777" w:rsidR="005F762A" w:rsidRDefault="005F762A"/>
    <w:p w14:paraId="7268E6B8" w14:textId="77777777" w:rsidR="005F762A" w:rsidRDefault="00D74111">
      <w:pPr>
        <w:ind w:firstLine="90"/>
      </w:pPr>
      <w:r>
        <w:rPr>
          <w:rFonts w:ascii="Arial" w:eastAsia="宋体" w:hAnsi="Arial" w:cs="Arial"/>
          <w:b/>
          <w:bCs/>
          <w:i/>
          <w:iCs/>
          <w:color w:val="000000"/>
          <w:sz w:val="20"/>
          <w:szCs w:val="20"/>
        </w:rPr>
        <w:t>Goodwill</w:t>
      </w:r>
    </w:p>
    <w:p w14:paraId="7268E6B9" w14:textId="77777777" w:rsidR="005F762A" w:rsidRDefault="005F762A"/>
    <w:p w14:paraId="7268E6BA" w14:textId="77777777" w:rsidR="005F762A" w:rsidRDefault="00D74111">
      <w:pPr>
        <w:spacing w:after="120"/>
        <w:ind w:firstLine="540"/>
        <w:jc w:val="both"/>
      </w:pPr>
      <w:r>
        <w:rPr>
          <w:rFonts w:ascii="Arial" w:eastAsia="宋体" w:hAnsi="Arial" w:cs="Arial"/>
          <w:color w:val="000000"/>
          <w:sz w:val="20"/>
          <w:szCs w:val="20"/>
        </w:rPr>
        <w:t xml:space="preserve">The following table presents goodwill activity during the three months ended March 31, 2021 (in millions):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3754"/>
        <w:gridCol w:w="36"/>
        <w:gridCol w:w="122"/>
        <w:gridCol w:w="918"/>
        <w:gridCol w:w="36"/>
        <w:gridCol w:w="36"/>
        <w:gridCol w:w="36"/>
        <w:gridCol w:w="36"/>
        <w:gridCol w:w="122"/>
        <w:gridCol w:w="874"/>
        <w:gridCol w:w="36"/>
        <w:gridCol w:w="36"/>
        <w:gridCol w:w="36"/>
        <w:gridCol w:w="36"/>
        <w:gridCol w:w="122"/>
        <w:gridCol w:w="922"/>
        <w:gridCol w:w="36"/>
        <w:gridCol w:w="36"/>
        <w:gridCol w:w="36"/>
        <w:gridCol w:w="36"/>
        <w:gridCol w:w="121"/>
        <w:gridCol w:w="828"/>
        <w:gridCol w:w="36"/>
      </w:tblGrid>
      <w:tr w:rsidR="005F762A" w14:paraId="7268E6D3" w14:textId="77777777">
        <w:trPr>
          <w:jc w:val="center"/>
        </w:trPr>
        <w:tc>
          <w:tcPr>
            <w:tcW w:w="50" w:type="pct"/>
            <w:shd w:val="clear" w:color="auto" w:fill="auto"/>
          </w:tcPr>
          <w:p w14:paraId="7268E6BB" w14:textId="77777777" w:rsidR="005F762A" w:rsidRDefault="005F762A">
            <w:pPr>
              <w:rPr>
                <w:rFonts w:ascii="宋体"/>
              </w:rPr>
            </w:pPr>
          </w:p>
        </w:tc>
        <w:tc>
          <w:tcPr>
            <w:tcW w:w="2287" w:type="pct"/>
            <w:shd w:val="clear" w:color="auto" w:fill="auto"/>
          </w:tcPr>
          <w:p w14:paraId="7268E6BC" w14:textId="77777777" w:rsidR="005F762A" w:rsidRDefault="005F762A">
            <w:pPr>
              <w:rPr>
                <w:rFonts w:ascii="宋体"/>
              </w:rPr>
            </w:pPr>
          </w:p>
        </w:tc>
        <w:tc>
          <w:tcPr>
            <w:tcW w:w="5" w:type="pct"/>
            <w:shd w:val="clear" w:color="auto" w:fill="auto"/>
          </w:tcPr>
          <w:p w14:paraId="7268E6BD" w14:textId="77777777" w:rsidR="005F762A" w:rsidRDefault="005F762A">
            <w:pPr>
              <w:rPr>
                <w:rFonts w:ascii="宋体"/>
              </w:rPr>
            </w:pPr>
          </w:p>
        </w:tc>
        <w:tc>
          <w:tcPr>
            <w:tcW w:w="50" w:type="pct"/>
            <w:shd w:val="clear" w:color="auto" w:fill="auto"/>
          </w:tcPr>
          <w:p w14:paraId="7268E6BE" w14:textId="77777777" w:rsidR="005F762A" w:rsidRDefault="005F762A">
            <w:pPr>
              <w:rPr>
                <w:rFonts w:ascii="宋体"/>
              </w:rPr>
            </w:pPr>
          </w:p>
        </w:tc>
        <w:tc>
          <w:tcPr>
            <w:tcW w:w="581" w:type="pct"/>
            <w:shd w:val="clear" w:color="auto" w:fill="auto"/>
          </w:tcPr>
          <w:p w14:paraId="7268E6BF" w14:textId="77777777" w:rsidR="005F762A" w:rsidRDefault="005F762A">
            <w:pPr>
              <w:rPr>
                <w:rFonts w:ascii="宋体"/>
              </w:rPr>
            </w:pPr>
          </w:p>
        </w:tc>
        <w:tc>
          <w:tcPr>
            <w:tcW w:w="5" w:type="pct"/>
            <w:shd w:val="clear" w:color="auto" w:fill="auto"/>
          </w:tcPr>
          <w:p w14:paraId="7268E6C0" w14:textId="77777777" w:rsidR="005F762A" w:rsidRDefault="005F762A">
            <w:pPr>
              <w:rPr>
                <w:rFonts w:ascii="宋体"/>
              </w:rPr>
            </w:pPr>
          </w:p>
        </w:tc>
        <w:tc>
          <w:tcPr>
            <w:tcW w:w="5" w:type="pct"/>
            <w:shd w:val="clear" w:color="auto" w:fill="auto"/>
          </w:tcPr>
          <w:p w14:paraId="7268E6C1" w14:textId="77777777" w:rsidR="005F762A" w:rsidRDefault="005F762A">
            <w:pPr>
              <w:rPr>
                <w:rFonts w:ascii="宋体"/>
              </w:rPr>
            </w:pPr>
          </w:p>
        </w:tc>
        <w:tc>
          <w:tcPr>
            <w:tcW w:w="26" w:type="pct"/>
            <w:shd w:val="clear" w:color="auto" w:fill="auto"/>
          </w:tcPr>
          <w:p w14:paraId="7268E6C2" w14:textId="77777777" w:rsidR="005F762A" w:rsidRDefault="005F762A">
            <w:pPr>
              <w:rPr>
                <w:rFonts w:ascii="宋体"/>
              </w:rPr>
            </w:pPr>
          </w:p>
        </w:tc>
        <w:tc>
          <w:tcPr>
            <w:tcW w:w="5" w:type="pct"/>
            <w:shd w:val="clear" w:color="auto" w:fill="auto"/>
          </w:tcPr>
          <w:p w14:paraId="7268E6C3" w14:textId="77777777" w:rsidR="005F762A" w:rsidRDefault="005F762A">
            <w:pPr>
              <w:rPr>
                <w:rFonts w:ascii="宋体"/>
              </w:rPr>
            </w:pPr>
          </w:p>
        </w:tc>
        <w:tc>
          <w:tcPr>
            <w:tcW w:w="50" w:type="pct"/>
            <w:shd w:val="clear" w:color="auto" w:fill="auto"/>
          </w:tcPr>
          <w:p w14:paraId="7268E6C4" w14:textId="77777777" w:rsidR="005F762A" w:rsidRDefault="005F762A">
            <w:pPr>
              <w:rPr>
                <w:rFonts w:ascii="宋体"/>
              </w:rPr>
            </w:pPr>
          </w:p>
        </w:tc>
        <w:tc>
          <w:tcPr>
            <w:tcW w:w="581" w:type="pct"/>
            <w:shd w:val="clear" w:color="auto" w:fill="auto"/>
          </w:tcPr>
          <w:p w14:paraId="7268E6C5" w14:textId="77777777" w:rsidR="005F762A" w:rsidRDefault="005F762A">
            <w:pPr>
              <w:rPr>
                <w:rFonts w:ascii="宋体"/>
              </w:rPr>
            </w:pPr>
          </w:p>
        </w:tc>
        <w:tc>
          <w:tcPr>
            <w:tcW w:w="5" w:type="pct"/>
            <w:shd w:val="clear" w:color="auto" w:fill="auto"/>
          </w:tcPr>
          <w:p w14:paraId="7268E6C6" w14:textId="77777777" w:rsidR="005F762A" w:rsidRDefault="005F762A">
            <w:pPr>
              <w:rPr>
                <w:rFonts w:ascii="宋体"/>
              </w:rPr>
            </w:pPr>
          </w:p>
        </w:tc>
        <w:tc>
          <w:tcPr>
            <w:tcW w:w="5" w:type="pct"/>
            <w:shd w:val="clear" w:color="auto" w:fill="auto"/>
          </w:tcPr>
          <w:p w14:paraId="7268E6C7" w14:textId="77777777" w:rsidR="005F762A" w:rsidRDefault="005F762A">
            <w:pPr>
              <w:rPr>
                <w:rFonts w:ascii="宋体"/>
              </w:rPr>
            </w:pPr>
          </w:p>
        </w:tc>
        <w:tc>
          <w:tcPr>
            <w:tcW w:w="26" w:type="pct"/>
            <w:shd w:val="clear" w:color="auto" w:fill="auto"/>
          </w:tcPr>
          <w:p w14:paraId="7268E6C8" w14:textId="77777777" w:rsidR="005F762A" w:rsidRDefault="005F762A">
            <w:pPr>
              <w:rPr>
                <w:rFonts w:ascii="宋体"/>
              </w:rPr>
            </w:pPr>
          </w:p>
        </w:tc>
        <w:tc>
          <w:tcPr>
            <w:tcW w:w="5" w:type="pct"/>
            <w:shd w:val="clear" w:color="auto" w:fill="auto"/>
          </w:tcPr>
          <w:p w14:paraId="7268E6C9" w14:textId="77777777" w:rsidR="005F762A" w:rsidRDefault="005F762A">
            <w:pPr>
              <w:rPr>
                <w:rFonts w:ascii="宋体"/>
              </w:rPr>
            </w:pPr>
          </w:p>
        </w:tc>
        <w:tc>
          <w:tcPr>
            <w:tcW w:w="50" w:type="pct"/>
            <w:shd w:val="clear" w:color="auto" w:fill="auto"/>
          </w:tcPr>
          <w:p w14:paraId="7268E6CA" w14:textId="77777777" w:rsidR="005F762A" w:rsidRDefault="005F762A">
            <w:pPr>
              <w:rPr>
                <w:rFonts w:ascii="宋体"/>
              </w:rPr>
            </w:pPr>
          </w:p>
        </w:tc>
        <w:tc>
          <w:tcPr>
            <w:tcW w:w="581" w:type="pct"/>
            <w:shd w:val="clear" w:color="auto" w:fill="auto"/>
          </w:tcPr>
          <w:p w14:paraId="7268E6CB" w14:textId="77777777" w:rsidR="005F762A" w:rsidRDefault="005F762A">
            <w:pPr>
              <w:rPr>
                <w:rFonts w:ascii="宋体"/>
              </w:rPr>
            </w:pPr>
          </w:p>
        </w:tc>
        <w:tc>
          <w:tcPr>
            <w:tcW w:w="5" w:type="pct"/>
            <w:shd w:val="clear" w:color="auto" w:fill="auto"/>
          </w:tcPr>
          <w:p w14:paraId="7268E6CC" w14:textId="77777777" w:rsidR="005F762A" w:rsidRDefault="005F762A">
            <w:pPr>
              <w:rPr>
                <w:rFonts w:ascii="宋体"/>
              </w:rPr>
            </w:pPr>
          </w:p>
        </w:tc>
        <w:tc>
          <w:tcPr>
            <w:tcW w:w="5" w:type="pct"/>
            <w:shd w:val="clear" w:color="auto" w:fill="auto"/>
          </w:tcPr>
          <w:p w14:paraId="7268E6CD" w14:textId="77777777" w:rsidR="005F762A" w:rsidRDefault="005F762A">
            <w:pPr>
              <w:rPr>
                <w:rFonts w:ascii="宋体"/>
              </w:rPr>
            </w:pPr>
          </w:p>
        </w:tc>
        <w:tc>
          <w:tcPr>
            <w:tcW w:w="26" w:type="pct"/>
            <w:shd w:val="clear" w:color="auto" w:fill="auto"/>
          </w:tcPr>
          <w:p w14:paraId="7268E6CE" w14:textId="77777777" w:rsidR="005F762A" w:rsidRDefault="005F762A">
            <w:pPr>
              <w:rPr>
                <w:rFonts w:ascii="宋体"/>
              </w:rPr>
            </w:pPr>
          </w:p>
        </w:tc>
        <w:tc>
          <w:tcPr>
            <w:tcW w:w="5" w:type="pct"/>
            <w:shd w:val="clear" w:color="auto" w:fill="auto"/>
          </w:tcPr>
          <w:p w14:paraId="7268E6CF" w14:textId="77777777" w:rsidR="005F762A" w:rsidRDefault="005F762A">
            <w:pPr>
              <w:rPr>
                <w:rFonts w:ascii="宋体"/>
              </w:rPr>
            </w:pPr>
          </w:p>
        </w:tc>
        <w:tc>
          <w:tcPr>
            <w:tcW w:w="50" w:type="pct"/>
            <w:shd w:val="clear" w:color="auto" w:fill="auto"/>
          </w:tcPr>
          <w:p w14:paraId="7268E6D0" w14:textId="77777777" w:rsidR="005F762A" w:rsidRDefault="005F762A">
            <w:pPr>
              <w:rPr>
                <w:rFonts w:ascii="宋体"/>
              </w:rPr>
            </w:pPr>
          </w:p>
        </w:tc>
        <w:tc>
          <w:tcPr>
            <w:tcW w:w="582" w:type="pct"/>
            <w:shd w:val="clear" w:color="auto" w:fill="auto"/>
          </w:tcPr>
          <w:p w14:paraId="7268E6D1" w14:textId="77777777" w:rsidR="005F762A" w:rsidRDefault="005F762A">
            <w:pPr>
              <w:rPr>
                <w:rFonts w:ascii="宋体"/>
              </w:rPr>
            </w:pPr>
          </w:p>
        </w:tc>
        <w:tc>
          <w:tcPr>
            <w:tcW w:w="5" w:type="pct"/>
            <w:shd w:val="clear" w:color="auto" w:fill="auto"/>
          </w:tcPr>
          <w:p w14:paraId="7268E6D2" w14:textId="77777777" w:rsidR="005F762A" w:rsidRDefault="005F762A">
            <w:pPr>
              <w:rPr>
                <w:rFonts w:ascii="宋体"/>
              </w:rPr>
            </w:pPr>
          </w:p>
        </w:tc>
      </w:tr>
      <w:tr w:rsidR="005F762A" w14:paraId="7268E6DC" w14:textId="77777777">
        <w:trPr>
          <w:jc w:val="center"/>
        </w:trPr>
        <w:tc>
          <w:tcPr>
            <w:tcW w:w="0" w:type="auto"/>
            <w:gridSpan w:val="3"/>
            <w:shd w:val="clear" w:color="auto" w:fill="auto"/>
            <w:tcMar>
              <w:top w:w="40" w:type="dxa"/>
              <w:left w:w="20" w:type="dxa"/>
              <w:bottom w:w="40" w:type="dxa"/>
              <w:right w:w="20" w:type="dxa"/>
            </w:tcMar>
            <w:vAlign w:val="bottom"/>
          </w:tcPr>
          <w:p w14:paraId="7268E6D4" w14:textId="77777777" w:rsidR="005F762A" w:rsidRDefault="00D74111">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6D5" w14:textId="77777777" w:rsidR="005F762A" w:rsidRDefault="00D74111">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tcPr>
          <w:p w14:paraId="7268E6D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6D7" w14:textId="77777777" w:rsidR="005F762A" w:rsidRDefault="00D74111">
            <w:pPr>
              <w:jc w:val="center"/>
              <w:textAlignment w:val="bottom"/>
            </w:pPr>
            <w:r>
              <w:rPr>
                <w:rFonts w:ascii="Arial" w:eastAsia="宋体" w:hAnsi="Arial" w:cs="Arial"/>
                <w:b/>
                <w:bCs/>
                <w:color w:val="000000"/>
                <w:sz w:val="16"/>
                <w:szCs w:val="16"/>
              </w:rPr>
              <w:t>Goodwill</w:t>
            </w:r>
            <w:r>
              <w:rPr>
                <w:rFonts w:ascii="Arial" w:eastAsia="宋体" w:hAnsi="Arial" w:cs="Arial"/>
                <w:b/>
                <w:bCs/>
                <w:color w:val="000000"/>
                <w:sz w:val="16"/>
                <w:szCs w:val="16"/>
              </w:rPr>
              <w:br/>
              <w:t>Acquired</w:t>
            </w:r>
          </w:p>
        </w:tc>
        <w:tc>
          <w:tcPr>
            <w:tcW w:w="0" w:type="auto"/>
            <w:gridSpan w:val="3"/>
            <w:shd w:val="clear" w:color="auto" w:fill="auto"/>
            <w:tcMar>
              <w:top w:w="40" w:type="dxa"/>
              <w:left w:w="20" w:type="dxa"/>
              <w:bottom w:w="40" w:type="dxa"/>
              <w:right w:w="20" w:type="dxa"/>
            </w:tcMar>
            <w:vAlign w:val="bottom"/>
          </w:tcPr>
          <w:p w14:paraId="7268E6D8" w14:textId="77777777" w:rsidR="005F762A" w:rsidRDefault="00D74111">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6D9" w14:textId="77777777" w:rsidR="005F762A" w:rsidRDefault="00D74111">
            <w:pPr>
              <w:jc w:val="center"/>
              <w:textAlignment w:val="bottom"/>
            </w:pPr>
            <w:r>
              <w:rPr>
                <w:rFonts w:ascii="Arial" w:eastAsia="宋体" w:hAnsi="Arial" w:cs="Arial"/>
                <w:b/>
                <w:bCs/>
                <w:color w:val="000000"/>
                <w:sz w:val="16"/>
                <w:szCs w:val="16"/>
              </w:rPr>
              <w:t>Adjustments</w:t>
            </w:r>
          </w:p>
        </w:tc>
        <w:tc>
          <w:tcPr>
            <w:tcW w:w="0" w:type="auto"/>
            <w:gridSpan w:val="3"/>
            <w:shd w:val="clear" w:color="auto" w:fill="auto"/>
            <w:tcMar>
              <w:top w:w="40" w:type="dxa"/>
              <w:left w:w="20" w:type="dxa"/>
              <w:bottom w:w="40" w:type="dxa"/>
              <w:right w:w="20" w:type="dxa"/>
            </w:tcMar>
            <w:vAlign w:val="bottom"/>
          </w:tcPr>
          <w:p w14:paraId="7268E6DA" w14:textId="77777777" w:rsidR="005F762A" w:rsidRDefault="00D74111">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6DB" w14:textId="77777777" w:rsidR="005F762A" w:rsidRDefault="00D74111">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2021</w:t>
            </w:r>
          </w:p>
        </w:tc>
      </w:tr>
      <w:tr w:rsidR="005F762A" w14:paraId="7268E6ED" w14:textId="77777777">
        <w:trPr>
          <w:jc w:val="center"/>
        </w:trPr>
        <w:tc>
          <w:tcPr>
            <w:tcW w:w="0" w:type="auto"/>
            <w:gridSpan w:val="3"/>
            <w:shd w:val="clear" w:color="auto" w:fill="E2E2E2"/>
            <w:tcMar>
              <w:top w:w="40" w:type="dxa"/>
              <w:left w:w="20" w:type="dxa"/>
              <w:bottom w:w="40" w:type="dxa"/>
              <w:right w:w="20" w:type="dxa"/>
            </w:tcMar>
            <w:vAlign w:val="bottom"/>
          </w:tcPr>
          <w:p w14:paraId="7268E6DD" w14:textId="77777777" w:rsidR="005F762A" w:rsidRDefault="00D74111">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6D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6DF" w14:textId="77777777" w:rsidR="005F762A" w:rsidRDefault="00D74111">
            <w:pPr>
              <w:jc w:val="right"/>
              <w:textAlignment w:val="bottom"/>
            </w:pPr>
            <w:r>
              <w:rPr>
                <w:rFonts w:ascii="Arial" w:eastAsia="宋体" w:hAnsi="Arial" w:cs="Arial"/>
                <w:color w:val="000000"/>
                <w:sz w:val="18"/>
                <w:szCs w:val="18"/>
              </w:rPr>
              <w:t>4,675 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6E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6E1"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6E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6E3"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6E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6E5"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6E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6E7" w14:textId="77777777" w:rsidR="005F762A" w:rsidRDefault="00D74111">
            <w:pPr>
              <w:jc w:val="right"/>
              <w:textAlignment w:val="bottom"/>
            </w:pPr>
            <w:r>
              <w:rPr>
                <w:rFonts w:ascii="Arial" w:eastAsia="宋体" w:hAnsi="Arial" w:cs="Arial"/>
                <w:color w:val="000000"/>
                <w:sz w:val="18"/>
                <w:szCs w:val="18"/>
              </w:rPr>
              <w:t>(84)</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6E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6E9"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6E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6EB" w14:textId="77777777" w:rsidR="005F762A" w:rsidRDefault="00D74111">
            <w:pPr>
              <w:jc w:val="right"/>
              <w:textAlignment w:val="bottom"/>
            </w:pPr>
            <w:r>
              <w:rPr>
                <w:rFonts w:ascii="Arial" w:eastAsia="宋体" w:hAnsi="Arial" w:cs="Arial"/>
                <w:color w:val="000000"/>
                <w:sz w:val="18"/>
                <w:szCs w:val="18"/>
              </w:rPr>
              <w:t>4,591 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6EC" w14:textId="77777777" w:rsidR="005F762A" w:rsidRDefault="005F762A">
            <w:pPr>
              <w:jc w:val="right"/>
              <w:rPr>
                <w:rFonts w:ascii="宋体"/>
              </w:rPr>
            </w:pPr>
          </w:p>
        </w:tc>
      </w:tr>
      <w:tr w:rsidR="005F762A" w14:paraId="7268E6F6" w14:textId="77777777">
        <w:trPr>
          <w:jc w:val="center"/>
          <w:hidden/>
        </w:trPr>
        <w:tc>
          <w:tcPr>
            <w:tcW w:w="0" w:type="auto"/>
            <w:gridSpan w:val="3"/>
            <w:shd w:val="clear" w:color="auto" w:fill="auto"/>
          </w:tcPr>
          <w:p w14:paraId="7268E6EE" w14:textId="77777777" w:rsidR="005F762A" w:rsidRDefault="005F762A">
            <w:pPr>
              <w:rPr>
                <w:rFonts w:ascii="宋体"/>
                <w:vanish/>
              </w:rPr>
            </w:pPr>
          </w:p>
        </w:tc>
        <w:tc>
          <w:tcPr>
            <w:tcW w:w="0" w:type="auto"/>
            <w:gridSpan w:val="3"/>
            <w:shd w:val="clear" w:color="auto" w:fill="auto"/>
          </w:tcPr>
          <w:p w14:paraId="7268E6EF" w14:textId="77777777" w:rsidR="005F762A" w:rsidRDefault="005F762A">
            <w:pPr>
              <w:rPr>
                <w:rFonts w:ascii="宋体"/>
                <w:vanish/>
              </w:rPr>
            </w:pPr>
          </w:p>
        </w:tc>
        <w:tc>
          <w:tcPr>
            <w:tcW w:w="0" w:type="auto"/>
            <w:gridSpan w:val="3"/>
            <w:shd w:val="clear" w:color="auto" w:fill="auto"/>
          </w:tcPr>
          <w:p w14:paraId="7268E6F0" w14:textId="77777777" w:rsidR="005F762A" w:rsidRDefault="005F762A">
            <w:pPr>
              <w:rPr>
                <w:rFonts w:ascii="宋体"/>
                <w:vanish/>
              </w:rPr>
            </w:pPr>
          </w:p>
        </w:tc>
        <w:tc>
          <w:tcPr>
            <w:tcW w:w="0" w:type="auto"/>
            <w:gridSpan w:val="3"/>
            <w:shd w:val="clear" w:color="auto" w:fill="auto"/>
          </w:tcPr>
          <w:p w14:paraId="7268E6F1" w14:textId="77777777" w:rsidR="005F762A" w:rsidRDefault="005F762A">
            <w:pPr>
              <w:rPr>
                <w:rFonts w:ascii="宋体"/>
                <w:vanish/>
              </w:rPr>
            </w:pPr>
          </w:p>
        </w:tc>
        <w:tc>
          <w:tcPr>
            <w:tcW w:w="0" w:type="auto"/>
            <w:gridSpan w:val="3"/>
            <w:shd w:val="clear" w:color="auto" w:fill="auto"/>
          </w:tcPr>
          <w:p w14:paraId="7268E6F2" w14:textId="77777777" w:rsidR="005F762A" w:rsidRDefault="005F762A">
            <w:pPr>
              <w:rPr>
                <w:rFonts w:ascii="宋体"/>
                <w:vanish/>
              </w:rPr>
            </w:pPr>
          </w:p>
        </w:tc>
        <w:tc>
          <w:tcPr>
            <w:tcW w:w="0" w:type="auto"/>
            <w:gridSpan w:val="3"/>
            <w:shd w:val="clear" w:color="auto" w:fill="auto"/>
          </w:tcPr>
          <w:p w14:paraId="7268E6F3" w14:textId="77777777" w:rsidR="005F762A" w:rsidRDefault="005F762A">
            <w:pPr>
              <w:rPr>
                <w:rFonts w:ascii="宋体"/>
                <w:vanish/>
              </w:rPr>
            </w:pPr>
          </w:p>
        </w:tc>
        <w:tc>
          <w:tcPr>
            <w:tcW w:w="0" w:type="auto"/>
            <w:gridSpan w:val="3"/>
            <w:shd w:val="clear" w:color="auto" w:fill="auto"/>
          </w:tcPr>
          <w:p w14:paraId="7268E6F4" w14:textId="77777777" w:rsidR="005F762A" w:rsidRDefault="005F762A">
            <w:pPr>
              <w:rPr>
                <w:rFonts w:ascii="宋体"/>
                <w:vanish/>
              </w:rPr>
            </w:pPr>
          </w:p>
        </w:tc>
        <w:tc>
          <w:tcPr>
            <w:tcW w:w="0" w:type="auto"/>
            <w:gridSpan w:val="3"/>
            <w:shd w:val="clear" w:color="auto" w:fill="auto"/>
          </w:tcPr>
          <w:p w14:paraId="7268E6F5" w14:textId="77777777" w:rsidR="005F762A" w:rsidRDefault="005F762A">
            <w:pPr>
              <w:rPr>
                <w:rFonts w:ascii="宋体"/>
                <w:vanish/>
              </w:rPr>
            </w:pPr>
          </w:p>
        </w:tc>
      </w:tr>
      <w:tr w:rsidR="005F762A" w14:paraId="7268E6FF" w14:textId="77777777">
        <w:trPr>
          <w:jc w:val="center"/>
          <w:hidden/>
        </w:trPr>
        <w:tc>
          <w:tcPr>
            <w:tcW w:w="0" w:type="auto"/>
            <w:gridSpan w:val="3"/>
            <w:shd w:val="clear" w:color="auto" w:fill="auto"/>
          </w:tcPr>
          <w:p w14:paraId="7268E6F7" w14:textId="77777777" w:rsidR="005F762A" w:rsidRDefault="005F762A">
            <w:pPr>
              <w:rPr>
                <w:rFonts w:ascii="宋体"/>
                <w:vanish/>
              </w:rPr>
            </w:pPr>
          </w:p>
        </w:tc>
        <w:tc>
          <w:tcPr>
            <w:tcW w:w="0" w:type="auto"/>
            <w:gridSpan w:val="3"/>
            <w:shd w:val="clear" w:color="auto" w:fill="auto"/>
          </w:tcPr>
          <w:p w14:paraId="7268E6F8" w14:textId="77777777" w:rsidR="005F762A" w:rsidRDefault="005F762A">
            <w:pPr>
              <w:rPr>
                <w:rFonts w:ascii="宋体"/>
                <w:vanish/>
              </w:rPr>
            </w:pPr>
          </w:p>
        </w:tc>
        <w:tc>
          <w:tcPr>
            <w:tcW w:w="0" w:type="auto"/>
            <w:gridSpan w:val="3"/>
            <w:shd w:val="clear" w:color="auto" w:fill="auto"/>
          </w:tcPr>
          <w:p w14:paraId="7268E6F9" w14:textId="77777777" w:rsidR="005F762A" w:rsidRDefault="005F762A">
            <w:pPr>
              <w:rPr>
                <w:rFonts w:ascii="宋体"/>
                <w:vanish/>
              </w:rPr>
            </w:pPr>
          </w:p>
        </w:tc>
        <w:tc>
          <w:tcPr>
            <w:tcW w:w="0" w:type="auto"/>
            <w:gridSpan w:val="3"/>
            <w:shd w:val="clear" w:color="auto" w:fill="auto"/>
          </w:tcPr>
          <w:p w14:paraId="7268E6FA" w14:textId="77777777" w:rsidR="005F762A" w:rsidRDefault="005F762A">
            <w:pPr>
              <w:rPr>
                <w:rFonts w:ascii="宋体"/>
                <w:vanish/>
              </w:rPr>
            </w:pPr>
          </w:p>
        </w:tc>
        <w:tc>
          <w:tcPr>
            <w:tcW w:w="0" w:type="auto"/>
            <w:gridSpan w:val="3"/>
            <w:shd w:val="clear" w:color="auto" w:fill="auto"/>
          </w:tcPr>
          <w:p w14:paraId="7268E6FB" w14:textId="77777777" w:rsidR="005F762A" w:rsidRDefault="005F762A">
            <w:pPr>
              <w:rPr>
                <w:rFonts w:ascii="宋体"/>
                <w:vanish/>
              </w:rPr>
            </w:pPr>
          </w:p>
        </w:tc>
        <w:tc>
          <w:tcPr>
            <w:tcW w:w="0" w:type="auto"/>
            <w:gridSpan w:val="3"/>
            <w:shd w:val="clear" w:color="auto" w:fill="auto"/>
          </w:tcPr>
          <w:p w14:paraId="7268E6FC" w14:textId="77777777" w:rsidR="005F762A" w:rsidRDefault="005F762A">
            <w:pPr>
              <w:rPr>
                <w:rFonts w:ascii="宋体"/>
                <w:vanish/>
              </w:rPr>
            </w:pPr>
          </w:p>
        </w:tc>
        <w:tc>
          <w:tcPr>
            <w:tcW w:w="0" w:type="auto"/>
            <w:gridSpan w:val="3"/>
            <w:shd w:val="clear" w:color="auto" w:fill="auto"/>
          </w:tcPr>
          <w:p w14:paraId="7268E6FD" w14:textId="77777777" w:rsidR="005F762A" w:rsidRDefault="005F762A">
            <w:pPr>
              <w:rPr>
                <w:rFonts w:ascii="宋体"/>
                <w:vanish/>
              </w:rPr>
            </w:pPr>
          </w:p>
        </w:tc>
        <w:tc>
          <w:tcPr>
            <w:tcW w:w="0" w:type="auto"/>
            <w:gridSpan w:val="3"/>
            <w:shd w:val="clear" w:color="auto" w:fill="auto"/>
          </w:tcPr>
          <w:p w14:paraId="7268E6FE" w14:textId="77777777" w:rsidR="005F762A" w:rsidRDefault="005F762A">
            <w:pPr>
              <w:rPr>
                <w:rFonts w:ascii="宋体"/>
                <w:vanish/>
              </w:rPr>
            </w:pPr>
          </w:p>
        </w:tc>
      </w:tr>
      <w:tr w:rsidR="005F762A" w14:paraId="7268E708" w14:textId="77777777">
        <w:trPr>
          <w:jc w:val="center"/>
          <w:hidden/>
        </w:trPr>
        <w:tc>
          <w:tcPr>
            <w:tcW w:w="0" w:type="auto"/>
            <w:gridSpan w:val="3"/>
            <w:shd w:val="clear" w:color="auto" w:fill="auto"/>
          </w:tcPr>
          <w:p w14:paraId="7268E700" w14:textId="77777777" w:rsidR="005F762A" w:rsidRDefault="005F762A">
            <w:pPr>
              <w:rPr>
                <w:rFonts w:ascii="宋体"/>
                <w:vanish/>
              </w:rPr>
            </w:pPr>
          </w:p>
        </w:tc>
        <w:tc>
          <w:tcPr>
            <w:tcW w:w="0" w:type="auto"/>
            <w:gridSpan w:val="3"/>
            <w:shd w:val="clear" w:color="auto" w:fill="auto"/>
          </w:tcPr>
          <w:p w14:paraId="7268E701" w14:textId="77777777" w:rsidR="005F762A" w:rsidRDefault="005F762A">
            <w:pPr>
              <w:rPr>
                <w:rFonts w:ascii="宋体"/>
                <w:vanish/>
              </w:rPr>
            </w:pPr>
          </w:p>
        </w:tc>
        <w:tc>
          <w:tcPr>
            <w:tcW w:w="0" w:type="auto"/>
            <w:gridSpan w:val="3"/>
            <w:shd w:val="clear" w:color="auto" w:fill="auto"/>
          </w:tcPr>
          <w:p w14:paraId="7268E702" w14:textId="77777777" w:rsidR="005F762A" w:rsidRDefault="005F762A">
            <w:pPr>
              <w:rPr>
                <w:rFonts w:ascii="宋体"/>
                <w:vanish/>
              </w:rPr>
            </w:pPr>
          </w:p>
        </w:tc>
        <w:tc>
          <w:tcPr>
            <w:tcW w:w="0" w:type="auto"/>
            <w:gridSpan w:val="3"/>
            <w:shd w:val="clear" w:color="auto" w:fill="auto"/>
          </w:tcPr>
          <w:p w14:paraId="7268E703" w14:textId="77777777" w:rsidR="005F762A" w:rsidRDefault="005F762A">
            <w:pPr>
              <w:rPr>
                <w:rFonts w:ascii="宋体"/>
                <w:vanish/>
              </w:rPr>
            </w:pPr>
          </w:p>
        </w:tc>
        <w:tc>
          <w:tcPr>
            <w:tcW w:w="0" w:type="auto"/>
            <w:gridSpan w:val="3"/>
            <w:shd w:val="clear" w:color="auto" w:fill="auto"/>
          </w:tcPr>
          <w:p w14:paraId="7268E704" w14:textId="77777777" w:rsidR="005F762A" w:rsidRDefault="005F762A">
            <w:pPr>
              <w:rPr>
                <w:rFonts w:ascii="宋体"/>
                <w:vanish/>
              </w:rPr>
            </w:pPr>
          </w:p>
        </w:tc>
        <w:tc>
          <w:tcPr>
            <w:tcW w:w="0" w:type="auto"/>
            <w:gridSpan w:val="3"/>
            <w:shd w:val="clear" w:color="auto" w:fill="auto"/>
          </w:tcPr>
          <w:p w14:paraId="7268E705" w14:textId="77777777" w:rsidR="005F762A" w:rsidRDefault="005F762A">
            <w:pPr>
              <w:rPr>
                <w:rFonts w:ascii="宋体"/>
                <w:vanish/>
              </w:rPr>
            </w:pPr>
          </w:p>
        </w:tc>
        <w:tc>
          <w:tcPr>
            <w:tcW w:w="0" w:type="auto"/>
            <w:gridSpan w:val="3"/>
            <w:shd w:val="clear" w:color="auto" w:fill="auto"/>
          </w:tcPr>
          <w:p w14:paraId="7268E706" w14:textId="77777777" w:rsidR="005F762A" w:rsidRDefault="005F762A">
            <w:pPr>
              <w:rPr>
                <w:rFonts w:ascii="宋体"/>
                <w:vanish/>
              </w:rPr>
            </w:pPr>
          </w:p>
        </w:tc>
        <w:tc>
          <w:tcPr>
            <w:tcW w:w="0" w:type="auto"/>
            <w:gridSpan w:val="3"/>
            <w:shd w:val="clear" w:color="auto" w:fill="auto"/>
          </w:tcPr>
          <w:p w14:paraId="7268E707" w14:textId="77777777" w:rsidR="005F762A" w:rsidRDefault="005F762A">
            <w:pPr>
              <w:rPr>
                <w:rFonts w:ascii="宋体"/>
                <w:vanish/>
              </w:rPr>
            </w:pPr>
          </w:p>
        </w:tc>
      </w:tr>
    </w:tbl>
    <w:p w14:paraId="7268E709" w14:textId="77777777" w:rsidR="005F762A" w:rsidRDefault="005F762A">
      <w:pPr>
        <w:jc w:val="center"/>
      </w:pPr>
    </w:p>
    <w:p w14:paraId="7268E70A" w14:textId="77777777" w:rsidR="005F762A" w:rsidRDefault="00D74111">
      <w:pPr>
        <w:ind w:firstLine="540"/>
      </w:pPr>
      <w:r>
        <w:rPr>
          <w:rFonts w:ascii="Arial" w:eastAsia="宋体" w:hAnsi="Arial" w:cs="Arial"/>
          <w:color w:val="000000"/>
          <w:sz w:val="20"/>
          <w:szCs w:val="20"/>
        </w:rPr>
        <w:t xml:space="preserve">The adjustments to goodwill during the three months ended March 31, 2021 were primarily due to foreign currency translation. </w:t>
      </w:r>
    </w:p>
    <w:p w14:paraId="7268E70B" w14:textId="77777777" w:rsidR="005F762A" w:rsidRDefault="005F762A">
      <w:pPr>
        <w:ind w:firstLine="360"/>
      </w:pPr>
    </w:p>
    <w:p w14:paraId="7268E70C" w14:textId="77777777" w:rsidR="005F762A" w:rsidRDefault="00D74111">
      <w:pPr>
        <w:jc w:val="center"/>
      </w:pPr>
      <w:r>
        <w:rPr>
          <w:rFonts w:ascii="Arial" w:eastAsia="宋体" w:hAnsi="Arial" w:cs="Arial"/>
          <w:color w:val="000000"/>
          <w:sz w:val="20"/>
          <w:szCs w:val="20"/>
        </w:rPr>
        <w:t>13</w:t>
      </w:r>
    </w:p>
    <w:p w14:paraId="7268E70D" w14:textId="77777777" w:rsidR="005F762A" w:rsidRDefault="00D74111">
      <w:r>
        <w:pict w14:anchorId="7269014C">
          <v:rect id="_x0000_i1037" style="width:415.3pt;height:1.5pt" o:hralign="center" o:hrstd="t" o:hr="t" fillcolor="#a0a0a0" stroked="f"/>
        </w:pict>
      </w:r>
    </w:p>
    <w:p w14:paraId="7268E70E" w14:textId="77777777" w:rsidR="005F762A" w:rsidRDefault="005F762A">
      <w:pPr>
        <w:jc w:val="center"/>
      </w:pPr>
    </w:p>
    <w:p w14:paraId="7268E70F" w14:textId="77777777" w:rsidR="005F762A" w:rsidRDefault="00D74111">
      <w:pPr>
        <w:jc w:val="center"/>
      </w:pPr>
      <w:r>
        <w:rPr>
          <w:rFonts w:ascii="Arial" w:eastAsia="宋体" w:hAnsi="Arial" w:cs="Arial"/>
          <w:b/>
          <w:bCs/>
          <w:color w:val="000000"/>
          <w:sz w:val="20"/>
          <w:szCs w:val="20"/>
        </w:rPr>
        <w:t>eBay Inc.</w:t>
      </w:r>
    </w:p>
    <w:p w14:paraId="7268E710"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711" w14:textId="77777777" w:rsidR="005F762A" w:rsidRDefault="00D74111">
      <w:r>
        <w:rPr>
          <w:rFonts w:ascii="Arial" w:eastAsia="宋体" w:hAnsi="Arial" w:cs="Arial"/>
          <w:b/>
          <w:bCs/>
          <w:color w:val="000000"/>
          <w:sz w:val="20"/>
          <w:szCs w:val="20"/>
        </w:rPr>
        <w:t>Note 5 — Segments</w:t>
      </w:r>
    </w:p>
    <w:p w14:paraId="7268E712" w14:textId="77777777" w:rsidR="005F762A" w:rsidRDefault="005F762A"/>
    <w:p w14:paraId="7268E713" w14:textId="77777777" w:rsidR="005F762A" w:rsidRDefault="00D74111">
      <w:pPr>
        <w:ind w:firstLine="540"/>
        <w:jc w:val="both"/>
      </w:pPr>
      <w:r>
        <w:rPr>
          <w:rFonts w:ascii="Arial" w:eastAsia="宋体" w:hAnsi="Arial" w:cs="Arial"/>
          <w:color w:val="000000"/>
          <w:sz w:val="20"/>
          <w:szCs w:val="20"/>
        </w:rPr>
        <w:t>We have one operating and reportable segment. Our reportable segment is Marketplace, which includes our online marketplace located at www.ebay.com, its localized counterparts and the eBay suite of mobile apps. Our management and our CODM review financial i</w:t>
      </w:r>
      <w:r>
        <w:rPr>
          <w:rFonts w:ascii="Arial" w:eastAsia="宋体" w:hAnsi="Arial" w:cs="Arial"/>
          <w:color w:val="000000"/>
          <w:sz w:val="20"/>
          <w:szCs w:val="20"/>
        </w:rPr>
        <w:t>nformation presented on a consolidated basis for purposes of allocating resources and evaluating performance and do not evaluate using asset information. The accounting policies of our segment are the same as those described in “Note 1 – The Company and Su</w:t>
      </w:r>
      <w:r>
        <w:rPr>
          <w:rFonts w:ascii="Arial" w:eastAsia="宋体" w:hAnsi="Arial" w:cs="Arial"/>
          <w:color w:val="000000"/>
          <w:sz w:val="20"/>
          <w:szCs w:val="20"/>
        </w:rPr>
        <w:t xml:space="preserve">mmary of Significant Accounting Policies”. </w:t>
      </w:r>
    </w:p>
    <w:p w14:paraId="7268E714" w14:textId="77777777" w:rsidR="005F762A" w:rsidRDefault="005F762A">
      <w:pPr>
        <w:ind w:firstLine="540"/>
        <w:jc w:val="both"/>
      </w:pPr>
    </w:p>
    <w:p w14:paraId="7268E715" w14:textId="77777777" w:rsidR="005F762A" w:rsidRDefault="00D74111">
      <w:pPr>
        <w:spacing w:after="120"/>
        <w:ind w:firstLine="540"/>
        <w:jc w:val="both"/>
      </w:pPr>
      <w:r>
        <w:rPr>
          <w:rFonts w:ascii="Arial" w:eastAsia="宋体" w:hAnsi="Arial" w:cs="Arial"/>
          <w:color w:val="000000"/>
          <w:sz w:val="20"/>
          <w:szCs w:val="20"/>
        </w:rPr>
        <w:t xml:space="preserve">The following table summarizes net revenues by type for the periods presented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26"/>
        <w:gridCol w:w="37"/>
        <w:gridCol w:w="36"/>
        <w:gridCol w:w="46"/>
        <w:gridCol w:w="36"/>
        <w:gridCol w:w="36"/>
        <w:gridCol w:w="36"/>
        <w:gridCol w:w="36"/>
        <w:gridCol w:w="121"/>
        <w:gridCol w:w="942"/>
        <w:gridCol w:w="36"/>
        <w:gridCol w:w="36"/>
        <w:gridCol w:w="36"/>
        <w:gridCol w:w="36"/>
        <w:gridCol w:w="121"/>
        <w:gridCol w:w="944"/>
        <w:gridCol w:w="36"/>
      </w:tblGrid>
      <w:tr w:rsidR="005F762A" w14:paraId="7268E728" w14:textId="77777777">
        <w:tc>
          <w:tcPr>
            <w:tcW w:w="50" w:type="pct"/>
            <w:shd w:val="clear" w:color="auto" w:fill="auto"/>
          </w:tcPr>
          <w:p w14:paraId="7268E716" w14:textId="77777777" w:rsidR="005F762A" w:rsidRDefault="005F762A">
            <w:pPr>
              <w:rPr>
                <w:rFonts w:ascii="宋体"/>
              </w:rPr>
            </w:pPr>
          </w:p>
        </w:tc>
        <w:tc>
          <w:tcPr>
            <w:tcW w:w="3512" w:type="pct"/>
            <w:shd w:val="clear" w:color="auto" w:fill="auto"/>
          </w:tcPr>
          <w:p w14:paraId="7268E717" w14:textId="77777777" w:rsidR="005F762A" w:rsidRDefault="005F762A">
            <w:pPr>
              <w:rPr>
                <w:rFonts w:ascii="宋体"/>
              </w:rPr>
            </w:pPr>
          </w:p>
        </w:tc>
        <w:tc>
          <w:tcPr>
            <w:tcW w:w="5" w:type="pct"/>
            <w:shd w:val="clear" w:color="auto" w:fill="auto"/>
          </w:tcPr>
          <w:p w14:paraId="7268E718" w14:textId="77777777" w:rsidR="005F762A" w:rsidRDefault="005F762A">
            <w:pPr>
              <w:rPr>
                <w:rFonts w:ascii="宋体"/>
              </w:rPr>
            </w:pPr>
          </w:p>
        </w:tc>
        <w:tc>
          <w:tcPr>
            <w:tcW w:w="0" w:type="auto"/>
            <w:shd w:val="clear" w:color="auto" w:fill="auto"/>
          </w:tcPr>
          <w:p w14:paraId="7268E719" w14:textId="77777777" w:rsidR="005F762A" w:rsidRDefault="005F762A">
            <w:pPr>
              <w:rPr>
                <w:rFonts w:ascii="宋体"/>
                <w:vanish/>
              </w:rPr>
            </w:pPr>
          </w:p>
        </w:tc>
        <w:tc>
          <w:tcPr>
            <w:tcW w:w="0" w:type="auto"/>
            <w:shd w:val="clear" w:color="auto" w:fill="auto"/>
          </w:tcPr>
          <w:p w14:paraId="7268E71A" w14:textId="77777777" w:rsidR="005F762A" w:rsidRDefault="005F762A">
            <w:pPr>
              <w:rPr>
                <w:rFonts w:ascii="宋体"/>
                <w:vanish/>
              </w:rPr>
            </w:pPr>
          </w:p>
        </w:tc>
        <w:tc>
          <w:tcPr>
            <w:tcW w:w="0" w:type="auto"/>
            <w:shd w:val="clear" w:color="auto" w:fill="auto"/>
          </w:tcPr>
          <w:p w14:paraId="7268E71B" w14:textId="77777777" w:rsidR="005F762A" w:rsidRDefault="005F762A">
            <w:pPr>
              <w:rPr>
                <w:rFonts w:ascii="宋体"/>
                <w:vanish/>
              </w:rPr>
            </w:pPr>
          </w:p>
        </w:tc>
        <w:tc>
          <w:tcPr>
            <w:tcW w:w="5" w:type="pct"/>
            <w:shd w:val="clear" w:color="auto" w:fill="auto"/>
          </w:tcPr>
          <w:p w14:paraId="7268E71C" w14:textId="77777777" w:rsidR="005F762A" w:rsidRDefault="005F762A">
            <w:pPr>
              <w:rPr>
                <w:rFonts w:ascii="宋体"/>
              </w:rPr>
            </w:pPr>
          </w:p>
        </w:tc>
        <w:tc>
          <w:tcPr>
            <w:tcW w:w="26" w:type="pct"/>
            <w:shd w:val="clear" w:color="auto" w:fill="auto"/>
          </w:tcPr>
          <w:p w14:paraId="7268E71D" w14:textId="77777777" w:rsidR="005F762A" w:rsidRDefault="005F762A">
            <w:pPr>
              <w:rPr>
                <w:rFonts w:ascii="宋体"/>
              </w:rPr>
            </w:pPr>
          </w:p>
        </w:tc>
        <w:tc>
          <w:tcPr>
            <w:tcW w:w="5" w:type="pct"/>
            <w:shd w:val="clear" w:color="auto" w:fill="auto"/>
          </w:tcPr>
          <w:p w14:paraId="7268E71E" w14:textId="77777777" w:rsidR="005F762A" w:rsidRDefault="005F762A">
            <w:pPr>
              <w:rPr>
                <w:rFonts w:ascii="宋体"/>
              </w:rPr>
            </w:pPr>
          </w:p>
        </w:tc>
        <w:tc>
          <w:tcPr>
            <w:tcW w:w="50" w:type="pct"/>
            <w:shd w:val="clear" w:color="auto" w:fill="auto"/>
          </w:tcPr>
          <w:p w14:paraId="7268E71F" w14:textId="77777777" w:rsidR="005F762A" w:rsidRDefault="005F762A">
            <w:pPr>
              <w:rPr>
                <w:rFonts w:ascii="宋体"/>
              </w:rPr>
            </w:pPr>
          </w:p>
        </w:tc>
        <w:tc>
          <w:tcPr>
            <w:tcW w:w="624" w:type="pct"/>
            <w:shd w:val="clear" w:color="auto" w:fill="auto"/>
          </w:tcPr>
          <w:p w14:paraId="7268E720" w14:textId="77777777" w:rsidR="005F762A" w:rsidRDefault="005F762A">
            <w:pPr>
              <w:rPr>
                <w:rFonts w:ascii="宋体"/>
              </w:rPr>
            </w:pPr>
          </w:p>
        </w:tc>
        <w:tc>
          <w:tcPr>
            <w:tcW w:w="5" w:type="pct"/>
            <w:shd w:val="clear" w:color="auto" w:fill="auto"/>
          </w:tcPr>
          <w:p w14:paraId="7268E721" w14:textId="77777777" w:rsidR="005F762A" w:rsidRDefault="005F762A">
            <w:pPr>
              <w:rPr>
                <w:rFonts w:ascii="宋体"/>
              </w:rPr>
            </w:pPr>
          </w:p>
        </w:tc>
        <w:tc>
          <w:tcPr>
            <w:tcW w:w="5" w:type="pct"/>
            <w:shd w:val="clear" w:color="auto" w:fill="auto"/>
          </w:tcPr>
          <w:p w14:paraId="7268E722" w14:textId="77777777" w:rsidR="005F762A" w:rsidRDefault="005F762A">
            <w:pPr>
              <w:rPr>
                <w:rFonts w:ascii="宋体"/>
              </w:rPr>
            </w:pPr>
          </w:p>
        </w:tc>
        <w:tc>
          <w:tcPr>
            <w:tcW w:w="26" w:type="pct"/>
            <w:shd w:val="clear" w:color="auto" w:fill="auto"/>
          </w:tcPr>
          <w:p w14:paraId="7268E723" w14:textId="77777777" w:rsidR="005F762A" w:rsidRDefault="005F762A">
            <w:pPr>
              <w:rPr>
                <w:rFonts w:ascii="宋体"/>
              </w:rPr>
            </w:pPr>
          </w:p>
        </w:tc>
        <w:tc>
          <w:tcPr>
            <w:tcW w:w="5" w:type="pct"/>
            <w:shd w:val="clear" w:color="auto" w:fill="auto"/>
          </w:tcPr>
          <w:p w14:paraId="7268E724" w14:textId="77777777" w:rsidR="005F762A" w:rsidRDefault="005F762A">
            <w:pPr>
              <w:rPr>
                <w:rFonts w:ascii="宋体"/>
              </w:rPr>
            </w:pPr>
          </w:p>
        </w:tc>
        <w:tc>
          <w:tcPr>
            <w:tcW w:w="50" w:type="pct"/>
            <w:shd w:val="clear" w:color="auto" w:fill="auto"/>
          </w:tcPr>
          <w:p w14:paraId="7268E725" w14:textId="77777777" w:rsidR="005F762A" w:rsidRDefault="005F762A">
            <w:pPr>
              <w:rPr>
                <w:rFonts w:ascii="宋体"/>
              </w:rPr>
            </w:pPr>
          </w:p>
        </w:tc>
        <w:tc>
          <w:tcPr>
            <w:tcW w:w="624" w:type="pct"/>
            <w:shd w:val="clear" w:color="auto" w:fill="auto"/>
          </w:tcPr>
          <w:p w14:paraId="7268E726" w14:textId="77777777" w:rsidR="005F762A" w:rsidRDefault="005F762A">
            <w:pPr>
              <w:rPr>
                <w:rFonts w:ascii="宋体"/>
              </w:rPr>
            </w:pPr>
          </w:p>
        </w:tc>
        <w:tc>
          <w:tcPr>
            <w:tcW w:w="5" w:type="pct"/>
            <w:shd w:val="clear" w:color="auto" w:fill="auto"/>
          </w:tcPr>
          <w:p w14:paraId="7268E727" w14:textId="77777777" w:rsidR="005F762A" w:rsidRDefault="005F762A">
            <w:pPr>
              <w:rPr>
                <w:rFonts w:ascii="宋体"/>
              </w:rPr>
            </w:pPr>
          </w:p>
        </w:tc>
      </w:tr>
      <w:tr w:rsidR="005F762A" w14:paraId="7268E733" w14:textId="77777777">
        <w:tc>
          <w:tcPr>
            <w:tcW w:w="0" w:type="auto"/>
            <w:gridSpan w:val="3"/>
            <w:shd w:val="clear" w:color="auto" w:fill="auto"/>
            <w:tcMar>
              <w:top w:w="40" w:type="dxa"/>
              <w:left w:w="155" w:type="dxa"/>
              <w:bottom w:w="40" w:type="dxa"/>
              <w:right w:w="20" w:type="dxa"/>
            </w:tcMar>
            <w:vAlign w:val="bottom"/>
          </w:tcPr>
          <w:p w14:paraId="7268E729"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72A"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72B"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72C"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72D" w14:textId="77777777" w:rsidR="005F762A" w:rsidRDefault="005F762A">
            <w:pPr>
              <w:rPr>
                <w:rFonts w:ascii="宋体"/>
              </w:rPr>
            </w:pPr>
          </w:p>
        </w:tc>
        <w:tc>
          <w:tcPr>
            <w:tcW w:w="0" w:type="auto"/>
            <w:shd w:val="clear" w:color="auto" w:fill="auto"/>
          </w:tcPr>
          <w:p w14:paraId="7268E72E" w14:textId="77777777" w:rsidR="005F762A" w:rsidRDefault="005F762A">
            <w:pPr>
              <w:rPr>
                <w:rFonts w:ascii="宋体"/>
              </w:rPr>
            </w:pPr>
          </w:p>
        </w:tc>
        <w:tc>
          <w:tcPr>
            <w:tcW w:w="0" w:type="auto"/>
            <w:shd w:val="clear" w:color="auto" w:fill="auto"/>
          </w:tcPr>
          <w:p w14:paraId="7268E72F" w14:textId="77777777" w:rsidR="005F762A" w:rsidRDefault="005F762A">
            <w:pPr>
              <w:rPr>
                <w:rFonts w:ascii="宋体"/>
              </w:rPr>
            </w:pPr>
          </w:p>
        </w:tc>
        <w:tc>
          <w:tcPr>
            <w:tcW w:w="0" w:type="auto"/>
            <w:shd w:val="clear" w:color="auto" w:fill="auto"/>
          </w:tcPr>
          <w:p w14:paraId="7268E730" w14:textId="77777777" w:rsidR="005F762A" w:rsidRDefault="005F762A">
            <w:pPr>
              <w:rPr>
                <w:rFonts w:ascii="宋体"/>
              </w:rPr>
            </w:pPr>
          </w:p>
        </w:tc>
        <w:tc>
          <w:tcPr>
            <w:tcW w:w="0" w:type="auto"/>
            <w:shd w:val="clear" w:color="auto" w:fill="auto"/>
          </w:tcPr>
          <w:p w14:paraId="7268E731" w14:textId="77777777" w:rsidR="005F762A" w:rsidRDefault="005F762A">
            <w:pPr>
              <w:rPr>
                <w:rFonts w:ascii="宋体"/>
              </w:rPr>
            </w:pPr>
          </w:p>
        </w:tc>
        <w:tc>
          <w:tcPr>
            <w:tcW w:w="0" w:type="auto"/>
            <w:shd w:val="clear" w:color="auto" w:fill="auto"/>
          </w:tcPr>
          <w:p w14:paraId="7268E732" w14:textId="77777777" w:rsidR="005F762A" w:rsidRDefault="005F762A">
            <w:pPr>
              <w:rPr>
                <w:rFonts w:ascii="宋体"/>
              </w:rPr>
            </w:pPr>
          </w:p>
        </w:tc>
      </w:tr>
      <w:tr w:rsidR="005F762A" w14:paraId="7268E73C" w14:textId="77777777">
        <w:tc>
          <w:tcPr>
            <w:tcW w:w="0" w:type="auto"/>
            <w:gridSpan w:val="3"/>
            <w:shd w:val="clear" w:color="auto" w:fill="auto"/>
            <w:tcMar>
              <w:top w:w="40" w:type="dxa"/>
              <w:left w:w="20" w:type="dxa"/>
              <w:bottom w:w="40" w:type="dxa"/>
              <w:right w:w="20" w:type="dxa"/>
            </w:tcMar>
            <w:vAlign w:val="bottom"/>
          </w:tcPr>
          <w:p w14:paraId="7268E734"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735" w14:textId="77777777" w:rsidR="005F762A" w:rsidRDefault="005F762A">
            <w:pPr>
              <w:rPr>
                <w:rFonts w:ascii="宋体"/>
                <w:vanish/>
              </w:rPr>
            </w:pPr>
          </w:p>
        </w:tc>
        <w:tc>
          <w:tcPr>
            <w:tcW w:w="0" w:type="auto"/>
            <w:shd w:val="clear" w:color="auto" w:fill="auto"/>
          </w:tcPr>
          <w:p w14:paraId="7268E736" w14:textId="77777777" w:rsidR="005F762A" w:rsidRDefault="005F762A">
            <w:pPr>
              <w:rPr>
                <w:rFonts w:ascii="宋体"/>
                <w:vanish/>
              </w:rPr>
            </w:pPr>
          </w:p>
        </w:tc>
        <w:tc>
          <w:tcPr>
            <w:tcW w:w="0" w:type="auto"/>
            <w:shd w:val="clear" w:color="auto" w:fill="auto"/>
          </w:tcPr>
          <w:p w14:paraId="7268E737"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738"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739"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73A"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73B"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745" w14:textId="77777777">
        <w:tc>
          <w:tcPr>
            <w:tcW w:w="0" w:type="auto"/>
            <w:gridSpan w:val="3"/>
            <w:shd w:val="clear" w:color="auto" w:fill="E2E2E2"/>
            <w:tcMar>
              <w:top w:w="40" w:type="dxa"/>
              <w:left w:w="20" w:type="dxa"/>
              <w:bottom w:w="40" w:type="dxa"/>
              <w:right w:w="20" w:type="dxa"/>
            </w:tcMar>
            <w:vAlign w:val="bottom"/>
          </w:tcPr>
          <w:p w14:paraId="7268E73D" w14:textId="77777777" w:rsidR="005F762A" w:rsidRDefault="00D74111">
            <w:pPr>
              <w:textAlignment w:val="bottom"/>
            </w:pPr>
            <w:r>
              <w:rPr>
                <w:rFonts w:ascii="Arial" w:eastAsia="宋体" w:hAnsi="Arial" w:cs="Arial"/>
                <w:color w:val="000000"/>
                <w:sz w:val="18"/>
                <w:szCs w:val="18"/>
              </w:rPr>
              <w:t>Net revenues by type</w:t>
            </w:r>
          </w:p>
        </w:tc>
        <w:tc>
          <w:tcPr>
            <w:tcW w:w="0" w:type="auto"/>
            <w:shd w:val="clear" w:color="auto" w:fill="auto"/>
          </w:tcPr>
          <w:p w14:paraId="7268E73E" w14:textId="77777777" w:rsidR="005F762A" w:rsidRDefault="005F762A">
            <w:pPr>
              <w:rPr>
                <w:rFonts w:ascii="宋体"/>
                <w:vanish/>
              </w:rPr>
            </w:pPr>
          </w:p>
        </w:tc>
        <w:tc>
          <w:tcPr>
            <w:tcW w:w="0" w:type="auto"/>
            <w:shd w:val="clear" w:color="auto" w:fill="auto"/>
          </w:tcPr>
          <w:p w14:paraId="7268E73F" w14:textId="77777777" w:rsidR="005F762A" w:rsidRDefault="005F762A">
            <w:pPr>
              <w:rPr>
                <w:rFonts w:ascii="宋体"/>
                <w:vanish/>
              </w:rPr>
            </w:pPr>
          </w:p>
        </w:tc>
        <w:tc>
          <w:tcPr>
            <w:tcW w:w="0" w:type="auto"/>
            <w:shd w:val="clear" w:color="auto" w:fill="auto"/>
          </w:tcPr>
          <w:p w14:paraId="7268E74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741"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74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743"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744" w14:textId="77777777" w:rsidR="005F762A" w:rsidRDefault="005F762A">
            <w:pPr>
              <w:rPr>
                <w:rFonts w:ascii="宋体"/>
              </w:rPr>
            </w:pPr>
          </w:p>
        </w:tc>
      </w:tr>
      <w:tr w:rsidR="005F762A" w14:paraId="7268E74E" w14:textId="77777777">
        <w:trPr>
          <w:hidden/>
        </w:trPr>
        <w:tc>
          <w:tcPr>
            <w:tcW w:w="0" w:type="auto"/>
            <w:gridSpan w:val="3"/>
            <w:shd w:val="clear" w:color="auto" w:fill="auto"/>
          </w:tcPr>
          <w:p w14:paraId="7268E746" w14:textId="77777777" w:rsidR="005F762A" w:rsidRDefault="005F762A">
            <w:pPr>
              <w:rPr>
                <w:rFonts w:ascii="宋体"/>
                <w:vanish/>
              </w:rPr>
            </w:pPr>
          </w:p>
        </w:tc>
        <w:tc>
          <w:tcPr>
            <w:tcW w:w="0" w:type="auto"/>
            <w:shd w:val="clear" w:color="auto" w:fill="auto"/>
          </w:tcPr>
          <w:p w14:paraId="7268E747" w14:textId="77777777" w:rsidR="005F762A" w:rsidRDefault="005F762A">
            <w:pPr>
              <w:rPr>
                <w:rFonts w:ascii="宋体"/>
                <w:vanish/>
              </w:rPr>
            </w:pPr>
          </w:p>
        </w:tc>
        <w:tc>
          <w:tcPr>
            <w:tcW w:w="0" w:type="auto"/>
            <w:shd w:val="clear" w:color="auto" w:fill="auto"/>
          </w:tcPr>
          <w:p w14:paraId="7268E748" w14:textId="77777777" w:rsidR="005F762A" w:rsidRDefault="005F762A">
            <w:pPr>
              <w:rPr>
                <w:rFonts w:ascii="宋体"/>
                <w:vanish/>
              </w:rPr>
            </w:pPr>
          </w:p>
        </w:tc>
        <w:tc>
          <w:tcPr>
            <w:tcW w:w="0" w:type="auto"/>
            <w:shd w:val="clear" w:color="auto" w:fill="auto"/>
          </w:tcPr>
          <w:p w14:paraId="7268E749" w14:textId="77777777" w:rsidR="005F762A" w:rsidRDefault="005F762A">
            <w:pPr>
              <w:rPr>
                <w:rFonts w:ascii="宋体"/>
                <w:vanish/>
              </w:rPr>
            </w:pPr>
          </w:p>
        </w:tc>
        <w:tc>
          <w:tcPr>
            <w:tcW w:w="0" w:type="auto"/>
            <w:gridSpan w:val="3"/>
            <w:shd w:val="clear" w:color="auto" w:fill="auto"/>
          </w:tcPr>
          <w:p w14:paraId="7268E74A" w14:textId="77777777" w:rsidR="005F762A" w:rsidRDefault="005F762A">
            <w:pPr>
              <w:rPr>
                <w:rFonts w:ascii="宋体"/>
                <w:vanish/>
              </w:rPr>
            </w:pPr>
          </w:p>
        </w:tc>
        <w:tc>
          <w:tcPr>
            <w:tcW w:w="0" w:type="auto"/>
            <w:gridSpan w:val="3"/>
            <w:shd w:val="clear" w:color="auto" w:fill="auto"/>
          </w:tcPr>
          <w:p w14:paraId="7268E74B" w14:textId="77777777" w:rsidR="005F762A" w:rsidRDefault="005F762A">
            <w:pPr>
              <w:rPr>
                <w:rFonts w:ascii="宋体"/>
                <w:vanish/>
              </w:rPr>
            </w:pPr>
          </w:p>
        </w:tc>
        <w:tc>
          <w:tcPr>
            <w:tcW w:w="0" w:type="auto"/>
            <w:gridSpan w:val="3"/>
            <w:shd w:val="clear" w:color="auto" w:fill="auto"/>
          </w:tcPr>
          <w:p w14:paraId="7268E74C" w14:textId="77777777" w:rsidR="005F762A" w:rsidRDefault="005F762A">
            <w:pPr>
              <w:rPr>
                <w:rFonts w:ascii="宋体"/>
                <w:vanish/>
              </w:rPr>
            </w:pPr>
          </w:p>
        </w:tc>
        <w:tc>
          <w:tcPr>
            <w:tcW w:w="0" w:type="auto"/>
            <w:gridSpan w:val="3"/>
            <w:shd w:val="clear" w:color="auto" w:fill="auto"/>
          </w:tcPr>
          <w:p w14:paraId="7268E74D" w14:textId="77777777" w:rsidR="005F762A" w:rsidRDefault="005F762A">
            <w:pPr>
              <w:rPr>
                <w:rFonts w:ascii="宋体"/>
                <w:vanish/>
              </w:rPr>
            </w:pPr>
          </w:p>
        </w:tc>
      </w:tr>
      <w:tr w:rsidR="005F762A" w14:paraId="7268E75B" w14:textId="77777777">
        <w:tc>
          <w:tcPr>
            <w:tcW w:w="0" w:type="auto"/>
            <w:gridSpan w:val="3"/>
            <w:shd w:val="clear" w:color="auto" w:fill="FFFFFF"/>
            <w:tcMar>
              <w:top w:w="40" w:type="dxa"/>
              <w:left w:w="155" w:type="dxa"/>
              <w:bottom w:w="40" w:type="dxa"/>
              <w:right w:w="20" w:type="dxa"/>
            </w:tcMar>
            <w:vAlign w:val="bottom"/>
          </w:tcPr>
          <w:p w14:paraId="7268E74F" w14:textId="77777777" w:rsidR="005F762A" w:rsidRDefault="00D74111">
            <w:pPr>
              <w:textAlignment w:val="bottom"/>
            </w:pPr>
            <w:r>
              <w:rPr>
                <w:rFonts w:ascii="Arial" w:eastAsia="宋体" w:hAnsi="Arial" w:cs="Arial"/>
                <w:color w:val="000000"/>
                <w:sz w:val="18"/>
                <w:szCs w:val="18"/>
              </w:rPr>
              <w:t>Net transaction revenues</w:t>
            </w:r>
          </w:p>
        </w:tc>
        <w:tc>
          <w:tcPr>
            <w:tcW w:w="0" w:type="auto"/>
            <w:shd w:val="clear" w:color="auto" w:fill="auto"/>
          </w:tcPr>
          <w:p w14:paraId="7268E750" w14:textId="77777777" w:rsidR="005F762A" w:rsidRDefault="005F762A">
            <w:pPr>
              <w:rPr>
                <w:rFonts w:ascii="宋体"/>
                <w:vanish/>
              </w:rPr>
            </w:pPr>
          </w:p>
        </w:tc>
        <w:tc>
          <w:tcPr>
            <w:tcW w:w="0" w:type="auto"/>
            <w:shd w:val="clear" w:color="auto" w:fill="auto"/>
          </w:tcPr>
          <w:p w14:paraId="7268E751" w14:textId="77777777" w:rsidR="005F762A" w:rsidRDefault="005F762A">
            <w:pPr>
              <w:rPr>
                <w:rFonts w:ascii="宋体"/>
                <w:vanish/>
              </w:rPr>
            </w:pPr>
          </w:p>
        </w:tc>
        <w:tc>
          <w:tcPr>
            <w:tcW w:w="0" w:type="auto"/>
            <w:shd w:val="clear" w:color="auto" w:fill="auto"/>
          </w:tcPr>
          <w:p w14:paraId="7268E75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753"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75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755" w14:textId="77777777" w:rsidR="005F762A" w:rsidRDefault="00D74111">
            <w:pPr>
              <w:jc w:val="right"/>
              <w:textAlignment w:val="bottom"/>
            </w:pPr>
            <w:r>
              <w:rPr>
                <w:rFonts w:ascii="Arial" w:eastAsia="宋体" w:hAnsi="Arial" w:cs="Arial"/>
                <w:color w:val="000000"/>
                <w:sz w:val="18"/>
                <w:szCs w:val="18"/>
              </w:rPr>
              <w:t>2,732 </w:t>
            </w:r>
          </w:p>
        </w:tc>
        <w:tc>
          <w:tcPr>
            <w:tcW w:w="0" w:type="auto"/>
            <w:shd w:val="clear" w:color="auto" w:fill="FFFFFF"/>
            <w:tcMar>
              <w:top w:w="40" w:type="dxa"/>
              <w:left w:w="0" w:type="dxa"/>
              <w:bottom w:w="40" w:type="dxa"/>
              <w:right w:w="20" w:type="dxa"/>
            </w:tcMar>
            <w:vAlign w:val="bottom"/>
          </w:tcPr>
          <w:p w14:paraId="7268E75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757"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75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759" w14:textId="77777777" w:rsidR="005F762A" w:rsidRDefault="00D74111">
            <w:pPr>
              <w:jc w:val="right"/>
              <w:textAlignment w:val="bottom"/>
            </w:pPr>
            <w:r>
              <w:rPr>
                <w:rFonts w:ascii="Arial" w:eastAsia="宋体" w:hAnsi="Arial" w:cs="Arial"/>
                <w:color w:val="000000"/>
                <w:sz w:val="18"/>
                <w:szCs w:val="18"/>
              </w:rPr>
              <w:t>1,900 </w:t>
            </w:r>
          </w:p>
        </w:tc>
        <w:tc>
          <w:tcPr>
            <w:tcW w:w="0" w:type="auto"/>
            <w:shd w:val="clear" w:color="auto" w:fill="FFFFFF"/>
            <w:tcMar>
              <w:top w:w="40" w:type="dxa"/>
              <w:left w:w="0" w:type="dxa"/>
              <w:bottom w:w="40" w:type="dxa"/>
              <w:right w:w="20" w:type="dxa"/>
            </w:tcMar>
            <w:vAlign w:val="bottom"/>
          </w:tcPr>
          <w:p w14:paraId="7268E75A" w14:textId="77777777" w:rsidR="005F762A" w:rsidRDefault="005F762A">
            <w:pPr>
              <w:jc w:val="right"/>
              <w:rPr>
                <w:rFonts w:ascii="宋体"/>
              </w:rPr>
            </w:pPr>
          </w:p>
        </w:tc>
      </w:tr>
      <w:tr w:rsidR="005F762A" w14:paraId="7268E766" w14:textId="77777777">
        <w:tc>
          <w:tcPr>
            <w:tcW w:w="0" w:type="auto"/>
            <w:gridSpan w:val="3"/>
            <w:shd w:val="clear" w:color="auto" w:fill="E2E2E2"/>
            <w:tcMar>
              <w:top w:w="40" w:type="dxa"/>
              <w:left w:w="155" w:type="dxa"/>
              <w:bottom w:w="40" w:type="dxa"/>
              <w:right w:w="20" w:type="dxa"/>
            </w:tcMar>
            <w:vAlign w:val="bottom"/>
          </w:tcPr>
          <w:p w14:paraId="7268E75C" w14:textId="77777777" w:rsidR="005F762A" w:rsidRDefault="00D74111">
            <w:pPr>
              <w:textAlignment w:val="bottom"/>
            </w:pPr>
            <w:r>
              <w:rPr>
                <w:rFonts w:ascii="Arial" w:eastAsia="宋体" w:hAnsi="Arial" w:cs="Arial"/>
                <w:color w:val="000000"/>
                <w:sz w:val="18"/>
                <w:szCs w:val="18"/>
              </w:rPr>
              <w:t>Marketing services and other revenues</w:t>
            </w:r>
          </w:p>
        </w:tc>
        <w:tc>
          <w:tcPr>
            <w:tcW w:w="0" w:type="auto"/>
            <w:shd w:val="clear" w:color="auto" w:fill="auto"/>
          </w:tcPr>
          <w:p w14:paraId="7268E75D" w14:textId="77777777" w:rsidR="005F762A" w:rsidRDefault="005F762A">
            <w:pPr>
              <w:rPr>
                <w:rFonts w:ascii="宋体"/>
                <w:vanish/>
              </w:rPr>
            </w:pPr>
          </w:p>
        </w:tc>
        <w:tc>
          <w:tcPr>
            <w:tcW w:w="0" w:type="auto"/>
            <w:shd w:val="clear" w:color="auto" w:fill="auto"/>
          </w:tcPr>
          <w:p w14:paraId="7268E75E" w14:textId="77777777" w:rsidR="005F762A" w:rsidRDefault="005F762A">
            <w:pPr>
              <w:rPr>
                <w:rFonts w:ascii="宋体"/>
                <w:vanish/>
              </w:rPr>
            </w:pPr>
          </w:p>
        </w:tc>
        <w:tc>
          <w:tcPr>
            <w:tcW w:w="0" w:type="auto"/>
            <w:shd w:val="clear" w:color="auto" w:fill="auto"/>
          </w:tcPr>
          <w:p w14:paraId="7268E75F"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76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761" w14:textId="77777777" w:rsidR="005F762A" w:rsidRDefault="00D74111">
            <w:pPr>
              <w:jc w:val="right"/>
              <w:textAlignment w:val="bottom"/>
            </w:pPr>
            <w:r>
              <w:rPr>
                <w:rFonts w:ascii="Arial" w:eastAsia="宋体" w:hAnsi="Arial" w:cs="Arial"/>
                <w:color w:val="000000"/>
                <w:sz w:val="18"/>
                <w:szCs w:val="18"/>
              </w:rPr>
              <w:t>291 </w:t>
            </w:r>
          </w:p>
        </w:tc>
        <w:tc>
          <w:tcPr>
            <w:tcW w:w="0" w:type="auto"/>
            <w:shd w:val="clear" w:color="auto" w:fill="E2E2E2"/>
            <w:tcMar>
              <w:top w:w="40" w:type="dxa"/>
              <w:left w:w="0" w:type="dxa"/>
              <w:bottom w:w="40" w:type="dxa"/>
              <w:right w:w="20" w:type="dxa"/>
            </w:tcMar>
            <w:vAlign w:val="bottom"/>
          </w:tcPr>
          <w:p w14:paraId="7268E76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76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764" w14:textId="77777777" w:rsidR="005F762A" w:rsidRDefault="00D74111">
            <w:pPr>
              <w:jc w:val="right"/>
              <w:textAlignment w:val="bottom"/>
            </w:pPr>
            <w:r>
              <w:rPr>
                <w:rFonts w:ascii="Arial" w:eastAsia="宋体" w:hAnsi="Arial" w:cs="Arial"/>
                <w:color w:val="000000"/>
                <w:sz w:val="18"/>
                <w:szCs w:val="18"/>
              </w:rPr>
              <w:t>229 </w:t>
            </w:r>
          </w:p>
        </w:tc>
        <w:tc>
          <w:tcPr>
            <w:tcW w:w="0" w:type="auto"/>
            <w:shd w:val="clear" w:color="auto" w:fill="E2E2E2"/>
            <w:tcMar>
              <w:top w:w="40" w:type="dxa"/>
              <w:left w:w="0" w:type="dxa"/>
              <w:bottom w:w="40" w:type="dxa"/>
              <w:right w:w="20" w:type="dxa"/>
            </w:tcMar>
            <w:vAlign w:val="bottom"/>
          </w:tcPr>
          <w:p w14:paraId="7268E765" w14:textId="77777777" w:rsidR="005F762A" w:rsidRDefault="005F762A">
            <w:pPr>
              <w:jc w:val="right"/>
              <w:rPr>
                <w:rFonts w:ascii="宋体"/>
              </w:rPr>
            </w:pPr>
          </w:p>
        </w:tc>
      </w:tr>
      <w:tr w:rsidR="005F762A" w14:paraId="7268E773" w14:textId="77777777">
        <w:tc>
          <w:tcPr>
            <w:tcW w:w="0" w:type="auto"/>
            <w:gridSpan w:val="3"/>
            <w:shd w:val="clear" w:color="auto" w:fill="FFFFFF"/>
            <w:tcMar>
              <w:top w:w="40" w:type="dxa"/>
              <w:left w:w="245" w:type="dxa"/>
              <w:bottom w:w="40" w:type="dxa"/>
              <w:right w:w="20" w:type="dxa"/>
            </w:tcMar>
            <w:vAlign w:val="bottom"/>
          </w:tcPr>
          <w:p w14:paraId="7268E767" w14:textId="77777777" w:rsidR="005F762A" w:rsidRDefault="00D74111">
            <w:pPr>
              <w:textAlignment w:val="bottom"/>
            </w:pPr>
            <w:r>
              <w:rPr>
                <w:rFonts w:ascii="Arial" w:eastAsia="宋体" w:hAnsi="Arial" w:cs="Arial"/>
                <w:color w:val="000000"/>
                <w:sz w:val="18"/>
                <w:szCs w:val="18"/>
              </w:rPr>
              <w:t>Total net revenues</w:t>
            </w:r>
          </w:p>
        </w:tc>
        <w:tc>
          <w:tcPr>
            <w:tcW w:w="0" w:type="auto"/>
            <w:shd w:val="clear" w:color="auto" w:fill="auto"/>
          </w:tcPr>
          <w:p w14:paraId="7268E768" w14:textId="77777777" w:rsidR="005F762A" w:rsidRDefault="005F762A">
            <w:pPr>
              <w:rPr>
                <w:rFonts w:ascii="宋体"/>
                <w:vanish/>
              </w:rPr>
            </w:pPr>
          </w:p>
        </w:tc>
        <w:tc>
          <w:tcPr>
            <w:tcW w:w="0" w:type="auto"/>
            <w:shd w:val="clear" w:color="auto" w:fill="auto"/>
          </w:tcPr>
          <w:p w14:paraId="7268E769" w14:textId="77777777" w:rsidR="005F762A" w:rsidRDefault="005F762A">
            <w:pPr>
              <w:rPr>
                <w:rFonts w:ascii="宋体"/>
                <w:vanish/>
              </w:rPr>
            </w:pPr>
          </w:p>
        </w:tc>
        <w:tc>
          <w:tcPr>
            <w:tcW w:w="0" w:type="auto"/>
            <w:shd w:val="clear" w:color="auto" w:fill="auto"/>
          </w:tcPr>
          <w:p w14:paraId="7268E76A"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76B"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76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76D" w14:textId="77777777" w:rsidR="005F762A" w:rsidRDefault="00D74111">
            <w:pPr>
              <w:jc w:val="right"/>
              <w:textAlignment w:val="bottom"/>
            </w:pPr>
            <w:r>
              <w:rPr>
                <w:rFonts w:ascii="Arial" w:eastAsia="宋体" w:hAnsi="Arial" w:cs="Arial"/>
                <w:color w:val="000000"/>
                <w:sz w:val="18"/>
                <w:szCs w:val="18"/>
              </w:rPr>
              <w:t>3,023 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76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76F"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77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771" w14:textId="77777777" w:rsidR="005F762A" w:rsidRDefault="00D74111">
            <w:pPr>
              <w:jc w:val="right"/>
              <w:textAlignment w:val="bottom"/>
            </w:pPr>
            <w:r>
              <w:rPr>
                <w:rFonts w:ascii="Arial" w:eastAsia="宋体" w:hAnsi="Arial" w:cs="Arial"/>
                <w:color w:val="000000"/>
                <w:sz w:val="18"/>
                <w:szCs w:val="18"/>
              </w:rPr>
              <w:t>2,129 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772" w14:textId="77777777" w:rsidR="005F762A" w:rsidRDefault="005F762A">
            <w:pPr>
              <w:jc w:val="right"/>
              <w:rPr>
                <w:rFonts w:ascii="宋体"/>
              </w:rPr>
            </w:pPr>
          </w:p>
        </w:tc>
      </w:tr>
      <w:tr w:rsidR="005F762A" w14:paraId="7268E77C" w14:textId="77777777">
        <w:trPr>
          <w:hidden/>
        </w:trPr>
        <w:tc>
          <w:tcPr>
            <w:tcW w:w="0" w:type="auto"/>
            <w:gridSpan w:val="3"/>
            <w:shd w:val="clear" w:color="auto" w:fill="auto"/>
          </w:tcPr>
          <w:p w14:paraId="7268E774" w14:textId="77777777" w:rsidR="005F762A" w:rsidRDefault="005F762A">
            <w:pPr>
              <w:rPr>
                <w:rFonts w:ascii="宋体"/>
                <w:vanish/>
              </w:rPr>
            </w:pPr>
          </w:p>
        </w:tc>
        <w:tc>
          <w:tcPr>
            <w:tcW w:w="0" w:type="auto"/>
            <w:shd w:val="clear" w:color="auto" w:fill="auto"/>
          </w:tcPr>
          <w:p w14:paraId="7268E775" w14:textId="77777777" w:rsidR="005F762A" w:rsidRDefault="005F762A">
            <w:pPr>
              <w:rPr>
                <w:rFonts w:ascii="宋体"/>
                <w:vanish/>
              </w:rPr>
            </w:pPr>
          </w:p>
        </w:tc>
        <w:tc>
          <w:tcPr>
            <w:tcW w:w="0" w:type="auto"/>
            <w:shd w:val="clear" w:color="auto" w:fill="auto"/>
          </w:tcPr>
          <w:p w14:paraId="7268E776" w14:textId="77777777" w:rsidR="005F762A" w:rsidRDefault="005F762A">
            <w:pPr>
              <w:rPr>
                <w:rFonts w:ascii="宋体"/>
                <w:vanish/>
              </w:rPr>
            </w:pPr>
          </w:p>
        </w:tc>
        <w:tc>
          <w:tcPr>
            <w:tcW w:w="0" w:type="auto"/>
            <w:shd w:val="clear" w:color="auto" w:fill="auto"/>
          </w:tcPr>
          <w:p w14:paraId="7268E777" w14:textId="77777777" w:rsidR="005F762A" w:rsidRDefault="005F762A">
            <w:pPr>
              <w:rPr>
                <w:rFonts w:ascii="宋体"/>
                <w:vanish/>
              </w:rPr>
            </w:pPr>
          </w:p>
        </w:tc>
        <w:tc>
          <w:tcPr>
            <w:tcW w:w="0" w:type="auto"/>
            <w:gridSpan w:val="3"/>
            <w:shd w:val="clear" w:color="auto" w:fill="auto"/>
          </w:tcPr>
          <w:p w14:paraId="7268E778" w14:textId="77777777" w:rsidR="005F762A" w:rsidRDefault="005F762A">
            <w:pPr>
              <w:rPr>
                <w:rFonts w:ascii="宋体"/>
                <w:vanish/>
              </w:rPr>
            </w:pPr>
          </w:p>
        </w:tc>
        <w:tc>
          <w:tcPr>
            <w:tcW w:w="0" w:type="auto"/>
            <w:gridSpan w:val="3"/>
            <w:shd w:val="clear" w:color="auto" w:fill="auto"/>
          </w:tcPr>
          <w:p w14:paraId="7268E779" w14:textId="77777777" w:rsidR="005F762A" w:rsidRDefault="005F762A">
            <w:pPr>
              <w:rPr>
                <w:rFonts w:ascii="宋体"/>
                <w:vanish/>
              </w:rPr>
            </w:pPr>
          </w:p>
        </w:tc>
        <w:tc>
          <w:tcPr>
            <w:tcW w:w="0" w:type="auto"/>
            <w:gridSpan w:val="3"/>
            <w:shd w:val="clear" w:color="auto" w:fill="auto"/>
          </w:tcPr>
          <w:p w14:paraId="7268E77A" w14:textId="77777777" w:rsidR="005F762A" w:rsidRDefault="005F762A">
            <w:pPr>
              <w:rPr>
                <w:rFonts w:ascii="宋体"/>
                <w:vanish/>
              </w:rPr>
            </w:pPr>
          </w:p>
        </w:tc>
        <w:tc>
          <w:tcPr>
            <w:tcW w:w="0" w:type="auto"/>
            <w:gridSpan w:val="3"/>
            <w:shd w:val="clear" w:color="auto" w:fill="auto"/>
          </w:tcPr>
          <w:p w14:paraId="7268E77B" w14:textId="77777777" w:rsidR="005F762A" w:rsidRDefault="005F762A">
            <w:pPr>
              <w:rPr>
                <w:rFonts w:ascii="宋体"/>
                <w:vanish/>
              </w:rPr>
            </w:pPr>
          </w:p>
        </w:tc>
      </w:tr>
      <w:tr w:rsidR="005F762A" w14:paraId="7268E785" w14:textId="77777777">
        <w:trPr>
          <w:hidden/>
        </w:trPr>
        <w:tc>
          <w:tcPr>
            <w:tcW w:w="0" w:type="auto"/>
            <w:gridSpan w:val="3"/>
            <w:shd w:val="clear" w:color="auto" w:fill="auto"/>
          </w:tcPr>
          <w:p w14:paraId="7268E77D" w14:textId="77777777" w:rsidR="005F762A" w:rsidRDefault="005F762A">
            <w:pPr>
              <w:rPr>
                <w:rFonts w:ascii="宋体"/>
                <w:vanish/>
              </w:rPr>
            </w:pPr>
          </w:p>
        </w:tc>
        <w:tc>
          <w:tcPr>
            <w:tcW w:w="0" w:type="auto"/>
            <w:shd w:val="clear" w:color="auto" w:fill="auto"/>
          </w:tcPr>
          <w:p w14:paraId="7268E77E" w14:textId="77777777" w:rsidR="005F762A" w:rsidRDefault="005F762A">
            <w:pPr>
              <w:rPr>
                <w:rFonts w:ascii="宋体"/>
                <w:vanish/>
              </w:rPr>
            </w:pPr>
          </w:p>
        </w:tc>
        <w:tc>
          <w:tcPr>
            <w:tcW w:w="0" w:type="auto"/>
            <w:shd w:val="clear" w:color="auto" w:fill="auto"/>
          </w:tcPr>
          <w:p w14:paraId="7268E77F" w14:textId="77777777" w:rsidR="005F762A" w:rsidRDefault="005F762A">
            <w:pPr>
              <w:rPr>
                <w:rFonts w:ascii="宋体"/>
                <w:vanish/>
              </w:rPr>
            </w:pPr>
          </w:p>
        </w:tc>
        <w:tc>
          <w:tcPr>
            <w:tcW w:w="0" w:type="auto"/>
            <w:shd w:val="clear" w:color="auto" w:fill="auto"/>
          </w:tcPr>
          <w:p w14:paraId="7268E780" w14:textId="77777777" w:rsidR="005F762A" w:rsidRDefault="005F762A">
            <w:pPr>
              <w:rPr>
                <w:rFonts w:ascii="宋体"/>
                <w:vanish/>
              </w:rPr>
            </w:pPr>
          </w:p>
        </w:tc>
        <w:tc>
          <w:tcPr>
            <w:tcW w:w="0" w:type="auto"/>
            <w:gridSpan w:val="3"/>
            <w:shd w:val="clear" w:color="auto" w:fill="auto"/>
          </w:tcPr>
          <w:p w14:paraId="7268E781" w14:textId="77777777" w:rsidR="005F762A" w:rsidRDefault="005F762A">
            <w:pPr>
              <w:rPr>
                <w:rFonts w:ascii="宋体"/>
                <w:vanish/>
              </w:rPr>
            </w:pPr>
          </w:p>
        </w:tc>
        <w:tc>
          <w:tcPr>
            <w:tcW w:w="0" w:type="auto"/>
            <w:gridSpan w:val="3"/>
            <w:shd w:val="clear" w:color="auto" w:fill="auto"/>
          </w:tcPr>
          <w:p w14:paraId="7268E782" w14:textId="77777777" w:rsidR="005F762A" w:rsidRDefault="005F762A">
            <w:pPr>
              <w:rPr>
                <w:rFonts w:ascii="宋体"/>
                <w:vanish/>
              </w:rPr>
            </w:pPr>
          </w:p>
        </w:tc>
        <w:tc>
          <w:tcPr>
            <w:tcW w:w="0" w:type="auto"/>
            <w:gridSpan w:val="3"/>
            <w:shd w:val="clear" w:color="auto" w:fill="auto"/>
          </w:tcPr>
          <w:p w14:paraId="7268E783" w14:textId="77777777" w:rsidR="005F762A" w:rsidRDefault="005F762A">
            <w:pPr>
              <w:rPr>
                <w:rFonts w:ascii="宋体"/>
                <w:vanish/>
              </w:rPr>
            </w:pPr>
          </w:p>
        </w:tc>
        <w:tc>
          <w:tcPr>
            <w:tcW w:w="0" w:type="auto"/>
            <w:gridSpan w:val="3"/>
            <w:shd w:val="clear" w:color="auto" w:fill="auto"/>
          </w:tcPr>
          <w:p w14:paraId="7268E784" w14:textId="77777777" w:rsidR="005F762A" w:rsidRDefault="005F762A">
            <w:pPr>
              <w:rPr>
                <w:rFonts w:ascii="宋体"/>
                <w:vanish/>
              </w:rPr>
            </w:pPr>
          </w:p>
        </w:tc>
      </w:tr>
      <w:tr w:rsidR="005F762A" w14:paraId="7268E78E" w14:textId="77777777">
        <w:trPr>
          <w:hidden/>
        </w:trPr>
        <w:tc>
          <w:tcPr>
            <w:tcW w:w="0" w:type="auto"/>
            <w:gridSpan w:val="3"/>
            <w:shd w:val="clear" w:color="auto" w:fill="auto"/>
          </w:tcPr>
          <w:p w14:paraId="7268E786" w14:textId="77777777" w:rsidR="005F762A" w:rsidRDefault="005F762A">
            <w:pPr>
              <w:rPr>
                <w:rFonts w:ascii="宋体"/>
                <w:vanish/>
              </w:rPr>
            </w:pPr>
          </w:p>
        </w:tc>
        <w:tc>
          <w:tcPr>
            <w:tcW w:w="0" w:type="auto"/>
            <w:shd w:val="clear" w:color="auto" w:fill="auto"/>
          </w:tcPr>
          <w:p w14:paraId="7268E787" w14:textId="77777777" w:rsidR="005F762A" w:rsidRDefault="005F762A">
            <w:pPr>
              <w:rPr>
                <w:rFonts w:ascii="宋体"/>
                <w:vanish/>
              </w:rPr>
            </w:pPr>
          </w:p>
        </w:tc>
        <w:tc>
          <w:tcPr>
            <w:tcW w:w="0" w:type="auto"/>
            <w:shd w:val="clear" w:color="auto" w:fill="auto"/>
          </w:tcPr>
          <w:p w14:paraId="7268E788" w14:textId="77777777" w:rsidR="005F762A" w:rsidRDefault="005F762A">
            <w:pPr>
              <w:rPr>
                <w:rFonts w:ascii="宋体"/>
                <w:vanish/>
              </w:rPr>
            </w:pPr>
          </w:p>
        </w:tc>
        <w:tc>
          <w:tcPr>
            <w:tcW w:w="0" w:type="auto"/>
            <w:shd w:val="clear" w:color="auto" w:fill="auto"/>
          </w:tcPr>
          <w:p w14:paraId="7268E789" w14:textId="77777777" w:rsidR="005F762A" w:rsidRDefault="005F762A">
            <w:pPr>
              <w:rPr>
                <w:rFonts w:ascii="宋体"/>
                <w:vanish/>
              </w:rPr>
            </w:pPr>
          </w:p>
        </w:tc>
        <w:tc>
          <w:tcPr>
            <w:tcW w:w="0" w:type="auto"/>
            <w:gridSpan w:val="3"/>
            <w:shd w:val="clear" w:color="auto" w:fill="auto"/>
          </w:tcPr>
          <w:p w14:paraId="7268E78A" w14:textId="77777777" w:rsidR="005F762A" w:rsidRDefault="005F762A">
            <w:pPr>
              <w:rPr>
                <w:rFonts w:ascii="宋体"/>
                <w:vanish/>
              </w:rPr>
            </w:pPr>
          </w:p>
        </w:tc>
        <w:tc>
          <w:tcPr>
            <w:tcW w:w="0" w:type="auto"/>
            <w:gridSpan w:val="3"/>
            <w:shd w:val="clear" w:color="auto" w:fill="auto"/>
          </w:tcPr>
          <w:p w14:paraId="7268E78B" w14:textId="77777777" w:rsidR="005F762A" w:rsidRDefault="005F762A">
            <w:pPr>
              <w:rPr>
                <w:rFonts w:ascii="宋体"/>
                <w:vanish/>
              </w:rPr>
            </w:pPr>
          </w:p>
        </w:tc>
        <w:tc>
          <w:tcPr>
            <w:tcW w:w="0" w:type="auto"/>
            <w:gridSpan w:val="3"/>
            <w:shd w:val="clear" w:color="auto" w:fill="auto"/>
          </w:tcPr>
          <w:p w14:paraId="7268E78C" w14:textId="77777777" w:rsidR="005F762A" w:rsidRDefault="005F762A">
            <w:pPr>
              <w:rPr>
                <w:rFonts w:ascii="宋体"/>
                <w:vanish/>
              </w:rPr>
            </w:pPr>
          </w:p>
        </w:tc>
        <w:tc>
          <w:tcPr>
            <w:tcW w:w="0" w:type="auto"/>
            <w:gridSpan w:val="3"/>
            <w:shd w:val="clear" w:color="auto" w:fill="auto"/>
          </w:tcPr>
          <w:p w14:paraId="7268E78D" w14:textId="77777777" w:rsidR="005F762A" w:rsidRDefault="005F762A">
            <w:pPr>
              <w:rPr>
                <w:rFonts w:ascii="宋体"/>
                <w:vanish/>
              </w:rPr>
            </w:pPr>
          </w:p>
        </w:tc>
      </w:tr>
      <w:tr w:rsidR="005F762A" w14:paraId="7268E797" w14:textId="77777777">
        <w:trPr>
          <w:hidden/>
        </w:trPr>
        <w:tc>
          <w:tcPr>
            <w:tcW w:w="0" w:type="auto"/>
            <w:gridSpan w:val="3"/>
            <w:shd w:val="clear" w:color="auto" w:fill="auto"/>
          </w:tcPr>
          <w:p w14:paraId="7268E78F" w14:textId="77777777" w:rsidR="005F762A" w:rsidRDefault="005F762A">
            <w:pPr>
              <w:rPr>
                <w:rFonts w:ascii="宋体"/>
                <w:vanish/>
              </w:rPr>
            </w:pPr>
          </w:p>
        </w:tc>
        <w:tc>
          <w:tcPr>
            <w:tcW w:w="0" w:type="auto"/>
            <w:shd w:val="clear" w:color="auto" w:fill="auto"/>
          </w:tcPr>
          <w:p w14:paraId="7268E790" w14:textId="77777777" w:rsidR="005F762A" w:rsidRDefault="005F762A">
            <w:pPr>
              <w:rPr>
                <w:rFonts w:ascii="宋体"/>
                <w:vanish/>
              </w:rPr>
            </w:pPr>
          </w:p>
        </w:tc>
        <w:tc>
          <w:tcPr>
            <w:tcW w:w="0" w:type="auto"/>
            <w:shd w:val="clear" w:color="auto" w:fill="auto"/>
          </w:tcPr>
          <w:p w14:paraId="7268E791" w14:textId="77777777" w:rsidR="005F762A" w:rsidRDefault="005F762A">
            <w:pPr>
              <w:rPr>
                <w:rFonts w:ascii="宋体"/>
                <w:vanish/>
              </w:rPr>
            </w:pPr>
          </w:p>
        </w:tc>
        <w:tc>
          <w:tcPr>
            <w:tcW w:w="0" w:type="auto"/>
            <w:shd w:val="clear" w:color="auto" w:fill="auto"/>
          </w:tcPr>
          <w:p w14:paraId="7268E792" w14:textId="77777777" w:rsidR="005F762A" w:rsidRDefault="005F762A">
            <w:pPr>
              <w:rPr>
                <w:rFonts w:ascii="宋体"/>
                <w:vanish/>
              </w:rPr>
            </w:pPr>
          </w:p>
        </w:tc>
        <w:tc>
          <w:tcPr>
            <w:tcW w:w="0" w:type="auto"/>
            <w:gridSpan w:val="3"/>
            <w:shd w:val="clear" w:color="auto" w:fill="auto"/>
          </w:tcPr>
          <w:p w14:paraId="7268E793" w14:textId="77777777" w:rsidR="005F762A" w:rsidRDefault="005F762A">
            <w:pPr>
              <w:rPr>
                <w:rFonts w:ascii="宋体"/>
                <w:vanish/>
              </w:rPr>
            </w:pPr>
          </w:p>
        </w:tc>
        <w:tc>
          <w:tcPr>
            <w:tcW w:w="0" w:type="auto"/>
            <w:gridSpan w:val="3"/>
            <w:shd w:val="clear" w:color="auto" w:fill="auto"/>
          </w:tcPr>
          <w:p w14:paraId="7268E794" w14:textId="77777777" w:rsidR="005F762A" w:rsidRDefault="005F762A">
            <w:pPr>
              <w:rPr>
                <w:rFonts w:ascii="宋体"/>
                <w:vanish/>
              </w:rPr>
            </w:pPr>
          </w:p>
        </w:tc>
        <w:tc>
          <w:tcPr>
            <w:tcW w:w="0" w:type="auto"/>
            <w:gridSpan w:val="3"/>
            <w:shd w:val="clear" w:color="auto" w:fill="auto"/>
          </w:tcPr>
          <w:p w14:paraId="7268E795" w14:textId="77777777" w:rsidR="005F762A" w:rsidRDefault="005F762A">
            <w:pPr>
              <w:rPr>
                <w:rFonts w:ascii="宋体"/>
                <w:vanish/>
              </w:rPr>
            </w:pPr>
          </w:p>
        </w:tc>
        <w:tc>
          <w:tcPr>
            <w:tcW w:w="0" w:type="auto"/>
            <w:gridSpan w:val="3"/>
            <w:shd w:val="clear" w:color="auto" w:fill="auto"/>
          </w:tcPr>
          <w:p w14:paraId="7268E796" w14:textId="77777777" w:rsidR="005F762A" w:rsidRDefault="005F762A">
            <w:pPr>
              <w:rPr>
                <w:rFonts w:ascii="宋体"/>
                <w:vanish/>
              </w:rPr>
            </w:pPr>
          </w:p>
        </w:tc>
      </w:tr>
      <w:tr w:rsidR="005F762A" w14:paraId="7268E7A0" w14:textId="77777777">
        <w:trPr>
          <w:hidden/>
        </w:trPr>
        <w:tc>
          <w:tcPr>
            <w:tcW w:w="0" w:type="auto"/>
            <w:gridSpan w:val="3"/>
            <w:shd w:val="clear" w:color="auto" w:fill="auto"/>
          </w:tcPr>
          <w:p w14:paraId="7268E798" w14:textId="77777777" w:rsidR="005F762A" w:rsidRDefault="005F762A">
            <w:pPr>
              <w:rPr>
                <w:rFonts w:ascii="宋体"/>
                <w:vanish/>
              </w:rPr>
            </w:pPr>
          </w:p>
        </w:tc>
        <w:tc>
          <w:tcPr>
            <w:tcW w:w="0" w:type="auto"/>
            <w:shd w:val="clear" w:color="auto" w:fill="auto"/>
          </w:tcPr>
          <w:p w14:paraId="7268E799" w14:textId="77777777" w:rsidR="005F762A" w:rsidRDefault="005F762A">
            <w:pPr>
              <w:rPr>
                <w:rFonts w:ascii="宋体"/>
                <w:vanish/>
              </w:rPr>
            </w:pPr>
          </w:p>
        </w:tc>
        <w:tc>
          <w:tcPr>
            <w:tcW w:w="0" w:type="auto"/>
            <w:shd w:val="clear" w:color="auto" w:fill="auto"/>
          </w:tcPr>
          <w:p w14:paraId="7268E79A" w14:textId="77777777" w:rsidR="005F762A" w:rsidRDefault="005F762A">
            <w:pPr>
              <w:rPr>
                <w:rFonts w:ascii="宋体"/>
                <w:vanish/>
              </w:rPr>
            </w:pPr>
          </w:p>
        </w:tc>
        <w:tc>
          <w:tcPr>
            <w:tcW w:w="0" w:type="auto"/>
            <w:shd w:val="clear" w:color="auto" w:fill="auto"/>
          </w:tcPr>
          <w:p w14:paraId="7268E79B" w14:textId="77777777" w:rsidR="005F762A" w:rsidRDefault="005F762A">
            <w:pPr>
              <w:rPr>
                <w:rFonts w:ascii="宋体"/>
                <w:vanish/>
              </w:rPr>
            </w:pPr>
          </w:p>
        </w:tc>
        <w:tc>
          <w:tcPr>
            <w:tcW w:w="0" w:type="auto"/>
            <w:gridSpan w:val="3"/>
            <w:shd w:val="clear" w:color="auto" w:fill="auto"/>
          </w:tcPr>
          <w:p w14:paraId="7268E79C" w14:textId="77777777" w:rsidR="005F762A" w:rsidRDefault="005F762A">
            <w:pPr>
              <w:rPr>
                <w:rFonts w:ascii="宋体"/>
                <w:vanish/>
              </w:rPr>
            </w:pPr>
          </w:p>
        </w:tc>
        <w:tc>
          <w:tcPr>
            <w:tcW w:w="0" w:type="auto"/>
            <w:gridSpan w:val="3"/>
            <w:shd w:val="clear" w:color="auto" w:fill="auto"/>
          </w:tcPr>
          <w:p w14:paraId="7268E79D" w14:textId="77777777" w:rsidR="005F762A" w:rsidRDefault="005F762A">
            <w:pPr>
              <w:rPr>
                <w:rFonts w:ascii="宋体"/>
                <w:vanish/>
              </w:rPr>
            </w:pPr>
          </w:p>
        </w:tc>
        <w:tc>
          <w:tcPr>
            <w:tcW w:w="0" w:type="auto"/>
            <w:gridSpan w:val="3"/>
            <w:shd w:val="clear" w:color="auto" w:fill="auto"/>
          </w:tcPr>
          <w:p w14:paraId="7268E79E" w14:textId="77777777" w:rsidR="005F762A" w:rsidRDefault="005F762A">
            <w:pPr>
              <w:rPr>
                <w:rFonts w:ascii="宋体"/>
                <w:vanish/>
              </w:rPr>
            </w:pPr>
          </w:p>
        </w:tc>
        <w:tc>
          <w:tcPr>
            <w:tcW w:w="0" w:type="auto"/>
            <w:gridSpan w:val="3"/>
            <w:shd w:val="clear" w:color="auto" w:fill="auto"/>
          </w:tcPr>
          <w:p w14:paraId="7268E79F" w14:textId="77777777" w:rsidR="005F762A" w:rsidRDefault="005F762A">
            <w:pPr>
              <w:rPr>
                <w:rFonts w:ascii="宋体"/>
                <w:vanish/>
              </w:rPr>
            </w:pPr>
          </w:p>
        </w:tc>
      </w:tr>
      <w:tr w:rsidR="005F762A" w14:paraId="7268E7A9" w14:textId="77777777">
        <w:trPr>
          <w:hidden/>
        </w:trPr>
        <w:tc>
          <w:tcPr>
            <w:tcW w:w="0" w:type="auto"/>
            <w:gridSpan w:val="3"/>
            <w:shd w:val="clear" w:color="auto" w:fill="auto"/>
          </w:tcPr>
          <w:p w14:paraId="7268E7A1" w14:textId="77777777" w:rsidR="005F762A" w:rsidRDefault="005F762A">
            <w:pPr>
              <w:rPr>
                <w:rFonts w:ascii="宋体"/>
                <w:vanish/>
              </w:rPr>
            </w:pPr>
          </w:p>
        </w:tc>
        <w:tc>
          <w:tcPr>
            <w:tcW w:w="0" w:type="auto"/>
            <w:shd w:val="clear" w:color="auto" w:fill="auto"/>
          </w:tcPr>
          <w:p w14:paraId="7268E7A2" w14:textId="77777777" w:rsidR="005F762A" w:rsidRDefault="005F762A">
            <w:pPr>
              <w:rPr>
                <w:rFonts w:ascii="宋体"/>
                <w:vanish/>
              </w:rPr>
            </w:pPr>
          </w:p>
        </w:tc>
        <w:tc>
          <w:tcPr>
            <w:tcW w:w="0" w:type="auto"/>
            <w:shd w:val="clear" w:color="auto" w:fill="auto"/>
          </w:tcPr>
          <w:p w14:paraId="7268E7A3" w14:textId="77777777" w:rsidR="005F762A" w:rsidRDefault="005F762A">
            <w:pPr>
              <w:rPr>
                <w:rFonts w:ascii="宋体"/>
                <w:vanish/>
              </w:rPr>
            </w:pPr>
          </w:p>
        </w:tc>
        <w:tc>
          <w:tcPr>
            <w:tcW w:w="0" w:type="auto"/>
            <w:shd w:val="clear" w:color="auto" w:fill="auto"/>
          </w:tcPr>
          <w:p w14:paraId="7268E7A4" w14:textId="77777777" w:rsidR="005F762A" w:rsidRDefault="005F762A">
            <w:pPr>
              <w:rPr>
                <w:rFonts w:ascii="宋体"/>
                <w:vanish/>
              </w:rPr>
            </w:pPr>
          </w:p>
        </w:tc>
        <w:tc>
          <w:tcPr>
            <w:tcW w:w="0" w:type="auto"/>
            <w:gridSpan w:val="3"/>
            <w:shd w:val="clear" w:color="auto" w:fill="auto"/>
          </w:tcPr>
          <w:p w14:paraId="7268E7A5" w14:textId="77777777" w:rsidR="005F762A" w:rsidRDefault="005F762A">
            <w:pPr>
              <w:rPr>
                <w:rFonts w:ascii="宋体"/>
                <w:vanish/>
              </w:rPr>
            </w:pPr>
          </w:p>
        </w:tc>
        <w:tc>
          <w:tcPr>
            <w:tcW w:w="0" w:type="auto"/>
            <w:gridSpan w:val="3"/>
            <w:shd w:val="clear" w:color="auto" w:fill="auto"/>
          </w:tcPr>
          <w:p w14:paraId="7268E7A6" w14:textId="77777777" w:rsidR="005F762A" w:rsidRDefault="005F762A">
            <w:pPr>
              <w:rPr>
                <w:rFonts w:ascii="宋体"/>
                <w:vanish/>
              </w:rPr>
            </w:pPr>
          </w:p>
        </w:tc>
        <w:tc>
          <w:tcPr>
            <w:tcW w:w="0" w:type="auto"/>
            <w:gridSpan w:val="3"/>
            <w:shd w:val="clear" w:color="auto" w:fill="auto"/>
          </w:tcPr>
          <w:p w14:paraId="7268E7A7" w14:textId="77777777" w:rsidR="005F762A" w:rsidRDefault="005F762A">
            <w:pPr>
              <w:rPr>
                <w:rFonts w:ascii="宋体"/>
                <w:vanish/>
              </w:rPr>
            </w:pPr>
          </w:p>
        </w:tc>
        <w:tc>
          <w:tcPr>
            <w:tcW w:w="0" w:type="auto"/>
            <w:gridSpan w:val="3"/>
            <w:shd w:val="clear" w:color="auto" w:fill="auto"/>
          </w:tcPr>
          <w:p w14:paraId="7268E7A8" w14:textId="77777777" w:rsidR="005F762A" w:rsidRDefault="005F762A">
            <w:pPr>
              <w:rPr>
                <w:rFonts w:ascii="宋体"/>
                <w:vanish/>
              </w:rPr>
            </w:pPr>
          </w:p>
        </w:tc>
      </w:tr>
      <w:tr w:rsidR="005F762A" w14:paraId="7268E7B2" w14:textId="77777777">
        <w:trPr>
          <w:hidden/>
        </w:trPr>
        <w:tc>
          <w:tcPr>
            <w:tcW w:w="0" w:type="auto"/>
            <w:gridSpan w:val="3"/>
            <w:shd w:val="clear" w:color="auto" w:fill="auto"/>
          </w:tcPr>
          <w:p w14:paraId="7268E7AA" w14:textId="77777777" w:rsidR="005F762A" w:rsidRDefault="005F762A">
            <w:pPr>
              <w:rPr>
                <w:rFonts w:ascii="宋体"/>
                <w:vanish/>
              </w:rPr>
            </w:pPr>
          </w:p>
        </w:tc>
        <w:tc>
          <w:tcPr>
            <w:tcW w:w="0" w:type="auto"/>
            <w:shd w:val="clear" w:color="auto" w:fill="auto"/>
          </w:tcPr>
          <w:p w14:paraId="7268E7AB" w14:textId="77777777" w:rsidR="005F762A" w:rsidRDefault="005F762A">
            <w:pPr>
              <w:rPr>
                <w:rFonts w:ascii="宋体"/>
                <w:vanish/>
              </w:rPr>
            </w:pPr>
          </w:p>
        </w:tc>
        <w:tc>
          <w:tcPr>
            <w:tcW w:w="0" w:type="auto"/>
            <w:shd w:val="clear" w:color="auto" w:fill="auto"/>
          </w:tcPr>
          <w:p w14:paraId="7268E7AC" w14:textId="77777777" w:rsidR="005F762A" w:rsidRDefault="005F762A">
            <w:pPr>
              <w:rPr>
                <w:rFonts w:ascii="宋体"/>
                <w:vanish/>
              </w:rPr>
            </w:pPr>
          </w:p>
        </w:tc>
        <w:tc>
          <w:tcPr>
            <w:tcW w:w="0" w:type="auto"/>
            <w:shd w:val="clear" w:color="auto" w:fill="auto"/>
          </w:tcPr>
          <w:p w14:paraId="7268E7AD" w14:textId="77777777" w:rsidR="005F762A" w:rsidRDefault="005F762A">
            <w:pPr>
              <w:rPr>
                <w:rFonts w:ascii="宋体"/>
                <w:vanish/>
              </w:rPr>
            </w:pPr>
          </w:p>
        </w:tc>
        <w:tc>
          <w:tcPr>
            <w:tcW w:w="0" w:type="auto"/>
            <w:gridSpan w:val="3"/>
            <w:shd w:val="clear" w:color="auto" w:fill="auto"/>
          </w:tcPr>
          <w:p w14:paraId="7268E7AE" w14:textId="77777777" w:rsidR="005F762A" w:rsidRDefault="005F762A">
            <w:pPr>
              <w:rPr>
                <w:rFonts w:ascii="宋体"/>
                <w:vanish/>
              </w:rPr>
            </w:pPr>
          </w:p>
        </w:tc>
        <w:tc>
          <w:tcPr>
            <w:tcW w:w="0" w:type="auto"/>
            <w:gridSpan w:val="3"/>
            <w:shd w:val="clear" w:color="auto" w:fill="auto"/>
          </w:tcPr>
          <w:p w14:paraId="7268E7AF" w14:textId="77777777" w:rsidR="005F762A" w:rsidRDefault="005F762A">
            <w:pPr>
              <w:rPr>
                <w:rFonts w:ascii="宋体"/>
                <w:vanish/>
              </w:rPr>
            </w:pPr>
          </w:p>
        </w:tc>
        <w:tc>
          <w:tcPr>
            <w:tcW w:w="0" w:type="auto"/>
            <w:gridSpan w:val="3"/>
            <w:shd w:val="clear" w:color="auto" w:fill="auto"/>
          </w:tcPr>
          <w:p w14:paraId="7268E7B0" w14:textId="77777777" w:rsidR="005F762A" w:rsidRDefault="005F762A">
            <w:pPr>
              <w:rPr>
                <w:rFonts w:ascii="宋体"/>
                <w:vanish/>
              </w:rPr>
            </w:pPr>
          </w:p>
        </w:tc>
        <w:tc>
          <w:tcPr>
            <w:tcW w:w="0" w:type="auto"/>
            <w:gridSpan w:val="3"/>
            <w:shd w:val="clear" w:color="auto" w:fill="auto"/>
          </w:tcPr>
          <w:p w14:paraId="7268E7B1" w14:textId="77777777" w:rsidR="005F762A" w:rsidRDefault="005F762A">
            <w:pPr>
              <w:rPr>
                <w:rFonts w:ascii="宋体"/>
                <w:vanish/>
              </w:rPr>
            </w:pPr>
          </w:p>
        </w:tc>
      </w:tr>
      <w:tr w:rsidR="005F762A" w14:paraId="7268E7BB" w14:textId="77777777">
        <w:trPr>
          <w:hidden/>
        </w:trPr>
        <w:tc>
          <w:tcPr>
            <w:tcW w:w="0" w:type="auto"/>
            <w:gridSpan w:val="3"/>
            <w:shd w:val="clear" w:color="auto" w:fill="auto"/>
          </w:tcPr>
          <w:p w14:paraId="7268E7B3" w14:textId="77777777" w:rsidR="005F762A" w:rsidRDefault="005F762A">
            <w:pPr>
              <w:rPr>
                <w:rFonts w:ascii="宋体"/>
                <w:vanish/>
              </w:rPr>
            </w:pPr>
          </w:p>
        </w:tc>
        <w:tc>
          <w:tcPr>
            <w:tcW w:w="0" w:type="auto"/>
            <w:shd w:val="clear" w:color="auto" w:fill="auto"/>
          </w:tcPr>
          <w:p w14:paraId="7268E7B4" w14:textId="77777777" w:rsidR="005F762A" w:rsidRDefault="005F762A">
            <w:pPr>
              <w:rPr>
                <w:rFonts w:ascii="宋体"/>
                <w:vanish/>
              </w:rPr>
            </w:pPr>
          </w:p>
        </w:tc>
        <w:tc>
          <w:tcPr>
            <w:tcW w:w="0" w:type="auto"/>
            <w:shd w:val="clear" w:color="auto" w:fill="auto"/>
          </w:tcPr>
          <w:p w14:paraId="7268E7B5" w14:textId="77777777" w:rsidR="005F762A" w:rsidRDefault="005F762A">
            <w:pPr>
              <w:rPr>
                <w:rFonts w:ascii="宋体"/>
                <w:vanish/>
              </w:rPr>
            </w:pPr>
          </w:p>
        </w:tc>
        <w:tc>
          <w:tcPr>
            <w:tcW w:w="0" w:type="auto"/>
            <w:shd w:val="clear" w:color="auto" w:fill="auto"/>
          </w:tcPr>
          <w:p w14:paraId="7268E7B6" w14:textId="77777777" w:rsidR="005F762A" w:rsidRDefault="005F762A">
            <w:pPr>
              <w:rPr>
                <w:rFonts w:ascii="宋体"/>
                <w:vanish/>
              </w:rPr>
            </w:pPr>
          </w:p>
        </w:tc>
        <w:tc>
          <w:tcPr>
            <w:tcW w:w="0" w:type="auto"/>
            <w:gridSpan w:val="3"/>
            <w:shd w:val="clear" w:color="auto" w:fill="auto"/>
          </w:tcPr>
          <w:p w14:paraId="7268E7B7" w14:textId="77777777" w:rsidR="005F762A" w:rsidRDefault="005F762A">
            <w:pPr>
              <w:rPr>
                <w:rFonts w:ascii="宋体"/>
                <w:vanish/>
              </w:rPr>
            </w:pPr>
          </w:p>
        </w:tc>
        <w:tc>
          <w:tcPr>
            <w:tcW w:w="0" w:type="auto"/>
            <w:gridSpan w:val="3"/>
            <w:shd w:val="clear" w:color="auto" w:fill="auto"/>
          </w:tcPr>
          <w:p w14:paraId="7268E7B8" w14:textId="77777777" w:rsidR="005F762A" w:rsidRDefault="005F762A">
            <w:pPr>
              <w:rPr>
                <w:rFonts w:ascii="宋体"/>
                <w:vanish/>
              </w:rPr>
            </w:pPr>
          </w:p>
        </w:tc>
        <w:tc>
          <w:tcPr>
            <w:tcW w:w="0" w:type="auto"/>
            <w:gridSpan w:val="3"/>
            <w:shd w:val="clear" w:color="auto" w:fill="auto"/>
          </w:tcPr>
          <w:p w14:paraId="7268E7B9" w14:textId="77777777" w:rsidR="005F762A" w:rsidRDefault="005F762A">
            <w:pPr>
              <w:rPr>
                <w:rFonts w:ascii="宋体"/>
                <w:vanish/>
              </w:rPr>
            </w:pPr>
          </w:p>
        </w:tc>
        <w:tc>
          <w:tcPr>
            <w:tcW w:w="0" w:type="auto"/>
            <w:gridSpan w:val="3"/>
            <w:shd w:val="clear" w:color="auto" w:fill="auto"/>
          </w:tcPr>
          <w:p w14:paraId="7268E7BA" w14:textId="77777777" w:rsidR="005F762A" w:rsidRDefault="005F762A">
            <w:pPr>
              <w:rPr>
                <w:rFonts w:ascii="宋体"/>
                <w:vanish/>
              </w:rPr>
            </w:pPr>
          </w:p>
        </w:tc>
      </w:tr>
      <w:tr w:rsidR="005F762A" w14:paraId="7268E7C4" w14:textId="77777777">
        <w:trPr>
          <w:hidden/>
        </w:trPr>
        <w:tc>
          <w:tcPr>
            <w:tcW w:w="0" w:type="auto"/>
            <w:gridSpan w:val="3"/>
            <w:shd w:val="clear" w:color="auto" w:fill="auto"/>
          </w:tcPr>
          <w:p w14:paraId="7268E7BC" w14:textId="77777777" w:rsidR="005F762A" w:rsidRDefault="005F762A">
            <w:pPr>
              <w:rPr>
                <w:rFonts w:ascii="宋体"/>
                <w:vanish/>
              </w:rPr>
            </w:pPr>
          </w:p>
        </w:tc>
        <w:tc>
          <w:tcPr>
            <w:tcW w:w="0" w:type="auto"/>
            <w:shd w:val="clear" w:color="auto" w:fill="auto"/>
          </w:tcPr>
          <w:p w14:paraId="7268E7BD" w14:textId="77777777" w:rsidR="005F762A" w:rsidRDefault="005F762A">
            <w:pPr>
              <w:rPr>
                <w:rFonts w:ascii="宋体"/>
                <w:vanish/>
              </w:rPr>
            </w:pPr>
          </w:p>
        </w:tc>
        <w:tc>
          <w:tcPr>
            <w:tcW w:w="0" w:type="auto"/>
            <w:shd w:val="clear" w:color="auto" w:fill="auto"/>
          </w:tcPr>
          <w:p w14:paraId="7268E7BE" w14:textId="77777777" w:rsidR="005F762A" w:rsidRDefault="005F762A">
            <w:pPr>
              <w:rPr>
                <w:rFonts w:ascii="宋体"/>
                <w:vanish/>
              </w:rPr>
            </w:pPr>
          </w:p>
        </w:tc>
        <w:tc>
          <w:tcPr>
            <w:tcW w:w="0" w:type="auto"/>
            <w:shd w:val="clear" w:color="auto" w:fill="auto"/>
          </w:tcPr>
          <w:p w14:paraId="7268E7BF" w14:textId="77777777" w:rsidR="005F762A" w:rsidRDefault="005F762A">
            <w:pPr>
              <w:rPr>
                <w:rFonts w:ascii="宋体"/>
                <w:vanish/>
              </w:rPr>
            </w:pPr>
          </w:p>
        </w:tc>
        <w:tc>
          <w:tcPr>
            <w:tcW w:w="0" w:type="auto"/>
            <w:gridSpan w:val="3"/>
            <w:shd w:val="clear" w:color="auto" w:fill="auto"/>
          </w:tcPr>
          <w:p w14:paraId="7268E7C0" w14:textId="77777777" w:rsidR="005F762A" w:rsidRDefault="005F762A">
            <w:pPr>
              <w:rPr>
                <w:rFonts w:ascii="宋体"/>
                <w:vanish/>
              </w:rPr>
            </w:pPr>
          </w:p>
        </w:tc>
        <w:tc>
          <w:tcPr>
            <w:tcW w:w="0" w:type="auto"/>
            <w:gridSpan w:val="3"/>
            <w:shd w:val="clear" w:color="auto" w:fill="auto"/>
          </w:tcPr>
          <w:p w14:paraId="7268E7C1" w14:textId="77777777" w:rsidR="005F762A" w:rsidRDefault="005F762A">
            <w:pPr>
              <w:rPr>
                <w:rFonts w:ascii="宋体"/>
                <w:vanish/>
              </w:rPr>
            </w:pPr>
          </w:p>
        </w:tc>
        <w:tc>
          <w:tcPr>
            <w:tcW w:w="0" w:type="auto"/>
            <w:gridSpan w:val="3"/>
            <w:shd w:val="clear" w:color="auto" w:fill="auto"/>
          </w:tcPr>
          <w:p w14:paraId="7268E7C2" w14:textId="77777777" w:rsidR="005F762A" w:rsidRDefault="005F762A">
            <w:pPr>
              <w:rPr>
                <w:rFonts w:ascii="宋体"/>
                <w:vanish/>
              </w:rPr>
            </w:pPr>
          </w:p>
        </w:tc>
        <w:tc>
          <w:tcPr>
            <w:tcW w:w="0" w:type="auto"/>
            <w:gridSpan w:val="3"/>
            <w:shd w:val="clear" w:color="auto" w:fill="auto"/>
          </w:tcPr>
          <w:p w14:paraId="7268E7C3" w14:textId="77777777" w:rsidR="005F762A" w:rsidRDefault="005F762A">
            <w:pPr>
              <w:rPr>
                <w:rFonts w:ascii="宋体"/>
                <w:vanish/>
              </w:rPr>
            </w:pPr>
          </w:p>
        </w:tc>
      </w:tr>
      <w:tr w:rsidR="005F762A" w14:paraId="7268E7CD" w14:textId="77777777">
        <w:trPr>
          <w:hidden/>
        </w:trPr>
        <w:tc>
          <w:tcPr>
            <w:tcW w:w="0" w:type="auto"/>
            <w:gridSpan w:val="3"/>
            <w:shd w:val="clear" w:color="auto" w:fill="auto"/>
          </w:tcPr>
          <w:p w14:paraId="7268E7C5" w14:textId="77777777" w:rsidR="005F762A" w:rsidRDefault="005F762A">
            <w:pPr>
              <w:rPr>
                <w:rFonts w:ascii="宋体"/>
                <w:vanish/>
              </w:rPr>
            </w:pPr>
          </w:p>
        </w:tc>
        <w:tc>
          <w:tcPr>
            <w:tcW w:w="0" w:type="auto"/>
            <w:shd w:val="clear" w:color="auto" w:fill="auto"/>
          </w:tcPr>
          <w:p w14:paraId="7268E7C6" w14:textId="77777777" w:rsidR="005F762A" w:rsidRDefault="005F762A">
            <w:pPr>
              <w:rPr>
                <w:rFonts w:ascii="宋体"/>
                <w:vanish/>
              </w:rPr>
            </w:pPr>
          </w:p>
        </w:tc>
        <w:tc>
          <w:tcPr>
            <w:tcW w:w="0" w:type="auto"/>
            <w:shd w:val="clear" w:color="auto" w:fill="auto"/>
          </w:tcPr>
          <w:p w14:paraId="7268E7C7" w14:textId="77777777" w:rsidR="005F762A" w:rsidRDefault="005F762A">
            <w:pPr>
              <w:rPr>
                <w:rFonts w:ascii="宋体"/>
                <w:vanish/>
              </w:rPr>
            </w:pPr>
          </w:p>
        </w:tc>
        <w:tc>
          <w:tcPr>
            <w:tcW w:w="0" w:type="auto"/>
            <w:shd w:val="clear" w:color="auto" w:fill="auto"/>
          </w:tcPr>
          <w:p w14:paraId="7268E7C8" w14:textId="77777777" w:rsidR="005F762A" w:rsidRDefault="005F762A">
            <w:pPr>
              <w:rPr>
                <w:rFonts w:ascii="宋体"/>
                <w:vanish/>
              </w:rPr>
            </w:pPr>
          </w:p>
        </w:tc>
        <w:tc>
          <w:tcPr>
            <w:tcW w:w="0" w:type="auto"/>
            <w:gridSpan w:val="3"/>
            <w:shd w:val="clear" w:color="auto" w:fill="auto"/>
          </w:tcPr>
          <w:p w14:paraId="7268E7C9" w14:textId="77777777" w:rsidR="005F762A" w:rsidRDefault="005F762A">
            <w:pPr>
              <w:rPr>
                <w:rFonts w:ascii="宋体"/>
                <w:vanish/>
              </w:rPr>
            </w:pPr>
          </w:p>
        </w:tc>
        <w:tc>
          <w:tcPr>
            <w:tcW w:w="0" w:type="auto"/>
            <w:gridSpan w:val="3"/>
            <w:shd w:val="clear" w:color="auto" w:fill="auto"/>
          </w:tcPr>
          <w:p w14:paraId="7268E7CA" w14:textId="77777777" w:rsidR="005F762A" w:rsidRDefault="005F762A">
            <w:pPr>
              <w:rPr>
                <w:rFonts w:ascii="宋体"/>
                <w:vanish/>
              </w:rPr>
            </w:pPr>
          </w:p>
        </w:tc>
        <w:tc>
          <w:tcPr>
            <w:tcW w:w="0" w:type="auto"/>
            <w:gridSpan w:val="3"/>
            <w:shd w:val="clear" w:color="auto" w:fill="auto"/>
          </w:tcPr>
          <w:p w14:paraId="7268E7CB" w14:textId="77777777" w:rsidR="005F762A" w:rsidRDefault="005F762A">
            <w:pPr>
              <w:rPr>
                <w:rFonts w:ascii="宋体"/>
                <w:vanish/>
              </w:rPr>
            </w:pPr>
          </w:p>
        </w:tc>
        <w:tc>
          <w:tcPr>
            <w:tcW w:w="0" w:type="auto"/>
            <w:gridSpan w:val="3"/>
            <w:shd w:val="clear" w:color="auto" w:fill="auto"/>
          </w:tcPr>
          <w:p w14:paraId="7268E7CC" w14:textId="77777777" w:rsidR="005F762A" w:rsidRDefault="005F762A">
            <w:pPr>
              <w:rPr>
                <w:rFonts w:ascii="宋体"/>
                <w:vanish/>
              </w:rPr>
            </w:pPr>
          </w:p>
        </w:tc>
      </w:tr>
      <w:tr w:rsidR="005F762A" w14:paraId="7268E7D6" w14:textId="77777777">
        <w:trPr>
          <w:hidden/>
        </w:trPr>
        <w:tc>
          <w:tcPr>
            <w:tcW w:w="0" w:type="auto"/>
            <w:gridSpan w:val="3"/>
            <w:shd w:val="clear" w:color="auto" w:fill="auto"/>
          </w:tcPr>
          <w:p w14:paraId="7268E7CE" w14:textId="77777777" w:rsidR="005F762A" w:rsidRDefault="005F762A">
            <w:pPr>
              <w:rPr>
                <w:rFonts w:ascii="宋体"/>
                <w:vanish/>
              </w:rPr>
            </w:pPr>
          </w:p>
        </w:tc>
        <w:tc>
          <w:tcPr>
            <w:tcW w:w="0" w:type="auto"/>
            <w:shd w:val="clear" w:color="auto" w:fill="auto"/>
          </w:tcPr>
          <w:p w14:paraId="7268E7CF" w14:textId="77777777" w:rsidR="005F762A" w:rsidRDefault="005F762A">
            <w:pPr>
              <w:rPr>
                <w:rFonts w:ascii="宋体"/>
                <w:vanish/>
              </w:rPr>
            </w:pPr>
          </w:p>
        </w:tc>
        <w:tc>
          <w:tcPr>
            <w:tcW w:w="0" w:type="auto"/>
            <w:shd w:val="clear" w:color="auto" w:fill="auto"/>
          </w:tcPr>
          <w:p w14:paraId="7268E7D0" w14:textId="77777777" w:rsidR="005F762A" w:rsidRDefault="005F762A">
            <w:pPr>
              <w:rPr>
                <w:rFonts w:ascii="宋体"/>
                <w:vanish/>
              </w:rPr>
            </w:pPr>
          </w:p>
        </w:tc>
        <w:tc>
          <w:tcPr>
            <w:tcW w:w="0" w:type="auto"/>
            <w:shd w:val="clear" w:color="auto" w:fill="auto"/>
          </w:tcPr>
          <w:p w14:paraId="7268E7D1" w14:textId="77777777" w:rsidR="005F762A" w:rsidRDefault="005F762A">
            <w:pPr>
              <w:rPr>
                <w:rFonts w:ascii="宋体"/>
                <w:vanish/>
              </w:rPr>
            </w:pPr>
          </w:p>
        </w:tc>
        <w:tc>
          <w:tcPr>
            <w:tcW w:w="0" w:type="auto"/>
            <w:gridSpan w:val="3"/>
            <w:shd w:val="clear" w:color="auto" w:fill="auto"/>
          </w:tcPr>
          <w:p w14:paraId="7268E7D2" w14:textId="77777777" w:rsidR="005F762A" w:rsidRDefault="005F762A">
            <w:pPr>
              <w:rPr>
                <w:rFonts w:ascii="宋体"/>
                <w:vanish/>
              </w:rPr>
            </w:pPr>
          </w:p>
        </w:tc>
        <w:tc>
          <w:tcPr>
            <w:tcW w:w="0" w:type="auto"/>
            <w:gridSpan w:val="3"/>
            <w:shd w:val="clear" w:color="auto" w:fill="auto"/>
          </w:tcPr>
          <w:p w14:paraId="7268E7D3" w14:textId="77777777" w:rsidR="005F762A" w:rsidRDefault="005F762A">
            <w:pPr>
              <w:rPr>
                <w:rFonts w:ascii="宋体"/>
                <w:vanish/>
              </w:rPr>
            </w:pPr>
          </w:p>
        </w:tc>
        <w:tc>
          <w:tcPr>
            <w:tcW w:w="0" w:type="auto"/>
            <w:gridSpan w:val="3"/>
            <w:shd w:val="clear" w:color="auto" w:fill="auto"/>
          </w:tcPr>
          <w:p w14:paraId="7268E7D4" w14:textId="77777777" w:rsidR="005F762A" w:rsidRDefault="005F762A">
            <w:pPr>
              <w:rPr>
                <w:rFonts w:ascii="宋体"/>
                <w:vanish/>
              </w:rPr>
            </w:pPr>
          </w:p>
        </w:tc>
        <w:tc>
          <w:tcPr>
            <w:tcW w:w="0" w:type="auto"/>
            <w:gridSpan w:val="3"/>
            <w:shd w:val="clear" w:color="auto" w:fill="auto"/>
          </w:tcPr>
          <w:p w14:paraId="7268E7D5" w14:textId="77777777" w:rsidR="005F762A" w:rsidRDefault="005F762A">
            <w:pPr>
              <w:rPr>
                <w:rFonts w:ascii="宋体"/>
                <w:vanish/>
              </w:rPr>
            </w:pPr>
          </w:p>
        </w:tc>
      </w:tr>
      <w:tr w:rsidR="005F762A" w14:paraId="7268E7DF" w14:textId="77777777">
        <w:trPr>
          <w:hidden/>
        </w:trPr>
        <w:tc>
          <w:tcPr>
            <w:tcW w:w="0" w:type="auto"/>
            <w:gridSpan w:val="3"/>
            <w:shd w:val="clear" w:color="auto" w:fill="auto"/>
          </w:tcPr>
          <w:p w14:paraId="7268E7D7" w14:textId="77777777" w:rsidR="005F762A" w:rsidRDefault="005F762A">
            <w:pPr>
              <w:rPr>
                <w:rFonts w:ascii="宋体"/>
                <w:vanish/>
              </w:rPr>
            </w:pPr>
          </w:p>
        </w:tc>
        <w:tc>
          <w:tcPr>
            <w:tcW w:w="0" w:type="auto"/>
            <w:shd w:val="clear" w:color="auto" w:fill="auto"/>
          </w:tcPr>
          <w:p w14:paraId="7268E7D8" w14:textId="77777777" w:rsidR="005F762A" w:rsidRDefault="005F762A">
            <w:pPr>
              <w:rPr>
                <w:rFonts w:ascii="宋体"/>
                <w:vanish/>
              </w:rPr>
            </w:pPr>
          </w:p>
        </w:tc>
        <w:tc>
          <w:tcPr>
            <w:tcW w:w="0" w:type="auto"/>
            <w:shd w:val="clear" w:color="auto" w:fill="auto"/>
          </w:tcPr>
          <w:p w14:paraId="7268E7D9" w14:textId="77777777" w:rsidR="005F762A" w:rsidRDefault="005F762A">
            <w:pPr>
              <w:rPr>
                <w:rFonts w:ascii="宋体"/>
                <w:vanish/>
              </w:rPr>
            </w:pPr>
          </w:p>
        </w:tc>
        <w:tc>
          <w:tcPr>
            <w:tcW w:w="0" w:type="auto"/>
            <w:shd w:val="clear" w:color="auto" w:fill="auto"/>
          </w:tcPr>
          <w:p w14:paraId="7268E7DA" w14:textId="77777777" w:rsidR="005F762A" w:rsidRDefault="005F762A">
            <w:pPr>
              <w:rPr>
                <w:rFonts w:ascii="宋体"/>
                <w:vanish/>
              </w:rPr>
            </w:pPr>
          </w:p>
        </w:tc>
        <w:tc>
          <w:tcPr>
            <w:tcW w:w="0" w:type="auto"/>
            <w:gridSpan w:val="3"/>
            <w:shd w:val="clear" w:color="auto" w:fill="auto"/>
          </w:tcPr>
          <w:p w14:paraId="7268E7DB" w14:textId="77777777" w:rsidR="005F762A" w:rsidRDefault="005F762A">
            <w:pPr>
              <w:rPr>
                <w:rFonts w:ascii="宋体"/>
                <w:vanish/>
              </w:rPr>
            </w:pPr>
          </w:p>
        </w:tc>
        <w:tc>
          <w:tcPr>
            <w:tcW w:w="0" w:type="auto"/>
            <w:gridSpan w:val="3"/>
            <w:shd w:val="clear" w:color="auto" w:fill="auto"/>
          </w:tcPr>
          <w:p w14:paraId="7268E7DC" w14:textId="77777777" w:rsidR="005F762A" w:rsidRDefault="005F762A">
            <w:pPr>
              <w:rPr>
                <w:rFonts w:ascii="宋体"/>
                <w:vanish/>
              </w:rPr>
            </w:pPr>
          </w:p>
        </w:tc>
        <w:tc>
          <w:tcPr>
            <w:tcW w:w="0" w:type="auto"/>
            <w:gridSpan w:val="3"/>
            <w:shd w:val="clear" w:color="auto" w:fill="auto"/>
          </w:tcPr>
          <w:p w14:paraId="7268E7DD" w14:textId="77777777" w:rsidR="005F762A" w:rsidRDefault="005F762A">
            <w:pPr>
              <w:rPr>
                <w:rFonts w:ascii="宋体"/>
                <w:vanish/>
              </w:rPr>
            </w:pPr>
          </w:p>
        </w:tc>
        <w:tc>
          <w:tcPr>
            <w:tcW w:w="0" w:type="auto"/>
            <w:gridSpan w:val="3"/>
            <w:shd w:val="clear" w:color="auto" w:fill="auto"/>
          </w:tcPr>
          <w:p w14:paraId="7268E7DE" w14:textId="77777777" w:rsidR="005F762A" w:rsidRDefault="005F762A">
            <w:pPr>
              <w:rPr>
                <w:rFonts w:ascii="宋体"/>
                <w:vanish/>
              </w:rPr>
            </w:pPr>
          </w:p>
        </w:tc>
      </w:tr>
      <w:tr w:rsidR="005F762A" w14:paraId="7268E7E8" w14:textId="77777777">
        <w:trPr>
          <w:hidden/>
        </w:trPr>
        <w:tc>
          <w:tcPr>
            <w:tcW w:w="0" w:type="auto"/>
            <w:gridSpan w:val="3"/>
            <w:shd w:val="clear" w:color="auto" w:fill="auto"/>
          </w:tcPr>
          <w:p w14:paraId="7268E7E0" w14:textId="77777777" w:rsidR="005F762A" w:rsidRDefault="005F762A">
            <w:pPr>
              <w:rPr>
                <w:rFonts w:ascii="宋体"/>
                <w:vanish/>
              </w:rPr>
            </w:pPr>
          </w:p>
        </w:tc>
        <w:tc>
          <w:tcPr>
            <w:tcW w:w="0" w:type="auto"/>
            <w:shd w:val="clear" w:color="auto" w:fill="auto"/>
          </w:tcPr>
          <w:p w14:paraId="7268E7E1" w14:textId="77777777" w:rsidR="005F762A" w:rsidRDefault="005F762A">
            <w:pPr>
              <w:rPr>
                <w:rFonts w:ascii="宋体"/>
                <w:vanish/>
              </w:rPr>
            </w:pPr>
          </w:p>
        </w:tc>
        <w:tc>
          <w:tcPr>
            <w:tcW w:w="0" w:type="auto"/>
            <w:shd w:val="clear" w:color="auto" w:fill="auto"/>
          </w:tcPr>
          <w:p w14:paraId="7268E7E2" w14:textId="77777777" w:rsidR="005F762A" w:rsidRDefault="005F762A">
            <w:pPr>
              <w:rPr>
                <w:rFonts w:ascii="宋体"/>
                <w:vanish/>
              </w:rPr>
            </w:pPr>
          </w:p>
        </w:tc>
        <w:tc>
          <w:tcPr>
            <w:tcW w:w="0" w:type="auto"/>
            <w:shd w:val="clear" w:color="auto" w:fill="auto"/>
          </w:tcPr>
          <w:p w14:paraId="7268E7E3" w14:textId="77777777" w:rsidR="005F762A" w:rsidRDefault="005F762A">
            <w:pPr>
              <w:rPr>
                <w:rFonts w:ascii="宋体"/>
                <w:vanish/>
              </w:rPr>
            </w:pPr>
          </w:p>
        </w:tc>
        <w:tc>
          <w:tcPr>
            <w:tcW w:w="0" w:type="auto"/>
            <w:gridSpan w:val="3"/>
            <w:shd w:val="clear" w:color="auto" w:fill="auto"/>
          </w:tcPr>
          <w:p w14:paraId="7268E7E4" w14:textId="77777777" w:rsidR="005F762A" w:rsidRDefault="005F762A">
            <w:pPr>
              <w:rPr>
                <w:rFonts w:ascii="宋体"/>
                <w:vanish/>
              </w:rPr>
            </w:pPr>
          </w:p>
        </w:tc>
        <w:tc>
          <w:tcPr>
            <w:tcW w:w="0" w:type="auto"/>
            <w:gridSpan w:val="3"/>
            <w:shd w:val="clear" w:color="auto" w:fill="auto"/>
          </w:tcPr>
          <w:p w14:paraId="7268E7E5" w14:textId="77777777" w:rsidR="005F762A" w:rsidRDefault="005F762A">
            <w:pPr>
              <w:rPr>
                <w:rFonts w:ascii="宋体"/>
                <w:vanish/>
              </w:rPr>
            </w:pPr>
          </w:p>
        </w:tc>
        <w:tc>
          <w:tcPr>
            <w:tcW w:w="0" w:type="auto"/>
            <w:gridSpan w:val="3"/>
            <w:shd w:val="clear" w:color="auto" w:fill="auto"/>
          </w:tcPr>
          <w:p w14:paraId="7268E7E6" w14:textId="77777777" w:rsidR="005F762A" w:rsidRDefault="005F762A">
            <w:pPr>
              <w:rPr>
                <w:rFonts w:ascii="宋体"/>
                <w:vanish/>
              </w:rPr>
            </w:pPr>
          </w:p>
        </w:tc>
        <w:tc>
          <w:tcPr>
            <w:tcW w:w="0" w:type="auto"/>
            <w:gridSpan w:val="3"/>
            <w:shd w:val="clear" w:color="auto" w:fill="auto"/>
          </w:tcPr>
          <w:p w14:paraId="7268E7E7" w14:textId="77777777" w:rsidR="005F762A" w:rsidRDefault="005F762A">
            <w:pPr>
              <w:rPr>
                <w:rFonts w:ascii="宋体"/>
                <w:vanish/>
              </w:rPr>
            </w:pPr>
          </w:p>
        </w:tc>
      </w:tr>
      <w:tr w:rsidR="005F762A" w14:paraId="7268E7F1" w14:textId="77777777">
        <w:trPr>
          <w:hidden/>
        </w:trPr>
        <w:tc>
          <w:tcPr>
            <w:tcW w:w="0" w:type="auto"/>
            <w:gridSpan w:val="3"/>
            <w:shd w:val="clear" w:color="auto" w:fill="auto"/>
          </w:tcPr>
          <w:p w14:paraId="7268E7E9" w14:textId="77777777" w:rsidR="005F762A" w:rsidRDefault="005F762A">
            <w:pPr>
              <w:rPr>
                <w:rFonts w:ascii="宋体"/>
                <w:vanish/>
              </w:rPr>
            </w:pPr>
          </w:p>
        </w:tc>
        <w:tc>
          <w:tcPr>
            <w:tcW w:w="0" w:type="auto"/>
            <w:shd w:val="clear" w:color="auto" w:fill="auto"/>
          </w:tcPr>
          <w:p w14:paraId="7268E7EA" w14:textId="77777777" w:rsidR="005F762A" w:rsidRDefault="005F762A">
            <w:pPr>
              <w:rPr>
                <w:rFonts w:ascii="宋体"/>
                <w:vanish/>
              </w:rPr>
            </w:pPr>
          </w:p>
        </w:tc>
        <w:tc>
          <w:tcPr>
            <w:tcW w:w="0" w:type="auto"/>
            <w:shd w:val="clear" w:color="auto" w:fill="auto"/>
          </w:tcPr>
          <w:p w14:paraId="7268E7EB" w14:textId="77777777" w:rsidR="005F762A" w:rsidRDefault="005F762A">
            <w:pPr>
              <w:rPr>
                <w:rFonts w:ascii="宋体"/>
                <w:vanish/>
              </w:rPr>
            </w:pPr>
          </w:p>
        </w:tc>
        <w:tc>
          <w:tcPr>
            <w:tcW w:w="0" w:type="auto"/>
            <w:shd w:val="clear" w:color="auto" w:fill="auto"/>
          </w:tcPr>
          <w:p w14:paraId="7268E7EC" w14:textId="77777777" w:rsidR="005F762A" w:rsidRDefault="005F762A">
            <w:pPr>
              <w:rPr>
                <w:rFonts w:ascii="宋体"/>
                <w:vanish/>
              </w:rPr>
            </w:pPr>
          </w:p>
        </w:tc>
        <w:tc>
          <w:tcPr>
            <w:tcW w:w="0" w:type="auto"/>
            <w:gridSpan w:val="3"/>
            <w:shd w:val="clear" w:color="auto" w:fill="auto"/>
          </w:tcPr>
          <w:p w14:paraId="7268E7ED" w14:textId="77777777" w:rsidR="005F762A" w:rsidRDefault="005F762A">
            <w:pPr>
              <w:rPr>
                <w:rFonts w:ascii="宋体"/>
                <w:vanish/>
              </w:rPr>
            </w:pPr>
          </w:p>
        </w:tc>
        <w:tc>
          <w:tcPr>
            <w:tcW w:w="0" w:type="auto"/>
            <w:gridSpan w:val="3"/>
            <w:shd w:val="clear" w:color="auto" w:fill="auto"/>
          </w:tcPr>
          <w:p w14:paraId="7268E7EE" w14:textId="77777777" w:rsidR="005F762A" w:rsidRDefault="005F762A">
            <w:pPr>
              <w:rPr>
                <w:rFonts w:ascii="宋体"/>
                <w:vanish/>
              </w:rPr>
            </w:pPr>
          </w:p>
        </w:tc>
        <w:tc>
          <w:tcPr>
            <w:tcW w:w="0" w:type="auto"/>
            <w:gridSpan w:val="3"/>
            <w:shd w:val="clear" w:color="auto" w:fill="auto"/>
          </w:tcPr>
          <w:p w14:paraId="7268E7EF" w14:textId="77777777" w:rsidR="005F762A" w:rsidRDefault="005F762A">
            <w:pPr>
              <w:rPr>
                <w:rFonts w:ascii="宋体"/>
                <w:vanish/>
              </w:rPr>
            </w:pPr>
          </w:p>
        </w:tc>
        <w:tc>
          <w:tcPr>
            <w:tcW w:w="0" w:type="auto"/>
            <w:gridSpan w:val="3"/>
            <w:shd w:val="clear" w:color="auto" w:fill="auto"/>
          </w:tcPr>
          <w:p w14:paraId="7268E7F0" w14:textId="77777777" w:rsidR="005F762A" w:rsidRDefault="005F762A">
            <w:pPr>
              <w:rPr>
                <w:rFonts w:ascii="宋体"/>
                <w:vanish/>
              </w:rPr>
            </w:pPr>
          </w:p>
        </w:tc>
      </w:tr>
      <w:tr w:rsidR="005F762A" w14:paraId="7268E7FA" w14:textId="77777777">
        <w:trPr>
          <w:hidden/>
        </w:trPr>
        <w:tc>
          <w:tcPr>
            <w:tcW w:w="0" w:type="auto"/>
            <w:gridSpan w:val="3"/>
            <w:shd w:val="clear" w:color="auto" w:fill="auto"/>
          </w:tcPr>
          <w:p w14:paraId="7268E7F2" w14:textId="77777777" w:rsidR="005F762A" w:rsidRDefault="005F762A">
            <w:pPr>
              <w:rPr>
                <w:rFonts w:ascii="宋体"/>
                <w:vanish/>
              </w:rPr>
            </w:pPr>
          </w:p>
        </w:tc>
        <w:tc>
          <w:tcPr>
            <w:tcW w:w="0" w:type="auto"/>
            <w:shd w:val="clear" w:color="auto" w:fill="auto"/>
          </w:tcPr>
          <w:p w14:paraId="7268E7F3" w14:textId="77777777" w:rsidR="005F762A" w:rsidRDefault="005F762A">
            <w:pPr>
              <w:rPr>
                <w:rFonts w:ascii="宋体"/>
                <w:vanish/>
              </w:rPr>
            </w:pPr>
          </w:p>
        </w:tc>
        <w:tc>
          <w:tcPr>
            <w:tcW w:w="0" w:type="auto"/>
            <w:shd w:val="clear" w:color="auto" w:fill="auto"/>
          </w:tcPr>
          <w:p w14:paraId="7268E7F4" w14:textId="77777777" w:rsidR="005F762A" w:rsidRDefault="005F762A">
            <w:pPr>
              <w:rPr>
                <w:rFonts w:ascii="宋体"/>
                <w:vanish/>
              </w:rPr>
            </w:pPr>
          </w:p>
        </w:tc>
        <w:tc>
          <w:tcPr>
            <w:tcW w:w="0" w:type="auto"/>
            <w:shd w:val="clear" w:color="auto" w:fill="auto"/>
          </w:tcPr>
          <w:p w14:paraId="7268E7F5" w14:textId="77777777" w:rsidR="005F762A" w:rsidRDefault="005F762A">
            <w:pPr>
              <w:rPr>
                <w:rFonts w:ascii="宋体"/>
                <w:vanish/>
              </w:rPr>
            </w:pPr>
          </w:p>
        </w:tc>
        <w:tc>
          <w:tcPr>
            <w:tcW w:w="0" w:type="auto"/>
            <w:gridSpan w:val="3"/>
            <w:shd w:val="clear" w:color="auto" w:fill="auto"/>
          </w:tcPr>
          <w:p w14:paraId="7268E7F6" w14:textId="77777777" w:rsidR="005F762A" w:rsidRDefault="005F762A">
            <w:pPr>
              <w:rPr>
                <w:rFonts w:ascii="宋体"/>
                <w:vanish/>
              </w:rPr>
            </w:pPr>
          </w:p>
        </w:tc>
        <w:tc>
          <w:tcPr>
            <w:tcW w:w="0" w:type="auto"/>
            <w:gridSpan w:val="3"/>
            <w:shd w:val="clear" w:color="auto" w:fill="auto"/>
          </w:tcPr>
          <w:p w14:paraId="7268E7F7" w14:textId="77777777" w:rsidR="005F762A" w:rsidRDefault="005F762A">
            <w:pPr>
              <w:rPr>
                <w:rFonts w:ascii="宋体"/>
                <w:vanish/>
              </w:rPr>
            </w:pPr>
          </w:p>
        </w:tc>
        <w:tc>
          <w:tcPr>
            <w:tcW w:w="0" w:type="auto"/>
            <w:gridSpan w:val="3"/>
            <w:shd w:val="clear" w:color="auto" w:fill="auto"/>
          </w:tcPr>
          <w:p w14:paraId="7268E7F8" w14:textId="77777777" w:rsidR="005F762A" w:rsidRDefault="005F762A">
            <w:pPr>
              <w:rPr>
                <w:rFonts w:ascii="宋体"/>
                <w:vanish/>
              </w:rPr>
            </w:pPr>
          </w:p>
        </w:tc>
        <w:tc>
          <w:tcPr>
            <w:tcW w:w="0" w:type="auto"/>
            <w:gridSpan w:val="3"/>
            <w:shd w:val="clear" w:color="auto" w:fill="auto"/>
          </w:tcPr>
          <w:p w14:paraId="7268E7F9" w14:textId="77777777" w:rsidR="005F762A" w:rsidRDefault="005F762A">
            <w:pPr>
              <w:rPr>
                <w:rFonts w:ascii="宋体"/>
                <w:vanish/>
              </w:rPr>
            </w:pPr>
          </w:p>
        </w:tc>
      </w:tr>
      <w:tr w:rsidR="005F762A" w14:paraId="7268E803" w14:textId="77777777">
        <w:trPr>
          <w:hidden/>
        </w:trPr>
        <w:tc>
          <w:tcPr>
            <w:tcW w:w="0" w:type="auto"/>
            <w:gridSpan w:val="3"/>
            <w:shd w:val="clear" w:color="auto" w:fill="auto"/>
          </w:tcPr>
          <w:p w14:paraId="7268E7FB" w14:textId="77777777" w:rsidR="005F762A" w:rsidRDefault="005F762A">
            <w:pPr>
              <w:rPr>
                <w:rFonts w:ascii="宋体"/>
                <w:vanish/>
              </w:rPr>
            </w:pPr>
          </w:p>
        </w:tc>
        <w:tc>
          <w:tcPr>
            <w:tcW w:w="0" w:type="auto"/>
            <w:shd w:val="clear" w:color="auto" w:fill="auto"/>
          </w:tcPr>
          <w:p w14:paraId="7268E7FC" w14:textId="77777777" w:rsidR="005F762A" w:rsidRDefault="005F762A">
            <w:pPr>
              <w:rPr>
                <w:rFonts w:ascii="宋体"/>
                <w:vanish/>
              </w:rPr>
            </w:pPr>
          </w:p>
        </w:tc>
        <w:tc>
          <w:tcPr>
            <w:tcW w:w="0" w:type="auto"/>
            <w:shd w:val="clear" w:color="auto" w:fill="auto"/>
          </w:tcPr>
          <w:p w14:paraId="7268E7FD" w14:textId="77777777" w:rsidR="005F762A" w:rsidRDefault="005F762A">
            <w:pPr>
              <w:rPr>
                <w:rFonts w:ascii="宋体"/>
                <w:vanish/>
              </w:rPr>
            </w:pPr>
          </w:p>
        </w:tc>
        <w:tc>
          <w:tcPr>
            <w:tcW w:w="0" w:type="auto"/>
            <w:shd w:val="clear" w:color="auto" w:fill="auto"/>
          </w:tcPr>
          <w:p w14:paraId="7268E7FE" w14:textId="77777777" w:rsidR="005F762A" w:rsidRDefault="005F762A">
            <w:pPr>
              <w:rPr>
                <w:rFonts w:ascii="宋体"/>
                <w:vanish/>
              </w:rPr>
            </w:pPr>
          </w:p>
        </w:tc>
        <w:tc>
          <w:tcPr>
            <w:tcW w:w="0" w:type="auto"/>
            <w:gridSpan w:val="3"/>
            <w:shd w:val="clear" w:color="auto" w:fill="auto"/>
          </w:tcPr>
          <w:p w14:paraId="7268E7FF" w14:textId="77777777" w:rsidR="005F762A" w:rsidRDefault="005F762A">
            <w:pPr>
              <w:rPr>
                <w:rFonts w:ascii="宋体"/>
                <w:vanish/>
              </w:rPr>
            </w:pPr>
          </w:p>
        </w:tc>
        <w:tc>
          <w:tcPr>
            <w:tcW w:w="0" w:type="auto"/>
            <w:gridSpan w:val="3"/>
            <w:shd w:val="clear" w:color="auto" w:fill="auto"/>
          </w:tcPr>
          <w:p w14:paraId="7268E800" w14:textId="77777777" w:rsidR="005F762A" w:rsidRDefault="005F762A">
            <w:pPr>
              <w:rPr>
                <w:rFonts w:ascii="宋体"/>
                <w:vanish/>
              </w:rPr>
            </w:pPr>
          </w:p>
        </w:tc>
        <w:tc>
          <w:tcPr>
            <w:tcW w:w="0" w:type="auto"/>
            <w:gridSpan w:val="3"/>
            <w:shd w:val="clear" w:color="auto" w:fill="auto"/>
          </w:tcPr>
          <w:p w14:paraId="7268E801" w14:textId="77777777" w:rsidR="005F762A" w:rsidRDefault="005F762A">
            <w:pPr>
              <w:rPr>
                <w:rFonts w:ascii="宋体"/>
                <w:vanish/>
              </w:rPr>
            </w:pPr>
          </w:p>
        </w:tc>
        <w:tc>
          <w:tcPr>
            <w:tcW w:w="0" w:type="auto"/>
            <w:gridSpan w:val="3"/>
            <w:shd w:val="clear" w:color="auto" w:fill="auto"/>
          </w:tcPr>
          <w:p w14:paraId="7268E802" w14:textId="77777777" w:rsidR="005F762A" w:rsidRDefault="005F762A">
            <w:pPr>
              <w:rPr>
                <w:rFonts w:ascii="宋体"/>
                <w:vanish/>
              </w:rPr>
            </w:pPr>
          </w:p>
        </w:tc>
      </w:tr>
      <w:tr w:rsidR="005F762A" w14:paraId="7268E80C" w14:textId="77777777">
        <w:trPr>
          <w:hidden/>
        </w:trPr>
        <w:tc>
          <w:tcPr>
            <w:tcW w:w="0" w:type="auto"/>
            <w:gridSpan w:val="3"/>
            <w:shd w:val="clear" w:color="auto" w:fill="auto"/>
          </w:tcPr>
          <w:p w14:paraId="7268E804" w14:textId="77777777" w:rsidR="005F762A" w:rsidRDefault="005F762A">
            <w:pPr>
              <w:rPr>
                <w:rFonts w:ascii="宋体"/>
                <w:vanish/>
              </w:rPr>
            </w:pPr>
          </w:p>
        </w:tc>
        <w:tc>
          <w:tcPr>
            <w:tcW w:w="0" w:type="auto"/>
            <w:shd w:val="clear" w:color="auto" w:fill="auto"/>
          </w:tcPr>
          <w:p w14:paraId="7268E805" w14:textId="77777777" w:rsidR="005F762A" w:rsidRDefault="005F762A">
            <w:pPr>
              <w:rPr>
                <w:rFonts w:ascii="宋体"/>
                <w:vanish/>
              </w:rPr>
            </w:pPr>
          </w:p>
        </w:tc>
        <w:tc>
          <w:tcPr>
            <w:tcW w:w="0" w:type="auto"/>
            <w:shd w:val="clear" w:color="auto" w:fill="auto"/>
          </w:tcPr>
          <w:p w14:paraId="7268E806" w14:textId="77777777" w:rsidR="005F762A" w:rsidRDefault="005F762A">
            <w:pPr>
              <w:rPr>
                <w:rFonts w:ascii="宋体"/>
                <w:vanish/>
              </w:rPr>
            </w:pPr>
          </w:p>
        </w:tc>
        <w:tc>
          <w:tcPr>
            <w:tcW w:w="0" w:type="auto"/>
            <w:shd w:val="clear" w:color="auto" w:fill="auto"/>
          </w:tcPr>
          <w:p w14:paraId="7268E807" w14:textId="77777777" w:rsidR="005F762A" w:rsidRDefault="005F762A">
            <w:pPr>
              <w:rPr>
                <w:rFonts w:ascii="宋体"/>
                <w:vanish/>
              </w:rPr>
            </w:pPr>
          </w:p>
        </w:tc>
        <w:tc>
          <w:tcPr>
            <w:tcW w:w="0" w:type="auto"/>
            <w:gridSpan w:val="3"/>
            <w:shd w:val="clear" w:color="auto" w:fill="auto"/>
          </w:tcPr>
          <w:p w14:paraId="7268E808" w14:textId="77777777" w:rsidR="005F762A" w:rsidRDefault="005F762A">
            <w:pPr>
              <w:rPr>
                <w:rFonts w:ascii="宋体"/>
                <w:vanish/>
              </w:rPr>
            </w:pPr>
          </w:p>
        </w:tc>
        <w:tc>
          <w:tcPr>
            <w:tcW w:w="0" w:type="auto"/>
            <w:gridSpan w:val="3"/>
            <w:shd w:val="clear" w:color="auto" w:fill="auto"/>
          </w:tcPr>
          <w:p w14:paraId="7268E809" w14:textId="77777777" w:rsidR="005F762A" w:rsidRDefault="005F762A">
            <w:pPr>
              <w:rPr>
                <w:rFonts w:ascii="宋体"/>
                <w:vanish/>
              </w:rPr>
            </w:pPr>
          </w:p>
        </w:tc>
        <w:tc>
          <w:tcPr>
            <w:tcW w:w="0" w:type="auto"/>
            <w:gridSpan w:val="3"/>
            <w:shd w:val="clear" w:color="auto" w:fill="auto"/>
          </w:tcPr>
          <w:p w14:paraId="7268E80A" w14:textId="77777777" w:rsidR="005F762A" w:rsidRDefault="005F762A">
            <w:pPr>
              <w:rPr>
                <w:rFonts w:ascii="宋体"/>
                <w:vanish/>
              </w:rPr>
            </w:pPr>
          </w:p>
        </w:tc>
        <w:tc>
          <w:tcPr>
            <w:tcW w:w="0" w:type="auto"/>
            <w:gridSpan w:val="3"/>
            <w:shd w:val="clear" w:color="auto" w:fill="auto"/>
          </w:tcPr>
          <w:p w14:paraId="7268E80B" w14:textId="77777777" w:rsidR="005F762A" w:rsidRDefault="005F762A">
            <w:pPr>
              <w:rPr>
                <w:rFonts w:ascii="宋体"/>
                <w:vanish/>
              </w:rPr>
            </w:pPr>
          </w:p>
        </w:tc>
      </w:tr>
      <w:tr w:rsidR="005F762A" w14:paraId="7268E815" w14:textId="77777777">
        <w:trPr>
          <w:hidden/>
        </w:trPr>
        <w:tc>
          <w:tcPr>
            <w:tcW w:w="0" w:type="auto"/>
            <w:gridSpan w:val="3"/>
            <w:shd w:val="clear" w:color="auto" w:fill="auto"/>
          </w:tcPr>
          <w:p w14:paraId="7268E80D" w14:textId="77777777" w:rsidR="005F762A" w:rsidRDefault="005F762A">
            <w:pPr>
              <w:rPr>
                <w:rFonts w:ascii="宋体"/>
                <w:vanish/>
              </w:rPr>
            </w:pPr>
          </w:p>
        </w:tc>
        <w:tc>
          <w:tcPr>
            <w:tcW w:w="0" w:type="auto"/>
            <w:shd w:val="clear" w:color="auto" w:fill="auto"/>
          </w:tcPr>
          <w:p w14:paraId="7268E80E" w14:textId="77777777" w:rsidR="005F762A" w:rsidRDefault="005F762A">
            <w:pPr>
              <w:rPr>
                <w:rFonts w:ascii="宋体"/>
                <w:vanish/>
              </w:rPr>
            </w:pPr>
          </w:p>
        </w:tc>
        <w:tc>
          <w:tcPr>
            <w:tcW w:w="0" w:type="auto"/>
            <w:shd w:val="clear" w:color="auto" w:fill="auto"/>
          </w:tcPr>
          <w:p w14:paraId="7268E80F" w14:textId="77777777" w:rsidR="005F762A" w:rsidRDefault="005F762A">
            <w:pPr>
              <w:rPr>
                <w:rFonts w:ascii="宋体"/>
                <w:vanish/>
              </w:rPr>
            </w:pPr>
          </w:p>
        </w:tc>
        <w:tc>
          <w:tcPr>
            <w:tcW w:w="0" w:type="auto"/>
            <w:shd w:val="clear" w:color="auto" w:fill="auto"/>
          </w:tcPr>
          <w:p w14:paraId="7268E810" w14:textId="77777777" w:rsidR="005F762A" w:rsidRDefault="005F762A">
            <w:pPr>
              <w:rPr>
                <w:rFonts w:ascii="宋体"/>
                <w:vanish/>
              </w:rPr>
            </w:pPr>
          </w:p>
        </w:tc>
        <w:tc>
          <w:tcPr>
            <w:tcW w:w="0" w:type="auto"/>
            <w:gridSpan w:val="3"/>
            <w:shd w:val="clear" w:color="auto" w:fill="auto"/>
          </w:tcPr>
          <w:p w14:paraId="7268E811" w14:textId="77777777" w:rsidR="005F762A" w:rsidRDefault="005F762A">
            <w:pPr>
              <w:rPr>
                <w:rFonts w:ascii="宋体"/>
                <w:vanish/>
              </w:rPr>
            </w:pPr>
          </w:p>
        </w:tc>
        <w:tc>
          <w:tcPr>
            <w:tcW w:w="0" w:type="auto"/>
            <w:gridSpan w:val="3"/>
            <w:shd w:val="clear" w:color="auto" w:fill="auto"/>
          </w:tcPr>
          <w:p w14:paraId="7268E812" w14:textId="77777777" w:rsidR="005F762A" w:rsidRDefault="005F762A">
            <w:pPr>
              <w:rPr>
                <w:rFonts w:ascii="宋体"/>
                <w:vanish/>
              </w:rPr>
            </w:pPr>
          </w:p>
        </w:tc>
        <w:tc>
          <w:tcPr>
            <w:tcW w:w="0" w:type="auto"/>
            <w:gridSpan w:val="3"/>
            <w:shd w:val="clear" w:color="auto" w:fill="auto"/>
          </w:tcPr>
          <w:p w14:paraId="7268E813" w14:textId="77777777" w:rsidR="005F762A" w:rsidRDefault="005F762A">
            <w:pPr>
              <w:rPr>
                <w:rFonts w:ascii="宋体"/>
                <w:vanish/>
              </w:rPr>
            </w:pPr>
          </w:p>
        </w:tc>
        <w:tc>
          <w:tcPr>
            <w:tcW w:w="0" w:type="auto"/>
            <w:gridSpan w:val="3"/>
            <w:shd w:val="clear" w:color="auto" w:fill="auto"/>
          </w:tcPr>
          <w:p w14:paraId="7268E814" w14:textId="77777777" w:rsidR="005F762A" w:rsidRDefault="005F762A">
            <w:pPr>
              <w:rPr>
                <w:rFonts w:ascii="宋体"/>
                <w:vanish/>
              </w:rPr>
            </w:pPr>
          </w:p>
        </w:tc>
      </w:tr>
      <w:tr w:rsidR="005F762A" w14:paraId="7268E81E" w14:textId="77777777">
        <w:trPr>
          <w:hidden/>
        </w:trPr>
        <w:tc>
          <w:tcPr>
            <w:tcW w:w="0" w:type="auto"/>
            <w:gridSpan w:val="3"/>
            <w:shd w:val="clear" w:color="auto" w:fill="auto"/>
          </w:tcPr>
          <w:p w14:paraId="7268E816" w14:textId="77777777" w:rsidR="005F762A" w:rsidRDefault="005F762A">
            <w:pPr>
              <w:rPr>
                <w:rFonts w:ascii="宋体"/>
                <w:vanish/>
              </w:rPr>
            </w:pPr>
          </w:p>
        </w:tc>
        <w:tc>
          <w:tcPr>
            <w:tcW w:w="0" w:type="auto"/>
            <w:shd w:val="clear" w:color="auto" w:fill="auto"/>
          </w:tcPr>
          <w:p w14:paraId="7268E817" w14:textId="77777777" w:rsidR="005F762A" w:rsidRDefault="005F762A">
            <w:pPr>
              <w:rPr>
                <w:rFonts w:ascii="宋体"/>
                <w:vanish/>
              </w:rPr>
            </w:pPr>
          </w:p>
        </w:tc>
        <w:tc>
          <w:tcPr>
            <w:tcW w:w="0" w:type="auto"/>
            <w:shd w:val="clear" w:color="auto" w:fill="auto"/>
          </w:tcPr>
          <w:p w14:paraId="7268E818" w14:textId="77777777" w:rsidR="005F762A" w:rsidRDefault="005F762A">
            <w:pPr>
              <w:rPr>
                <w:rFonts w:ascii="宋体"/>
                <w:vanish/>
              </w:rPr>
            </w:pPr>
          </w:p>
        </w:tc>
        <w:tc>
          <w:tcPr>
            <w:tcW w:w="0" w:type="auto"/>
            <w:shd w:val="clear" w:color="auto" w:fill="auto"/>
          </w:tcPr>
          <w:p w14:paraId="7268E819" w14:textId="77777777" w:rsidR="005F762A" w:rsidRDefault="005F762A">
            <w:pPr>
              <w:rPr>
                <w:rFonts w:ascii="宋体"/>
                <w:vanish/>
              </w:rPr>
            </w:pPr>
          </w:p>
        </w:tc>
        <w:tc>
          <w:tcPr>
            <w:tcW w:w="0" w:type="auto"/>
            <w:gridSpan w:val="3"/>
            <w:shd w:val="clear" w:color="auto" w:fill="auto"/>
          </w:tcPr>
          <w:p w14:paraId="7268E81A" w14:textId="77777777" w:rsidR="005F762A" w:rsidRDefault="005F762A">
            <w:pPr>
              <w:rPr>
                <w:rFonts w:ascii="宋体"/>
                <w:vanish/>
              </w:rPr>
            </w:pPr>
          </w:p>
        </w:tc>
        <w:tc>
          <w:tcPr>
            <w:tcW w:w="0" w:type="auto"/>
            <w:gridSpan w:val="3"/>
            <w:shd w:val="clear" w:color="auto" w:fill="auto"/>
          </w:tcPr>
          <w:p w14:paraId="7268E81B" w14:textId="77777777" w:rsidR="005F762A" w:rsidRDefault="005F762A">
            <w:pPr>
              <w:rPr>
                <w:rFonts w:ascii="宋体"/>
                <w:vanish/>
              </w:rPr>
            </w:pPr>
          </w:p>
        </w:tc>
        <w:tc>
          <w:tcPr>
            <w:tcW w:w="0" w:type="auto"/>
            <w:gridSpan w:val="3"/>
            <w:shd w:val="clear" w:color="auto" w:fill="auto"/>
          </w:tcPr>
          <w:p w14:paraId="7268E81C" w14:textId="77777777" w:rsidR="005F762A" w:rsidRDefault="005F762A">
            <w:pPr>
              <w:rPr>
                <w:rFonts w:ascii="宋体"/>
                <w:vanish/>
              </w:rPr>
            </w:pPr>
          </w:p>
        </w:tc>
        <w:tc>
          <w:tcPr>
            <w:tcW w:w="0" w:type="auto"/>
            <w:gridSpan w:val="3"/>
            <w:shd w:val="clear" w:color="auto" w:fill="auto"/>
          </w:tcPr>
          <w:p w14:paraId="7268E81D" w14:textId="77777777" w:rsidR="005F762A" w:rsidRDefault="005F762A">
            <w:pPr>
              <w:rPr>
                <w:rFonts w:ascii="宋体"/>
                <w:vanish/>
              </w:rPr>
            </w:pPr>
          </w:p>
        </w:tc>
      </w:tr>
    </w:tbl>
    <w:p w14:paraId="7268E81F" w14:textId="77777777" w:rsidR="005F762A" w:rsidRDefault="005F762A">
      <w:pPr>
        <w:spacing w:after="120"/>
        <w:jc w:val="center"/>
      </w:pPr>
    </w:p>
    <w:p w14:paraId="7268E820" w14:textId="77777777" w:rsidR="005F762A" w:rsidRDefault="00D74111">
      <w:pPr>
        <w:spacing w:after="120"/>
        <w:ind w:firstLine="540"/>
        <w:jc w:val="both"/>
      </w:pPr>
      <w:r>
        <w:rPr>
          <w:rFonts w:ascii="Arial" w:eastAsia="宋体" w:hAnsi="Arial" w:cs="Arial"/>
          <w:color w:val="000000"/>
          <w:sz w:val="20"/>
          <w:szCs w:val="20"/>
        </w:rPr>
        <w:t xml:space="preserve">The following table summarizes the allocation of net revenues based on geography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26"/>
        <w:gridCol w:w="37"/>
        <w:gridCol w:w="36"/>
        <w:gridCol w:w="46"/>
        <w:gridCol w:w="36"/>
        <w:gridCol w:w="36"/>
        <w:gridCol w:w="36"/>
        <w:gridCol w:w="36"/>
        <w:gridCol w:w="121"/>
        <w:gridCol w:w="942"/>
        <w:gridCol w:w="36"/>
        <w:gridCol w:w="36"/>
        <w:gridCol w:w="36"/>
        <w:gridCol w:w="36"/>
        <w:gridCol w:w="121"/>
        <w:gridCol w:w="944"/>
        <w:gridCol w:w="36"/>
      </w:tblGrid>
      <w:tr w:rsidR="005F762A" w14:paraId="7268E833" w14:textId="77777777">
        <w:tc>
          <w:tcPr>
            <w:tcW w:w="50" w:type="pct"/>
            <w:shd w:val="clear" w:color="auto" w:fill="auto"/>
          </w:tcPr>
          <w:p w14:paraId="7268E821" w14:textId="77777777" w:rsidR="005F762A" w:rsidRDefault="005F762A">
            <w:pPr>
              <w:rPr>
                <w:rFonts w:ascii="宋体"/>
              </w:rPr>
            </w:pPr>
          </w:p>
        </w:tc>
        <w:tc>
          <w:tcPr>
            <w:tcW w:w="3512" w:type="pct"/>
            <w:shd w:val="clear" w:color="auto" w:fill="auto"/>
          </w:tcPr>
          <w:p w14:paraId="7268E822" w14:textId="77777777" w:rsidR="005F762A" w:rsidRDefault="005F762A">
            <w:pPr>
              <w:rPr>
                <w:rFonts w:ascii="宋体"/>
              </w:rPr>
            </w:pPr>
          </w:p>
        </w:tc>
        <w:tc>
          <w:tcPr>
            <w:tcW w:w="5" w:type="pct"/>
            <w:shd w:val="clear" w:color="auto" w:fill="auto"/>
          </w:tcPr>
          <w:p w14:paraId="7268E823" w14:textId="77777777" w:rsidR="005F762A" w:rsidRDefault="005F762A">
            <w:pPr>
              <w:rPr>
                <w:rFonts w:ascii="宋体"/>
              </w:rPr>
            </w:pPr>
          </w:p>
        </w:tc>
        <w:tc>
          <w:tcPr>
            <w:tcW w:w="0" w:type="auto"/>
            <w:shd w:val="clear" w:color="auto" w:fill="auto"/>
          </w:tcPr>
          <w:p w14:paraId="7268E824" w14:textId="77777777" w:rsidR="005F762A" w:rsidRDefault="005F762A">
            <w:pPr>
              <w:rPr>
                <w:rFonts w:ascii="宋体"/>
                <w:vanish/>
              </w:rPr>
            </w:pPr>
          </w:p>
        </w:tc>
        <w:tc>
          <w:tcPr>
            <w:tcW w:w="0" w:type="auto"/>
            <w:shd w:val="clear" w:color="auto" w:fill="auto"/>
          </w:tcPr>
          <w:p w14:paraId="7268E825" w14:textId="77777777" w:rsidR="005F762A" w:rsidRDefault="005F762A">
            <w:pPr>
              <w:rPr>
                <w:rFonts w:ascii="宋体"/>
                <w:vanish/>
              </w:rPr>
            </w:pPr>
          </w:p>
        </w:tc>
        <w:tc>
          <w:tcPr>
            <w:tcW w:w="0" w:type="auto"/>
            <w:shd w:val="clear" w:color="auto" w:fill="auto"/>
          </w:tcPr>
          <w:p w14:paraId="7268E826" w14:textId="77777777" w:rsidR="005F762A" w:rsidRDefault="005F762A">
            <w:pPr>
              <w:rPr>
                <w:rFonts w:ascii="宋体"/>
                <w:vanish/>
              </w:rPr>
            </w:pPr>
          </w:p>
        </w:tc>
        <w:tc>
          <w:tcPr>
            <w:tcW w:w="5" w:type="pct"/>
            <w:shd w:val="clear" w:color="auto" w:fill="auto"/>
          </w:tcPr>
          <w:p w14:paraId="7268E827" w14:textId="77777777" w:rsidR="005F762A" w:rsidRDefault="005F762A">
            <w:pPr>
              <w:rPr>
                <w:rFonts w:ascii="宋体"/>
              </w:rPr>
            </w:pPr>
          </w:p>
        </w:tc>
        <w:tc>
          <w:tcPr>
            <w:tcW w:w="26" w:type="pct"/>
            <w:shd w:val="clear" w:color="auto" w:fill="auto"/>
          </w:tcPr>
          <w:p w14:paraId="7268E828" w14:textId="77777777" w:rsidR="005F762A" w:rsidRDefault="005F762A">
            <w:pPr>
              <w:rPr>
                <w:rFonts w:ascii="宋体"/>
              </w:rPr>
            </w:pPr>
          </w:p>
        </w:tc>
        <w:tc>
          <w:tcPr>
            <w:tcW w:w="5" w:type="pct"/>
            <w:shd w:val="clear" w:color="auto" w:fill="auto"/>
          </w:tcPr>
          <w:p w14:paraId="7268E829" w14:textId="77777777" w:rsidR="005F762A" w:rsidRDefault="005F762A">
            <w:pPr>
              <w:rPr>
                <w:rFonts w:ascii="宋体"/>
              </w:rPr>
            </w:pPr>
          </w:p>
        </w:tc>
        <w:tc>
          <w:tcPr>
            <w:tcW w:w="50" w:type="pct"/>
            <w:shd w:val="clear" w:color="auto" w:fill="auto"/>
          </w:tcPr>
          <w:p w14:paraId="7268E82A" w14:textId="77777777" w:rsidR="005F762A" w:rsidRDefault="005F762A">
            <w:pPr>
              <w:rPr>
                <w:rFonts w:ascii="宋体"/>
              </w:rPr>
            </w:pPr>
          </w:p>
        </w:tc>
        <w:tc>
          <w:tcPr>
            <w:tcW w:w="624" w:type="pct"/>
            <w:shd w:val="clear" w:color="auto" w:fill="auto"/>
          </w:tcPr>
          <w:p w14:paraId="7268E82B" w14:textId="77777777" w:rsidR="005F762A" w:rsidRDefault="005F762A">
            <w:pPr>
              <w:rPr>
                <w:rFonts w:ascii="宋体"/>
              </w:rPr>
            </w:pPr>
          </w:p>
        </w:tc>
        <w:tc>
          <w:tcPr>
            <w:tcW w:w="5" w:type="pct"/>
            <w:shd w:val="clear" w:color="auto" w:fill="auto"/>
          </w:tcPr>
          <w:p w14:paraId="7268E82C" w14:textId="77777777" w:rsidR="005F762A" w:rsidRDefault="005F762A">
            <w:pPr>
              <w:rPr>
                <w:rFonts w:ascii="宋体"/>
              </w:rPr>
            </w:pPr>
          </w:p>
        </w:tc>
        <w:tc>
          <w:tcPr>
            <w:tcW w:w="5" w:type="pct"/>
            <w:shd w:val="clear" w:color="auto" w:fill="auto"/>
          </w:tcPr>
          <w:p w14:paraId="7268E82D" w14:textId="77777777" w:rsidR="005F762A" w:rsidRDefault="005F762A">
            <w:pPr>
              <w:rPr>
                <w:rFonts w:ascii="宋体"/>
              </w:rPr>
            </w:pPr>
          </w:p>
        </w:tc>
        <w:tc>
          <w:tcPr>
            <w:tcW w:w="26" w:type="pct"/>
            <w:shd w:val="clear" w:color="auto" w:fill="auto"/>
          </w:tcPr>
          <w:p w14:paraId="7268E82E" w14:textId="77777777" w:rsidR="005F762A" w:rsidRDefault="005F762A">
            <w:pPr>
              <w:rPr>
                <w:rFonts w:ascii="宋体"/>
              </w:rPr>
            </w:pPr>
          </w:p>
        </w:tc>
        <w:tc>
          <w:tcPr>
            <w:tcW w:w="5" w:type="pct"/>
            <w:shd w:val="clear" w:color="auto" w:fill="auto"/>
          </w:tcPr>
          <w:p w14:paraId="7268E82F" w14:textId="77777777" w:rsidR="005F762A" w:rsidRDefault="005F762A">
            <w:pPr>
              <w:rPr>
                <w:rFonts w:ascii="宋体"/>
              </w:rPr>
            </w:pPr>
          </w:p>
        </w:tc>
        <w:tc>
          <w:tcPr>
            <w:tcW w:w="50" w:type="pct"/>
            <w:shd w:val="clear" w:color="auto" w:fill="auto"/>
          </w:tcPr>
          <w:p w14:paraId="7268E830" w14:textId="77777777" w:rsidR="005F762A" w:rsidRDefault="005F762A">
            <w:pPr>
              <w:rPr>
                <w:rFonts w:ascii="宋体"/>
              </w:rPr>
            </w:pPr>
          </w:p>
        </w:tc>
        <w:tc>
          <w:tcPr>
            <w:tcW w:w="624" w:type="pct"/>
            <w:shd w:val="clear" w:color="auto" w:fill="auto"/>
          </w:tcPr>
          <w:p w14:paraId="7268E831" w14:textId="77777777" w:rsidR="005F762A" w:rsidRDefault="005F762A">
            <w:pPr>
              <w:rPr>
                <w:rFonts w:ascii="宋体"/>
              </w:rPr>
            </w:pPr>
          </w:p>
        </w:tc>
        <w:tc>
          <w:tcPr>
            <w:tcW w:w="5" w:type="pct"/>
            <w:shd w:val="clear" w:color="auto" w:fill="auto"/>
          </w:tcPr>
          <w:p w14:paraId="7268E832" w14:textId="77777777" w:rsidR="005F762A" w:rsidRDefault="005F762A">
            <w:pPr>
              <w:rPr>
                <w:rFonts w:ascii="宋体"/>
              </w:rPr>
            </w:pPr>
          </w:p>
        </w:tc>
      </w:tr>
      <w:tr w:rsidR="005F762A" w14:paraId="7268E83E" w14:textId="77777777">
        <w:tc>
          <w:tcPr>
            <w:tcW w:w="0" w:type="auto"/>
            <w:gridSpan w:val="3"/>
            <w:shd w:val="clear" w:color="auto" w:fill="auto"/>
            <w:tcMar>
              <w:top w:w="40" w:type="dxa"/>
              <w:left w:w="20" w:type="dxa"/>
              <w:bottom w:w="40" w:type="dxa"/>
              <w:right w:w="20" w:type="dxa"/>
            </w:tcMar>
            <w:vAlign w:val="bottom"/>
          </w:tcPr>
          <w:p w14:paraId="7268E834"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835"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836"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837"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838" w14:textId="77777777" w:rsidR="005F762A" w:rsidRDefault="005F762A">
            <w:pPr>
              <w:rPr>
                <w:rFonts w:ascii="宋体"/>
              </w:rPr>
            </w:pPr>
          </w:p>
        </w:tc>
        <w:tc>
          <w:tcPr>
            <w:tcW w:w="0" w:type="auto"/>
            <w:shd w:val="clear" w:color="auto" w:fill="auto"/>
          </w:tcPr>
          <w:p w14:paraId="7268E839" w14:textId="77777777" w:rsidR="005F762A" w:rsidRDefault="005F762A">
            <w:pPr>
              <w:rPr>
                <w:rFonts w:ascii="宋体"/>
              </w:rPr>
            </w:pPr>
          </w:p>
        </w:tc>
        <w:tc>
          <w:tcPr>
            <w:tcW w:w="0" w:type="auto"/>
            <w:shd w:val="clear" w:color="auto" w:fill="auto"/>
          </w:tcPr>
          <w:p w14:paraId="7268E83A" w14:textId="77777777" w:rsidR="005F762A" w:rsidRDefault="005F762A">
            <w:pPr>
              <w:rPr>
                <w:rFonts w:ascii="宋体"/>
              </w:rPr>
            </w:pPr>
          </w:p>
        </w:tc>
        <w:tc>
          <w:tcPr>
            <w:tcW w:w="0" w:type="auto"/>
            <w:shd w:val="clear" w:color="auto" w:fill="auto"/>
          </w:tcPr>
          <w:p w14:paraId="7268E83B" w14:textId="77777777" w:rsidR="005F762A" w:rsidRDefault="005F762A">
            <w:pPr>
              <w:rPr>
                <w:rFonts w:ascii="宋体"/>
              </w:rPr>
            </w:pPr>
          </w:p>
        </w:tc>
        <w:tc>
          <w:tcPr>
            <w:tcW w:w="0" w:type="auto"/>
            <w:shd w:val="clear" w:color="auto" w:fill="auto"/>
          </w:tcPr>
          <w:p w14:paraId="7268E83C" w14:textId="77777777" w:rsidR="005F762A" w:rsidRDefault="005F762A">
            <w:pPr>
              <w:rPr>
                <w:rFonts w:ascii="宋体"/>
              </w:rPr>
            </w:pPr>
          </w:p>
        </w:tc>
        <w:tc>
          <w:tcPr>
            <w:tcW w:w="0" w:type="auto"/>
            <w:shd w:val="clear" w:color="auto" w:fill="auto"/>
          </w:tcPr>
          <w:p w14:paraId="7268E83D" w14:textId="77777777" w:rsidR="005F762A" w:rsidRDefault="005F762A">
            <w:pPr>
              <w:rPr>
                <w:rFonts w:ascii="宋体"/>
              </w:rPr>
            </w:pPr>
          </w:p>
        </w:tc>
      </w:tr>
      <w:tr w:rsidR="005F762A" w14:paraId="7268E847" w14:textId="77777777">
        <w:tc>
          <w:tcPr>
            <w:tcW w:w="0" w:type="auto"/>
            <w:gridSpan w:val="3"/>
            <w:shd w:val="clear" w:color="auto" w:fill="auto"/>
            <w:tcMar>
              <w:top w:w="40" w:type="dxa"/>
              <w:left w:w="20" w:type="dxa"/>
              <w:bottom w:w="40" w:type="dxa"/>
              <w:right w:w="20" w:type="dxa"/>
            </w:tcMar>
            <w:vAlign w:val="bottom"/>
          </w:tcPr>
          <w:p w14:paraId="7268E83F"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840" w14:textId="77777777" w:rsidR="005F762A" w:rsidRDefault="005F762A">
            <w:pPr>
              <w:rPr>
                <w:rFonts w:ascii="宋体"/>
                <w:vanish/>
              </w:rPr>
            </w:pPr>
          </w:p>
        </w:tc>
        <w:tc>
          <w:tcPr>
            <w:tcW w:w="0" w:type="auto"/>
            <w:shd w:val="clear" w:color="auto" w:fill="auto"/>
          </w:tcPr>
          <w:p w14:paraId="7268E841" w14:textId="77777777" w:rsidR="005F762A" w:rsidRDefault="005F762A">
            <w:pPr>
              <w:rPr>
                <w:rFonts w:ascii="宋体"/>
                <w:vanish/>
              </w:rPr>
            </w:pPr>
          </w:p>
        </w:tc>
        <w:tc>
          <w:tcPr>
            <w:tcW w:w="0" w:type="auto"/>
            <w:shd w:val="clear" w:color="auto" w:fill="auto"/>
          </w:tcPr>
          <w:p w14:paraId="7268E842"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843"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44"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845"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46"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854" w14:textId="77777777">
        <w:tc>
          <w:tcPr>
            <w:tcW w:w="0" w:type="auto"/>
            <w:gridSpan w:val="3"/>
            <w:shd w:val="clear" w:color="auto" w:fill="E2E2E2"/>
            <w:tcMar>
              <w:top w:w="40" w:type="dxa"/>
              <w:left w:w="20" w:type="dxa"/>
              <w:bottom w:w="40" w:type="dxa"/>
              <w:right w:w="20" w:type="dxa"/>
            </w:tcMar>
            <w:vAlign w:val="bottom"/>
          </w:tcPr>
          <w:p w14:paraId="7268E848" w14:textId="77777777" w:rsidR="005F762A" w:rsidRDefault="00D74111">
            <w:pPr>
              <w:textAlignment w:val="bottom"/>
            </w:pPr>
            <w:r>
              <w:rPr>
                <w:rFonts w:ascii="Arial" w:eastAsia="宋体" w:hAnsi="Arial" w:cs="Arial"/>
                <w:color w:val="000000"/>
                <w:sz w:val="18"/>
                <w:szCs w:val="18"/>
              </w:rPr>
              <w:t>U.S.</w:t>
            </w:r>
          </w:p>
        </w:tc>
        <w:tc>
          <w:tcPr>
            <w:tcW w:w="0" w:type="auto"/>
            <w:shd w:val="clear" w:color="auto" w:fill="auto"/>
          </w:tcPr>
          <w:p w14:paraId="7268E849" w14:textId="77777777" w:rsidR="005F762A" w:rsidRDefault="005F762A">
            <w:pPr>
              <w:rPr>
                <w:rFonts w:ascii="宋体"/>
                <w:vanish/>
              </w:rPr>
            </w:pPr>
          </w:p>
        </w:tc>
        <w:tc>
          <w:tcPr>
            <w:tcW w:w="0" w:type="auto"/>
            <w:shd w:val="clear" w:color="auto" w:fill="auto"/>
          </w:tcPr>
          <w:p w14:paraId="7268E84A" w14:textId="77777777" w:rsidR="005F762A" w:rsidRDefault="005F762A">
            <w:pPr>
              <w:rPr>
                <w:rFonts w:ascii="宋体"/>
                <w:vanish/>
              </w:rPr>
            </w:pPr>
          </w:p>
        </w:tc>
        <w:tc>
          <w:tcPr>
            <w:tcW w:w="0" w:type="auto"/>
            <w:shd w:val="clear" w:color="auto" w:fill="auto"/>
          </w:tcPr>
          <w:p w14:paraId="7268E84B"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84C"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84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84E" w14:textId="77777777" w:rsidR="005F762A" w:rsidRDefault="00D74111">
            <w:pPr>
              <w:jc w:val="right"/>
              <w:textAlignment w:val="bottom"/>
            </w:pPr>
            <w:r>
              <w:rPr>
                <w:rFonts w:ascii="Arial" w:eastAsia="宋体" w:hAnsi="Arial" w:cs="Arial"/>
                <w:color w:val="000000"/>
                <w:sz w:val="18"/>
                <w:szCs w:val="18"/>
              </w:rPr>
              <w:t>1,296 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84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50"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85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852" w14:textId="77777777" w:rsidR="005F762A" w:rsidRDefault="00D74111">
            <w:pPr>
              <w:jc w:val="right"/>
              <w:textAlignment w:val="bottom"/>
            </w:pPr>
            <w:r>
              <w:rPr>
                <w:rFonts w:ascii="Arial" w:eastAsia="宋体" w:hAnsi="Arial" w:cs="Arial"/>
                <w:color w:val="000000"/>
                <w:sz w:val="18"/>
                <w:szCs w:val="18"/>
              </w:rPr>
              <w:t>822 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853" w14:textId="77777777" w:rsidR="005F762A" w:rsidRDefault="005F762A">
            <w:pPr>
              <w:jc w:val="right"/>
              <w:rPr>
                <w:rFonts w:ascii="宋体"/>
              </w:rPr>
            </w:pPr>
          </w:p>
        </w:tc>
      </w:tr>
      <w:tr w:rsidR="005F762A" w14:paraId="7268E85D" w14:textId="77777777">
        <w:trPr>
          <w:hidden/>
        </w:trPr>
        <w:tc>
          <w:tcPr>
            <w:tcW w:w="0" w:type="auto"/>
            <w:gridSpan w:val="3"/>
            <w:shd w:val="clear" w:color="auto" w:fill="auto"/>
          </w:tcPr>
          <w:p w14:paraId="7268E855" w14:textId="77777777" w:rsidR="005F762A" w:rsidRDefault="005F762A">
            <w:pPr>
              <w:rPr>
                <w:rFonts w:ascii="宋体"/>
                <w:vanish/>
              </w:rPr>
            </w:pPr>
          </w:p>
        </w:tc>
        <w:tc>
          <w:tcPr>
            <w:tcW w:w="0" w:type="auto"/>
            <w:shd w:val="clear" w:color="auto" w:fill="auto"/>
          </w:tcPr>
          <w:p w14:paraId="7268E856" w14:textId="77777777" w:rsidR="005F762A" w:rsidRDefault="005F762A">
            <w:pPr>
              <w:rPr>
                <w:rFonts w:ascii="宋体"/>
                <w:vanish/>
              </w:rPr>
            </w:pPr>
          </w:p>
        </w:tc>
        <w:tc>
          <w:tcPr>
            <w:tcW w:w="0" w:type="auto"/>
            <w:shd w:val="clear" w:color="auto" w:fill="auto"/>
          </w:tcPr>
          <w:p w14:paraId="7268E857" w14:textId="77777777" w:rsidR="005F762A" w:rsidRDefault="005F762A">
            <w:pPr>
              <w:rPr>
                <w:rFonts w:ascii="宋体"/>
                <w:vanish/>
              </w:rPr>
            </w:pPr>
          </w:p>
        </w:tc>
        <w:tc>
          <w:tcPr>
            <w:tcW w:w="0" w:type="auto"/>
            <w:shd w:val="clear" w:color="auto" w:fill="auto"/>
          </w:tcPr>
          <w:p w14:paraId="7268E858" w14:textId="77777777" w:rsidR="005F762A" w:rsidRDefault="005F762A">
            <w:pPr>
              <w:rPr>
                <w:rFonts w:ascii="宋体"/>
                <w:vanish/>
              </w:rPr>
            </w:pPr>
          </w:p>
        </w:tc>
        <w:tc>
          <w:tcPr>
            <w:tcW w:w="0" w:type="auto"/>
            <w:gridSpan w:val="3"/>
            <w:shd w:val="clear" w:color="auto" w:fill="auto"/>
          </w:tcPr>
          <w:p w14:paraId="7268E859" w14:textId="77777777" w:rsidR="005F762A" w:rsidRDefault="005F762A">
            <w:pPr>
              <w:rPr>
                <w:rFonts w:ascii="宋体"/>
                <w:vanish/>
              </w:rPr>
            </w:pPr>
          </w:p>
        </w:tc>
        <w:tc>
          <w:tcPr>
            <w:tcW w:w="0" w:type="auto"/>
            <w:gridSpan w:val="3"/>
            <w:shd w:val="clear" w:color="auto" w:fill="auto"/>
          </w:tcPr>
          <w:p w14:paraId="7268E85A" w14:textId="77777777" w:rsidR="005F762A" w:rsidRDefault="005F762A">
            <w:pPr>
              <w:rPr>
                <w:rFonts w:ascii="宋体"/>
                <w:vanish/>
              </w:rPr>
            </w:pPr>
          </w:p>
        </w:tc>
        <w:tc>
          <w:tcPr>
            <w:tcW w:w="0" w:type="auto"/>
            <w:gridSpan w:val="3"/>
            <w:shd w:val="clear" w:color="auto" w:fill="auto"/>
          </w:tcPr>
          <w:p w14:paraId="7268E85B" w14:textId="77777777" w:rsidR="005F762A" w:rsidRDefault="005F762A">
            <w:pPr>
              <w:rPr>
                <w:rFonts w:ascii="宋体"/>
                <w:vanish/>
              </w:rPr>
            </w:pPr>
          </w:p>
        </w:tc>
        <w:tc>
          <w:tcPr>
            <w:tcW w:w="0" w:type="auto"/>
            <w:gridSpan w:val="3"/>
            <w:shd w:val="clear" w:color="auto" w:fill="auto"/>
          </w:tcPr>
          <w:p w14:paraId="7268E85C" w14:textId="77777777" w:rsidR="005F762A" w:rsidRDefault="005F762A">
            <w:pPr>
              <w:rPr>
                <w:rFonts w:ascii="宋体"/>
                <w:vanish/>
              </w:rPr>
            </w:pPr>
          </w:p>
        </w:tc>
      </w:tr>
      <w:tr w:rsidR="005F762A" w14:paraId="7268E868" w14:textId="77777777">
        <w:tc>
          <w:tcPr>
            <w:tcW w:w="0" w:type="auto"/>
            <w:gridSpan w:val="3"/>
            <w:shd w:val="clear" w:color="auto" w:fill="FFFFFF"/>
            <w:tcMar>
              <w:top w:w="40" w:type="dxa"/>
              <w:left w:w="20" w:type="dxa"/>
              <w:bottom w:w="40" w:type="dxa"/>
              <w:right w:w="20" w:type="dxa"/>
            </w:tcMar>
            <w:vAlign w:val="bottom"/>
          </w:tcPr>
          <w:p w14:paraId="7268E85E" w14:textId="77777777" w:rsidR="005F762A" w:rsidRDefault="00D74111">
            <w:pPr>
              <w:textAlignment w:val="bottom"/>
            </w:pPr>
            <w:r>
              <w:rPr>
                <w:rFonts w:ascii="Arial" w:eastAsia="宋体" w:hAnsi="Arial" w:cs="Arial"/>
                <w:color w:val="000000"/>
                <w:sz w:val="18"/>
                <w:szCs w:val="18"/>
              </w:rPr>
              <w:t>United Kingdom</w:t>
            </w:r>
          </w:p>
        </w:tc>
        <w:tc>
          <w:tcPr>
            <w:tcW w:w="0" w:type="auto"/>
            <w:shd w:val="clear" w:color="auto" w:fill="auto"/>
          </w:tcPr>
          <w:p w14:paraId="7268E85F" w14:textId="77777777" w:rsidR="005F762A" w:rsidRDefault="005F762A">
            <w:pPr>
              <w:rPr>
                <w:rFonts w:ascii="宋体"/>
                <w:vanish/>
              </w:rPr>
            </w:pPr>
          </w:p>
        </w:tc>
        <w:tc>
          <w:tcPr>
            <w:tcW w:w="0" w:type="auto"/>
            <w:shd w:val="clear" w:color="auto" w:fill="auto"/>
          </w:tcPr>
          <w:p w14:paraId="7268E860" w14:textId="77777777" w:rsidR="005F762A" w:rsidRDefault="005F762A">
            <w:pPr>
              <w:rPr>
                <w:rFonts w:ascii="宋体"/>
                <w:vanish/>
              </w:rPr>
            </w:pPr>
          </w:p>
        </w:tc>
        <w:tc>
          <w:tcPr>
            <w:tcW w:w="0" w:type="auto"/>
            <w:shd w:val="clear" w:color="auto" w:fill="auto"/>
          </w:tcPr>
          <w:p w14:paraId="7268E86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86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63" w14:textId="77777777" w:rsidR="005F762A" w:rsidRDefault="00D74111">
            <w:pPr>
              <w:jc w:val="right"/>
              <w:textAlignment w:val="bottom"/>
            </w:pPr>
            <w:r>
              <w:rPr>
                <w:rFonts w:ascii="Arial" w:eastAsia="宋体" w:hAnsi="Arial" w:cs="Arial"/>
                <w:color w:val="000000"/>
                <w:sz w:val="18"/>
                <w:szCs w:val="18"/>
              </w:rPr>
              <w:t>503 </w:t>
            </w:r>
          </w:p>
        </w:tc>
        <w:tc>
          <w:tcPr>
            <w:tcW w:w="0" w:type="auto"/>
            <w:shd w:val="clear" w:color="auto" w:fill="FFFFFF"/>
            <w:tcMar>
              <w:top w:w="40" w:type="dxa"/>
              <w:left w:w="0" w:type="dxa"/>
              <w:bottom w:w="40" w:type="dxa"/>
              <w:right w:w="20" w:type="dxa"/>
            </w:tcMar>
            <w:vAlign w:val="bottom"/>
          </w:tcPr>
          <w:p w14:paraId="7268E86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6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66" w14:textId="77777777" w:rsidR="005F762A" w:rsidRDefault="00D74111">
            <w:pPr>
              <w:jc w:val="right"/>
              <w:textAlignment w:val="bottom"/>
            </w:pPr>
            <w:r>
              <w:rPr>
                <w:rFonts w:ascii="Arial" w:eastAsia="宋体" w:hAnsi="Arial" w:cs="Arial"/>
                <w:color w:val="000000"/>
                <w:sz w:val="18"/>
                <w:szCs w:val="18"/>
              </w:rPr>
              <w:t>327 </w:t>
            </w:r>
          </w:p>
        </w:tc>
        <w:tc>
          <w:tcPr>
            <w:tcW w:w="0" w:type="auto"/>
            <w:shd w:val="clear" w:color="auto" w:fill="FFFFFF"/>
            <w:tcMar>
              <w:top w:w="40" w:type="dxa"/>
              <w:left w:w="0" w:type="dxa"/>
              <w:bottom w:w="40" w:type="dxa"/>
              <w:right w:w="20" w:type="dxa"/>
            </w:tcMar>
            <w:vAlign w:val="bottom"/>
          </w:tcPr>
          <w:p w14:paraId="7268E867" w14:textId="77777777" w:rsidR="005F762A" w:rsidRDefault="005F762A">
            <w:pPr>
              <w:jc w:val="right"/>
              <w:rPr>
                <w:rFonts w:ascii="宋体"/>
              </w:rPr>
            </w:pPr>
          </w:p>
        </w:tc>
      </w:tr>
      <w:tr w:rsidR="005F762A" w14:paraId="7268E873" w14:textId="77777777">
        <w:tc>
          <w:tcPr>
            <w:tcW w:w="0" w:type="auto"/>
            <w:gridSpan w:val="3"/>
            <w:shd w:val="clear" w:color="auto" w:fill="E2E2E2"/>
            <w:tcMar>
              <w:top w:w="40" w:type="dxa"/>
              <w:left w:w="20" w:type="dxa"/>
              <w:bottom w:w="40" w:type="dxa"/>
              <w:right w:w="20" w:type="dxa"/>
            </w:tcMar>
            <w:vAlign w:val="bottom"/>
          </w:tcPr>
          <w:p w14:paraId="7268E869" w14:textId="77777777" w:rsidR="005F762A" w:rsidRDefault="00D74111">
            <w:pPr>
              <w:textAlignment w:val="bottom"/>
            </w:pPr>
            <w:r>
              <w:rPr>
                <w:rFonts w:ascii="Arial" w:eastAsia="宋体" w:hAnsi="Arial" w:cs="Arial"/>
                <w:color w:val="000000"/>
                <w:sz w:val="18"/>
                <w:szCs w:val="18"/>
              </w:rPr>
              <w:t>South Korea</w:t>
            </w:r>
          </w:p>
        </w:tc>
        <w:tc>
          <w:tcPr>
            <w:tcW w:w="0" w:type="auto"/>
            <w:shd w:val="clear" w:color="auto" w:fill="auto"/>
          </w:tcPr>
          <w:p w14:paraId="7268E86A" w14:textId="77777777" w:rsidR="005F762A" w:rsidRDefault="005F762A">
            <w:pPr>
              <w:rPr>
                <w:rFonts w:ascii="宋体"/>
                <w:vanish/>
              </w:rPr>
            </w:pPr>
          </w:p>
        </w:tc>
        <w:tc>
          <w:tcPr>
            <w:tcW w:w="0" w:type="auto"/>
            <w:shd w:val="clear" w:color="auto" w:fill="auto"/>
          </w:tcPr>
          <w:p w14:paraId="7268E86B" w14:textId="77777777" w:rsidR="005F762A" w:rsidRDefault="005F762A">
            <w:pPr>
              <w:rPr>
                <w:rFonts w:ascii="宋体"/>
                <w:vanish/>
              </w:rPr>
            </w:pPr>
          </w:p>
        </w:tc>
        <w:tc>
          <w:tcPr>
            <w:tcW w:w="0" w:type="auto"/>
            <w:shd w:val="clear" w:color="auto" w:fill="auto"/>
          </w:tcPr>
          <w:p w14:paraId="7268E86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86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6E" w14:textId="77777777" w:rsidR="005F762A" w:rsidRDefault="00D74111">
            <w:pPr>
              <w:jc w:val="right"/>
              <w:textAlignment w:val="bottom"/>
            </w:pPr>
            <w:r>
              <w:rPr>
                <w:rFonts w:ascii="Arial" w:eastAsia="宋体" w:hAnsi="Arial" w:cs="Arial"/>
                <w:color w:val="000000"/>
                <w:sz w:val="18"/>
                <w:szCs w:val="18"/>
              </w:rPr>
              <w:t>389 </w:t>
            </w:r>
          </w:p>
        </w:tc>
        <w:tc>
          <w:tcPr>
            <w:tcW w:w="0" w:type="auto"/>
            <w:shd w:val="clear" w:color="auto" w:fill="E2E2E2"/>
            <w:tcMar>
              <w:top w:w="40" w:type="dxa"/>
              <w:left w:w="0" w:type="dxa"/>
              <w:bottom w:w="40" w:type="dxa"/>
              <w:right w:w="20" w:type="dxa"/>
            </w:tcMar>
            <w:vAlign w:val="bottom"/>
          </w:tcPr>
          <w:p w14:paraId="7268E86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7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71" w14:textId="77777777" w:rsidR="005F762A" w:rsidRDefault="00D74111">
            <w:pPr>
              <w:jc w:val="right"/>
              <w:textAlignment w:val="bottom"/>
            </w:pPr>
            <w:r>
              <w:rPr>
                <w:rFonts w:ascii="Arial" w:eastAsia="宋体" w:hAnsi="Arial" w:cs="Arial"/>
                <w:color w:val="000000"/>
                <w:sz w:val="18"/>
                <w:szCs w:val="18"/>
              </w:rPr>
              <w:t>312 </w:t>
            </w:r>
          </w:p>
        </w:tc>
        <w:tc>
          <w:tcPr>
            <w:tcW w:w="0" w:type="auto"/>
            <w:shd w:val="clear" w:color="auto" w:fill="E2E2E2"/>
            <w:tcMar>
              <w:top w:w="40" w:type="dxa"/>
              <w:left w:w="0" w:type="dxa"/>
              <w:bottom w:w="40" w:type="dxa"/>
              <w:right w:w="20" w:type="dxa"/>
            </w:tcMar>
            <w:vAlign w:val="bottom"/>
          </w:tcPr>
          <w:p w14:paraId="7268E872" w14:textId="77777777" w:rsidR="005F762A" w:rsidRDefault="005F762A">
            <w:pPr>
              <w:jc w:val="right"/>
              <w:rPr>
                <w:rFonts w:ascii="宋体"/>
              </w:rPr>
            </w:pPr>
          </w:p>
        </w:tc>
      </w:tr>
      <w:tr w:rsidR="005F762A" w14:paraId="7268E87E" w14:textId="77777777">
        <w:tc>
          <w:tcPr>
            <w:tcW w:w="0" w:type="auto"/>
            <w:gridSpan w:val="3"/>
            <w:shd w:val="clear" w:color="auto" w:fill="FFFFFF"/>
            <w:tcMar>
              <w:top w:w="40" w:type="dxa"/>
              <w:left w:w="20" w:type="dxa"/>
              <w:bottom w:w="40" w:type="dxa"/>
              <w:right w:w="20" w:type="dxa"/>
            </w:tcMar>
            <w:vAlign w:val="bottom"/>
          </w:tcPr>
          <w:p w14:paraId="7268E874" w14:textId="77777777" w:rsidR="005F762A" w:rsidRDefault="00D74111">
            <w:pPr>
              <w:textAlignment w:val="bottom"/>
            </w:pPr>
            <w:r>
              <w:rPr>
                <w:rFonts w:ascii="Arial" w:eastAsia="宋体" w:hAnsi="Arial" w:cs="Arial"/>
                <w:color w:val="000000"/>
                <w:sz w:val="18"/>
                <w:szCs w:val="18"/>
              </w:rPr>
              <w:t>Germany</w:t>
            </w:r>
          </w:p>
        </w:tc>
        <w:tc>
          <w:tcPr>
            <w:tcW w:w="0" w:type="auto"/>
            <w:shd w:val="clear" w:color="auto" w:fill="auto"/>
          </w:tcPr>
          <w:p w14:paraId="7268E875" w14:textId="77777777" w:rsidR="005F762A" w:rsidRDefault="005F762A">
            <w:pPr>
              <w:rPr>
                <w:rFonts w:ascii="宋体"/>
                <w:vanish/>
              </w:rPr>
            </w:pPr>
          </w:p>
        </w:tc>
        <w:tc>
          <w:tcPr>
            <w:tcW w:w="0" w:type="auto"/>
            <w:shd w:val="clear" w:color="auto" w:fill="auto"/>
          </w:tcPr>
          <w:p w14:paraId="7268E876" w14:textId="77777777" w:rsidR="005F762A" w:rsidRDefault="005F762A">
            <w:pPr>
              <w:rPr>
                <w:rFonts w:ascii="宋体"/>
                <w:vanish/>
              </w:rPr>
            </w:pPr>
          </w:p>
        </w:tc>
        <w:tc>
          <w:tcPr>
            <w:tcW w:w="0" w:type="auto"/>
            <w:shd w:val="clear" w:color="auto" w:fill="auto"/>
          </w:tcPr>
          <w:p w14:paraId="7268E87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87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79" w14:textId="77777777" w:rsidR="005F762A" w:rsidRDefault="00D74111">
            <w:pPr>
              <w:jc w:val="right"/>
              <w:textAlignment w:val="bottom"/>
            </w:pPr>
            <w:r>
              <w:rPr>
                <w:rFonts w:ascii="Arial" w:eastAsia="宋体" w:hAnsi="Arial" w:cs="Arial"/>
                <w:color w:val="000000"/>
                <w:sz w:val="18"/>
                <w:szCs w:val="18"/>
              </w:rPr>
              <w:t>344 </w:t>
            </w:r>
          </w:p>
        </w:tc>
        <w:tc>
          <w:tcPr>
            <w:tcW w:w="0" w:type="auto"/>
            <w:shd w:val="clear" w:color="auto" w:fill="FFFFFF"/>
            <w:tcMar>
              <w:top w:w="40" w:type="dxa"/>
              <w:left w:w="0" w:type="dxa"/>
              <w:bottom w:w="40" w:type="dxa"/>
              <w:right w:w="20" w:type="dxa"/>
            </w:tcMar>
            <w:vAlign w:val="bottom"/>
          </w:tcPr>
          <w:p w14:paraId="7268E87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7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7C" w14:textId="77777777" w:rsidR="005F762A" w:rsidRDefault="00D74111">
            <w:pPr>
              <w:jc w:val="right"/>
              <w:textAlignment w:val="bottom"/>
            </w:pPr>
            <w:r>
              <w:rPr>
                <w:rFonts w:ascii="Arial" w:eastAsia="宋体" w:hAnsi="Arial" w:cs="Arial"/>
                <w:color w:val="000000"/>
                <w:sz w:val="18"/>
                <w:szCs w:val="18"/>
              </w:rPr>
              <w:t>232 </w:t>
            </w:r>
          </w:p>
        </w:tc>
        <w:tc>
          <w:tcPr>
            <w:tcW w:w="0" w:type="auto"/>
            <w:shd w:val="clear" w:color="auto" w:fill="FFFFFF"/>
            <w:tcMar>
              <w:top w:w="40" w:type="dxa"/>
              <w:left w:w="0" w:type="dxa"/>
              <w:bottom w:w="40" w:type="dxa"/>
              <w:right w:w="20" w:type="dxa"/>
            </w:tcMar>
            <w:vAlign w:val="bottom"/>
          </w:tcPr>
          <w:p w14:paraId="7268E87D" w14:textId="77777777" w:rsidR="005F762A" w:rsidRDefault="005F762A">
            <w:pPr>
              <w:jc w:val="right"/>
              <w:rPr>
                <w:rFonts w:ascii="宋体"/>
              </w:rPr>
            </w:pPr>
          </w:p>
        </w:tc>
      </w:tr>
      <w:tr w:rsidR="005F762A" w14:paraId="7268E889" w14:textId="77777777">
        <w:tc>
          <w:tcPr>
            <w:tcW w:w="0" w:type="auto"/>
            <w:gridSpan w:val="3"/>
            <w:shd w:val="clear" w:color="auto" w:fill="E2E2E2"/>
            <w:tcMar>
              <w:top w:w="40" w:type="dxa"/>
              <w:left w:w="20" w:type="dxa"/>
              <w:bottom w:w="40" w:type="dxa"/>
              <w:right w:w="20" w:type="dxa"/>
            </w:tcMar>
            <w:vAlign w:val="bottom"/>
          </w:tcPr>
          <w:p w14:paraId="7268E87F" w14:textId="77777777" w:rsidR="005F762A" w:rsidRDefault="00D74111">
            <w:pPr>
              <w:textAlignment w:val="bottom"/>
            </w:pPr>
            <w:r>
              <w:rPr>
                <w:rFonts w:ascii="Arial" w:eastAsia="宋体" w:hAnsi="Arial" w:cs="Arial"/>
                <w:color w:val="000000"/>
                <w:sz w:val="18"/>
                <w:szCs w:val="18"/>
              </w:rPr>
              <w:t>Rest of world</w:t>
            </w:r>
          </w:p>
        </w:tc>
        <w:tc>
          <w:tcPr>
            <w:tcW w:w="0" w:type="auto"/>
            <w:shd w:val="clear" w:color="auto" w:fill="auto"/>
          </w:tcPr>
          <w:p w14:paraId="7268E880" w14:textId="77777777" w:rsidR="005F762A" w:rsidRDefault="005F762A">
            <w:pPr>
              <w:rPr>
                <w:rFonts w:ascii="宋体"/>
                <w:vanish/>
              </w:rPr>
            </w:pPr>
          </w:p>
        </w:tc>
        <w:tc>
          <w:tcPr>
            <w:tcW w:w="0" w:type="auto"/>
            <w:shd w:val="clear" w:color="auto" w:fill="auto"/>
          </w:tcPr>
          <w:p w14:paraId="7268E881" w14:textId="77777777" w:rsidR="005F762A" w:rsidRDefault="005F762A">
            <w:pPr>
              <w:rPr>
                <w:rFonts w:ascii="宋体"/>
                <w:vanish/>
              </w:rPr>
            </w:pPr>
          </w:p>
        </w:tc>
        <w:tc>
          <w:tcPr>
            <w:tcW w:w="0" w:type="auto"/>
            <w:shd w:val="clear" w:color="auto" w:fill="auto"/>
          </w:tcPr>
          <w:p w14:paraId="7268E88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88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84" w14:textId="77777777" w:rsidR="005F762A" w:rsidRDefault="00D74111">
            <w:pPr>
              <w:jc w:val="right"/>
              <w:textAlignment w:val="bottom"/>
            </w:pPr>
            <w:r>
              <w:rPr>
                <w:rFonts w:ascii="Arial" w:eastAsia="宋体" w:hAnsi="Arial" w:cs="Arial"/>
                <w:color w:val="000000"/>
                <w:sz w:val="18"/>
                <w:szCs w:val="18"/>
              </w:rPr>
              <w:t>491 </w:t>
            </w:r>
          </w:p>
        </w:tc>
        <w:tc>
          <w:tcPr>
            <w:tcW w:w="0" w:type="auto"/>
            <w:shd w:val="clear" w:color="auto" w:fill="E2E2E2"/>
            <w:tcMar>
              <w:top w:w="40" w:type="dxa"/>
              <w:left w:w="0" w:type="dxa"/>
              <w:bottom w:w="40" w:type="dxa"/>
              <w:right w:w="20" w:type="dxa"/>
            </w:tcMar>
            <w:vAlign w:val="bottom"/>
          </w:tcPr>
          <w:p w14:paraId="7268E88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8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87" w14:textId="77777777" w:rsidR="005F762A" w:rsidRDefault="00D74111">
            <w:pPr>
              <w:jc w:val="right"/>
              <w:textAlignment w:val="bottom"/>
            </w:pPr>
            <w:r>
              <w:rPr>
                <w:rFonts w:ascii="Arial" w:eastAsia="宋体" w:hAnsi="Arial" w:cs="Arial"/>
                <w:color w:val="000000"/>
                <w:sz w:val="18"/>
                <w:szCs w:val="18"/>
              </w:rPr>
              <w:t>436 </w:t>
            </w:r>
          </w:p>
        </w:tc>
        <w:tc>
          <w:tcPr>
            <w:tcW w:w="0" w:type="auto"/>
            <w:shd w:val="clear" w:color="auto" w:fill="E2E2E2"/>
            <w:tcMar>
              <w:top w:w="40" w:type="dxa"/>
              <w:left w:w="0" w:type="dxa"/>
              <w:bottom w:w="40" w:type="dxa"/>
              <w:right w:w="20" w:type="dxa"/>
            </w:tcMar>
            <w:vAlign w:val="bottom"/>
          </w:tcPr>
          <w:p w14:paraId="7268E888" w14:textId="77777777" w:rsidR="005F762A" w:rsidRDefault="005F762A">
            <w:pPr>
              <w:jc w:val="right"/>
              <w:rPr>
                <w:rFonts w:ascii="宋体"/>
              </w:rPr>
            </w:pPr>
          </w:p>
        </w:tc>
      </w:tr>
      <w:tr w:rsidR="005F762A" w14:paraId="7268E896" w14:textId="77777777">
        <w:tc>
          <w:tcPr>
            <w:tcW w:w="0" w:type="auto"/>
            <w:gridSpan w:val="3"/>
            <w:shd w:val="clear" w:color="auto" w:fill="FFFFFF"/>
            <w:tcMar>
              <w:top w:w="40" w:type="dxa"/>
              <w:left w:w="245" w:type="dxa"/>
              <w:bottom w:w="40" w:type="dxa"/>
              <w:right w:w="20" w:type="dxa"/>
            </w:tcMar>
            <w:vAlign w:val="bottom"/>
          </w:tcPr>
          <w:p w14:paraId="7268E88A" w14:textId="77777777" w:rsidR="005F762A" w:rsidRDefault="00D74111">
            <w:pPr>
              <w:textAlignment w:val="bottom"/>
            </w:pPr>
            <w:r>
              <w:rPr>
                <w:rFonts w:ascii="Arial" w:eastAsia="宋体" w:hAnsi="Arial" w:cs="Arial"/>
                <w:color w:val="000000"/>
                <w:sz w:val="18"/>
                <w:szCs w:val="18"/>
              </w:rPr>
              <w:t>Total net revenues</w:t>
            </w:r>
          </w:p>
        </w:tc>
        <w:tc>
          <w:tcPr>
            <w:tcW w:w="0" w:type="auto"/>
            <w:shd w:val="clear" w:color="auto" w:fill="auto"/>
          </w:tcPr>
          <w:p w14:paraId="7268E88B" w14:textId="77777777" w:rsidR="005F762A" w:rsidRDefault="005F762A">
            <w:pPr>
              <w:rPr>
                <w:rFonts w:ascii="宋体"/>
                <w:vanish/>
              </w:rPr>
            </w:pPr>
          </w:p>
        </w:tc>
        <w:tc>
          <w:tcPr>
            <w:tcW w:w="0" w:type="auto"/>
            <w:shd w:val="clear" w:color="auto" w:fill="auto"/>
          </w:tcPr>
          <w:p w14:paraId="7268E88C" w14:textId="77777777" w:rsidR="005F762A" w:rsidRDefault="005F762A">
            <w:pPr>
              <w:rPr>
                <w:rFonts w:ascii="宋体"/>
                <w:vanish/>
              </w:rPr>
            </w:pPr>
          </w:p>
        </w:tc>
        <w:tc>
          <w:tcPr>
            <w:tcW w:w="0" w:type="auto"/>
            <w:shd w:val="clear" w:color="auto" w:fill="auto"/>
          </w:tcPr>
          <w:p w14:paraId="7268E88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88E"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88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890" w14:textId="77777777" w:rsidR="005F762A" w:rsidRDefault="00D74111">
            <w:pPr>
              <w:jc w:val="right"/>
              <w:textAlignment w:val="bottom"/>
            </w:pPr>
            <w:r>
              <w:rPr>
                <w:rFonts w:ascii="Arial" w:eastAsia="宋体" w:hAnsi="Arial" w:cs="Arial"/>
                <w:color w:val="000000"/>
                <w:sz w:val="18"/>
                <w:szCs w:val="18"/>
              </w:rPr>
              <w:t>3,023 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89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92"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89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894" w14:textId="77777777" w:rsidR="005F762A" w:rsidRDefault="00D74111">
            <w:pPr>
              <w:jc w:val="right"/>
              <w:textAlignment w:val="bottom"/>
            </w:pPr>
            <w:r>
              <w:rPr>
                <w:rFonts w:ascii="Arial" w:eastAsia="宋体" w:hAnsi="Arial" w:cs="Arial"/>
                <w:color w:val="000000"/>
                <w:sz w:val="18"/>
                <w:szCs w:val="18"/>
              </w:rPr>
              <w:t>2,129 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895" w14:textId="77777777" w:rsidR="005F762A" w:rsidRDefault="005F762A">
            <w:pPr>
              <w:jc w:val="right"/>
              <w:rPr>
                <w:rFonts w:ascii="宋体"/>
              </w:rPr>
            </w:pPr>
          </w:p>
        </w:tc>
      </w:tr>
    </w:tbl>
    <w:p w14:paraId="7268E897" w14:textId="77777777" w:rsidR="005F762A" w:rsidRDefault="005F762A">
      <w:pPr>
        <w:ind w:firstLine="540"/>
        <w:jc w:val="both"/>
      </w:pPr>
    </w:p>
    <w:p w14:paraId="7268E898" w14:textId="77777777" w:rsidR="005F762A" w:rsidRDefault="00D74111">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that displays advertising, other service prov</w:t>
      </w:r>
      <w:r>
        <w:rPr>
          <w:rFonts w:ascii="Arial" w:eastAsia="宋体" w:hAnsi="Arial" w:cs="Arial"/>
          <w:color w:val="000000"/>
          <w:sz w:val="20"/>
          <w:szCs w:val="20"/>
        </w:rPr>
        <w:t xml:space="preserve">ider or customer, as the case may be, is located. </w:t>
      </w:r>
    </w:p>
    <w:p w14:paraId="7268E899" w14:textId="77777777" w:rsidR="005F762A" w:rsidRDefault="005F762A">
      <w:pPr>
        <w:ind w:firstLine="540"/>
        <w:jc w:val="both"/>
      </w:pPr>
    </w:p>
    <w:p w14:paraId="7268E89A" w14:textId="77777777" w:rsidR="005F762A" w:rsidRDefault="00D74111">
      <w:r>
        <w:rPr>
          <w:rFonts w:ascii="Arial" w:eastAsia="宋体" w:hAnsi="Arial" w:cs="Arial"/>
          <w:b/>
          <w:bCs/>
          <w:color w:val="000000"/>
          <w:sz w:val="20"/>
          <w:szCs w:val="20"/>
        </w:rPr>
        <w:t>Note 6 — Investments</w:t>
      </w:r>
    </w:p>
    <w:p w14:paraId="7268E89B" w14:textId="77777777" w:rsidR="005F762A" w:rsidRDefault="005F762A"/>
    <w:p w14:paraId="7268E89C" w14:textId="77777777" w:rsidR="005F762A" w:rsidRDefault="00D74111">
      <w:pPr>
        <w:ind w:firstLine="540"/>
      </w:pPr>
      <w:r>
        <w:rPr>
          <w:rFonts w:ascii="Arial" w:eastAsia="宋体" w:hAnsi="Arial" w:cs="Arial"/>
          <w:color w:val="000000"/>
          <w:sz w:val="20"/>
          <w:szCs w:val="20"/>
        </w:rPr>
        <w:t xml:space="preserve">The following tables summarize the unrealized gains and losses and estimated fair value of our investments classified as available-for-sale and restricted cash (in </w:t>
      </w:r>
      <w:r>
        <w:rPr>
          <w:rFonts w:ascii="Arial" w:eastAsia="宋体" w:hAnsi="Arial" w:cs="Arial"/>
          <w:color w:val="000000"/>
          <w:sz w:val="20"/>
          <w:szCs w:val="20"/>
        </w:rPr>
        <w:t>millions):</w:t>
      </w:r>
      <w:r>
        <w:rPr>
          <w:rFonts w:ascii="Arial" w:eastAsia="宋体" w:hAnsi="Arial" w:cs="Arial"/>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702"/>
        <w:gridCol w:w="37"/>
        <w:gridCol w:w="122"/>
        <w:gridCol w:w="886"/>
        <w:gridCol w:w="36"/>
        <w:gridCol w:w="37"/>
        <w:gridCol w:w="102"/>
        <w:gridCol w:w="36"/>
        <w:gridCol w:w="122"/>
        <w:gridCol w:w="886"/>
        <w:gridCol w:w="36"/>
        <w:gridCol w:w="37"/>
        <w:gridCol w:w="102"/>
        <w:gridCol w:w="36"/>
        <w:gridCol w:w="122"/>
        <w:gridCol w:w="886"/>
        <w:gridCol w:w="36"/>
        <w:gridCol w:w="36"/>
        <w:gridCol w:w="36"/>
        <w:gridCol w:w="36"/>
        <w:gridCol w:w="122"/>
        <w:gridCol w:w="811"/>
        <w:gridCol w:w="36"/>
      </w:tblGrid>
      <w:tr w:rsidR="005F762A" w14:paraId="7268E8B5" w14:textId="77777777">
        <w:tc>
          <w:tcPr>
            <w:tcW w:w="50" w:type="pct"/>
            <w:shd w:val="clear" w:color="auto" w:fill="auto"/>
          </w:tcPr>
          <w:p w14:paraId="7268E89D" w14:textId="77777777" w:rsidR="005F762A" w:rsidRDefault="005F762A">
            <w:pPr>
              <w:rPr>
                <w:rFonts w:ascii="宋体"/>
              </w:rPr>
            </w:pPr>
          </w:p>
        </w:tc>
        <w:tc>
          <w:tcPr>
            <w:tcW w:w="2291" w:type="pct"/>
            <w:shd w:val="clear" w:color="auto" w:fill="auto"/>
          </w:tcPr>
          <w:p w14:paraId="7268E89E" w14:textId="77777777" w:rsidR="005F762A" w:rsidRDefault="005F762A">
            <w:pPr>
              <w:rPr>
                <w:rFonts w:ascii="宋体"/>
              </w:rPr>
            </w:pPr>
          </w:p>
        </w:tc>
        <w:tc>
          <w:tcPr>
            <w:tcW w:w="5" w:type="pct"/>
            <w:shd w:val="clear" w:color="auto" w:fill="auto"/>
          </w:tcPr>
          <w:p w14:paraId="7268E89F" w14:textId="77777777" w:rsidR="005F762A" w:rsidRDefault="005F762A">
            <w:pPr>
              <w:rPr>
                <w:rFonts w:ascii="宋体"/>
              </w:rPr>
            </w:pPr>
          </w:p>
        </w:tc>
        <w:tc>
          <w:tcPr>
            <w:tcW w:w="50" w:type="pct"/>
            <w:shd w:val="clear" w:color="auto" w:fill="auto"/>
          </w:tcPr>
          <w:p w14:paraId="7268E8A0" w14:textId="77777777" w:rsidR="005F762A" w:rsidRDefault="005F762A">
            <w:pPr>
              <w:rPr>
                <w:rFonts w:ascii="宋体"/>
              </w:rPr>
            </w:pPr>
          </w:p>
        </w:tc>
        <w:tc>
          <w:tcPr>
            <w:tcW w:w="580" w:type="pct"/>
            <w:shd w:val="clear" w:color="auto" w:fill="auto"/>
          </w:tcPr>
          <w:p w14:paraId="7268E8A1" w14:textId="77777777" w:rsidR="005F762A" w:rsidRDefault="005F762A">
            <w:pPr>
              <w:rPr>
                <w:rFonts w:ascii="宋体"/>
              </w:rPr>
            </w:pPr>
          </w:p>
        </w:tc>
        <w:tc>
          <w:tcPr>
            <w:tcW w:w="5" w:type="pct"/>
            <w:shd w:val="clear" w:color="auto" w:fill="auto"/>
          </w:tcPr>
          <w:p w14:paraId="7268E8A2" w14:textId="77777777" w:rsidR="005F762A" w:rsidRDefault="005F762A">
            <w:pPr>
              <w:rPr>
                <w:rFonts w:ascii="宋体"/>
              </w:rPr>
            </w:pPr>
          </w:p>
        </w:tc>
        <w:tc>
          <w:tcPr>
            <w:tcW w:w="5" w:type="pct"/>
            <w:shd w:val="clear" w:color="auto" w:fill="auto"/>
          </w:tcPr>
          <w:p w14:paraId="7268E8A3" w14:textId="77777777" w:rsidR="005F762A" w:rsidRDefault="005F762A">
            <w:pPr>
              <w:rPr>
                <w:rFonts w:ascii="宋体"/>
              </w:rPr>
            </w:pPr>
          </w:p>
        </w:tc>
        <w:tc>
          <w:tcPr>
            <w:tcW w:w="26" w:type="pct"/>
            <w:shd w:val="clear" w:color="auto" w:fill="auto"/>
          </w:tcPr>
          <w:p w14:paraId="7268E8A4" w14:textId="77777777" w:rsidR="005F762A" w:rsidRDefault="005F762A">
            <w:pPr>
              <w:rPr>
                <w:rFonts w:ascii="宋体"/>
              </w:rPr>
            </w:pPr>
          </w:p>
        </w:tc>
        <w:tc>
          <w:tcPr>
            <w:tcW w:w="5" w:type="pct"/>
            <w:shd w:val="clear" w:color="auto" w:fill="auto"/>
          </w:tcPr>
          <w:p w14:paraId="7268E8A5" w14:textId="77777777" w:rsidR="005F762A" w:rsidRDefault="005F762A">
            <w:pPr>
              <w:rPr>
                <w:rFonts w:ascii="宋体"/>
              </w:rPr>
            </w:pPr>
          </w:p>
        </w:tc>
        <w:tc>
          <w:tcPr>
            <w:tcW w:w="50" w:type="pct"/>
            <w:shd w:val="clear" w:color="auto" w:fill="auto"/>
          </w:tcPr>
          <w:p w14:paraId="7268E8A6" w14:textId="77777777" w:rsidR="005F762A" w:rsidRDefault="005F762A">
            <w:pPr>
              <w:rPr>
                <w:rFonts w:ascii="宋体"/>
              </w:rPr>
            </w:pPr>
          </w:p>
        </w:tc>
        <w:tc>
          <w:tcPr>
            <w:tcW w:w="580" w:type="pct"/>
            <w:shd w:val="clear" w:color="auto" w:fill="auto"/>
          </w:tcPr>
          <w:p w14:paraId="7268E8A7" w14:textId="77777777" w:rsidR="005F762A" w:rsidRDefault="005F762A">
            <w:pPr>
              <w:rPr>
                <w:rFonts w:ascii="宋体"/>
              </w:rPr>
            </w:pPr>
          </w:p>
        </w:tc>
        <w:tc>
          <w:tcPr>
            <w:tcW w:w="5" w:type="pct"/>
            <w:shd w:val="clear" w:color="auto" w:fill="auto"/>
          </w:tcPr>
          <w:p w14:paraId="7268E8A8" w14:textId="77777777" w:rsidR="005F762A" w:rsidRDefault="005F762A">
            <w:pPr>
              <w:rPr>
                <w:rFonts w:ascii="宋体"/>
              </w:rPr>
            </w:pPr>
          </w:p>
        </w:tc>
        <w:tc>
          <w:tcPr>
            <w:tcW w:w="5" w:type="pct"/>
            <w:shd w:val="clear" w:color="auto" w:fill="auto"/>
          </w:tcPr>
          <w:p w14:paraId="7268E8A9" w14:textId="77777777" w:rsidR="005F762A" w:rsidRDefault="005F762A">
            <w:pPr>
              <w:rPr>
                <w:rFonts w:ascii="宋体"/>
              </w:rPr>
            </w:pPr>
          </w:p>
        </w:tc>
        <w:tc>
          <w:tcPr>
            <w:tcW w:w="26" w:type="pct"/>
            <w:shd w:val="clear" w:color="auto" w:fill="auto"/>
          </w:tcPr>
          <w:p w14:paraId="7268E8AA" w14:textId="77777777" w:rsidR="005F762A" w:rsidRDefault="005F762A">
            <w:pPr>
              <w:rPr>
                <w:rFonts w:ascii="宋体"/>
              </w:rPr>
            </w:pPr>
          </w:p>
        </w:tc>
        <w:tc>
          <w:tcPr>
            <w:tcW w:w="5" w:type="pct"/>
            <w:shd w:val="clear" w:color="auto" w:fill="auto"/>
          </w:tcPr>
          <w:p w14:paraId="7268E8AB" w14:textId="77777777" w:rsidR="005F762A" w:rsidRDefault="005F762A">
            <w:pPr>
              <w:rPr>
                <w:rFonts w:ascii="宋体"/>
              </w:rPr>
            </w:pPr>
          </w:p>
        </w:tc>
        <w:tc>
          <w:tcPr>
            <w:tcW w:w="50" w:type="pct"/>
            <w:shd w:val="clear" w:color="auto" w:fill="auto"/>
          </w:tcPr>
          <w:p w14:paraId="7268E8AC" w14:textId="77777777" w:rsidR="005F762A" w:rsidRDefault="005F762A">
            <w:pPr>
              <w:rPr>
                <w:rFonts w:ascii="宋体"/>
              </w:rPr>
            </w:pPr>
          </w:p>
        </w:tc>
        <w:tc>
          <w:tcPr>
            <w:tcW w:w="580" w:type="pct"/>
            <w:shd w:val="clear" w:color="auto" w:fill="auto"/>
          </w:tcPr>
          <w:p w14:paraId="7268E8AD" w14:textId="77777777" w:rsidR="005F762A" w:rsidRDefault="005F762A">
            <w:pPr>
              <w:rPr>
                <w:rFonts w:ascii="宋体"/>
              </w:rPr>
            </w:pPr>
          </w:p>
        </w:tc>
        <w:tc>
          <w:tcPr>
            <w:tcW w:w="5" w:type="pct"/>
            <w:shd w:val="clear" w:color="auto" w:fill="auto"/>
          </w:tcPr>
          <w:p w14:paraId="7268E8AE" w14:textId="77777777" w:rsidR="005F762A" w:rsidRDefault="005F762A">
            <w:pPr>
              <w:rPr>
                <w:rFonts w:ascii="宋体"/>
              </w:rPr>
            </w:pPr>
          </w:p>
        </w:tc>
        <w:tc>
          <w:tcPr>
            <w:tcW w:w="5" w:type="pct"/>
            <w:shd w:val="clear" w:color="auto" w:fill="auto"/>
          </w:tcPr>
          <w:p w14:paraId="7268E8AF" w14:textId="77777777" w:rsidR="005F762A" w:rsidRDefault="005F762A">
            <w:pPr>
              <w:rPr>
                <w:rFonts w:ascii="宋体"/>
              </w:rPr>
            </w:pPr>
          </w:p>
        </w:tc>
        <w:tc>
          <w:tcPr>
            <w:tcW w:w="26" w:type="pct"/>
            <w:shd w:val="clear" w:color="auto" w:fill="auto"/>
          </w:tcPr>
          <w:p w14:paraId="7268E8B0" w14:textId="77777777" w:rsidR="005F762A" w:rsidRDefault="005F762A">
            <w:pPr>
              <w:rPr>
                <w:rFonts w:ascii="宋体"/>
              </w:rPr>
            </w:pPr>
          </w:p>
        </w:tc>
        <w:tc>
          <w:tcPr>
            <w:tcW w:w="5" w:type="pct"/>
            <w:shd w:val="clear" w:color="auto" w:fill="auto"/>
          </w:tcPr>
          <w:p w14:paraId="7268E8B1" w14:textId="77777777" w:rsidR="005F762A" w:rsidRDefault="005F762A">
            <w:pPr>
              <w:rPr>
                <w:rFonts w:ascii="宋体"/>
              </w:rPr>
            </w:pPr>
          </w:p>
        </w:tc>
        <w:tc>
          <w:tcPr>
            <w:tcW w:w="50" w:type="pct"/>
            <w:shd w:val="clear" w:color="auto" w:fill="auto"/>
          </w:tcPr>
          <w:p w14:paraId="7268E8B2" w14:textId="77777777" w:rsidR="005F762A" w:rsidRDefault="005F762A">
            <w:pPr>
              <w:rPr>
                <w:rFonts w:ascii="宋体"/>
              </w:rPr>
            </w:pPr>
          </w:p>
        </w:tc>
        <w:tc>
          <w:tcPr>
            <w:tcW w:w="581" w:type="pct"/>
            <w:shd w:val="clear" w:color="auto" w:fill="auto"/>
          </w:tcPr>
          <w:p w14:paraId="7268E8B3" w14:textId="77777777" w:rsidR="005F762A" w:rsidRDefault="005F762A">
            <w:pPr>
              <w:rPr>
                <w:rFonts w:ascii="宋体"/>
              </w:rPr>
            </w:pPr>
          </w:p>
        </w:tc>
        <w:tc>
          <w:tcPr>
            <w:tcW w:w="5" w:type="pct"/>
            <w:shd w:val="clear" w:color="auto" w:fill="auto"/>
          </w:tcPr>
          <w:p w14:paraId="7268E8B4" w14:textId="77777777" w:rsidR="005F762A" w:rsidRDefault="005F762A">
            <w:pPr>
              <w:rPr>
                <w:rFonts w:ascii="宋体"/>
              </w:rPr>
            </w:pPr>
          </w:p>
        </w:tc>
      </w:tr>
      <w:tr w:rsidR="005F762A" w14:paraId="7268E8B8" w14:textId="77777777">
        <w:tc>
          <w:tcPr>
            <w:tcW w:w="0" w:type="auto"/>
            <w:gridSpan w:val="3"/>
            <w:shd w:val="clear" w:color="auto" w:fill="auto"/>
            <w:tcMar>
              <w:top w:w="40" w:type="dxa"/>
              <w:left w:w="20" w:type="dxa"/>
              <w:bottom w:w="40" w:type="dxa"/>
              <w:right w:w="20" w:type="dxa"/>
            </w:tcMar>
            <w:vAlign w:val="bottom"/>
          </w:tcPr>
          <w:p w14:paraId="7268E8B6" w14:textId="77777777" w:rsidR="005F762A" w:rsidRDefault="00D74111">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7268E8B7" w14:textId="77777777" w:rsidR="005F762A" w:rsidRDefault="00D74111">
            <w:pPr>
              <w:jc w:val="center"/>
              <w:textAlignment w:val="bottom"/>
            </w:pPr>
            <w:r>
              <w:rPr>
                <w:rFonts w:ascii="Arial" w:eastAsia="宋体" w:hAnsi="Arial" w:cs="Arial"/>
                <w:b/>
                <w:bCs/>
                <w:color w:val="000000"/>
                <w:sz w:val="16"/>
                <w:szCs w:val="16"/>
              </w:rPr>
              <w:t>March 31, 2021</w:t>
            </w:r>
          </w:p>
        </w:tc>
      </w:tr>
      <w:tr w:rsidR="005F762A" w14:paraId="7268E8C1" w14:textId="77777777">
        <w:tc>
          <w:tcPr>
            <w:tcW w:w="0" w:type="auto"/>
            <w:gridSpan w:val="3"/>
            <w:shd w:val="clear" w:color="auto" w:fill="auto"/>
            <w:tcMar>
              <w:top w:w="40" w:type="dxa"/>
              <w:left w:w="20" w:type="dxa"/>
              <w:bottom w:w="40" w:type="dxa"/>
              <w:right w:w="20" w:type="dxa"/>
            </w:tcMar>
            <w:vAlign w:val="bottom"/>
          </w:tcPr>
          <w:p w14:paraId="7268E8B9" w14:textId="77777777" w:rsidR="005F762A" w:rsidRDefault="00D74111">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BA"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268E8BB"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BC"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7268E8BD"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BE"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7268E8BF"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8C0" w14:textId="77777777" w:rsidR="005F762A" w:rsidRDefault="00D74111">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5F762A" w14:paraId="7268E8CA" w14:textId="77777777">
        <w:tc>
          <w:tcPr>
            <w:tcW w:w="0" w:type="auto"/>
            <w:gridSpan w:val="3"/>
            <w:shd w:val="clear" w:color="auto" w:fill="E2E2E2"/>
            <w:tcMar>
              <w:top w:w="40" w:type="dxa"/>
              <w:left w:w="20" w:type="dxa"/>
              <w:bottom w:w="40" w:type="dxa"/>
              <w:right w:w="20" w:type="dxa"/>
            </w:tcMar>
            <w:vAlign w:val="bottom"/>
          </w:tcPr>
          <w:p w14:paraId="7268E8C2" w14:textId="77777777" w:rsidR="005F762A" w:rsidRDefault="00D74111">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7268E8C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8C4"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8C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8C6"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8C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8C8"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8C9" w14:textId="77777777" w:rsidR="005F762A" w:rsidRDefault="005F762A">
            <w:pPr>
              <w:rPr>
                <w:rFonts w:ascii="宋体"/>
              </w:rPr>
            </w:pPr>
          </w:p>
        </w:tc>
      </w:tr>
      <w:tr w:rsidR="005F762A" w14:paraId="7268E8DB" w14:textId="77777777">
        <w:tc>
          <w:tcPr>
            <w:tcW w:w="0" w:type="auto"/>
            <w:gridSpan w:val="3"/>
            <w:shd w:val="clear" w:color="auto" w:fill="FFFFFF"/>
            <w:tcMar>
              <w:top w:w="40" w:type="dxa"/>
              <w:left w:w="245" w:type="dxa"/>
              <w:bottom w:w="40" w:type="dxa"/>
              <w:right w:w="20" w:type="dxa"/>
            </w:tcMar>
            <w:vAlign w:val="bottom"/>
          </w:tcPr>
          <w:p w14:paraId="7268E8CB" w14:textId="77777777" w:rsidR="005F762A" w:rsidRDefault="00D74111">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7268E8CC"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8CD"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8C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CF"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8D0"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8D1"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8D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D3"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8D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8D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8D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D7"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8D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8D9"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8DA" w14:textId="77777777" w:rsidR="005F762A" w:rsidRDefault="005F762A">
            <w:pPr>
              <w:jc w:val="right"/>
              <w:rPr>
                <w:rFonts w:ascii="宋体"/>
              </w:rPr>
            </w:pPr>
          </w:p>
        </w:tc>
      </w:tr>
      <w:tr w:rsidR="005F762A" w14:paraId="7268E8E8" w14:textId="77777777">
        <w:tc>
          <w:tcPr>
            <w:tcW w:w="0" w:type="auto"/>
            <w:gridSpan w:val="3"/>
            <w:shd w:val="clear" w:color="auto" w:fill="E2E2E2"/>
            <w:tcMar>
              <w:top w:w="40" w:type="dxa"/>
              <w:left w:w="245" w:type="dxa"/>
              <w:bottom w:w="40" w:type="dxa"/>
              <w:right w:w="20" w:type="dxa"/>
            </w:tcMar>
            <w:vAlign w:val="bottom"/>
          </w:tcPr>
          <w:p w14:paraId="7268E8DC"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8DD" w14:textId="77777777" w:rsidR="005F762A" w:rsidRDefault="00D74111">
            <w:pPr>
              <w:jc w:val="right"/>
              <w:textAlignment w:val="bottom"/>
            </w:pPr>
            <w:r>
              <w:rPr>
                <w:rFonts w:ascii="Arial" w:eastAsia="宋体" w:hAnsi="Arial" w:cs="Arial"/>
                <w:color w:val="000000"/>
                <w:sz w:val="18"/>
                <w:szCs w:val="18"/>
              </w:rPr>
              <w:t>1,650 </w:t>
            </w:r>
          </w:p>
        </w:tc>
        <w:tc>
          <w:tcPr>
            <w:tcW w:w="0" w:type="auto"/>
            <w:shd w:val="clear" w:color="auto" w:fill="E2E2E2"/>
            <w:tcMar>
              <w:top w:w="40" w:type="dxa"/>
              <w:left w:w="0" w:type="dxa"/>
              <w:bottom w:w="40" w:type="dxa"/>
              <w:right w:w="20" w:type="dxa"/>
            </w:tcMar>
            <w:vAlign w:val="bottom"/>
          </w:tcPr>
          <w:p w14:paraId="7268E8D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D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E0"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7268E8E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E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E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8E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8E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8E6" w14:textId="77777777" w:rsidR="005F762A" w:rsidRDefault="00D74111">
            <w:pPr>
              <w:jc w:val="right"/>
              <w:textAlignment w:val="bottom"/>
            </w:pPr>
            <w:r>
              <w:rPr>
                <w:rFonts w:ascii="Arial" w:eastAsia="宋体" w:hAnsi="Arial" w:cs="Arial"/>
                <w:color w:val="000000"/>
                <w:sz w:val="18"/>
                <w:szCs w:val="18"/>
              </w:rPr>
              <w:t>1,652 </w:t>
            </w:r>
          </w:p>
        </w:tc>
        <w:tc>
          <w:tcPr>
            <w:tcW w:w="0" w:type="auto"/>
            <w:shd w:val="clear" w:color="auto" w:fill="E2E2E2"/>
            <w:tcMar>
              <w:top w:w="40" w:type="dxa"/>
              <w:left w:w="0" w:type="dxa"/>
              <w:bottom w:w="40" w:type="dxa"/>
              <w:right w:w="20" w:type="dxa"/>
            </w:tcMar>
            <w:vAlign w:val="bottom"/>
          </w:tcPr>
          <w:p w14:paraId="7268E8E7" w14:textId="77777777" w:rsidR="005F762A" w:rsidRDefault="005F762A">
            <w:pPr>
              <w:jc w:val="right"/>
              <w:rPr>
                <w:rFonts w:ascii="宋体"/>
              </w:rPr>
            </w:pPr>
          </w:p>
        </w:tc>
      </w:tr>
      <w:tr w:rsidR="005F762A" w14:paraId="7268E8F5" w14:textId="77777777">
        <w:tc>
          <w:tcPr>
            <w:tcW w:w="0" w:type="auto"/>
            <w:gridSpan w:val="3"/>
            <w:shd w:val="clear" w:color="auto" w:fill="FFFFFF"/>
            <w:tcMar>
              <w:top w:w="40" w:type="dxa"/>
              <w:left w:w="245" w:type="dxa"/>
              <w:bottom w:w="40" w:type="dxa"/>
              <w:right w:w="20" w:type="dxa"/>
            </w:tcMar>
            <w:vAlign w:val="bottom"/>
          </w:tcPr>
          <w:p w14:paraId="7268E8E9" w14:textId="77777777" w:rsidR="005F762A" w:rsidRDefault="00D74111">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7268E8EA" w14:textId="77777777" w:rsidR="005F762A" w:rsidRDefault="00D74111">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7268E8E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E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ED"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8E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E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F0"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8F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8F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8F3" w14:textId="77777777" w:rsidR="005F762A" w:rsidRDefault="00D74111">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7268E8F4" w14:textId="77777777" w:rsidR="005F762A" w:rsidRDefault="005F762A">
            <w:pPr>
              <w:jc w:val="right"/>
              <w:rPr>
                <w:rFonts w:ascii="宋体"/>
              </w:rPr>
            </w:pPr>
          </w:p>
        </w:tc>
      </w:tr>
      <w:tr w:rsidR="005F762A" w14:paraId="7268E8FE" w14:textId="77777777">
        <w:trPr>
          <w:hidden/>
        </w:trPr>
        <w:tc>
          <w:tcPr>
            <w:tcW w:w="0" w:type="auto"/>
            <w:gridSpan w:val="3"/>
            <w:shd w:val="clear" w:color="auto" w:fill="auto"/>
          </w:tcPr>
          <w:p w14:paraId="7268E8F6" w14:textId="77777777" w:rsidR="005F762A" w:rsidRDefault="005F762A">
            <w:pPr>
              <w:rPr>
                <w:rFonts w:ascii="宋体"/>
                <w:vanish/>
              </w:rPr>
            </w:pPr>
          </w:p>
        </w:tc>
        <w:tc>
          <w:tcPr>
            <w:tcW w:w="0" w:type="auto"/>
            <w:gridSpan w:val="3"/>
            <w:shd w:val="clear" w:color="auto" w:fill="auto"/>
          </w:tcPr>
          <w:p w14:paraId="7268E8F7" w14:textId="77777777" w:rsidR="005F762A" w:rsidRDefault="005F762A">
            <w:pPr>
              <w:rPr>
                <w:rFonts w:ascii="宋体"/>
                <w:vanish/>
              </w:rPr>
            </w:pPr>
          </w:p>
        </w:tc>
        <w:tc>
          <w:tcPr>
            <w:tcW w:w="0" w:type="auto"/>
            <w:gridSpan w:val="3"/>
            <w:shd w:val="clear" w:color="auto" w:fill="auto"/>
          </w:tcPr>
          <w:p w14:paraId="7268E8F8" w14:textId="77777777" w:rsidR="005F762A" w:rsidRDefault="005F762A">
            <w:pPr>
              <w:rPr>
                <w:rFonts w:ascii="宋体"/>
                <w:vanish/>
              </w:rPr>
            </w:pPr>
          </w:p>
        </w:tc>
        <w:tc>
          <w:tcPr>
            <w:tcW w:w="0" w:type="auto"/>
            <w:gridSpan w:val="3"/>
            <w:shd w:val="clear" w:color="auto" w:fill="auto"/>
          </w:tcPr>
          <w:p w14:paraId="7268E8F9" w14:textId="77777777" w:rsidR="005F762A" w:rsidRDefault="005F762A">
            <w:pPr>
              <w:rPr>
                <w:rFonts w:ascii="宋体"/>
                <w:vanish/>
              </w:rPr>
            </w:pPr>
          </w:p>
        </w:tc>
        <w:tc>
          <w:tcPr>
            <w:tcW w:w="0" w:type="auto"/>
            <w:gridSpan w:val="3"/>
            <w:shd w:val="clear" w:color="auto" w:fill="auto"/>
          </w:tcPr>
          <w:p w14:paraId="7268E8FA" w14:textId="77777777" w:rsidR="005F762A" w:rsidRDefault="005F762A">
            <w:pPr>
              <w:rPr>
                <w:rFonts w:ascii="宋体"/>
                <w:vanish/>
              </w:rPr>
            </w:pPr>
          </w:p>
        </w:tc>
        <w:tc>
          <w:tcPr>
            <w:tcW w:w="0" w:type="auto"/>
            <w:gridSpan w:val="3"/>
            <w:shd w:val="clear" w:color="auto" w:fill="auto"/>
          </w:tcPr>
          <w:p w14:paraId="7268E8FB" w14:textId="77777777" w:rsidR="005F762A" w:rsidRDefault="005F762A">
            <w:pPr>
              <w:rPr>
                <w:rFonts w:ascii="宋体"/>
                <w:vanish/>
              </w:rPr>
            </w:pPr>
          </w:p>
        </w:tc>
        <w:tc>
          <w:tcPr>
            <w:tcW w:w="0" w:type="auto"/>
            <w:gridSpan w:val="3"/>
            <w:shd w:val="clear" w:color="auto" w:fill="auto"/>
          </w:tcPr>
          <w:p w14:paraId="7268E8FC" w14:textId="77777777" w:rsidR="005F762A" w:rsidRDefault="005F762A">
            <w:pPr>
              <w:rPr>
                <w:rFonts w:ascii="宋体"/>
                <w:vanish/>
              </w:rPr>
            </w:pPr>
          </w:p>
        </w:tc>
        <w:tc>
          <w:tcPr>
            <w:tcW w:w="0" w:type="auto"/>
            <w:gridSpan w:val="3"/>
            <w:shd w:val="clear" w:color="auto" w:fill="auto"/>
          </w:tcPr>
          <w:p w14:paraId="7268E8FD" w14:textId="77777777" w:rsidR="005F762A" w:rsidRDefault="005F762A">
            <w:pPr>
              <w:rPr>
                <w:rFonts w:ascii="宋体"/>
                <w:vanish/>
              </w:rPr>
            </w:pPr>
          </w:p>
        </w:tc>
      </w:tr>
      <w:tr w:rsidR="005F762A" w14:paraId="7268E907" w14:textId="77777777">
        <w:trPr>
          <w:hidden/>
        </w:trPr>
        <w:tc>
          <w:tcPr>
            <w:tcW w:w="0" w:type="auto"/>
            <w:gridSpan w:val="3"/>
            <w:shd w:val="clear" w:color="auto" w:fill="auto"/>
          </w:tcPr>
          <w:p w14:paraId="7268E8FF" w14:textId="77777777" w:rsidR="005F762A" w:rsidRDefault="005F762A">
            <w:pPr>
              <w:rPr>
                <w:rFonts w:ascii="宋体"/>
                <w:vanish/>
              </w:rPr>
            </w:pPr>
          </w:p>
        </w:tc>
        <w:tc>
          <w:tcPr>
            <w:tcW w:w="0" w:type="auto"/>
            <w:gridSpan w:val="3"/>
            <w:shd w:val="clear" w:color="auto" w:fill="auto"/>
          </w:tcPr>
          <w:p w14:paraId="7268E900" w14:textId="77777777" w:rsidR="005F762A" w:rsidRDefault="005F762A">
            <w:pPr>
              <w:rPr>
                <w:rFonts w:ascii="宋体"/>
                <w:vanish/>
              </w:rPr>
            </w:pPr>
          </w:p>
        </w:tc>
        <w:tc>
          <w:tcPr>
            <w:tcW w:w="0" w:type="auto"/>
            <w:gridSpan w:val="3"/>
            <w:shd w:val="clear" w:color="auto" w:fill="auto"/>
          </w:tcPr>
          <w:p w14:paraId="7268E901" w14:textId="77777777" w:rsidR="005F762A" w:rsidRDefault="005F762A">
            <w:pPr>
              <w:rPr>
                <w:rFonts w:ascii="宋体"/>
                <w:vanish/>
              </w:rPr>
            </w:pPr>
          </w:p>
        </w:tc>
        <w:tc>
          <w:tcPr>
            <w:tcW w:w="0" w:type="auto"/>
            <w:gridSpan w:val="3"/>
            <w:shd w:val="clear" w:color="auto" w:fill="auto"/>
          </w:tcPr>
          <w:p w14:paraId="7268E902" w14:textId="77777777" w:rsidR="005F762A" w:rsidRDefault="005F762A">
            <w:pPr>
              <w:rPr>
                <w:rFonts w:ascii="宋体"/>
                <w:vanish/>
              </w:rPr>
            </w:pPr>
          </w:p>
        </w:tc>
        <w:tc>
          <w:tcPr>
            <w:tcW w:w="0" w:type="auto"/>
            <w:gridSpan w:val="3"/>
            <w:shd w:val="clear" w:color="auto" w:fill="auto"/>
          </w:tcPr>
          <w:p w14:paraId="7268E903" w14:textId="77777777" w:rsidR="005F762A" w:rsidRDefault="005F762A">
            <w:pPr>
              <w:rPr>
                <w:rFonts w:ascii="宋体"/>
                <w:vanish/>
              </w:rPr>
            </w:pPr>
          </w:p>
        </w:tc>
        <w:tc>
          <w:tcPr>
            <w:tcW w:w="0" w:type="auto"/>
            <w:gridSpan w:val="3"/>
            <w:shd w:val="clear" w:color="auto" w:fill="auto"/>
          </w:tcPr>
          <w:p w14:paraId="7268E904" w14:textId="77777777" w:rsidR="005F762A" w:rsidRDefault="005F762A">
            <w:pPr>
              <w:rPr>
                <w:rFonts w:ascii="宋体"/>
                <w:vanish/>
              </w:rPr>
            </w:pPr>
          </w:p>
        </w:tc>
        <w:tc>
          <w:tcPr>
            <w:tcW w:w="0" w:type="auto"/>
            <w:gridSpan w:val="3"/>
            <w:shd w:val="clear" w:color="auto" w:fill="auto"/>
          </w:tcPr>
          <w:p w14:paraId="7268E905" w14:textId="77777777" w:rsidR="005F762A" w:rsidRDefault="005F762A">
            <w:pPr>
              <w:rPr>
                <w:rFonts w:ascii="宋体"/>
                <w:vanish/>
              </w:rPr>
            </w:pPr>
          </w:p>
        </w:tc>
        <w:tc>
          <w:tcPr>
            <w:tcW w:w="0" w:type="auto"/>
            <w:gridSpan w:val="3"/>
            <w:shd w:val="clear" w:color="auto" w:fill="auto"/>
          </w:tcPr>
          <w:p w14:paraId="7268E906" w14:textId="77777777" w:rsidR="005F762A" w:rsidRDefault="005F762A">
            <w:pPr>
              <w:rPr>
                <w:rFonts w:ascii="宋体"/>
                <w:vanish/>
              </w:rPr>
            </w:pPr>
          </w:p>
        </w:tc>
      </w:tr>
      <w:tr w:rsidR="005F762A" w14:paraId="7268E918" w14:textId="77777777">
        <w:tc>
          <w:tcPr>
            <w:tcW w:w="0" w:type="auto"/>
            <w:gridSpan w:val="3"/>
            <w:shd w:val="clear" w:color="auto" w:fill="E2E2E2"/>
            <w:tcMar>
              <w:top w:w="0" w:type="dxa"/>
              <w:left w:w="20" w:type="dxa"/>
              <w:bottom w:w="0" w:type="dxa"/>
              <w:right w:w="20" w:type="dxa"/>
            </w:tcMar>
          </w:tcPr>
          <w:p w14:paraId="7268E908"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90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90A" w14:textId="77777777" w:rsidR="005F762A" w:rsidRDefault="00D74111">
            <w:pPr>
              <w:jc w:val="right"/>
              <w:textAlignment w:val="bottom"/>
            </w:pPr>
            <w:r>
              <w:rPr>
                <w:rFonts w:ascii="Arial" w:eastAsia="宋体" w:hAnsi="Arial" w:cs="Arial"/>
                <w:color w:val="000000"/>
                <w:sz w:val="18"/>
                <w:szCs w:val="18"/>
              </w:rPr>
              <w:t>1,698 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90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0C"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90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90E"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90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10"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91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912"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91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14"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91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916" w14:textId="77777777" w:rsidR="005F762A" w:rsidRDefault="00D74111">
            <w:pPr>
              <w:jc w:val="right"/>
              <w:textAlignment w:val="bottom"/>
            </w:pPr>
            <w:r>
              <w:rPr>
                <w:rFonts w:ascii="Arial" w:eastAsia="宋体" w:hAnsi="Arial" w:cs="Arial"/>
                <w:color w:val="000000"/>
                <w:sz w:val="18"/>
                <w:szCs w:val="18"/>
              </w:rPr>
              <w:t>1,700 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917" w14:textId="77777777" w:rsidR="005F762A" w:rsidRDefault="005F762A">
            <w:pPr>
              <w:jc w:val="right"/>
              <w:rPr>
                <w:rFonts w:ascii="宋体"/>
              </w:rPr>
            </w:pPr>
          </w:p>
        </w:tc>
      </w:tr>
      <w:tr w:rsidR="005F762A" w14:paraId="7268E921" w14:textId="77777777">
        <w:tc>
          <w:tcPr>
            <w:tcW w:w="0" w:type="auto"/>
            <w:gridSpan w:val="3"/>
            <w:shd w:val="clear" w:color="auto" w:fill="FFFFFF"/>
            <w:tcMar>
              <w:top w:w="40" w:type="dxa"/>
              <w:left w:w="20" w:type="dxa"/>
              <w:bottom w:w="40" w:type="dxa"/>
              <w:right w:w="20" w:type="dxa"/>
            </w:tcMar>
            <w:vAlign w:val="bottom"/>
          </w:tcPr>
          <w:p w14:paraId="7268E919"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tcPr>
          <w:p w14:paraId="7268E91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91B"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91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91D"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91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91F"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920" w14:textId="77777777" w:rsidR="005F762A" w:rsidRDefault="005F762A">
            <w:pPr>
              <w:rPr>
                <w:rFonts w:ascii="宋体"/>
              </w:rPr>
            </w:pPr>
          </w:p>
        </w:tc>
      </w:tr>
      <w:tr w:rsidR="005F762A" w14:paraId="7268E92E" w14:textId="77777777">
        <w:tc>
          <w:tcPr>
            <w:tcW w:w="0" w:type="auto"/>
            <w:gridSpan w:val="3"/>
            <w:shd w:val="clear" w:color="auto" w:fill="E2E2E2"/>
            <w:tcMar>
              <w:top w:w="40" w:type="dxa"/>
              <w:left w:w="245" w:type="dxa"/>
              <w:bottom w:w="40" w:type="dxa"/>
              <w:right w:w="20" w:type="dxa"/>
            </w:tcMar>
            <w:vAlign w:val="bottom"/>
          </w:tcPr>
          <w:p w14:paraId="7268E922"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923" w14:textId="77777777" w:rsidR="005F762A" w:rsidRDefault="00D74111">
            <w:pPr>
              <w:jc w:val="right"/>
              <w:textAlignment w:val="bottom"/>
            </w:pPr>
            <w:r>
              <w:rPr>
                <w:rFonts w:ascii="Arial" w:eastAsia="宋体" w:hAnsi="Arial" w:cs="Arial"/>
                <w:color w:val="000000"/>
                <w:sz w:val="18"/>
                <w:szCs w:val="18"/>
              </w:rPr>
              <w:t>507 </w:t>
            </w:r>
          </w:p>
        </w:tc>
        <w:tc>
          <w:tcPr>
            <w:tcW w:w="0" w:type="auto"/>
            <w:shd w:val="clear" w:color="auto" w:fill="E2E2E2"/>
            <w:tcMar>
              <w:top w:w="40" w:type="dxa"/>
              <w:left w:w="0" w:type="dxa"/>
              <w:bottom w:w="40" w:type="dxa"/>
              <w:right w:w="20" w:type="dxa"/>
            </w:tcMar>
            <w:vAlign w:val="bottom"/>
          </w:tcPr>
          <w:p w14:paraId="7268E92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2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26"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7268E92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2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29"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7268E92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2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2C" w14:textId="77777777" w:rsidR="005F762A" w:rsidRDefault="00D74111">
            <w:pPr>
              <w:jc w:val="right"/>
              <w:textAlignment w:val="bottom"/>
            </w:pPr>
            <w:r>
              <w:rPr>
                <w:rFonts w:ascii="Arial" w:eastAsia="宋体" w:hAnsi="Arial" w:cs="Arial"/>
                <w:color w:val="000000"/>
                <w:sz w:val="18"/>
                <w:szCs w:val="18"/>
              </w:rPr>
              <w:t>508 </w:t>
            </w:r>
          </w:p>
        </w:tc>
        <w:tc>
          <w:tcPr>
            <w:tcW w:w="0" w:type="auto"/>
            <w:shd w:val="clear" w:color="auto" w:fill="E2E2E2"/>
            <w:tcMar>
              <w:top w:w="40" w:type="dxa"/>
              <w:left w:w="0" w:type="dxa"/>
              <w:bottom w:w="40" w:type="dxa"/>
              <w:right w:w="20" w:type="dxa"/>
            </w:tcMar>
            <w:vAlign w:val="bottom"/>
          </w:tcPr>
          <w:p w14:paraId="7268E92D" w14:textId="77777777" w:rsidR="005F762A" w:rsidRDefault="005F762A">
            <w:pPr>
              <w:jc w:val="right"/>
              <w:rPr>
                <w:rFonts w:ascii="宋体"/>
              </w:rPr>
            </w:pPr>
          </w:p>
        </w:tc>
      </w:tr>
      <w:tr w:rsidR="005F762A" w14:paraId="7268E93B" w14:textId="77777777">
        <w:tc>
          <w:tcPr>
            <w:tcW w:w="0" w:type="auto"/>
            <w:gridSpan w:val="3"/>
            <w:shd w:val="clear" w:color="auto" w:fill="FFFFFF"/>
            <w:tcMar>
              <w:top w:w="40" w:type="dxa"/>
              <w:left w:w="245" w:type="dxa"/>
              <w:bottom w:w="40" w:type="dxa"/>
              <w:right w:w="20" w:type="dxa"/>
            </w:tcMar>
            <w:vAlign w:val="bottom"/>
          </w:tcPr>
          <w:p w14:paraId="7268E92F" w14:textId="77777777" w:rsidR="005F762A" w:rsidRDefault="00D74111">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7268E930" w14:textId="77777777" w:rsidR="005F762A" w:rsidRDefault="00D74111">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7268E931" w14:textId="77777777" w:rsidR="005F762A" w:rsidRDefault="005F762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268E932" w14:textId="77777777" w:rsidR="005F762A" w:rsidRDefault="00D74111">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7268E93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934" w14:textId="77777777" w:rsidR="005F762A" w:rsidRDefault="005F762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268E935" w14:textId="77777777" w:rsidR="005F762A" w:rsidRDefault="00D74111">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7268E936"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937" w14:textId="77777777" w:rsidR="005F762A" w:rsidRDefault="005F762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268E938" w14:textId="77777777" w:rsidR="005F762A" w:rsidRDefault="00D74111">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7268E939" w14:textId="77777777" w:rsidR="005F762A" w:rsidRDefault="00D74111">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7268E93A" w14:textId="77777777" w:rsidR="005F762A" w:rsidRDefault="005F762A">
            <w:pPr>
              <w:jc w:val="right"/>
              <w:rPr>
                <w:rFonts w:ascii="宋体"/>
              </w:rPr>
            </w:pPr>
          </w:p>
        </w:tc>
      </w:tr>
      <w:tr w:rsidR="005F762A" w14:paraId="7268E94C" w14:textId="77777777">
        <w:tc>
          <w:tcPr>
            <w:tcW w:w="0" w:type="auto"/>
            <w:gridSpan w:val="3"/>
            <w:shd w:val="clear" w:color="auto" w:fill="E2E2E2"/>
            <w:tcMar>
              <w:top w:w="0" w:type="dxa"/>
              <w:left w:w="20" w:type="dxa"/>
              <w:bottom w:w="0" w:type="dxa"/>
              <w:right w:w="20" w:type="dxa"/>
            </w:tcMar>
          </w:tcPr>
          <w:p w14:paraId="7268E93C"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3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3E" w14:textId="77777777" w:rsidR="005F762A" w:rsidRDefault="00D74111">
            <w:pPr>
              <w:jc w:val="right"/>
              <w:textAlignment w:val="bottom"/>
            </w:pPr>
            <w:r>
              <w:rPr>
                <w:rFonts w:ascii="Arial" w:eastAsia="宋体" w:hAnsi="Arial" w:cs="Arial"/>
                <w:color w:val="000000"/>
                <w:sz w:val="18"/>
                <w:szCs w:val="18"/>
              </w:rPr>
              <w:t>523 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3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40"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4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42"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4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44"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4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46" w14:textId="77777777" w:rsidR="005F762A" w:rsidRDefault="00D74111">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4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48"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4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4A" w14:textId="77777777" w:rsidR="005F762A" w:rsidRDefault="00D74111">
            <w:pPr>
              <w:jc w:val="right"/>
              <w:textAlignment w:val="bottom"/>
            </w:pPr>
            <w:r>
              <w:rPr>
                <w:rFonts w:ascii="Arial" w:eastAsia="宋体" w:hAnsi="Arial" w:cs="Arial"/>
                <w:color w:val="000000"/>
                <w:sz w:val="18"/>
                <w:szCs w:val="18"/>
              </w:rPr>
              <w:t>524 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4B" w14:textId="77777777" w:rsidR="005F762A" w:rsidRDefault="005F762A">
            <w:pPr>
              <w:jc w:val="right"/>
              <w:rPr>
                <w:rFonts w:ascii="宋体"/>
              </w:rPr>
            </w:pPr>
          </w:p>
        </w:tc>
      </w:tr>
    </w:tbl>
    <w:p w14:paraId="7268E94D" w14:textId="77777777" w:rsidR="005F762A" w:rsidRDefault="00D74111">
      <w:r>
        <w:rPr>
          <w:rFonts w:ascii="Arial" w:eastAsia="宋体" w:hAnsi="Arial" w:cs="Arial"/>
          <w:color w:val="000000"/>
          <w:sz w:val="18"/>
          <w:szCs w:val="18"/>
        </w:rPr>
        <w:t> </w:t>
      </w:r>
    </w:p>
    <w:p w14:paraId="7268E94E" w14:textId="77777777" w:rsidR="005F762A" w:rsidRDefault="005F762A">
      <w:pPr>
        <w:jc w:val="center"/>
      </w:pPr>
    </w:p>
    <w:p w14:paraId="7268E94F" w14:textId="77777777" w:rsidR="005F762A" w:rsidRDefault="00D74111">
      <w:pPr>
        <w:jc w:val="center"/>
      </w:pPr>
      <w:r>
        <w:rPr>
          <w:rFonts w:ascii="Arial" w:eastAsia="宋体" w:hAnsi="Arial" w:cs="Arial"/>
          <w:color w:val="000000"/>
          <w:sz w:val="20"/>
          <w:szCs w:val="20"/>
        </w:rPr>
        <w:t>14</w:t>
      </w:r>
    </w:p>
    <w:p w14:paraId="7268E950" w14:textId="77777777" w:rsidR="005F762A" w:rsidRDefault="00D74111">
      <w:r>
        <w:pict w14:anchorId="7269014D">
          <v:rect id="_x0000_i1038" style="width:415.3pt;height:1.5pt" o:hralign="center" o:hrstd="t" o:hr="t" fillcolor="#a0a0a0" stroked="f"/>
        </w:pict>
      </w:r>
    </w:p>
    <w:p w14:paraId="7268E951" w14:textId="77777777" w:rsidR="005F762A" w:rsidRDefault="005F762A">
      <w:pPr>
        <w:jc w:val="center"/>
      </w:pPr>
    </w:p>
    <w:p w14:paraId="7268E952" w14:textId="77777777" w:rsidR="005F762A" w:rsidRDefault="00D74111">
      <w:pPr>
        <w:jc w:val="center"/>
      </w:pPr>
      <w:r>
        <w:rPr>
          <w:rFonts w:ascii="Arial" w:eastAsia="宋体" w:hAnsi="Arial" w:cs="Arial"/>
          <w:b/>
          <w:bCs/>
          <w:color w:val="000000"/>
          <w:sz w:val="20"/>
          <w:szCs w:val="20"/>
        </w:rPr>
        <w:t>eBay Inc.</w:t>
      </w:r>
    </w:p>
    <w:p w14:paraId="7268E953" w14:textId="77777777" w:rsidR="005F762A" w:rsidRDefault="00D74111">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tbl>
      <w:tblPr>
        <w:tblW w:w="5000" w:type="pct"/>
        <w:tblCellMar>
          <w:top w:w="15" w:type="dxa"/>
          <w:left w:w="15" w:type="dxa"/>
          <w:bottom w:w="15" w:type="dxa"/>
          <w:right w:w="15" w:type="dxa"/>
        </w:tblCellMar>
        <w:tblLook w:val="04A0" w:firstRow="1" w:lastRow="0" w:firstColumn="1" w:lastColumn="0" w:noHBand="0" w:noVBand="1"/>
      </w:tblPr>
      <w:tblGrid>
        <w:gridCol w:w="37"/>
        <w:gridCol w:w="3766"/>
        <w:gridCol w:w="36"/>
        <w:gridCol w:w="122"/>
        <w:gridCol w:w="918"/>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5F762A" w14:paraId="7268E96C" w14:textId="77777777">
        <w:tc>
          <w:tcPr>
            <w:tcW w:w="50" w:type="pct"/>
            <w:shd w:val="clear" w:color="auto" w:fill="auto"/>
          </w:tcPr>
          <w:p w14:paraId="7268E954" w14:textId="77777777" w:rsidR="005F762A" w:rsidRDefault="005F762A">
            <w:pPr>
              <w:rPr>
                <w:rFonts w:ascii="宋体"/>
              </w:rPr>
            </w:pPr>
          </w:p>
        </w:tc>
        <w:tc>
          <w:tcPr>
            <w:tcW w:w="2291" w:type="pct"/>
            <w:shd w:val="clear" w:color="auto" w:fill="auto"/>
          </w:tcPr>
          <w:p w14:paraId="7268E955" w14:textId="77777777" w:rsidR="005F762A" w:rsidRDefault="005F762A">
            <w:pPr>
              <w:rPr>
                <w:rFonts w:ascii="宋体"/>
              </w:rPr>
            </w:pPr>
          </w:p>
        </w:tc>
        <w:tc>
          <w:tcPr>
            <w:tcW w:w="5" w:type="pct"/>
            <w:shd w:val="clear" w:color="auto" w:fill="auto"/>
          </w:tcPr>
          <w:p w14:paraId="7268E956" w14:textId="77777777" w:rsidR="005F762A" w:rsidRDefault="005F762A">
            <w:pPr>
              <w:rPr>
                <w:rFonts w:ascii="宋体"/>
              </w:rPr>
            </w:pPr>
          </w:p>
        </w:tc>
        <w:tc>
          <w:tcPr>
            <w:tcW w:w="50" w:type="pct"/>
            <w:shd w:val="clear" w:color="auto" w:fill="auto"/>
          </w:tcPr>
          <w:p w14:paraId="7268E957" w14:textId="77777777" w:rsidR="005F762A" w:rsidRDefault="005F762A">
            <w:pPr>
              <w:rPr>
                <w:rFonts w:ascii="宋体"/>
              </w:rPr>
            </w:pPr>
          </w:p>
        </w:tc>
        <w:tc>
          <w:tcPr>
            <w:tcW w:w="580" w:type="pct"/>
            <w:shd w:val="clear" w:color="auto" w:fill="auto"/>
          </w:tcPr>
          <w:p w14:paraId="7268E958" w14:textId="77777777" w:rsidR="005F762A" w:rsidRDefault="005F762A">
            <w:pPr>
              <w:rPr>
                <w:rFonts w:ascii="宋体"/>
              </w:rPr>
            </w:pPr>
          </w:p>
        </w:tc>
        <w:tc>
          <w:tcPr>
            <w:tcW w:w="5" w:type="pct"/>
            <w:shd w:val="clear" w:color="auto" w:fill="auto"/>
          </w:tcPr>
          <w:p w14:paraId="7268E959" w14:textId="77777777" w:rsidR="005F762A" w:rsidRDefault="005F762A">
            <w:pPr>
              <w:rPr>
                <w:rFonts w:ascii="宋体"/>
              </w:rPr>
            </w:pPr>
          </w:p>
        </w:tc>
        <w:tc>
          <w:tcPr>
            <w:tcW w:w="5" w:type="pct"/>
            <w:shd w:val="clear" w:color="auto" w:fill="auto"/>
          </w:tcPr>
          <w:p w14:paraId="7268E95A" w14:textId="77777777" w:rsidR="005F762A" w:rsidRDefault="005F762A">
            <w:pPr>
              <w:rPr>
                <w:rFonts w:ascii="宋体"/>
              </w:rPr>
            </w:pPr>
          </w:p>
        </w:tc>
        <w:tc>
          <w:tcPr>
            <w:tcW w:w="26" w:type="pct"/>
            <w:shd w:val="clear" w:color="auto" w:fill="auto"/>
          </w:tcPr>
          <w:p w14:paraId="7268E95B" w14:textId="77777777" w:rsidR="005F762A" w:rsidRDefault="005F762A">
            <w:pPr>
              <w:rPr>
                <w:rFonts w:ascii="宋体"/>
              </w:rPr>
            </w:pPr>
          </w:p>
        </w:tc>
        <w:tc>
          <w:tcPr>
            <w:tcW w:w="5" w:type="pct"/>
            <w:shd w:val="clear" w:color="auto" w:fill="auto"/>
          </w:tcPr>
          <w:p w14:paraId="7268E95C" w14:textId="77777777" w:rsidR="005F762A" w:rsidRDefault="005F762A">
            <w:pPr>
              <w:rPr>
                <w:rFonts w:ascii="宋体"/>
              </w:rPr>
            </w:pPr>
          </w:p>
        </w:tc>
        <w:tc>
          <w:tcPr>
            <w:tcW w:w="50" w:type="pct"/>
            <w:shd w:val="clear" w:color="auto" w:fill="auto"/>
          </w:tcPr>
          <w:p w14:paraId="7268E95D" w14:textId="77777777" w:rsidR="005F762A" w:rsidRDefault="005F762A">
            <w:pPr>
              <w:rPr>
                <w:rFonts w:ascii="宋体"/>
              </w:rPr>
            </w:pPr>
          </w:p>
        </w:tc>
        <w:tc>
          <w:tcPr>
            <w:tcW w:w="580" w:type="pct"/>
            <w:shd w:val="clear" w:color="auto" w:fill="auto"/>
          </w:tcPr>
          <w:p w14:paraId="7268E95E" w14:textId="77777777" w:rsidR="005F762A" w:rsidRDefault="005F762A">
            <w:pPr>
              <w:rPr>
                <w:rFonts w:ascii="宋体"/>
              </w:rPr>
            </w:pPr>
          </w:p>
        </w:tc>
        <w:tc>
          <w:tcPr>
            <w:tcW w:w="5" w:type="pct"/>
            <w:shd w:val="clear" w:color="auto" w:fill="auto"/>
          </w:tcPr>
          <w:p w14:paraId="7268E95F" w14:textId="77777777" w:rsidR="005F762A" w:rsidRDefault="005F762A">
            <w:pPr>
              <w:rPr>
                <w:rFonts w:ascii="宋体"/>
              </w:rPr>
            </w:pPr>
          </w:p>
        </w:tc>
        <w:tc>
          <w:tcPr>
            <w:tcW w:w="5" w:type="pct"/>
            <w:shd w:val="clear" w:color="auto" w:fill="auto"/>
          </w:tcPr>
          <w:p w14:paraId="7268E960" w14:textId="77777777" w:rsidR="005F762A" w:rsidRDefault="005F762A">
            <w:pPr>
              <w:rPr>
                <w:rFonts w:ascii="宋体"/>
              </w:rPr>
            </w:pPr>
          </w:p>
        </w:tc>
        <w:tc>
          <w:tcPr>
            <w:tcW w:w="26" w:type="pct"/>
            <w:shd w:val="clear" w:color="auto" w:fill="auto"/>
          </w:tcPr>
          <w:p w14:paraId="7268E961" w14:textId="77777777" w:rsidR="005F762A" w:rsidRDefault="005F762A">
            <w:pPr>
              <w:rPr>
                <w:rFonts w:ascii="宋体"/>
              </w:rPr>
            </w:pPr>
          </w:p>
        </w:tc>
        <w:tc>
          <w:tcPr>
            <w:tcW w:w="5" w:type="pct"/>
            <w:shd w:val="clear" w:color="auto" w:fill="auto"/>
          </w:tcPr>
          <w:p w14:paraId="7268E962" w14:textId="77777777" w:rsidR="005F762A" w:rsidRDefault="005F762A">
            <w:pPr>
              <w:rPr>
                <w:rFonts w:ascii="宋体"/>
              </w:rPr>
            </w:pPr>
          </w:p>
        </w:tc>
        <w:tc>
          <w:tcPr>
            <w:tcW w:w="50" w:type="pct"/>
            <w:shd w:val="clear" w:color="auto" w:fill="auto"/>
          </w:tcPr>
          <w:p w14:paraId="7268E963" w14:textId="77777777" w:rsidR="005F762A" w:rsidRDefault="005F762A">
            <w:pPr>
              <w:rPr>
                <w:rFonts w:ascii="宋体"/>
              </w:rPr>
            </w:pPr>
          </w:p>
        </w:tc>
        <w:tc>
          <w:tcPr>
            <w:tcW w:w="580" w:type="pct"/>
            <w:shd w:val="clear" w:color="auto" w:fill="auto"/>
          </w:tcPr>
          <w:p w14:paraId="7268E964" w14:textId="77777777" w:rsidR="005F762A" w:rsidRDefault="005F762A">
            <w:pPr>
              <w:rPr>
                <w:rFonts w:ascii="宋体"/>
              </w:rPr>
            </w:pPr>
          </w:p>
        </w:tc>
        <w:tc>
          <w:tcPr>
            <w:tcW w:w="5" w:type="pct"/>
            <w:shd w:val="clear" w:color="auto" w:fill="auto"/>
          </w:tcPr>
          <w:p w14:paraId="7268E965" w14:textId="77777777" w:rsidR="005F762A" w:rsidRDefault="005F762A">
            <w:pPr>
              <w:rPr>
                <w:rFonts w:ascii="宋体"/>
              </w:rPr>
            </w:pPr>
          </w:p>
        </w:tc>
        <w:tc>
          <w:tcPr>
            <w:tcW w:w="5" w:type="pct"/>
            <w:shd w:val="clear" w:color="auto" w:fill="auto"/>
          </w:tcPr>
          <w:p w14:paraId="7268E966" w14:textId="77777777" w:rsidR="005F762A" w:rsidRDefault="005F762A">
            <w:pPr>
              <w:rPr>
                <w:rFonts w:ascii="宋体"/>
              </w:rPr>
            </w:pPr>
          </w:p>
        </w:tc>
        <w:tc>
          <w:tcPr>
            <w:tcW w:w="26" w:type="pct"/>
            <w:shd w:val="clear" w:color="auto" w:fill="auto"/>
          </w:tcPr>
          <w:p w14:paraId="7268E967" w14:textId="77777777" w:rsidR="005F762A" w:rsidRDefault="005F762A">
            <w:pPr>
              <w:rPr>
                <w:rFonts w:ascii="宋体"/>
              </w:rPr>
            </w:pPr>
          </w:p>
        </w:tc>
        <w:tc>
          <w:tcPr>
            <w:tcW w:w="5" w:type="pct"/>
            <w:shd w:val="clear" w:color="auto" w:fill="auto"/>
          </w:tcPr>
          <w:p w14:paraId="7268E968" w14:textId="77777777" w:rsidR="005F762A" w:rsidRDefault="005F762A">
            <w:pPr>
              <w:rPr>
                <w:rFonts w:ascii="宋体"/>
              </w:rPr>
            </w:pPr>
          </w:p>
        </w:tc>
        <w:tc>
          <w:tcPr>
            <w:tcW w:w="50" w:type="pct"/>
            <w:shd w:val="clear" w:color="auto" w:fill="auto"/>
          </w:tcPr>
          <w:p w14:paraId="7268E969" w14:textId="77777777" w:rsidR="005F762A" w:rsidRDefault="005F762A">
            <w:pPr>
              <w:rPr>
                <w:rFonts w:ascii="宋体"/>
              </w:rPr>
            </w:pPr>
          </w:p>
        </w:tc>
        <w:tc>
          <w:tcPr>
            <w:tcW w:w="581" w:type="pct"/>
            <w:shd w:val="clear" w:color="auto" w:fill="auto"/>
          </w:tcPr>
          <w:p w14:paraId="7268E96A" w14:textId="77777777" w:rsidR="005F762A" w:rsidRDefault="005F762A">
            <w:pPr>
              <w:rPr>
                <w:rFonts w:ascii="宋体"/>
              </w:rPr>
            </w:pPr>
          </w:p>
        </w:tc>
        <w:tc>
          <w:tcPr>
            <w:tcW w:w="5" w:type="pct"/>
            <w:shd w:val="clear" w:color="auto" w:fill="auto"/>
          </w:tcPr>
          <w:p w14:paraId="7268E96B" w14:textId="77777777" w:rsidR="005F762A" w:rsidRDefault="005F762A">
            <w:pPr>
              <w:rPr>
                <w:rFonts w:ascii="宋体"/>
              </w:rPr>
            </w:pPr>
          </w:p>
        </w:tc>
      </w:tr>
      <w:tr w:rsidR="005F762A" w14:paraId="7268E96F" w14:textId="77777777">
        <w:tc>
          <w:tcPr>
            <w:tcW w:w="0" w:type="auto"/>
            <w:gridSpan w:val="3"/>
            <w:shd w:val="clear" w:color="auto" w:fill="auto"/>
            <w:tcMar>
              <w:top w:w="40" w:type="dxa"/>
              <w:left w:w="20" w:type="dxa"/>
              <w:bottom w:w="40" w:type="dxa"/>
              <w:right w:w="20" w:type="dxa"/>
            </w:tcMar>
            <w:vAlign w:val="bottom"/>
          </w:tcPr>
          <w:p w14:paraId="7268E96D" w14:textId="77777777" w:rsidR="005F762A" w:rsidRDefault="00D74111">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7268E96E" w14:textId="77777777" w:rsidR="005F762A" w:rsidRDefault="00D74111">
            <w:pPr>
              <w:jc w:val="center"/>
              <w:textAlignment w:val="bottom"/>
            </w:pPr>
            <w:r>
              <w:rPr>
                <w:rFonts w:ascii="Arial" w:eastAsia="宋体" w:hAnsi="Arial" w:cs="Arial"/>
                <w:b/>
                <w:bCs/>
                <w:color w:val="000000"/>
                <w:sz w:val="16"/>
                <w:szCs w:val="16"/>
              </w:rPr>
              <w:t>December 31, 2020</w:t>
            </w:r>
          </w:p>
        </w:tc>
      </w:tr>
      <w:tr w:rsidR="005F762A" w14:paraId="7268E978" w14:textId="77777777">
        <w:tc>
          <w:tcPr>
            <w:tcW w:w="0" w:type="auto"/>
            <w:gridSpan w:val="3"/>
            <w:shd w:val="clear" w:color="auto" w:fill="auto"/>
            <w:tcMar>
              <w:top w:w="40" w:type="dxa"/>
              <w:left w:w="20" w:type="dxa"/>
              <w:bottom w:w="40" w:type="dxa"/>
              <w:right w:w="20" w:type="dxa"/>
            </w:tcMar>
            <w:vAlign w:val="bottom"/>
          </w:tcPr>
          <w:p w14:paraId="7268E970" w14:textId="77777777" w:rsidR="005F762A" w:rsidRDefault="00D74111">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971"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268E97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973"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tcPr>
          <w:p w14:paraId="7268E97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975" w14:textId="77777777" w:rsidR="005F762A" w:rsidRDefault="00D74111">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7268E97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977" w14:textId="77777777" w:rsidR="005F762A" w:rsidRDefault="00D74111">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5F762A" w14:paraId="7268E981" w14:textId="77777777">
        <w:tc>
          <w:tcPr>
            <w:tcW w:w="0" w:type="auto"/>
            <w:gridSpan w:val="3"/>
            <w:shd w:val="clear" w:color="auto" w:fill="E2E2E2"/>
            <w:tcMar>
              <w:top w:w="40" w:type="dxa"/>
              <w:left w:w="20" w:type="dxa"/>
              <w:bottom w:w="40" w:type="dxa"/>
              <w:right w:w="20" w:type="dxa"/>
            </w:tcMar>
            <w:vAlign w:val="bottom"/>
          </w:tcPr>
          <w:p w14:paraId="7268E979" w14:textId="77777777" w:rsidR="005F762A" w:rsidRDefault="00D74111">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7268E97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7B"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97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7D"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97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7F"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980" w14:textId="77777777" w:rsidR="005F762A" w:rsidRDefault="005F762A">
            <w:pPr>
              <w:rPr>
                <w:rFonts w:ascii="宋体"/>
              </w:rPr>
            </w:pPr>
          </w:p>
        </w:tc>
      </w:tr>
      <w:tr w:rsidR="005F762A" w14:paraId="7268E992" w14:textId="77777777">
        <w:tc>
          <w:tcPr>
            <w:tcW w:w="0" w:type="auto"/>
            <w:gridSpan w:val="3"/>
            <w:shd w:val="clear" w:color="auto" w:fill="FFFFFF"/>
            <w:tcMar>
              <w:top w:w="40" w:type="dxa"/>
              <w:left w:w="245" w:type="dxa"/>
              <w:bottom w:w="40" w:type="dxa"/>
              <w:right w:w="20" w:type="dxa"/>
            </w:tcMar>
            <w:vAlign w:val="bottom"/>
          </w:tcPr>
          <w:p w14:paraId="7268E982" w14:textId="77777777" w:rsidR="005F762A" w:rsidRDefault="00D74111">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7268E983"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984" w14:textId="77777777" w:rsidR="005F762A" w:rsidRDefault="00D74111">
            <w:pPr>
              <w:jc w:val="right"/>
              <w:textAlignment w:val="bottom"/>
            </w:pPr>
            <w:r>
              <w:rPr>
                <w:rFonts w:ascii="Arial" w:eastAsia="宋体" w:hAnsi="Arial" w:cs="Arial"/>
                <w:color w:val="000000"/>
                <w:sz w:val="18"/>
                <w:szCs w:val="18"/>
              </w:rPr>
              <w:t>143 </w:t>
            </w:r>
          </w:p>
        </w:tc>
        <w:tc>
          <w:tcPr>
            <w:tcW w:w="0" w:type="auto"/>
            <w:shd w:val="clear" w:color="auto" w:fill="FFFFFF"/>
            <w:tcMar>
              <w:top w:w="40" w:type="dxa"/>
              <w:left w:w="0" w:type="dxa"/>
              <w:bottom w:w="40" w:type="dxa"/>
              <w:right w:w="20" w:type="dxa"/>
            </w:tcMar>
            <w:vAlign w:val="bottom"/>
          </w:tcPr>
          <w:p w14:paraId="7268E98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86"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987"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98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98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8A"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98B"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98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98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8E"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98F"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990" w14:textId="77777777" w:rsidR="005F762A" w:rsidRDefault="00D74111">
            <w:pPr>
              <w:jc w:val="right"/>
              <w:textAlignment w:val="bottom"/>
            </w:pPr>
            <w:r>
              <w:rPr>
                <w:rFonts w:ascii="Arial" w:eastAsia="宋体" w:hAnsi="Arial" w:cs="Arial"/>
                <w:color w:val="000000"/>
                <w:sz w:val="18"/>
                <w:szCs w:val="18"/>
              </w:rPr>
              <w:t>143 </w:t>
            </w:r>
          </w:p>
        </w:tc>
        <w:tc>
          <w:tcPr>
            <w:tcW w:w="0" w:type="auto"/>
            <w:shd w:val="clear" w:color="auto" w:fill="FFFFFF"/>
            <w:tcMar>
              <w:top w:w="40" w:type="dxa"/>
              <w:left w:w="0" w:type="dxa"/>
              <w:bottom w:w="40" w:type="dxa"/>
              <w:right w:w="20" w:type="dxa"/>
            </w:tcMar>
            <w:vAlign w:val="bottom"/>
          </w:tcPr>
          <w:p w14:paraId="7268E991" w14:textId="77777777" w:rsidR="005F762A" w:rsidRDefault="005F762A">
            <w:pPr>
              <w:jc w:val="right"/>
              <w:rPr>
                <w:rFonts w:ascii="宋体"/>
              </w:rPr>
            </w:pPr>
          </w:p>
        </w:tc>
      </w:tr>
      <w:tr w:rsidR="005F762A" w14:paraId="7268E99F" w14:textId="77777777">
        <w:tc>
          <w:tcPr>
            <w:tcW w:w="0" w:type="auto"/>
            <w:gridSpan w:val="3"/>
            <w:shd w:val="clear" w:color="auto" w:fill="E2E2E2"/>
            <w:tcMar>
              <w:top w:w="40" w:type="dxa"/>
              <w:left w:w="245" w:type="dxa"/>
              <w:bottom w:w="40" w:type="dxa"/>
              <w:right w:w="20" w:type="dxa"/>
            </w:tcMar>
            <w:vAlign w:val="bottom"/>
          </w:tcPr>
          <w:p w14:paraId="7268E993"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994" w14:textId="77777777" w:rsidR="005F762A" w:rsidRDefault="00D74111">
            <w:pPr>
              <w:jc w:val="right"/>
              <w:textAlignment w:val="bottom"/>
            </w:pPr>
            <w:r>
              <w:rPr>
                <w:rFonts w:ascii="Arial" w:eastAsia="宋体" w:hAnsi="Arial" w:cs="Arial"/>
                <w:color w:val="000000"/>
                <w:sz w:val="18"/>
                <w:szCs w:val="18"/>
              </w:rPr>
              <w:t>2,252 </w:t>
            </w:r>
          </w:p>
        </w:tc>
        <w:tc>
          <w:tcPr>
            <w:tcW w:w="0" w:type="auto"/>
            <w:shd w:val="clear" w:color="auto" w:fill="E2E2E2"/>
            <w:tcMar>
              <w:top w:w="40" w:type="dxa"/>
              <w:left w:w="0" w:type="dxa"/>
              <w:bottom w:w="40" w:type="dxa"/>
              <w:right w:w="20" w:type="dxa"/>
            </w:tcMar>
            <w:vAlign w:val="bottom"/>
          </w:tcPr>
          <w:p w14:paraId="7268E99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9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97" w14:textId="77777777" w:rsidR="005F762A" w:rsidRDefault="00D74111">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7268E99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99"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9A"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99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9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99D" w14:textId="77777777" w:rsidR="005F762A" w:rsidRDefault="00D74111">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7268E99E" w14:textId="77777777" w:rsidR="005F762A" w:rsidRDefault="005F762A">
            <w:pPr>
              <w:jc w:val="right"/>
              <w:rPr>
                <w:rFonts w:ascii="宋体"/>
              </w:rPr>
            </w:pPr>
          </w:p>
        </w:tc>
      </w:tr>
      <w:tr w:rsidR="005F762A" w14:paraId="7268E9A8" w14:textId="77777777">
        <w:trPr>
          <w:hidden/>
        </w:trPr>
        <w:tc>
          <w:tcPr>
            <w:tcW w:w="0" w:type="auto"/>
            <w:gridSpan w:val="3"/>
            <w:shd w:val="clear" w:color="auto" w:fill="auto"/>
          </w:tcPr>
          <w:p w14:paraId="7268E9A0" w14:textId="77777777" w:rsidR="005F762A" w:rsidRDefault="005F762A">
            <w:pPr>
              <w:rPr>
                <w:rFonts w:ascii="宋体"/>
                <w:vanish/>
              </w:rPr>
            </w:pPr>
          </w:p>
        </w:tc>
        <w:tc>
          <w:tcPr>
            <w:tcW w:w="0" w:type="auto"/>
            <w:gridSpan w:val="3"/>
            <w:shd w:val="clear" w:color="auto" w:fill="auto"/>
          </w:tcPr>
          <w:p w14:paraId="7268E9A1" w14:textId="77777777" w:rsidR="005F762A" w:rsidRDefault="005F762A">
            <w:pPr>
              <w:rPr>
                <w:rFonts w:ascii="宋体"/>
                <w:vanish/>
              </w:rPr>
            </w:pPr>
          </w:p>
        </w:tc>
        <w:tc>
          <w:tcPr>
            <w:tcW w:w="0" w:type="auto"/>
            <w:gridSpan w:val="3"/>
            <w:shd w:val="clear" w:color="auto" w:fill="auto"/>
          </w:tcPr>
          <w:p w14:paraId="7268E9A2" w14:textId="77777777" w:rsidR="005F762A" w:rsidRDefault="005F762A">
            <w:pPr>
              <w:rPr>
                <w:rFonts w:ascii="宋体"/>
                <w:vanish/>
              </w:rPr>
            </w:pPr>
          </w:p>
        </w:tc>
        <w:tc>
          <w:tcPr>
            <w:tcW w:w="0" w:type="auto"/>
            <w:gridSpan w:val="3"/>
            <w:shd w:val="clear" w:color="auto" w:fill="auto"/>
          </w:tcPr>
          <w:p w14:paraId="7268E9A3" w14:textId="77777777" w:rsidR="005F762A" w:rsidRDefault="005F762A">
            <w:pPr>
              <w:rPr>
                <w:rFonts w:ascii="宋体"/>
                <w:vanish/>
              </w:rPr>
            </w:pPr>
          </w:p>
        </w:tc>
        <w:tc>
          <w:tcPr>
            <w:tcW w:w="0" w:type="auto"/>
            <w:gridSpan w:val="3"/>
            <w:shd w:val="clear" w:color="auto" w:fill="auto"/>
          </w:tcPr>
          <w:p w14:paraId="7268E9A4" w14:textId="77777777" w:rsidR="005F762A" w:rsidRDefault="005F762A">
            <w:pPr>
              <w:rPr>
                <w:rFonts w:ascii="宋体"/>
                <w:vanish/>
              </w:rPr>
            </w:pPr>
          </w:p>
        </w:tc>
        <w:tc>
          <w:tcPr>
            <w:tcW w:w="0" w:type="auto"/>
            <w:gridSpan w:val="3"/>
            <w:shd w:val="clear" w:color="auto" w:fill="auto"/>
          </w:tcPr>
          <w:p w14:paraId="7268E9A5" w14:textId="77777777" w:rsidR="005F762A" w:rsidRDefault="005F762A">
            <w:pPr>
              <w:rPr>
                <w:rFonts w:ascii="宋体"/>
                <w:vanish/>
              </w:rPr>
            </w:pPr>
          </w:p>
        </w:tc>
        <w:tc>
          <w:tcPr>
            <w:tcW w:w="0" w:type="auto"/>
            <w:gridSpan w:val="3"/>
            <w:shd w:val="clear" w:color="auto" w:fill="auto"/>
          </w:tcPr>
          <w:p w14:paraId="7268E9A6" w14:textId="77777777" w:rsidR="005F762A" w:rsidRDefault="005F762A">
            <w:pPr>
              <w:rPr>
                <w:rFonts w:ascii="宋体"/>
                <w:vanish/>
              </w:rPr>
            </w:pPr>
          </w:p>
        </w:tc>
        <w:tc>
          <w:tcPr>
            <w:tcW w:w="0" w:type="auto"/>
            <w:gridSpan w:val="3"/>
            <w:shd w:val="clear" w:color="auto" w:fill="auto"/>
          </w:tcPr>
          <w:p w14:paraId="7268E9A7" w14:textId="77777777" w:rsidR="005F762A" w:rsidRDefault="005F762A">
            <w:pPr>
              <w:rPr>
                <w:rFonts w:ascii="宋体"/>
                <w:vanish/>
              </w:rPr>
            </w:pPr>
          </w:p>
        </w:tc>
      </w:tr>
      <w:tr w:rsidR="005F762A" w14:paraId="7268E9B1" w14:textId="77777777">
        <w:trPr>
          <w:hidden/>
        </w:trPr>
        <w:tc>
          <w:tcPr>
            <w:tcW w:w="0" w:type="auto"/>
            <w:gridSpan w:val="3"/>
            <w:shd w:val="clear" w:color="auto" w:fill="auto"/>
          </w:tcPr>
          <w:p w14:paraId="7268E9A9" w14:textId="77777777" w:rsidR="005F762A" w:rsidRDefault="005F762A">
            <w:pPr>
              <w:rPr>
                <w:rFonts w:ascii="宋体"/>
                <w:vanish/>
              </w:rPr>
            </w:pPr>
          </w:p>
        </w:tc>
        <w:tc>
          <w:tcPr>
            <w:tcW w:w="0" w:type="auto"/>
            <w:gridSpan w:val="3"/>
            <w:shd w:val="clear" w:color="auto" w:fill="auto"/>
          </w:tcPr>
          <w:p w14:paraId="7268E9AA" w14:textId="77777777" w:rsidR="005F762A" w:rsidRDefault="005F762A">
            <w:pPr>
              <w:rPr>
                <w:rFonts w:ascii="宋体"/>
                <w:vanish/>
              </w:rPr>
            </w:pPr>
          </w:p>
        </w:tc>
        <w:tc>
          <w:tcPr>
            <w:tcW w:w="0" w:type="auto"/>
            <w:gridSpan w:val="3"/>
            <w:shd w:val="clear" w:color="auto" w:fill="auto"/>
          </w:tcPr>
          <w:p w14:paraId="7268E9AB" w14:textId="77777777" w:rsidR="005F762A" w:rsidRDefault="005F762A">
            <w:pPr>
              <w:rPr>
                <w:rFonts w:ascii="宋体"/>
                <w:vanish/>
              </w:rPr>
            </w:pPr>
          </w:p>
        </w:tc>
        <w:tc>
          <w:tcPr>
            <w:tcW w:w="0" w:type="auto"/>
            <w:gridSpan w:val="3"/>
            <w:shd w:val="clear" w:color="auto" w:fill="auto"/>
          </w:tcPr>
          <w:p w14:paraId="7268E9AC" w14:textId="77777777" w:rsidR="005F762A" w:rsidRDefault="005F762A">
            <w:pPr>
              <w:rPr>
                <w:rFonts w:ascii="宋体"/>
                <w:vanish/>
              </w:rPr>
            </w:pPr>
          </w:p>
        </w:tc>
        <w:tc>
          <w:tcPr>
            <w:tcW w:w="0" w:type="auto"/>
            <w:gridSpan w:val="3"/>
            <w:shd w:val="clear" w:color="auto" w:fill="auto"/>
          </w:tcPr>
          <w:p w14:paraId="7268E9AD" w14:textId="77777777" w:rsidR="005F762A" w:rsidRDefault="005F762A">
            <w:pPr>
              <w:rPr>
                <w:rFonts w:ascii="宋体"/>
                <w:vanish/>
              </w:rPr>
            </w:pPr>
          </w:p>
        </w:tc>
        <w:tc>
          <w:tcPr>
            <w:tcW w:w="0" w:type="auto"/>
            <w:gridSpan w:val="3"/>
            <w:shd w:val="clear" w:color="auto" w:fill="auto"/>
          </w:tcPr>
          <w:p w14:paraId="7268E9AE" w14:textId="77777777" w:rsidR="005F762A" w:rsidRDefault="005F762A">
            <w:pPr>
              <w:rPr>
                <w:rFonts w:ascii="宋体"/>
                <w:vanish/>
              </w:rPr>
            </w:pPr>
          </w:p>
        </w:tc>
        <w:tc>
          <w:tcPr>
            <w:tcW w:w="0" w:type="auto"/>
            <w:gridSpan w:val="3"/>
            <w:shd w:val="clear" w:color="auto" w:fill="auto"/>
          </w:tcPr>
          <w:p w14:paraId="7268E9AF" w14:textId="77777777" w:rsidR="005F762A" w:rsidRDefault="005F762A">
            <w:pPr>
              <w:rPr>
                <w:rFonts w:ascii="宋体"/>
                <w:vanish/>
              </w:rPr>
            </w:pPr>
          </w:p>
        </w:tc>
        <w:tc>
          <w:tcPr>
            <w:tcW w:w="0" w:type="auto"/>
            <w:gridSpan w:val="3"/>
            <w:shd w:val="clear" w:color="auto" w:fill="auto"/>
          </w:tcPr>
          <w:p w14:paraId="7268E9B0" w14:textId="77777777" w:rsidR="005F762A" w:rsidRDefault="005F762A">
            <w:pPr>
              <w:rPr>
                <w:rFonts w:ascii="宋体"/>
                <w:vanish/>
              </w:rPr>
            </w:pPr>
          </w:p>
        </w:tc>
      </w:tr>
      <w:tr w:rsidR="005F762A" w14:paraId="7268E9BA" w14:textId="77777777">
        <w:trPr>
          <w:hidden/>
        </w:trPr>
        <w:tc>
          <w:tcPr>
            <w:tcW w:w="0" w:type="auto"/>
            <w:gridSpan w:val="3"/>
            <w:shd w:val="clear" w:color="auto" w:fill="auto"/>
          </w:tcPr>
          <w:p w14:paraId="7268E9B2" w14:textId="77777777" w:rsidR="005F762A" w:rsidRDefault="005F762A">
            <w:pPr>
              <w:rPr>
                <w:rFonts w:ascii="宋体"/>
                <w:vanish/>
              </w:rPr>
            </w:pPr>
          </w:p>
        </w:tc>
        <w:tc>
          <w:tcPr>
            <w:tcW w:w="0" w:type="auto"/>
            <w:gridSpan w:val="3"/>
            <w:shd w:val="clear" w:color="auto" w:fill="auto"/>
          </w:tcPr>
          <w:p w14:paraId="7268E9B3" w14:textId="77777777" w:rsidR="005F762A" w:rsidRDefault="005F762A">
            <w:pPr>
              <w:rPr>
                <w:rFonts w:ascii="宋体"/>
                <w:vanish/>
              </w:rPr>
            </w:pPr>
          </w:p>
        </w:tc>
        <w:tc>
          <w:tcPr>
            <w:tcW w:w="0" w:type="auto"/>
            <w:gridSpan w:val="3"/>
            <w:shd w:val="clear" w:color="auto" w:fill="auto"/>
          </w:tcPr>
          <w:p w14:paraId="7268E9B4" w14:textId="77777777" w:rsidR="005F762A" w:rsidRDefault="005F762A">
            <w:pPr>
              <w:rPr>
                <w:rFonts w:ascii="宋体"/>
                <w:vanish/>
              </w:rPr>
            </w:pPr>
          </w:p>
        </w:tc>
        <w:tc>
          <w:tcPr>
            <w:tcW w:w="0" w:type="auto"/>
            <w:gridSpan w:val="3"/>
            <w:shd w:val="clear" w:color="auto" w:fill="auto"/>
          </w:tcPr>
          <w:p w14:paraId="7268E9B5" w14:textId="77777777" w:rsidR="005F762A" w:rsidRDefault="005F762A">
            <w:pPr>
              <w:rPr>
                <w:rFonts w:ascii="宋体"/>
                <w:vanish/>
              </w:rPr>
            </w:pPr>
          </w:p>
        </w:tc>
        <w:tc>
          <w:tcPr>
            <w:tcW w:w="0" w:type="auto"/>
            <w:gridSpan w:val="3"/>
            <w:shd w:val="clear" w:color="auto" w:fill="auto"/>
          </w:tcPr>
          <w:p w14:paraId="7268E9B6" w14:textId="77777777" w:rsidR="005F762A" w:rsidRDefault="005F762A">
            <w:pPr>
              <w:rPr>
                <w:rFonts w:ascii="宋体"/>
                <w:vanish/>
              </w:rPr>
            </w:pPr>
          </w:p>
        </w:tc>
        <w:tc>
          <w:tcPr>
            <w:tcW w:w="0" w:type="auto"/>
            <w:gridSpan w:val="3"/>
            <w:shd w:val="clear" w:color="auto" w:fill="auto"/>
          </w:tcPr>
          <w:p w14:paraId="7268E9B7" w14:textId="77777777" w:rsidR="005F762A" w:rsidRDefault="005F762A">
            <w:pPr>
              <w:rPr>
                <w:rFonts w:ascii="宋体"/>
                <w:vanish/>
              </w:rPr>
            </w:pPr>
          </w:p>
        </w:tc>
        <w:tc>
          <w:tcPr>
            <w:tcW w:w="0" w:type="auto"/>
            <w:gridSpan w:val="3"/>
            <w:shd w:val="clear" w:color="auto" w:fill="auto"/>
          </w:tcPr>
          <w:p w14:paraId="7268E9B8" w14:textId="77777777" w:rsidR="005F762A" w:rsidRDefault="005F762A">
            <w:pPr>
              <w:rPr>
                <w:rFonts w:ascii="宋体"/>
                <w:vanish/>
              </w:rPr>
            </w:pPr>
          </w:p>
        </w:tc>
        <w:tc>
          <w:tcPr>
            <w:tcW w:w="0" w:type="auto"/>
            <w:gridSpan w:val="3"/>
            <w:shd w:val="clear" w:color="auto" w:fill="auto"/>
          </w:tcPr>
          <w:p w14:paraId="7268E9B9" w14:textId="77777777" w:rsidR="005F762A" w:rsidRDefault="005F762A">
            <w:pPr>
              <w:rPr>
                <w:rFonts w:ascii="宋体"/>
                <w:vanish/>
              </w:rPr>
            </w:pPr>
          </w:p>
        </w:tc>
      </w:tr>
      <w:tr w:rsidR="005F762A" w14:paraId="7268E9CB" w14:textId="77777777">
        <w:tc>
          <w:tcPr>
            <w:tcW w:w="0" w:type="auto"/>
            <w:gridSpan w:val="3"/>
            <w:shd w:val="clear" w:color="auto" w:fill="FFFFFF"/>
            <w:tcMar>
              <w:top w:w="0" w:type="dxa"/>
              <w:left w:w="20" w:type="dxa"/>
              <w:bottom w:w="0" w:type="dxa"/>
              <w:right w:w="20" w:type="dxa"/>
            </w:tcMar>
          </w:tcPr>
          <w:p w14:paraId="7268E9BB"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9B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9BD" w14:textId="77777777" w:rsidR="005F762A" w:rsidRDefault="00D74111">
            <w:pPr>
              <w:jc w:val="right"/>
              <w:textAlignment w:val="bottom"/>
            </w:pPr>
            <w:r>
              <w:rPr>
                <w:rFonts w:ascii="Arial" w:eastAsia="宋体" w:hAnsi="Arial" w:cs="Arial"/>
                <w:color w:val="000000"/>
                <w:sz w:val="18"/>
                <w:szCs w:val="18"/>
              </w:rPr>
              <w:t>2,395 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9B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BF"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9C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9C1" w14:textId="77777777" w:rsidR="005F762A" w:rsidRDefault="00D74111">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9C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C3"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9C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9C5"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9C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C7"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9C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9C9" w14:textId="77777777" w:rsidR="005F762A" w:rsidRDefault="00D74111">
            <w:pPr>
              <w:jc w:val="right"/>
              <w:textAlignment w:val="bottom"/>
            </w:pPr>
            <w:r>
              <w:rPr>
                <w:rFonts w:ascii="Arial" w:eastAsia="宋体" w:hAnsi="Arial" w:cs="Arial"/>
                <w:color w:val="000000"/>
                <w:sz w:val="18"/>
                <w:szCs w:val="18"/>
              </w:rPr>
              <w:t>2,398 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9CA" w14:textId="77777777" w:rsidR="005F762A" w:rsidRDefault="005F762A">
            <w:pPr>
              <w:jc w:val="right"/>
              <w:rPr>
                <w:rFonts w:ascii="宋体"/>
              </w:rPr>
            </w:pPr>
          </w:p>
        </w:tc>
      </w:tr>
      <w:tr w:rsidR="005F762A" w14:paraId="7268E9D4" w14:textId="77777777">
        <w:tc>
          <w:tcPr>
            <w:tcW w:w="0" w:type="auto"/>
            <w:gridSpan w:val="3"/>
            <w:shd w:val="clear" w:color="auto" w:fill="E2E2E2"/>
            <w:tcMar>
              <w:top w:w="40" w:type="dxa"/>
              <w:left w:w="20" w:type="dxa"/>
              <w:bottom w:w="40" w:type="dxa"/>
              <w:right w:w="20" w:type="dxa"/>
            </w:tcMar>
            <w:vAlign w:val="bottom"/>
          </w:tcPr>
          <w:p w14:paraId="7268E9CC"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E2E2E2"/>
            <w:tcMar>
              <w:top w:w="0" w:type="dxa"/>
              <w:left w:w="20" w:type="dxa"/>
              <w:bottom w:w="0" w:type="dxa"/>
              <w:right w:w="20" w:type="dxa"/>
            </w:tcMar>
          </w:tcPr>
          <w:p w14:paraId="7268E9C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CE"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E9C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D0"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E9D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9D2" w14:textId="77777777" w:rsidR="005F762A" w:rsidRDefault="005F762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tcPr>
          <w:p w14:paraId="7268E9D3" w14:textId="77777777" w:rsidR="005F762A" w:rsidRDefault="005F762A">
            <w:pPr>
              <w:rPr>
                <w:rFonts w:ascii="宋体"/>
              </w:rPr>
            </w:pPr>
          </w:p>
        </w:tc>
      </w:tr>
      <w:tr w:rsidR="005F762A" w14:paraId="7268E9E1" w14:textId="77777777">
        <w:tc>
          <w:tcPr>
            <w:tcW w:w="0" w:type="auto"/>
            <w:gridSpan w:val="3"/>
            <w:shd w:val="clear" w:color="auto" w:fill="FFFFFF"/>
            <w:tcMar>
              <w:top w:w="40" w:type="dxa"/>
              <w:left w:w="245" w:type="dxa"/>
              <w:bottom w:w="40" w:type="dxa"/>
              <w:right w:w="20" w:type="dxa"/>
            </w:tcMar>
            <w:vAlign w:val="bottom"/>
          </w:tcPr>
          <w:p w14:paraId="7268E9D5"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7268E9D6" w14:textId="77777777" w:rsidR="005F762A" w:rsidRDefault="00D74111">
            <w:pPr>
              <w:jc w:val="right"/>
              <w:textAlignment w:val="bottom"/>
            </w:pPr>
            <w:r>
              <w:rPr>
                <w:rFonts w:ascii="Arial" w:eastAsia="宋体" w:hAnsi="Arial" w:cs="Arial"/>
                <w:color w:val="000000"/>
                <w:sz w:val="18"/>
                <w:szCs w:val="18"/>
              </w:rPr>
              <w:t>284 </w:t>
            </w:r>
          </w:p>
        </w:tc>
        <w:tc>
          <w:tcPr>
            <w:tcW w:w="0" w:type="auto"/>
            <w:shd w:val="clear" w:color="auto" w:fill="FFFFFF"/>
            <w:tcMar>
              <w:top w:w="40" w:type="dxa"/>
              <w:left w:w="0" w:type="dxa"/>
              <w:bottom w:w="40" w:type="dxa"/>
              <w:right w:w="20" w:type="dxa"/>
            </w:tcMar>
            <w:vAlign w:val="bottom"/>
          </w:tcPr>
          <w:p w14:paraId="7268E9D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D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9D9"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E9D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D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9D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9D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9D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9DF" w14:textId="77777777" w:rsidR="005F762A" w:rsidRDefault="00D74111">
            <w:pPr>
              <w:jc w:val="right"/>
              <w:textAlignment w:val="bottom"/>
            </w:pPr>
            <w:r>
              <w:rPr>
                <w:rFonts w:ascii="Arial" w:eastAsia="宋体" w:hAnsi="Arial" w:cs="Arial"/>
                <w:color w:val="000000"/>
                <w:sz w:val="18"/>
                <w:szCs w:val="18"/>
              </w:rPr>
              <w:t>286 </w:t>
            </w:r>
          </w:p>
        </w:tc>
        <w:tc>
          <w:tcPr>
            <w:tcW w:w="0" w:type="auto"/>
            <w:shd w:val="clear" w:color="auto" w:fill="FFFFFF"/>
            <w:tcMar>
              <w:top w:w="40" w:type="dxa"/>
              <w:left w:w="0" w:type="dxa"/>
              <w:bottom w:w="40" w:type="dxa"/>
              <w:right w:w="20" w:type="dxa"/>
            </w:tcMar>
            <w:vAlign w:val="bottom"/>
          </w:tcPr>
          <w:p w14:paraId="7268E9E0" w14:textId="77777777" w:rsidR="005F762A" w:rsidRDefault="005F762A">
            <w:pPr>
              <w:jc w:val="right"/>
              <w:rPr>
                <w:rFonts w:ascii="宋体"/>
              </w:rPr>
            </w:pPr>
          </w:p>
        </w:tc>
      </w:tr>
      <w:tr w:rsidR="005F762A" w14:paraId="7268E9EA" w14:textId="77777777">
        <w:trPr>
          <w:hidden/>
        </w:trPr>
        <w:tc>
          <w:tcPr>
            <w:tcW w:w="0" w:type="auto"/>
            <w:gridSpan w:val="3"/>
            <w:shd w:val="clear" w:color="auto" w:fill="auto"/>
          </w:tcPr>
          <w:p w14:paraId="7268E9E2" w14:textId="77777777" w:rsidR="005F762A" w:rsidRDefault="005F762A">
            <w:pPr>
              <w:rPr>
                <w:rFonts w:ascii="宋体"/>
                <w:vanish/>
              </w:rPr>
            </w:pPr>
          </w:p>
        </w:tc>
        <w:tc>
          <w:tcPr>
            <w:tcW w:w="0" w:type="auto"/>
            <w:gridSpan w:val="3"/>
            <w:shd w:val="clear" w:color="auto" w:fill="auto"/>
          </w:tcPr>
          <w:p w14:paraId="7268E9E3" w14:textId="77777777" w:rsidR="005F762A" w:rsidRDefault="005F762A">
            <w:pPr>
              <w:rPr>
                <w:rFonts w:ascii="宋体"/>
                <w:vanish/>
              </w:rPr>
            </w:pPr>
          </w:p>
        </w:tc>
        <w:tc>
          <w:tcPr>
            <w:tcW w:w="0" w:type="auto"/>
            <w:gridSpan w:val="3"/>
            <w:shd w:val="clear" w:color="auto" w:fill="auto"/>
          </w:tcPr>
          <w:p w14:paraId="7268E9E4" w14:textId="77777777" w:rsidR="005F762A" w:rsidRDefault="005F762A">
            <w:pPr>
              <w:rPr>
                <w:rFonts w:ascii="宋体"/>
                <w:vanish/>
              </w:rPr>
            </w:pPr>
          </w:p>
        </w:tc>
        <w:tc>
          <w:tcPr>
            <w:tcW w:w="0" w:type="auto"/>
            <w:gridSpan w:val="3"/>
            <w:shd w:val="clear" w:color="auto" w:fill="auto"/>
          </w:tcPr>
          <w:p w14:paraId="7268E9E5" w14:textId="77777777" w:rsidR="005F762A" w:rsidRDefault="005F762A">
            <w:pPr>
              <w:rPr>
                <w:rFonts w:ascii="宋体"/>
                <w:vanish/>
              </w:rPr>
            </w:pPr>
          </w:p>
        </w:tc>
        <w:tc>
          <w:tcPr>
            <w:tcW w:w="0" w:type="auto"/>
            <w:gridSpan w:val="3"/>
            <w:shd w:val="clear" w:color="auto" w:fill="auto"/>
          </w:tcPr>
          <w:p w14:paraId="7268E9E6" w14:textId="77777777" w:rsidR="005F762A" w:rsidRDefault="005F762A">
            <w:pPr>
              <w:rPr>
                <w:rFonts w:ascii="宋体"/>
                <w:vanish/>
              </w:rPr>
            </w:pPr>
          </w:p>
        </w:tc>
        <w:tc>
          <w:tcPr>
            <w:tcW w:w="0" w:type="auto"/>
            <w:gridSpan w:val="3"/>
            <w:shd w:val="clear" w:color="auto" w:fill="auto"/>
          </w:tcPr>
          <w:p w14:paraId="7268E9E7" w14:textId="77777777" w:rsidR="005F762A" w:rsidRDefault="005F762A">
            <w:pPr>
              <w:rPr>
                <w:rFonts w:ascii="宋体"/>
                <w:vanish/>
              </w:rPr>
            </w:pPr>
          </w:p>
        </w:tc>
        <w:tc>
          <w:tcPr>
            <w:tcW w:w="0" w:type="auto"/>
            <w:gridSpan w:val="3"/>
            <w:shd w:val="clear" w:color="auto" w:fill="auto"/>
          </w:tcPr>
          <w:p w14:paraId="7268E9E8" w14:textId="77777777" w:rsidR="005F762A" w:rsidRDefault="005F762A">
            <w:pPr>
              <w:rPr>
                <w:rFonts w:ascii="宋体"/>
                <w:vanish/>
              </w:rPr>
            </w:pPr>
          </w:p>
        </w:tc>
        <w:tc>
          <w:tcPr>
            <w:tcW w:w="0" w:type="auto"/>
            <w:gridSpan w:val="3"/>
            <w:shd w:val="clear" w:color="auto" w:fill="auto"/>
          </w:tcPr>
          <w:p w14:paraId="7268E9E9" w14:textId="77777777" w:rsidR="005F762A" w:rsidRDefault="005F762A">
            <w:pPr>
              <w:rPr>
                <w:rFonts w:ascii="宋体"/>
                <w:vanish/>
              </w:rPr>
            </w:pPr>
          </w:p>
        </w:tc>
      </w:tr>
      <w:tr w:rsidR="005F762A" w14:paraId="7268E9FB" w14:textId="77777777">
        <w:tc>
          <w:tcPr>
            <w:tcW w:w="0" w:type="auto"/>
            <w:gridSpan w:val="3"/>
            <w:shd w:val="clear" w:color="auto" w:fill="E2E2E2"/>
            <w:tcMar>
              <w:top w:w="0" w:type="dxa"/>
              <w:left w:w="20" w:type="dxa"/>
              <w:bottom w:w="0" w:type="dxa"/>
              <w:right w:w="20" w:type="dxa"/>
            </w:tcMar>
          </w:tcPr>
          <w:p w14:paraId="7268E9EB"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E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ED" w14:textId="77777777" w:rsidR="005F762A" w:rsidRDefault="00D74111">
            <w:pPr>
              <w:jc w:val="right"/>
              <w:textAlignment w:val="bottom"/>
            </w:pPr>
            <w:r>
              <w:rPr>
                <w:rFonts w:ascii="Arial" w:eastAsia="宋体" w:hAnsi="Arial" w:cs="Arial"/>
                <w:color w:val="000000"/>
                <w:sz w:val="18"/>
                <w:szCs w:val="18"/>
              </w:rPr>
              <w:t>284 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E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E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F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F1"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F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F3"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F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F5"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F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9F7"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9F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9F9" w14:textId="77777777" w:rsidR="005F762A" w:rsidRDefault="00D74111">
            <w:pPr>
              <w:jc w:val="right"/>
              <w:textAlignment w:val="bottom"/>
            </w:pPr>
            <w:r>
              <w:rPr>
                <w:rFonts w:ascii="Arial" w:eastAsia="宋体" w:hAnsi="Arial" w:cs="Arial"/>
                <w:color w:val="000000"/>
                <w:sz w:val="18"/>
                <w:szCs w:val="18"/>
              </w:rPr>
              <w:t>286 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9FA" w14:textId="77777777" w:rsidR="005F762A" w:rsidRDefault="005F762A">
            <w:pPr>
              <w:jc w:val="right"/>
              <w:rPr>
                <w:rFonts w:ascii="宋体"/>
              </w:rPr>
            </w:pPr>
          </w:p>
        </w:tc>
      </w:tr>
    </w:tbl>
    <w:p w14:paraId="7268E9FC" w14:textId="77777777" w:rsidR="005F762A" w:rsidRDefault="005F762A"/>
    <w:p w14:paraId="7268E9FD" w14:textId="77777777" w:rsidR="005F762A" w:rsidRDefault="00D74111">
      <w:pPr>
        <w:ind w:firstLine="540"/>
        <w:jc w:val="both"/>
      </w:pPr>
      <w:r>
        <w:rPr>
          <w:rFonts w:ascii="Arial" w:eastAsia="宋体" w:hAnsi="Arial" w:cs="Arial"/>
          <w:color w:val="000000"/>
          <w:sz w:val="20"/>
          <w:szCs w:val="20"/>
        </w:rPr>
        <w:t>We consider cash to be restricted when withdrawal or general use is legally restricted. At December 3</w:t>
      </w:r>
      <w:r>
        <w:rPr>
          <w:rFonts w:ascii="Arial" w:eastAsia="宋体" w:hAnsi="Arial" w:cs="Arial"/>
          <w:color w:val="000000"/>
          <w:sz w:val="20"/>
          <w:szCs w:val="20"/>
        </w:rPr>
        <w:t xml:space="preserve">1, 2020 our restricted cash balance primarily comprised of cash on deposit with banks restricted to safeguard seller payables. </w:t>
      </w:r>
    </w:p>
    <w:p w14:paraId="7268E9FE" w14:textId="77777777" w:rsidR="005F762A" w:rsidRDefault="005F762A">
      <w:pPr>
        <w:ind w:firstLine="540"/>
        <w:jc w:val="both"/>
      </w:pPr>
    </w:p>
    <w:p w14:paraId="7268E9FF" w14:textId="77777777" w:rsidR="005F762A" w:rsidRDefault="00D74111">
      <w:pPr>
        <w:ind w:firstLine="540"/>
        <w:jc w:val="both"/>
      </w:pPr>
      <w:r>
        <w:rPr>
          <w:rFonts w:ascii="Arial" w:eastAsia="宋体" w:hAnsi="Arial" w:cs="Arial"/>
          <w:color w:val="000000"/>
          <w:sz w:val="20"/>
          <w:szCs w:val="20"/>
        </w:rPr>
        <w:t>Investments classified as available-for-sale are carried at fair value with changes reflected in other comprehensive income. Wh</w:t>
      </w:r>
      <w:r>
        <w:rPr>
          <w:rFonts w:ascii="Arial" w:eastAsia="宋体" w:hAnsi="Arial" w:cs="Arial"/>
          <w:color w:val="000000"/>
          <w:sz w:val="20"/>
          <w:szCs w:val="20"/>
        </w:rPr>
        <w:t>ere there is an intention or a requirement to sell an impaired available-for-sale debt security, the entire impairment is recognized in earnings with a corresponding adjustment to the amortized cost basis of the security. We presently do not intend to sell</w:t>
      </w:r>
      <w:r>
        <w:rPr>
          <w:rFonts w:ascii="Arial" w:eastAsia="宋体" w:hAnsi="Arial" w:cs="Arial"/>
          <w:color w:val="000000"/>
          <w:sz w:val="20"/>
          <w:szCs w:val="20"/>
        </w:rPr>
        <w:t xml:space="preserve"> any of the securities in an unrealized loss position and expect to realize the full value of all these investments upon maturity or sale.</w:t>
      </w:r>
    </w:p>
    <w:p w14:paraId="7268EA00" w14:textId="77777777" w:rsidR="005F762A" w:rsidRDefault="005F762A">
      <w:pPr>
        <w:ind w:firstLine="540"/>
        <w:jc w:val="both"/>
      </w:pPr>
    </w:p>
    <w:p w14:paraId="7268EA01" w14:textId="77777777" w:rsidR="005F762A" w:rsidRDefault="00D74111">
      <w:pPr>
        <w:ind w:firstLine="540"/>
        <w:jc w:val="both"/>
      </w:pPr>
      <w:r>
        <w:rPr>
          <w:rFonts w:ascii="Arial" w:eastAsia="宋体" w:hAnsi="Arial" w:cs="Arial"/>
          <w:color w:val="000000"/>
          <w:sz w:val="20"/>
          <w:szCs w:val="20"/>
        </w:rPr>
        <w:t>We regularly review investment securities for credit impairment using both qualitative and quantitative criteria. In</w:t>
      </w:r>
      <w:r>
        <w:rPr>
          <w:rFonts w:ascii="Arial" w:eastAsia="宋体" w:hAnsi="Arial" w:cs="Arial"/>
          <w:color w:val="000000"/>
          <w:sz w:val="20"/>
          <w:szCs w:val="20"/>
        </w:rPr>
        <w:t xml:space="preserve"> making this assessment, we consider the extent to which fair value is less than amortized cost, any changes to the rating of the security by a rating agency, any adverse conditions specifically related to the security, among other factors. If this assessm</w:t>
      </w:r>
      <w:r>
        <w:rPr>
          <w:rFonts w:ascii="Arial" w:eastAsia="宋体" w:hAnsi="Arial" w:cs="Arial"/>
          <w:color w:val="000000"/>
          <w:sz w:val="20"/>
          <w:szCs w:val="20"/>
        </w:rPr>
        <w:t>ent indicates that a credit loss exists, the present value of cash flows expected to be collected from the security are compared to the amortized cost basis of the security. If the present value of cash flows expected to be collected is less than the amort</w:t>
      </w:r>
      <w:r>
        <w:rPr>
          <w:rFonts w:ascii="Arial" w:eastAsia="宋体" w:hAnsi="Arial" w:cs="Arial"/>
          <w:color w:val="000000"/>
          <w:sz w:val="20"/>
          <w:szCs w:val="20"/>
        </w:rPr>
        <w:t>ized cost basis, a credit loss exists and an allowance for credit losses will be recorded through interest and other, net for the credit loss, limited by the amount that the fair value is less than the amortized cost basis. Any impairment that has not been</w:t>
      </w:r>
      <w:r>
        <w:rPr>
          <w:rFonts w:ascii="Arial" w:eastAsia="宋体" w:hAnsi="Arial" w:cs="Arial"/>
          <w:color w:val="000000"/>
          <w:sz w:val="20"/>
          <w:szCs w:val="20"/>
        </w:rPr>
        <w:t xml:space="preserve"> recorded through an allowance for credit losses is recognized in other comprehensive income. We did not recognize any credit-related impairment through an allowance for credit losses as of March 31, 2021.</w:t>
      </w:r>
      <w:r>
        <w:rPr>
          <w:rFonts w:ascii="Arial" w:eastAsia="宋体" w:hAnsi="Arial" w:cs="Arial"/>
          <w:color w:val="000000"/>
        </w:rPr>
        <w:t xml:space="preserve"> </w:t>
      </w:r>
    </w:p>
    <w:p w14:paraId="7268EA02" w14:textId="77777777" w:rsidR="005F762A" w:rsidRDefault="005F762A">
      <w:pPr>
        <w:ind w:firstLine="540"/>
        <w:jc w:val="both"/>
      </w:pPr>
    </w:p>
    <w:p w14:paraId="7268EA03" w14:textId="77777777" w:rsidR="005F762A" w:rsidRDefault="00D74111">
      <w:pPr>
        <w:ind w:firstLine="540"/>
        <w:jc w:val="both"/>
      </w:pPr>
      <w:r>
        <w:rPr>
          <w:rFonts w:ascii="Arial" w:eastAsia="宋体" w:hAnsi="Arial" w:cs="Arial"/>
          <w:color w:val="000000"/>
          <w:sz w:val="20"/>
          <w:szCs w:val="20"/>
        </w:rPr>
        <w:t>Investment securities in a continuous loss posit</w:t>
      </w:r>
      <w:r>
        <w:rPr>
          <w:rFonts w:ascii="Arial" w:eastAsia="宋体" w:hAnsi="Arial" w:cs="Arial"/>
          <w:color w:val="000000"/>
          <w:sz w:val="20"/>
          <w:szCs w:val="20"/>
        </w:rPr>
        <w:t>ion for less than 12 months had an estimated fair value of $704 million and an immaterial amount of unrealized losses as of March 31, 2021, and an estimated fair value of $261 million and an immaterial amount of unrealized losses as of December 31, 2020. A</w:t>
      </w:r>
      <w:r>
        <w:rPr>
          <w:rFonts w:ascii="Arial" w:eastAsia="宋体" w:hAnsi="Arial" w:cs="Arial"/>
          <w:color w:val="000000"/>
          <w:sz w:val="20"/>
          <w:szCs w:val="20"/>
        </w:rPr>
        <w:t>s of March 31, 2021 and December 31, 2020 there were no investment securities in a continuous loss position for greater than 12 months. Refer to “Note 15 – Accumulated Other Comprehensive Income” for amounts reclassified to earnings from unrealized gains a</w:t>
      </w:r>
      <w:r>
        <w:rPr>
          <w:rFonts w:ascii="Arial" w:eastAsia="宋体" w:hAnsi="Arial" w:cs="Arial"/>
          <w:color w:val="000000"/>
          <w:sz w:val="20"/>
          <w:szCs w:val="20"/>
        </w:rPr>
        <w:t xml:space="preserve">nd losses. </w:t>
      </w:r>
    </w:p>
    <w:p w14:paraId="7268EA04" w14:textId="77777777" w:rsidR="005F762A" w:rsidRDefault="005F762A">
      <w:pPr>
        <w:ind w:firstLine="540"/>
      </w:pPr>
    </w:p>
    <w:p w14:paraId="7268EA05" w14:textId="77777777" w:rsidR="005F762A" w:rsidRDefault="00D74111">
      <w:pPr>
        <w:ind w:firstLine="540"/>
        <w:jc w:val="both"/>
      </w:pPr>
      <w:r>
        <w:rPr>
          <w:rFonts w:ascii="Arial" w:eastAsia="宋体" w:hAnsi="Arial" w:cs="Arial"/>
          <w:color w:val="000000"/>
          <w:sz w:val="20"/>
          <w:szCs w:val="20"/>
        </w:rPr>
        <w:t>The estimated fair values of our short-term and long-term investments classified as available-for-sale and restricted cash by date of contractual maturity as of March 31, 2021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5F762A" w14:paraId="7268EA0C" w14:textId="77777777">
        <w:trPr>
          <w:jc w:val="center"/>
        </w:trPr>
        <w:tc>
          <w:tcPr>
            <w:tcW w:w="50" w:type="pct"/>
            <w:shd w:val="clear" w:color="auto" w:fill="auto"/>
          </w:tcPr>
          <w:p w14:paraId="7268EA06" w14:textId="77777777" w:rsidR="005F762A" w:rsidRDefault="005F762A">
            <w:pPr>
              <w:rPr>
                <w:rFonts w:ascii="宋体"/>
              </w:rPr>
            </w:pPr>
          </w:p>
        </w:tc>
        <w:tc>
          <w:tcPr>
            <w:tcW w:w="4214" w:type="pct"/>
            <w:shd w:val="clear" w:color="auto" w:fill="auto"/>
          </w:tcPr>
          <w:p w14:paraId="7268EA07" w14:textId="77777777" w:rsidR="005F762A" w:rsidRDefault="005F762A">
            <w:pPr>
              <w:rPr>
                <w:rFonts w:ascii="宋体"/>
              </w:rPr>
            </w:pPr>
          </w:p>
        </w:tc>
        <w:tc>
          <w:tcPr>
            <w:tcW w:w="5" w:type="pct"/>
            <w:shd w:val="clear" w:color="auto" w:fill="auto"/>
          </w:tcPr>
          <w:p w14:paraId="7268EA08" w14:textId="77777777" w:rsidR="005F762A" w:rsidRDefault="005F762A">
            <w:pPr>
              <w:rPr>
                <w:rFonts w:ascii="宋体"/>
              </w:rPr>
            </w:pPr>
          </w:p>
        </w:tc>
        <w:tc>
          <w:tcPr>
            <w:tcW w:w="50" w:type="pct"/>
            <w:shd w:val="clear" w:color="auto" w:fill="auto"/>
          </w:tcPr>
          <w:p w14:paraId="7268EA09" w14:textId="77777777" w:rsidR="005F762A" w:rsidRDefault="005F762A">
            <w:pPr>
              <w:rPr>
                <w:rFonts w:ascii="宋体"/>
              </w:rPr>
            </w:pPr>
          </w:p>
        </w:tc>
        <w:tc>
          <w:tcPr>
            <w:tcW w:w="675" w:type="pct"/>
            <w:shd w:val="clear" w:color="auto" w:fill="auto"/>
          </w:tcPr>
          <w:p w14:paraId="7268EA0A" w14:textId="77777777" w:rsidR="005F762A" w:rsidRDefault="005F762A">
            <w:pPr>
              <w:rPr>
                <w:rFonts w:ascii="宋体"/>
              </w:rPr>
            </w:pPr>
          </w:p>
        </w:tc>
        <w:tc>
          <w:tcPr>
            <w:tcW w:w="5" w:type="pct"/>
            <w:shd w:val="clear" w:color="auto" w:fill="auto"/>
          </w:tcPr>
          <w:p w14:paraId="7268EA0B" w14:textId="77777777" w:rsidR="005F762A" w:rsidRDefault="005F762A">
            <w:pPr>
              <w:rPr>
                <w:rFonts w:ascii="宋体"/>
              </w:rPr>
            </w:pPr>
          </w:p>
        </w:tc>
      </w:tr>
      <w:tr w:rsidR="005F762A" w14:paraId="7268EA0F" w14:textId="77777777">
        <w:trPr>
          <w:jc w:val="center"/>
        </w:trPr>
        <w:tc>
          <w:tcPr>
            <w:tcW w:w="0" w:type="auto"/>
            <w:gridSpan w:val="3"/>
            <w:shd w:val="clear" w:color="auto" w:fill="auto"/>
            <w:tcMar>
              <w:top w:w="40" w:type="dxa"/>
              <w:left w:w="20" w:type="dxa"/>
              <w:bottom w:w="40" w:type="dxa"/>
              <w:right w:w="20" w:type="dxa"/>
            </w:tcMar>
            <w:vAlign w:val="bottom"/>
          </w:tcPr>
          <w:p w14:paraId="7268EA0D"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A0E" w14:textId="77777777" w:rsidR="005F762A" w:rsidRDefault="00D74111">
            <w:pPr>
              <w:jc w:val="center"/>
              <w:textAlignment w:val="bottom"/>
            </w:pPr>
            <w:r>
              <w:rPr>
                <w:rFonts w:ascii="Arial" w:eastAsia="宋体" w:hAnsi="Arial" w:cs="Arial"/>
                <w:b/>
                <w:bCs/>
                <w:color w:val="000000"/>
                <w:sz w:val="16"/>
                <w:szCs w:val="16"/>
              </w:rPr>
              <w:t>March 31, 2021</w:t>
            </w:r>
          </w:p>
        </w:tc>
      </w:tr>
      <w:tr w:rsidR="005F762A" w14:paraId="7268EA14" w14:textId="77777777">
        <w:trPr>
          <w:jc w:val="center"/>
        </w:trPr>
        <w:tc>
          <w:tcPr>
            <w:tcW w:w="0" w:type="auto"/>
            <w:gridSpan w:val="3"/>
            <w:shd w:val="clear" w:color="auto" w:fill="E2E2E2"/>
            <w:tcMar>
              <w:top w:w="40" w:type="dxa"/>
              <w:left w:w="20" w:type="dxa"/>
              <w:bottom w:w="40" w:type="dxa"/>
              <w:right w:w="20" w:type="dxa"/>
            </w:tcMar>
            <w:vAlign w:val="bottom"/>
          </w:tcPr>
          <w:p w14:paraId="7268EA10" w14:textId="77777777" w:rsidR="005F762A" w:rsidRDefault="00D74111">
            <w:pPr>
              <w:textAlignment w:val="bottom"/>
            </w:pPr>
            <w:r>
              <w:rPr>
                <w:rFonts w:ascii="Arial" w:eastAsia="宋体" w:hAnsi="Arial" w:cs="Arial"/>
                <w:color w:val="000000"/>
                <w:sz w:val="18"/>
                <w:szCs w:val="18"/>
              </w:rPr>
              <w:t xml:space="preserve">One </w:t>
            </w:r>
            <w:r>
              <w:rPr>
                <w:rFonts w:ascii="Arial" w:eastAsia="宋体" w:hAnsi="Arial" w:cs="Arial"/>
                <w:color w:val="000000"/>
                <w:sz w:val="18"/>
                <w:szCs w:val="18"/>
              </w:rPr>
              <w:t>year or less (including restricted cash of $23)</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A1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A12" w14:textId="77777777" w:rsidR="005F762A" w:rsidRDefault="00D74111">
            <w:pPr>
              <w:jc w:val="right"/>
              <w:textAlignment w:val="bottom"/>
            </w:pPr>
            <w:r>
              <w:rPr>
                <w:rFonts w:ascii="Arial" w:eastAsia="宋体" w:hAnsi="Arial" w:cs="Arial"/>
                <w:color w:val="000000"/>
                <w:sz w:val="18"/>
                <w:szCs w:val="18"/>
              </w:rPr>
              <w:t>1,700 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A13" w14:textId="77777777" w:rsidR="005F762A" w:rsidRDefault="005F762A">
            <w:pPr>
              <w:jc w:val="right"/>
              <w:rPr>
                <w:rFonts w:ascii="宋体"/>
              </w:rPr>
            </w:pPr>
          </w:p>
        </w:tc>
      </w:tr>
      <w:tr w:rsidR="005F762A" w14:paraId="7268EA18" w14:textId="77777777">
        <w:trPr>
          <w:jc w:val="center"/>
        </w:trPr>
        <w:tc>
          <w:tcPr>
            <w:tcW w:w="0" w:type="auto"/>
            <w:gridSpan w:val="3"/>
            <w:shd w:val="clear" w:color="auto" w:fill="FFFFFF"/>
            <w:tcMar>
              <w:top w:w="40" w:type="dxa"/>
              <w:left w:w="20" w:type="dxa"/>
              <w:bottom w:w="40" w:type="dxa"/>
              <w:right w:w="20" w:type="dxa"/>
            </w:tcMar>
            <w:vAlign w:val="bottom"/>
          </w:tcPr>
          <w:p w14:paraId="7268EA15" w14:textId="77777777" w:rsidR="005F762A" w:rsidRDefault="00D74111">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7268EA16" w14:textId="77777777" w:rsidR="005F762A" w:rsidRDefault="00D74111">
            <w:pPr>
              <w:jc w:val="right"/>
              <w:textAlignment w:val="bottom"/>
            </w:pPr>
            <w:r>
              <w:rPr>
                <w:rFonts w:ascii="Arial" w:eastAsia="宋体" w:hAnsi="Arial" w:cs="Arial"/>
                <w:color w:val="000000"/>
                <w:sz w:val="18"/>
                <w:szCs w:val="18"/>
              </w:rPr>
              <w:t>292 </w:t>
            </w:r>
          </w:p>
        </w:tc>
        <w:tc>
          <w:tcPr>
            <w:tcW w:w="0" w:type="auto"/>
            <w:shd w:val="clear" w:color="auto" w:fill="FFFFFF"/>
            <w:tcMar>
              <w:top w:w="40" w:type="dxa"/>
              <w:left w:w="0" w:type="dxa"/>
              <w:bottom w:w="40" w:type="dxa"/>
              <w:right w:w="20" w:type="dxa"/>
            </w:tcMar>
            <w:vAlign w:val="bottom"/>
          </w:tcPr>
          <w:p w14:paraId="7268EA17" w14:textId="77777777" w:rsidR="005F762A" w:rsidRDefault="005F762A">
            <w:pPr>
              <w:jc w:val="right"/>
              <w:rPr>
                <w:rFonts w:ascii="宋体"/>
              </w:rPr>
            </w:pPr>
          </w:p>
        </w:tc>
      </w:tr>
      <w:tr w:rsidR="005F762A" w14:paraId="7268EA1C" w14:textId="77777777">
        <w:trPr>
          <w:jc w:val="center"/>
        </w:trPr>
        <w:tc>
          <w:tcPr>
            <w:tcW w:w="0" w:type="auto"/>
            <w:gridSpan w:val="3"/>
            <w:shd w:val="clear" w:color="auto" w:fill="E2E2E2"/>
            <w:tcMar>
              <w:top w:w="40" w:type="dxa"/>
              <w:left w:w="20" w:type="dxa"/>
              <w:bottom w:w="40" w:type="dxa"/>
              <w:right w:w="20" w:type="dxa"/>
            </w:tcMar>
            <w:vAlign w:val="bottom"/>
          </w:tcPr>
          <w:p w14:paraId="7268EA19" w14:textId="77777777" w:rsidR="005F762A" w:rsidRDefault="00D74111">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7268EA1A" w14:textId="77777777" w:rsidR="005F762A" w:rsidRDefault="00D74111">
            <w:pPr>
              <w:jc w:val="right"/>
              <w:textAlignment w:val="bottom"/>
            </w:pPr>
            <w:r>
              <w:rPr>
                <w:rFonts w:ascii="Arial" w:eastAsia="宋体" w:hAnsi="Arial" w:cs="Arial"/>
                <w:color w:val="000000"/>
                <w:sz w:val="18"/>
                <w:szCs w:val="18"/>
              </w:rPr>
              <w:t>156 </w:t>
            </w:r>
          </w:p>
        </w:tc>
        <w:tc>
          <w:tcPr>
            <w:tcW w:w="0" w:type="auto"/>
            <w:shd w:val="clear" w:color="auto" w:fill="E2E2E2"/>
            <w:tcMar>
              <w:top w:w="40" w:type="dxa"/>
              <w:left w:w="0" w:type="dxa"/>
              <w:bottom w:w="40" w:type="dxa"/>
              <w:right w:w="20" w:type="dxa"/>
            </w:tcMar>
            <w:vAlign w:val="bottom"/>
          </w:tcPr>
          <w:p w14:paraId="7268EA1B" w14:textId="77777777" w:rsidR="005F762A" w:rsidRDefault="005F762A">
            <w:pPr>
              <w:jc w:val="right"/>
              <w:rPr>
                <w:rFonts w:ascii="宋体"/>
              </w:rPr>
            </w:pPr>
          </w:p>
        </w:tc>
      </w:tr>
      <w:tr w:rsidR="005F762A" w14:paraId="7268EA20" w14:textId="77777777">
        <w:trPr>
          <w:jc w:val="center"/>
        </w:trPr>
        <w:tc>
          <w:tcPr>
            <w:tcW w:w="0" w:type="auto"/>
            <w:gridSpan w:val="3"/>
            <w:shd w:val="clear" w:color="auto" w:fill="FFFFFF"/>
            <w:tcMar>
              <w:top w:w="40" w:type="dxa"/>
              <w:left w:w="20" w:type="dxa"/>
              <w:bottom w:w="40" w:type="dxa"/>
              <w:right w:w="20" w:type="dxa"/>
            </w:tcMar>
            <w:vAlign w:val="bottom"/>
          </w:tcPr>
          <w:p w14:paraId="7268EA1D" w14:textId="77777777" w:rsidR="005F762A" w:rsidRDefault="00D74111">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7268EA1E" w14:textId="77777777" w:rsidR="005F762A" w:rsidRDefault="00D74111">
            <w:pPr>
              <w:jc w:val="right"/>
              <w:textAlignment w:val="bottom"/>
            </w:pPr>
            <w:r>
              <w:rPr>
                <w:rFonts w:ascii="Arial" w:eastAsia="宋体" w:hAnsi="Arial" w:cs="Arial"/>
                <w:color w:val="000000"/>
                <w:sz w:val="18"/>
                <w:szCs w:val="18"/>
              </w:rPr>
              <w:t>44 </w:t>
            </w:r>
          </w:p>
        </w:tc>
        <w:tc>
          <w:tcPr>
            <w:tcW w:w="0" w:type="auto"/>
            <w:shd w:val="clear" w:color="auto" w:fill="FFFFFF"/>
            <w:tcMar>
              <w:top w:w="40" w:type="dxa"/>
              <w:left w:w="0" w:type="dxa"/>
              <w:bottom w:w="40" w:type="dxa"/>
              <w:right w:w="20" w:type="dxa"/>
            </w:tcMar>
            <w:vAlign w:val="bottom"/>
          </w:tcPr>
          <w:p w14:paraId="7268EA1F" w14:textId="77777777" w:rsidR="005F762A" w:rsidRDefault="005F762A">
            <w:pPr>
              <w:jc w:val="right"/>
              <w:rPr>
                <w:rFonts w:ascii="宋体"/>
              </w:rPr>
            </w:pPr>
          </w:p>
        </w:tc>
      </w:tr>
      <w:tr w:rsidR="005F762A" w14:paraId="7268EA24" w14:textId="77777777">
        <w:trPr>
          <w:jc w:val="center"/>
        </w:trPr>
        <w:tc>
          <w:tcPr>
            <w:tcW w:w="0" w:type="auto"/>
            <w:gridSpan w:val="3"/>
            <w:shd w:val="clear" w:color="auto" w:fill="E2E2E2"/>
            <w:tcMar>
              <w:top w:w="40" w:type="dxa"/>
              <w:left w:w="20" w:type="dxa"/>
              <w:bottom w:w="40" w:type="dxa"/>
              <w:right w:w="20" w:type="dxa"/>
            </w:tcMar>
            <w:vAlign w:val="bottom"/>
          </w:tcPr>
          <w:p w14:paraId="7268EA21" w14:textId="77777777" w:rsidR="005F762A" w:rsidRDefault="00D74111">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7268EA22" w14:textId="77777777" w:rsidR="005F762A" w:rsidRDefault="00D74111">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7268EA23" w14:textId="77777777" w:rsidR="005F762A" w:rsidRDefault="005F762A">
            <w:pPr>
              <w:jc w:val="right"/>
              <w:rPr>
                <w:rFonts w:ascii="宋体"/>
              </w:rPr>
            </w:pPr>
          </w:p>
        </w:tc>
      </w:tr>
      <w:tr w:rsidR="005F762A" w14:paraId="7268EA28" w14:textId="77777777">
        <w:trPr>
          <w:jc w:val="center"/>
        </w:trPr>
        <w:tc>
          <w:tcPr>
            <w:tcW w:w="0" w:type="auto"/>
            <w:gridSpan w:val="3"/>
            <w:shd w:val="clear" w:color="auto" w:fill="FFFFFF"/>
            <w:tcMar>
              <w:top w:w="40" w:type="dxa"/>
              <w:left w:w="20" w:type="dxa"/>
              <w:bottom w:w="40" w:type="dxa"/>
              <w:right w:w="20" w:type="dxa"/>
            </w:tcMar>
            <w:vAlign w:val="bottom"/>
          </w:tcPr>
          <w:p w14:paraId="7268EA25" w14:textId="77777777" w:rsidR="005F762A" w:rsidRDefault="00D74111">
            <w:pPr>
              <w:textAlignment w:val="bottom"/>
            </w:pPr>
            <w:r>
              <w:rPr>
                <w:rFonts w:ascii="Arial" w:eastAsia="宋体" w:hAnsi="Arial" w:cs="Arial"/>
                <w:color w:val="000000"/>
                <w:sz w:val="18"/>
                <w:szCs w:val="18"/>
              </w:rPr>
              <w:t>Five years through six years</w:t>
            </w:r>
          </w:p>
        </w:tc>
        <w:tc>
          <w:tcPr>
            <w:tcW w:w="0" w:type="auto"/>
            <w:gridSpan w:val="2"/>
            <w:shd w:val="clear" w:color="auto" w:fill="FFFFFF"/>
            <w:tcMar>
              <w:top w:w="40" w:type="dxa"/>
              <w:left w:w="20" w:type="dxa"/>
              <w:bottom w:w="40" w:type="dxa"/>
              <w:right w:w="0" w:type="dxa"/>
            </w:tcMar>
            <w:vAlign w:val="bottom"/>
          </w:tcPr>
          <w:p w14:paraId="7268EA26" w14:textId="77777777" w:rsidR="005F762A" w:rsidRDefault="00D74111">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7268EA27" w14:textId="77777777" w:rsidR="005F762A" w:rsidRDefault="005F762A">
            <w:pPr>
              <w:jc w:val="right"/>
              <w:rPr>
                <w:rFonts w:ascii="宋体"/>
              </w:rPr>
            </w:pPr>
          </w:p>
        </w:tc>
      </w:tr>
      <w:tr w:rsidR="005F762A" w14:paraId="7268EA2B" w14:textId="77777777">
        <w:trPr>
          <w:jc w:val="center"/>
          <w:hidden/>
        </w:trPr>
        <w:tc>
          <w:tcPr>
            <w:tcW w:w="0" w:type="auto"/>
            <w:gridSpan w:val="3"/>
            <w:shd w:val="clear" w:color="auto" w:fill="auto"/>
          </w:tcPr>
          <w:p w14:paraId="7268EA29" w14:textId="77777777" w:rsidR="005F762A" w:rsidRDefault="005F762A">
            <w:pPr>
              <w:rPr>
                <w:rFonts w:ascii="宋体"/>
                <w:vanish/>
              </w:rPr>
            </w:pPr>
          </w:p>
        </w:tc>
        <w:tc>
          <w:tcPr>
            <w:tcW w:w="0" w:type="auto"/>
            <w:gridSpan w:val="3"/>
            <w:shd w:val="clear" w:color="auto" w:fill="auto"/>
          </w:tcPr>
          <w:p w14:paraId="7268EA2A" w14:textId="77777777" w:rsidR="005F762A" w:rsidRDefault="005F762A">
            <w:pPr>
              <w:rPr>
                <w:rFonts w:ascii="宋体"/>
                <w:vanish/>
              </w:rPr>
            </w:pPr>
          </w:p>
        </w:tc>
      </w:tr>
      <w:tr w:rsidR="005F762A" w14:paraId="7268EA2E" w14:textId="77777777">
        <w:trPr>
          <w:jc w:val="center"/>
          <w:hidden/>
        </w:trPr>
        <w:tc>
          <w:tcPr>
            <w:tcW w:w="0" w:type="auto"/>
            <w:gridSpan w:val="3"/>
            <w:shd w:val="clear" w:color="auto" w:fill="auto"/>
          </w:tcPr>
          <w:p w14:paraId="7268EA2C" w14:textId="77777777" w:rsidR="005F762A" w:rsidRDefault="005F762A">
            <w:pPr>
              <w:rPr>
                <w:rFonts w:ascii="宋体"/>
                <w:vanish/>
              </w:rPr>
            </w:pPr>
          </w:p>
        </w:tc>
        <w:tc>
          <w:tcPr>
            <w:tcW w:w="0" w:type="auto"/>
            <w:gridSpan w:val="3"/>
            <w:shd w:val="clear" w:color="auto" w:fill="auto"/>
          </w:tcPr>
          <w:p w14:paraId="7268EA2D" w14:textId="77777777" w:rsidR="005F762A" w:rsidRDefault="005F762A">
            <w:pPr>
              <w:rPr>
                <w:rFonts w:ascii="宋体"/>
                <w:vanish/>
              </w:rPr>
            </w:pPr>
          </w:p>
        </w:tc>
      </w:tr>
      <w:tr w:rsidR="005F762A" w14:paraId="7268EA31" w14:textId="77777777">
        <w:trPr>
          <w:jc w:val="center"/>
          <w:hidden/>
        </w:trPr>
        <w:tc>
          <w:tcPr>
            <w:tcW w:w="0" w:type="auto"/>
            <w:gridSpan w:val="3"/>
            <w:shd w:val="clear" w:color="auto" w:fill="auto"/>
          </w:tcPr>
          <w:p w14:paraId="7268EA2F" w14:textId="77777777" w:rsidR="005F762A" w:rsidRDefault="005F762A">
            <w:pPr>
              <w:rPr>
                <w:rFonts w:ascii="宋体"/>
                <w:vanish/>
              </w:rPr>
            </w:pPr>
          </w:p>
        </w:tc>
        <w:tc>
          <w:tcPr>
            <w:tcW w:w="0" w:type="auto"/>
            <w:gridSpan w:val="3"/>
            <w:shd w:val="clear" w:color="auto" w:fill="auto"/>
          </w:tcPr>
          <w:p w14:paraId="7268EA30" w14:textId="77777777" w:rsidR="005F762A" w:rsidRDefault="005F762A">
            <w:pPr>
              <w:rPr>
                <w:rFonts w:ascii="宋体"/>
                <w:vanish/>
              </w:rPr>
            </w:pPr>
          </w:p>
        </w:tc>
      </w:tr>
      <w:tr w:rsidR="005F762A" w14:paraId="7268EA34" w14:textId="77777777">
        <w:trPr>
          <w:jc w:val="center"/>
          <w:hidden/>
        </w:trPr>
        <w:tc>
          <w:tcPr>
            <w:tcW w:w="0" w:type="auto"/>
            <w:gridSpan w:val="3"/>
            <w:shd w:val="clear" w:color="auto" w:fill="auto"/>
          </w:tcPr>
          <w:p w14:paraId="7268EA32" w14:textId="77777777" w:rsidR="005F762A" w:rsidRDefault="005F762A">
            <w:pPr>
              <w:rPr>
                <w:rFonts w:ascii="宋体"/>
                <w:vanish/>
              </w:rPr>
            </w:pPr>
          </w:p>
        </w:tc>
        <w:tc>
          <w:tcPr>
            <w:tcW w:w="0" w:type="auto"/>
            <w:gridSpan w:val="3"/>
            <w:shd w:val="clear" w:color="auto" w:fill="auto"/>
          </w:tcPr>
          <w:p w14:paraId="7268EA33" w14:textId="77777777" w:rsidR="005F762A" w:rsidRDefault="005F762A">
            <w:pPr>
              <w:rPr>
                <w:rFonts w:ascii="宋体"/>
                <w:vanish/>
              </w:rPr>
            </w:pPr>
          </w:p>
        </w:tc>
      </w:tr>
      <w:tr w:rsidR="005F762A" w14:paraId="7268EA37" w14:textId="77777777">
        <w:trPr>
          <w:jc w:val="center"/>
          <w:hidden/>
        </w:trPr>
        <w:tc>
          <w:tcPr>
            <w:tcW w:w="0" w:type="auto"/>
            <w:gridSpan w:val="3"/>
            <w:shd w:val="clear" w:color="auto" w:fill="auto"/>
          </w:tcPr>
          <w:p w14:paraId="7268EA35" w14:textId="77777777" w:rsidR="005F762A" w:rsidRDefault="005F762A">
            <w:pPr>
              <w:rPr>
                <w:rFonts w:ascii="宋体"/>
                <w:vanish/>
              </w:rPr>
            </w:pPr>
          </w:p>
        </w:tc>
        <w:tc>
          <w:tcPr>
            <w:tcW w:w="0" w:type="auto"/>
            <w:gridSpan w:val="3"/>
            <w:shd w:val="clear" w:color="auto" w:fill="auto"/>
          </w:tcPr>
          <w:p w14:paraId="7268EA36" w14:textId="77777777" w:rsidR="005F762A" w:rsidRDefault="005F762A">
            <w:pPr>
              <w:rPr>
                <w:rFonts w:ascii="宋体"/>
                <w:vanish/>
              </w:rPr>
            </w:pPr>
          </w:p>
        </w:tc>
      </w:tr>
      <w:tr w:rsidR="005F762A" w14:paraId="7268EA3A" w14:textId="77777777">
        <w:trPr>
          <w:jc w:val="center"/>
          <w:hidden/>
        </w:trPr>
        <w:tc>
          <w:tcPr>
            <w:tcW w:w="0" w:type="auto"/>
            <w:gridSpan w:val="3"/>
            <w:shd w:val="clear" w:color="auto" w:fill="auto"/>
          </w:tcPr>
          <w:p w14:paraId="7268EA38" w14:textId="77777777" w:rsidR="005F762A" w:rsidRDefault="005F762A">
            <w:pPr>
              <w:rPr>
                <w:rFonts w:ascii="宋体"/>
                <w:vanish/>
              </w:rPr>
            </w:pPr>
          </w:p>
        </w:tc>
        <w:tc>
          <w:tcPr>
            <w:tcW w:w="0" w:type="auto"/>
            <w:gridSpan w:val="3"/>
            <w:shd w:val="clear" w:color="auto" w:fill="auto"/>
          </w:tcPr>
          <w:p w14:paraId="7268EA39" w14:textId="77777777" w:rsidR="005F762A" w:rsidRDefault="005F762A">
            <w:pPr>
              <w:rPr>
                <w:rFonts w:ascii="宋体"/>
                <w:vanish/>
              </w:rPr>
            </w:pPr>
          </w:p>
        </w:tc>
      </w:tr>
      <w:tr w:rsidR="005F762A" w14:paraId="7268EA3F" w14:textId="77777777">
        <w:trPr>
          <w:jc w:val="center"/>
        </w:trPr>
        <w:tc>
          <w:tcPr>
            <w:tcW w:w="0" w:type="auto"/>
            <w:gridSpan w:val="3"/>
            <w:shd w:val="clear" w:color="auto" w:fill="E2E2E2"/>
            <w:tcMar>
              <w:top w:w="0" w:type="dxa"/>
              <w:left w:w="20" w:type="dxa"/>
              <w:bottom w:w="0" w:type="dxa"/>
              <w:right w:w="20" w:type="dxa"/>
            </w:tcMar>
          </w:tcPr>
          <w:p w14:paraId="7268EA3B"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A3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A3D" w14:textId="77777777" w:rsidR="005F762A" w:rsidRDefault="00D74111">
            <w:pPr>
              <w:jc w:val="right"/>
              <w:textAlignment w:val="bottom"/>
            </w:pPr>
            <w:r>
              <w:rPr>
                <w:rFonts w:ascii="Arial" w:eastAsia="宋体" w:hAnsi="Arial" w:cs="Arial"/>
                <w:color w:val="000000"/>
                <w:sz w:val="18"/>
                <w:szCs w:val="18"/>
              </w:rPr>
              <w:t>2,224 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A3E" w14:textId="77777777" w:rsidR="005F762A" w:rsidRDefault="005F762A">
            <w:pPr>
              <w:jc w:val="right"/>
              <w:rPr>
                <w:rFonts w:ascii="宋体"/>
              </w:rPr>
            </w:pPr>
          </w:p>
        </w:tc>
      </w:tr>
    </w:tbl>
    <w:p w14:paraId="7268EA40" w14:textId="77777777" w:rsidR="005F762A" w:rsidRDefault="005F762A">
      <w:pPr>
        <w:jc w:val="center"/>
      </w:pPr>
    </w:p>
    <w:p w14:paraId="7268EA41" w14:textId="77777777" w:rsidR="005F762A" w:rsidRDefault="00D74111">
      <w:pPr>
        <w:jc w:val="center"/>
      </w:pPr>
      <w:r>
        <w:rPr>
          <w:rFonts w:ascii="Arial" w:eastAsia="宋体" w:hAnsi="Arial" w:cs="Arial"/>
          <w:color w:val="000000"/>
          <w:sz w:val="20"/>
          <w:szCs w:val="20"/>
        </w:rPr>
        <w:t>15</w:t>
      </w:r>
    </w:p>
    <w:p w14:paraId="7268EA42" w14:textId="77777777" w:rsidR="005F762A" w:rsidRDefault="00D74111">
      <w:r>
        <w:pict w14:anchorId="7269014E">
          <v:rect id="_x0000_i1039" style="width:415.3pt;height:1.5pt" o:hralign="center" o:hrstd="t" o:hr="t" fillcolor="#a0a0a0" stroked="f"/>
        </w:pict>
      </w:r>
    </w:p>
    <w:p w14:paraId="7268EA43" w14:textId="77777777" w:rsidR="005F762A" w:rsidRDefault="005F762A">
      <w:pPr>
        <w:jc w:val="center"/>
      </w:pPr>
    </w:p>
    <w:p w14:paraId="7268EA44" w14:textId="77777777" w:rsidR="005F762A" w:rsidRDefault="00D74111">
      <w:pPr>
        <w:jc w:val="center"/>
      </w:pPr>
      <w:r>
        <w:rPr>
          <w:rFonts w:ascii="Arial" w:eastAsia="宋体" w:hAnsi="Arial" w:cs="Arial"/>
          <w:b/>
          <w:bCs/>
          <w:color w:val="000000"/>
          <w:sz w:val="20"/>
          <w:szCs w:val="20"/>
        </w:rPr>
        <w:t>eBay Inc.</w:t>
      </w:r>
    </w:p>
    <w:p w14:paraId="7268EA45"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A46" w14:textId="77777777" w:rsidR="005F762A" w:rsidRDefault="00D74111">
      <w:pPr>
        <w:spacing w:before="200"/>
      </w:pPr>
      <w:r>
        <w:rPr>
          <w:rFonts w:ascii="Arial" w:eastAsia="宋体" w:hAnsi="Arial" w:cs="Arial"/>
          <w:b/>
          <w:bCs/>
          <w:i/>
          <w:iCs/>
          <w:color w:val="000000"/>
          <w:sz w:val="20"/>
          <w:szCs w:val="20"/>
        </w:rPr>
        <w:t xml:space="preserve">Equity Investments </w:t>
      </w:r>
    </w:p>
    <w:p w14:paraId="7268EA47" w14:textId="77777777" w:rsidR="005F762A" w:rsidRDefault="005F762A">
      <w:pPr>
        <w:ind w:firstLine="495"/>
      </w:pPr>
    </w:p>
    <w:p w14:paraId="7268EA48" w14:textId="77777777" w:rsidR="005F762A" w:rsidRDefault="00D74111">
      <w:pPr>
        <w:ind w:firstLine="495"/>
        <w:jc w:val="both"/>
      </w:pPr>
      <w:r>
        <w:rPr>
          <w:rFonts w:ascii="Arial" w:eastAsia="宋体" w:hAnsi="Arial" w:cs="Arial"/>
          <w:color w:val="000000"/>
          <w:sz w:val="20"/>
          <w:szCs w:val="20"/>
        </w:rPr>
        <w:t xml:space="preserve">Our equity investments are reported in long-term investments on our condensed consolidated balance sheet. The following table </w:t>
      </w:r>
      <w:r>
        <w:rPr>
          <w:rFonts w:ascii="Arial" w:eastAsia="宋体" w:hAnsi="Arial" w:cs="Arial"/>
          <w:color w:val="000000"/>
          <w:sz w:val="20"/>
          <w:szCs w:val="20"/>
        </w:rPr>
        <w:t>provides a summary of our equity investments (in millions):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5278"/>
        <w:gridCol w:w="37"/>
        <w:gridCol w:w="121"/>
        <w:gridCol w:w="1291"/>
        <w:gridCol w:w="36"/>
        <w:gridCol w:w="36"/>
        <w:gridCol w:w="36"/>
        <w:gridCol w:w="36"/>
        <w:gridCol w:w="122"/>
        <w:gridCol w:w="1255"/>
        <w:gridCol w:w="36"/>
      </w:tblGrid>
      <w:tr w:rsidR="005F762A" w14:paraId="7268EA55" w14:textId="77777777">
        <w:tc>
          <w:tcPr>
            <w:tcW w:w="50" w:type="pct"/>
            <w:shd w:val="clear" w:color="auto" w:fill="auto"/>
          </w:tcPr>
          <w:p w14:paraId="7268EA49" w14:textId="77777777" w:rsidR="005F762A" w:rsidRDefault="005F762A">
            <w:pPr>
              <w:rPr>
                <w:rFonts w:ascii="宋体"/>
              </w:rPr>
            </w:pPr>
          </w:p>
        </w:tc>
        <w:tc>
          <w:tcPr>
            <w:tcW w:w="3195" w:type="pct"/>
            <w:shd w:val="clear" w:color="auto" w:fill="auto"/>
          </w:tcPr>
          <w:p w14:paraId="7268EA4A" w14:textId="77777777" w:rsidR="005F762A" w:rsidRDefault="005F762A">
            <w:pPr>
              <w:rPr>
                <w:rFonts w:ascii="宋体"/>
              </w:rPr>
            </w:pPr>
          </w:p>
        </w:tc>
        <w:tc>
          <w:tcPr>
            <w:tcW w:w="5" w:type="pct"/>
            <w:shd w:val="clear" w:color="auto" w:fill="auto"/>
          </w:tcPr>
          <w:p w14:paraId="7268EA4B" w14:textId="77777777" w:rsidR="005F762A" w:rsidRDefault="005F762A">
            <w:pPr>
              <w:rPr>
                <w:rFonts w:ascii="宋体"/>
              </w:rPr>
            </w:pPr>
          </w:p>
        </w:tc>
        <w:tc>
          <w:tcPr>
            <w:tcW w:w="50" w:type="pct"/>
            <w:shd w:val="clear" w:color="auto" w:fill="auto"/>
          </w:tcPr>
          <w:p w14:paraId="7268EA4C" w14:textId="77777777" w:rsidR="005F762A" w:rsidRDefault="005F762A">
            <w:pPr>
              <w:rPr>
                <w:rFonts w:ascii="宋体"/>
              </w:rPr>
            </w:pPr>
          </w:p>
        </w:tc>
        <w:tc>
          <w:tcPr>
            <w:tcW w:w="801" w:type="pct"/>
            <w:shd w:val="clear" w:color="auto" w:fill="auto"/>
          </w:tcPr>
          <w:p w14:paraId="7268EA4D" w14:textId="77777777" w:rsidR="005F762A" w:rsidRDefault="005F762A">
            <w:pPr>
              <w:rPr>
                <w:rFonts w:ascii="宋体"/>
              </w:rPr>
            </w:pPr>
          </w:p>
        </w:tc>
        <w:tc>
          <w:tcPr>
            <w:tcW w:w="5" w:type="pct"/>
            <w:shd w:val="clear" w:color="auto" w:fill="auto"/>
          </w:tcPr>
          <w:p w14:paraId="7268EA4E" w14:textId="77777777" w:rsidR="005F762A" w:rsidRDefault="005F762A">
            <w:pPr>
              <w:rPr>
                <w:rFonts w:ascii="宋体"/>
              </w:rPr>
            </w:pPr>
          </w:p>
        </w:tc>
        <w:tc>
          <w:tcPr>
            <w:tcW w:w="5" w:type="pct"/>
            <w:shd w:val="clear" w:color="auto" w:fill="auto"/>
          </w:tcPr>
          <w:p w14:paraId="7268EA4F" w14:textId="77777777" w:rsidR="005F762A" w:rsidRDefault="005F762A">
            <w:pPr>
              <w:rPr>
                <w:rFonts w:ascii="宋体"/>
              </w:rPr>
            </w:pPr>
          </w:p>
        </w:tc>
        <w:tc>
          <w:tcPr>
            <w:tcW w:w="26" w:type="pct"/>
            <w:shd w:val="clear" w:color="auto" w:fill="auto"/>
          </w:tcPr>
          <w:p w14:paraId="7268EA50" w14:textId="77777777" w:rsidR="005F762A" w:rsidRDefault="005F762A">
            <w:pPr>
              <w:rPr>
                <w:rFonts w:ascii="宋体"/>
              </w:rPr>
            </w:pPr>
          </w:p>
        </w:tc>
        <w:tc>
          <w:tcPr>
            <w:tcW w:w="5" w:type="pct"/>
            <w:shd w:val="clear" w:color="auto" w:fill="auto"/>
          </w:tcPr>
          <w:p w14:paraId="7268EA51" w14:textId="77777777" w:rsidR="005F762A" w:rsidRDefault="005F762A">
            <w:pPr>
              <w:rPr>
                <w:rFonts w:ascii="宋体"/>
              </w:rPr>
            </w:pPr>
          </w:p>
        </w:tc>
        <w:tc>
          <w:tcPr>
            <w:tcW w:w="50" w:type="pct"/>
            <w:shd w:val="clear" w:color="auto" w:fill="auto"/>
          </w:tcPr>
          <w:p w14:paraId="7268EA52" w14:textId="77777777" w:rsidR="005F762A" w:rsidRDefault="005F762A">
            <w:pPr>
              <w:rPr>
                <w:rFonts w:ascii="宋体"/>
              </w:rPr>
            </w:pPr>
          </w:p>
        </w:tc>
        <w:tc>
          <w:tcPr>
            <w:tcW w:w="801" w:type="pct"/>
            <w:shd w:val="clear" w:color="auto" w:fill="auto"/>
          </w:tcPr>
          <w:p w14:paraId="7268EA53" w14:textId="77777777" w:rsidR="005F762A" w:rsidRDefault="005F762A">
            <w:pPr>
              <w:rPr>
                <w:rFonts w:ascii="宋体"/>
              </w:rPr>
            </w:pPr>
          </w:p>
        </w:tc>
        <w:tc>
          <w:tcPr>
            <w:tcW w:w="5" w:type="pct"/>
            <w:shd w:val="clear" w:color="auto" w:fill="auto"/>
          </w:tcPr>
          <w:p w14:paraId="7268EA54" w14:textId="77777777" w:rsidR="005F762A" w:rsidRDefault="005F762A">
            <w:pPr>
              <w:rPr>
                <w:rFonts w:ascii="宋体"/>
              </w:rPr>
            </w:pPr>
          </w:p>
        </w:tc>
      </w:tr>
      <w:tr w:rsidR="005F762A" w14:paraId="7268EA5A" w14:textId="77777777">
        <w:tc>
          <w:tcPr>
            <w:tcW w:w="0" w:type="auto"/>
            <w:gridSpan w:val="3"/>
            <w:shd w:val="clear" w:color="auto" w:fill="auto"/>
            <w:tcMar>
              <w:top w:w="40" w:type="dxa"/>
              <w:left w:w="20" w:type="dxa"/>
              <w:bottom w:w="40" w:type="dxa"/>
              <w:right w:w="20" w:type="dxa"/>
            </w:tcMar>
            <w:vAlign w:val="bottom"/>
          </w:tcPr>
          <w:p w14:paraId="7268EA56"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A57" w14:textId="77777777" w:rsidR="005F762A" w:rsidRDefault="00D74111">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Mar>
              <w:top w:w="0" w:type="dxa"/>
              <w:left w:w="20" w:type="dxa"/>
              <w:bottom w:w="0" w:type="dxa"/>
              <w:right w:w="20" w:type="dxa"/>
            </w:tcMar>
          </w:tcPr>
          <w:p w14:paraId="7268EA58"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A59" w14:textId="77777777" w:rsidR="005F762A" w:rsidRDefault="00D74111">
            <w:pPr>
              <w:jc w:val="center"/>
              <w:textAlignment w:val="bottom"/>
            </w:pPr>
            <w:r>
              <w:rPr>
                <w:rFonts w:ascii="Arial" w:eastAsia="宋体" w:hAnsi="Arial" w:cs="Arial"/>
                <w:b/>
                <w:bCs/>
                <w:color w:val="000000"/>
                <w:sz w:val="16"/>
                <w:szCs w:val="16"/>
              </w:rPr>
              <w:t>December 31, 2020</w:t>
            </w:r>
          </w:p>
        </w:tc>
      </w:tr>
      <w:tr w:rsidR="005F762A" w14:paraId="7268EA63" w14:textId="77777777">
        <w:tc>
          <w:tcPr>
            <w:tcW w:w="0" w:type="auto"/>
            <w:gridSpan w:val="3"/>
            <w:shd w:val="clear" w:color="auto" w:fill="E2E2E2"/>
            <w:tcMar>
              <w:top w:w="40" w:type="dxa"/>
              <w:left w:w="20" w:type="dxa"/>
              <w:bottom w:w="40" w:type="dxa"/>
              <w:right w:w="20" w:type="dxa"/>
            </w:tcMar>
            <w:vAlign w:val="bottom"/>
          </w:tcPr>
          <w:p w14:paraId="7268EA5B" w14:textId="77777777" w:rsidR="005F762A" w:rsidRDefault="00D74111">
            <w:pPr>
              <w:textAlignment w:val="bottom"/>
            </w:pPr>
            <w:r>
              <w:rPr>
                <w:rFonts w:ascii="Arial" w:eastAsia="宋体" w:hAnsi="Arial" w:cs="Arial"/>
                <w:color w:val="000000"/>
                <w:sz w:val="18"/>
                <w:szCs w:val="18"/>
              </w:rPr>
              <w:t>Equity investments without readily determinable fair values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A5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A5D" w14:textId="77777777" w:rsidR="005F762A" w:rsidRDefault="00D74111">
            <w:pPr>
              <w:jc w:val="right"/>
              <w:textAlignment w:val="bottom"/>
            </w:pPr>
            <w:r>
              <w:rPr>
                <w:rFonts w:ascii="Arial" w:eastAsia="宋体" w:hAnsi="Arial" w:cs="Arial"/>
                <w:color w:val="000000"/>
                <w:sz w:val="18"/>
                <w:szCs w:val="18"/>
              </w:rPr>
              <w:t>528 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A5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A5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A6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A61" w14:textId="77777777" w:rsidR="005F762A" w:rsidRDefault="00D74111">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A62" w14:textId="77777777" w:rsidR="005F762A" w:rsidRDefault="005F762A">
            <w:pPr>
              <w:jc w:val="right"/>
              <w:rPr>
                <w:rFonts w:ascii="宋体"/>
              </w:rPr>
            </w:pPr>
          </w:p>
        </w:tc>
      </w:tr>
      <w:tr w:rsidR="005F762A" w14:paraId="7268EA6A" w14:textId="77777777">
        <w:tc>
          <w:tcPr>
            <w:tcW w:w="0" w:type="auto"/>
            <w:gridSpan w:val="3"/>
            <w:shd w:val="clear" w:color="auto" w:fill="FFFFFF"/>
            <w:tcMar>
              <w:top w:w="40" w:type="dxa"/>
              <w:left w:w="20" w:type="dxa"/>
              <w:bottom w:w="40" w:type="dxa"/>
              <w:right w:w="20" w:type="dxa"/>
            </w:tcMar>
            <w:vAlign w:val="bottom"/>
          </w:tcPr>
          <w:p w14:paraId="7268EA64" w14:textId="77777777" w:rsidR="005F762A" w:rsidRDefault="00D74111">
            <w:pPr>
              <w:textAlignment w:val="bottom"/>
            </w:pPr>
            <w:r>
              <w:rPr>
                <w:rFonts w:ascii="Arial" w:eastAsia="宋体" w:hAnsi="Arial" w:cs="Arial"/>
                <w:color w:val="000000"/>
                <w:sz w:val="18"/>
                <w:szCs w:val="18"/>
              </w:rPr>
              <w:t>Equity investments under the equity method of accounting</w:t>
            </w:r>
          </w:p>
        </w:tc>
        <w:tc>
          <w:tcPr>
            <w:tcW w:w="0" w:type="auto"/>
            <w:gridSpan w:val="2"/>
            <w:shd w:val="clear" w:color="auto" w:fill="FFFFFF"/>
            <w:tcMar>
              <w:top w:w="40" w:type="dxa"/>
              <w:left w:w="20" w:type="dxa"/>
              <w:bottom w:w="40" w:type="dxa"/>
              <w:right w:w="0" w:type="dxa"/>
            </w:tcMar>
            <w:vAlign w:val="bottom"/>
          </w:tcPr>
          <w:p w14:paraId="7268EA65" w14:textId="77777777" w:rsidR="005F762A" w:rsidRDefault="00D74111">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7268EA6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A6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A68" w14:textId="77777777" w:rsidR="005F762A" w:rsidRDefault="00D74111">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7268EA69" w14:textId="77777777" w:rsidR="005F762A" w:rsidRDefault="005F762A">
            <w:pPr>
              <w:jc w:val="right"/>
              <w:rPr>
                <w:rFonts w:ascii="宋体"/>
              </w:rPr>
            </w:pPr>
          </w:p>
        </w:tc>
      </w:tr>
      <w:tr w:rsidR="005F762A" w14:paraId="7268EA73" w14:textId="77777777">
        <w:tc>
          <w:tcPr>
            <w:tcW w:w="0" w:type="auto"/>
            <w:gridSpan w:val="3"/>
            <w:shd w:val="clear" w:color="auto" w:fill="E2E2E2"/>
            <w:tcMar>
              <w:top w:w="40" w:type="dxa"/>
              <w:left w:w="245" w:type="dxa"/>
              <w:bottom w:w="40" w:type="dxa"/>
              <w:right w:w="20" w:type="dxa"/>
            </w:tcMar>
            <w:vAlign w:val="bottom"/>
          </w:tcPr>
          <w:p w14:paraId="7268EA6B" w14:textId="77777777" w:rsidR="005F762A" w:rsidRDefault="00D74111">
            <w:pPr>
              <w:textAlignment w:val="bottom"/>
            </w:pPr>
            <w:r>
              <w:rPr>
                <w:rFonts w:ascii="Arial" w:eastAsia="宋体" w:hAnsi="Arial" w:cs="Arial"/>
                <w:color w:val="000000"/>
                <w:sz w:val="18"/>
                <w:szCs w:val="18"/>
              </w:rPr>
              <w:t>Total equity investments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A6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A6D" w14:textId="77777777" w:rsidR="005F762A" w:rsidRDefault="00D74111">
            <w:pPr>
              <w:jc w:val="right"/>
              <w:textAlignment w:val="bottom"/>
            </w:pPr>
            <w:r>
              <w:rPr>
                <w:rFonts w:ascii="Arial" w:eastAsia="宋体" w:hAnsi="Arial" w:cs="Arial"/>
                <w:color w:val="000000"/>
                <w:sz w:val="18"/>
                <w:szCs w:val="18"/>
              </w:rPr>
              <w:t>535 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A6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A6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A7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A71" w14:textId="77777777" w:rsidR="005F762A" w:rsidRDefault="00D74111">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A72" w14:textId="77777777" w:rsidR="005F762A" w:rsidRDefault="005F762A">
            <w:pPr>
              <w:jc w:val="right"/>
              <w:rPr>
                <w:rFonts w:ascii="宋体"/>
              </w:rPr>
            </w:pPr>
          </w:p>
        </w:tc>
      </w:tr>
    </w:tbl>
    <w:p w14:paraId="7268EA74" w14:textId="77777777" w:rsidR="005F762A" w:rsidRDefault="005F762A">
      <w:pPr>
        <w:ind w:firstLine="540"/>
        <w:jc w:val="both"/>
      </w:pPr>
    </w:p>
    <w:p w14:paraId="7268EA75" w14:textId="77777777" w:rsidR="005F762A" w:rsidRDefault="00D74111">
      <w:pPr>
        <w:ind w:firstLine="540"/>
        <w:jc w:val="both"/>
      </w:pPr>
      <w:r>
        <w:rPr>
          <w:rFonts w:ascii="Arial" w:eastAsia="宋体" w:hAnsi="Arial" w:cs="Arial"/>
          <w:color w:val="000000"/>
          <w:sz w:val="20"/>
          <w:szCs w:val="20"/>
        </w:rPr>
        <w:t xml:space="preserve">The following table summarizes the change in total carrying value during the three months ended March 31, 2021 and 2020 related to equity investments without readily determinable fair values still held (in </w:t>
      </w:r>
      <w:r>
        <w:rPr>
          <w:rFonts w:ascii="Arial" w:eastAsia="宋体" w:hAnsi="Arial" w:cs="Arial"/>
          <w:color w:val="000000"/>
          <w:sz w:val="20"/>
          <w:szCs w:val="20"/>
        </w:rPr>
        <w:t>millions):</w:t>
      </w:r>
    </w:p>
    <w:p w14:paraId="7268EA76" w14:textId="77777777" w:rsidR="005F762A" w:rsidRDefault="005F762A">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559"/>
        <w:gridCol w:w="37"/>
        <w:gridCol w:w="36"/>
        <w:gridCol w:w="46"/>
        <w:gridCol w:w="36"/>
        <w:gridCol w:w="36"/>
        <w:gridCol w:w="36"/>
        <w:gridCol w:w="36"/>
        <w:gridCol w:w="121"/>
        <w:gridCol w:w="1025"/>
        <w:gridCol w:w="36"/>
        <w:gridCol w:w="36"/>
        <w:gridCol w:w="36"/>
        <w:gridCol w:w="36"/>
        <w:gridCol w:w="121"/>
        <w:gridCol w:w="1029"/>
        <w:gridCol w:w="36"/>
      </w:tblGrid>
      <w:tr w:rsidR="005F762A" w14:paraId="7268EA89" w14:textId="77777777">
        <w:trPr>
          <w:jc w:val="center"/>
        </w:trPr>
        <w:tc>
          <w:tcPr>
            <w:tcW w:w="50" w:type="pct"/>
            <w:shd w:val="clear" w:color="auto" w:fill="auto"/>
          </w:tcPr>
          <w:p w14:paraId="7268EA77" w14:textId="77777777" w:rsidR="005F762A" w:rsidRDefault="005F762A">
            <w:pPr>
              <w:rPr>
                <w:rFonts w:ascii="宋体"/>
              </w:rPr>
            </w:pPr>
          </w:p>
        </w:tc>
        <w:tc>
          <w:tcPr>
            <w:tcW w:w="3409" w:type="pct"/>
            <w:shd w:val="clear" w:color="auto" w:fill="auto"/>
          </w:tcPr>
          <w:p w14:paraId="7268EA78" w14:textId="77777777" w:rsidR="005F762A" w:rsidRDefault="005F762A">
            <w:pPr>
              <w:rPr>
                <w:rFonts w:ascii="宋体"/>
              </w:rPr>
            </w:pPr>
          </w:p>
        </w:tc>
        <w:tc>
          <w:tcPr>
            <w:tcW w:w="5" w:type="pct"/>
            <w:shd w:val="clear" w:color="auto" w:fill="auto"/>
          </w:tcPr>
          <w:p w14:paraId="7268EA79" w14:textId="77777777" w:rsidR="005F762A" w:rsidRDefault="005F762A">
            <w:pPr>
              <w:rPr>
                <w:rFonts w:ascii="宋体"/>
              </w:rPr>
            </w:pPr>
          </w:p>
        </w:tc>
        <w:tc>
          <w:tcPr>
            <w:tcW w:w="0" w:type="auto"/>
            <w:shd w:val="clear" w:color="auto" w:fill="auto"/>
          </w:tcPr>
          <w:p w14:paraId="7268EA7A" w14:textId="77777777" w:rsidR="005F762A" w:rsidRDefault="005F762A">
            <w:pPr>
              <w:rPr>
                <w:rFonts w:ascii="宋体"/>
                <w:vanish/>
              </w:rPr>
            </w:pPr>
          </w:p>
        </w:tc>
        <w:tc>
          <w:tcPr>
            <w:tcW w:w="0" w:type="auto"/>
            <w:shd w:val="clear" w:color="auto" w:fill="auto"/>
          </w:tcPr>
          <w:p w14:paraId="7268EA7B" w14:textId="77777777" w:rsidR="005F762A" w:rsidRDefault="005F762A">
            <w:pPr>
              <w:rPr>
                <w:rFonts w:ascii="宋体"/>
                <w:vanish/>
              </w:rPr>
            </w:pPr>
          </w:p>
        </w:tc>
        <w:tc>
          <w:tcPr>
            <w:tcW w:w="0" w:type="auto"/>
            <w:shd w:val="clear" w:color="auto" w:fill="auto"/>
          </w:tcPr>
          <w:p w14:paraId="7268EA7C" w14:textId="77777777" w:rsidR="005F762A" w:rsidRDefault="005F762A">
            <w:pPr>
              <w:rPr>
                <w:rFonts w:ascii="宋体"/>
                <w:vanish/>
              </w:rPr>
            </w:pPr>
          </w:p>
        </w:tc>
        <w:tc>
          <w:tcPr>
            <w:tcW w:w="5" w:type="pct"/>
            <w:shd w:val="clear" w:color="auto" w:fill="auto"/>
          </w:tcPr>
          <w:p w14:paraId="7268EA7D" w14:textId="77777777" w:rsidR="005F762A" w:rsidRDefault="005F762A">
            <w:pPr>
              <w:rPr>
                <w:rFonts w:ascii="宋体"/>
              </w:rPr>
            </w:pPr>
          </w:p>
        </w:tc>
        <w:tc>
          <w:tcPr>
            <w:tcW w:w="26" w:type="pct"/>
            <w:shd w:val="clear" w:color="auto" w:fill="auto"/>
          </w:tcPr>
          <w:p w14:paraId="7268EA7E" w14:textId="77777777" w:rsidR="005F762A" w:rsidRDefault="005F762A">
            <w:pPr>
              <w:rPr>
                <w:rFonts w:ascii="宋体"/>
              </w:rPr>
            </w:pPr>
          </w:p>
        </w:tc>
        <w:tc>
          <w:tcPr>
            <w:tcW w:w="5" w:type="pct"/>
            <w:shd w:val="clear" w:color="auto" w:fill="auto"/>
          </w:tcPr>
          <w:p w14:paraId="7268EA7F" w14:textId="77777777" w:rsidR="005F762A" w:rsidRDefault="005F762A">
            <w:pPr>
              <w:rPr>
                <w:rFonts w:ascii="宋体"/>
              </w:rPr>
            </w:pPr>
          </w:p>
        </w:tc>
        <w:tc>
          <w:tcPr>
            <w:tcW w:w="50" w:type="pct"/>
            <w:shd w:val="clear" w:color="auto" w:fill="auto"/>
          </w:tcPr>
          <w:p w14:paraId="7268EA80" w14:textId="77777777" w:rsidR="005F762A" w:rsidRDefault="005F762A">
            <w:pPr>
              <w:rPr>
                <w:rFonts w:ascii="宋体"/>
              </w:rPr>
            </w:pPr>
          </w:p>
        </w:tc>
        <w:tc>
          <w:tcPr>
            <w:tcW w:w="675" w:type="pct"/>
            <w:shd w:val="clear" w:color="auto" w:fill="auto"/>
          </w:tcPr>
          <w:p w14:paraId="7268EA81" w14:textId="77777777" w:rsidR="005F762A" w:rsidRDefault="005F762A">
            <w:pPr>
              <w:rPr>
                <w:rFonts w:ascii="宋体"/>
              </w:rPr>
            </w:pPr>
          </w:p>
        </w:tc>
        <w:tc>
          <w:tcPr>
            <w:tcW w:w="5" w:type="pct"/>
            <w:shd w:val="clear" w:color="auto" w:fill="auto"/>
          </w:tcPr>
          <w:p w14:paraId="7268EA82" w14:textId="77777777" w:rsidR="005F762A" w:rsidRDefault="005F762A">
            <w:pPr>
              <w:rPr>
                <w:rFonts w:ascii="宋体"/>
              </w:rPr>
            </w:pPr>
          </w:p>
        </w:tc>
        <w:tc>
          <w:tcPr>
            <w:tcW w:w="5" w:type="pct"/>
            <w:shd w:val="clear" w:color="auto" w:fill="auto"/>
          </w:tcPr>
          <w:p w14:paraId="7268EA83" w14:textId="77777777" w:rsidR="005F762A" w:rsidRDefault="005F762A">
            <w:pPr>
              <w:rPr>
                <w:rFonts w:ascii="宋体"/>
              </w:rPr>
            </w:pPr>
          </w:p>
        </w:tc>
        <w:tc>
          <w:tcPr>
            <w:tcW w:w="26" w:type="pct"/>
            <w:shd w:val="clear" w:color="auto" w:fill="auto"/>
          </w:tcPr>
          <w:p w14:paraId="7268EA84" w14:textId="77777777" w:rsidR="005F762A" w:rsidRDefault="005F762A">
            <w:pPr>
              <w:rPr>
                <w:rFonts w:ascii="宋体"/>
              </w:rPr>
            </w:pPr>
          </w:p>
        </w:tc>
        <w:tc>
          <w:tcPr>
            <w:tcW w:w="5" w:type="pct"/>
            <w:shd w:val="clear" w:color="auto" w:fill="auto"/>
          </w:tcPr>
          <w:p w14:paraId="7268EA85" w14:textId="77777777" w:rsidR="005F762A" w:rsidRDefault="005F762A">
            <w:pPr>
              <w:rPr>
                <w:rFonts w:ascii="宋体"/>
              </w:rPr>
            </w:pPr>
          </w:p>
        </w:tc>
        <w:tc>
          <w:tcPr>
            <w:tcW w:w="50" w:type="pct"/>
            <w:shd w:val="clear" w:color="auto" w:fill="auto"/>
          </w:tcPr>
          <w:p w14:paraId="7268EA86" w14:textId="77777777" w:rsidR="005F762A" w:rsidRDefault="005F762A">
            <w:pPr>
              <w:rPr>
                <w:rFonts w:ascii="宋体"/>
              </w:rPr>
            </w:pPr>
          </w:p>
        </w:tc>
        <w:tc>
          <w:tcPr>
            <w:tcW w:w="676" w:type="pct"/>
            <w:shd w:val="clear" w:color="auto" w:fill="auto"/>
          </w:tcPr>
          <w:p w14:paraId="7268EA87" w14:textId="77777777" w:rsidR="005F762A" w:rsidRDefault="005F762A">
            <w:pPr>
              <w:rPr>
                <w:rFonts w:ascii="宋体"/>
              </w:rPr>
            </w:pPr>
          </w:p>
        </w:tc>
        <w:tc>
          <w:tcPr>
            <w:tcW w:w="5" w:type="pct"/>
            <w:shd w:val="clear" w:color="auto" w:fill="auto"/>
          </w:tcPr>
          <w:p w14:paraId="7268EA88" w14:textId="77777777" w:rsidR="005F762A" w:rsidRDefault="005F762A">
            <w:pPr>
              <w:rPr>
                <w:rFonts w:ascii="宋体"/>
              </w:rPr>
            </w:pPr>
          </w:p>
        </w:tc>
      </w:tr>
      <w:tr w:rsidR="005F762A" w14:paraId="7268EA94" w14:textId="77777777">
        <w:trPr>
          <w:jc w:val="center"/>
        </w:trPr>
        <w:tc>
          <w:tcPr>
            <w:tcW w:w="0" w:type="auto"/>
            <w:gridSpan w:val="3"/>
            <w:shd w:val="clear" w:color="auto" w:fill="auto"/>
            <w:tcMar>
              <w:top w:w="0" w:type="dxa"/>
              <w:left w:w="20" w:type="dxa"/>
              <w:bottom w:w="0" w:type="dxa"/>
              <w:right w:w="20" w:type="dxa"/>
            </w:tcMar>
          </w:tcPr>
          <w:p w14:paraId="7268EA8A" w14:textId="77777777" w:rsidR="005F762A" w:rsidRDefault="005F762A">
            <w:pPr>
              <w:rPr>
                <w:rFonts w:ascii="宋体"/>
              </w:rPr>
            </w:pPr>
          </w:p>
        </w:tc>
        <w:tc>
          <w:tcPr>
            <w:tcW w:w="0" w:type="auto"/>
            <w:shd w:val="clear" w:color="auto" w:fill="auto"/>
          </w:tcPr>
          <w:p w14:paraId="7268EA8B"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A8C"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A8D"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A8E" w14:textId="77777777" w:rsidR="005F762A" w:rsidRDefault="005F762A">
            <w:pPr>
              <w:rPr>
                <w:rFonts w:ascii="宋体"/>
              </w:rPr>
            </w:pPr>
          </w:p>
        </w:tc>
        <w:tc>
          <w:tcPr>
            <w:tcW w:w="0" w:type="auto"/>
            <w:shd w:val="clear" w:color="auto" w:fill="auto"/>
          </w:tcPr>
          <w:p w14:paraId="7268EA8F" w14:textId="77777777" w:rsidR="005F762A" w:rsidRDefault="005F762A">
            <w:pPr>
              <w:rPr>
                <w:rFonts w:ascii="宋体"/>
              </w:rPr>
            </w:pPr>
          </w:p>
        </w:tc>
        <w:tc>
          <w:tcPr>
            <w:tcW w:w="0" w:type="auto"/>
            <w:shd w:val="clear" w:color="auto" w:fill="auto"/>
          </w:tcPr>
          <w:p w14:paraId="7268EA90" w14:textId="77777777" w:rsidR="005F762A" w:rsidRDefault="005F762A">
            <w:pPr>
              <w:rPr>
                <w:rFonts w:ascii="宋体"/>
              </w:rPr>
            </w:pPr>
          </w:p>
        </w:tc>
        <w:tc>
          <w:tcPr>
            <w:tcW w:w="0" w:type="auto"/>
            <w:shd w:val="clear" w:color="auto" w:fill="auto"/>
          </w:tcPr>
          <w:p w14:paraId="7268EA91" w14:textId="77777777" w:rsidR="005F762A" w:rsidRDefault="005F762A">
            <w:pPr>
              <w:rPr>
                <w:rFonts w:ascii="宋体"/>
              </w:rPr>
            </w:pPr>
          </w:p>
        </w:tc>
        <w:tc>
          <w:tcPr>
            <w:tcW w:w="0" w:type="auto"/>
            <w:shd w:val="clear" w:color="auto" w:fill="auto"/>
          </w:tcPr>
          <w:p w14:paraId="7268EA92" w14:textId="77777777" w:rsidR="005F762A" w:rsidRDefault="005F762A">
            <w:pPr>
              <w:rPr>
                <w:rFonts w:ascii="宋体"/>
              </w:rPr>
            </w:pPr>
          </w:p>
        </w:tc>
        <w:tc>
          <w:tcPr>
            <w:tcW w:w="0" w:type="auto"/>
            <w:shd w:val="clear" w:color="auto" w:fill="auto"/>
          </w:tcPr>
          <w:p w14:paraId="7268EA93" w14:textId="77777777" w:rsidR="005F762A" w:rsidRDefault="005F762A">
            <w:pPr>
              <w:rPr>
                <w:rFonts w:ascii="宋体"/>
              </w:rPr>
            </w:pPr>
          </w:p>
        </w:tc>
      </w:tr>
      <w:tr w:rsidR="005F762A" w14:paraId="7268EA9D" w14:textId="77777777">
        <w:trPr>
          <w:jc w:val="center"/>
        </w:trPr>
        <w:tc>
          <w:tcPr>
            <w:tcW w:w="0" w:type="auto"/>
            <w:gridSpan w:val="3"/>
            <w:shd w:val="clear" w:color="auto" w:fill="auto"/>
            <w:tcMar>
              <w:top w:w="0" w:type="dxa"/>
              <w:left w:w="20" w:type="dxa"/>
              <w:bottom w:w="0" w:type="dxa"/>
              <w:right w:w="20" w:type="dxa"/>
            </w:tcMar>
          </w:tcPr>
          <w:p w14:paraId="7268EA95" w14:textId="77777777" w:rsidR="005F762A" w:rsidRDefault="005F762A">
            <w:pPr>
              <w:rPr>
                <w:rFonts w:ascii="宋体"/>
              </w:rPr>
            </w:pPr>
          </w:p>
        </w:tc>
        <w:tc>
          <w:tcPr>
            <w:tcW w:w="0" w:type="auto"/>
            <w:shd w:val="clear" w:color="auto" w:fill="auto"/>
          </w:tcPr>
          <w:p w14:paraId="7268EA96" w14:textId="77777777" w:rsidR="005F762A" w:rsidRDefault="005F762A">
            <w:pPr>
              <w:rPr>
                <w:rFonts w:ascii="宋体"/>
                <w:vanish/>
              </w:rPr>
            </w:pPr>
          </w:p>
        </w:tc>
        <w:tc>
          <w:tcPr>
            <w:tcW w:w="0" w:type="auto"/>
            <w:shd w:val="clear" w:color="auto" w:fill="auto"/>
          </w:tcPr>
          <w:p w14:paraId="7268EA97" w14:textId="77777777" w:rsidR="005F762A" w:rsidRDefault="005F762A">
            <w:pPr>
              <w:rPr>
                <w:rFonts w:ascii="宋体"/>
                <w:vanish/>
              </w:rPr>
            </w:pPr>
          </w:p>
        </w:tc>
        <w:tc>
          <w:tcPr>
            <w:tcW w:w="0" w:type="auto"/>
            <w:shd w:val="clear" w:color="auto" w:fill="auto"/>
          </w:tcPr>
          <w:p w14:paraId="7268EA98"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A99"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A9A"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A9B"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A9C"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AAA" w14:textId="77777777">
        <w:trPr>
          <w:jc w:val="center"/>
        </w:trPr>
        <w:tc>
          <w:tcPr>
            <w:tcW w:w="0" w:type="auto"/>
            <w:gridSpan w:val="3"/>
            <w:shd w:val="clear" w:color="auto" w:fill="E2E2E2"/>
            <w:tcMar>
              <w:top w:w="40" w:type="dxa"/>
              <w:left w:w="20" w:type="dxa"/>
              <w:bottom w:w="40" w:type="dxa"/>
              <w:right w:w="20" w:type="dxa"/>
            </w:tcMar>
            <w:vAlign w:val="bottom"/>
          </w:tcPr>
          <w:p w14:paraId="7268EA9E" w14:textId="77777777" w:rsidR="005F762A" w:rsidRDefault="00D74111">
            <w:pPr>
              <w:textAlignment w:val="bottom"/>
            </w:pPr>
            <w:r>
              <w:rPr>
                <w:rFonts w:ascii="Arial" w:eastAsia="宋体" w:hAnsi="Arial" w:cs="Arial"/>
                <w:color w:val="000000"/>
                <w:sz w:val="18"/>
                <w:szCs w:val="18"/>
              </w:rPr>
              <w:t>Carrying value, beginning of period</w:t>
            </w:r>
          </w:p>
        </w:tc>
        <w:tc>
          <w:tcPr>
            <w:tcW w:w="0" w:type="auto"/>
            <w:shd w:val="clear" w:color="auto" w:fill="auto"/>
          </w:tcPr>
          <w:p w14:paraId="7268EA9F" w14:textId="77777777" w:rsidR="005F762A" w:rsidRDefault="005F762A">
            <w:pPr>
              <w:rPr>
                <w:rFonts w:ascii="宋体"/>
                <w:vanish/>
              </w:rPr>
            </w:pPr>
          </w:p>
        </w:tc>
        <w:tc>
          <w:tcPr>
            <w:tcW w:w="0" w:type="auto"/>
            <w:shd w:val="clear" w:color="auto" w:fill="auto"/>
          </w:tcPr>
          <w:p w14:paraId="7268EAA0" w14:textId="77777777" w:rsidR="005F762A" w:rsidRDefault="005F762A">
            <w:pPr>
              <w:rPr>
                <w:rFonts w:ascii="宋体"/>
                <w:vanish/>
              </w:rPr>
            </w:pPr>
          </w:p>
        </w:tc>
        <w:tc>
          <w:tcPr>
            <w:tcW w:w="0" w:type="auto"/>
            <w:shd w:val="clear" w:color="auto" w:fill="auto"/>
          </w:tcPr>
          <w:p w14:paraId="7268EAA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AA2"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AA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AA4" w14:textId="77777777" w:rsidR="005F762A" w:rsidRDefault="00D74111">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AA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AA6"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AA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AA8" w14:textId="77777777" w:rsidR="005F762A" w:rsidRDefault="00D74111">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AA9" w14:textId="77777777" w:rsidR="005F762A" w:rsidRDefault="005F762A">
            <w:pPr>
              <w:jc w:val="right"/>
              <w:rPr>
                <w:rFonts w:ascii="宋体"/>
              </w:rPr>
            </w:pPr>
          </w:p>
        </w:tc>
      </w:tr>
      <w:tr w:rsidR="005F762A" w14:paraId="7268EAB3" w14:textId="77777777">
        <w:trPr>
          <w:jc w:val="center"/>
          <w:hidden/>
        </w:trPr>
        <w:tc>
          <w:tcPr>
            <w:tcW w:w="0" w:type="auto"/>
            <w:gridSpan w:val="3"/>
            <w:shd w:val="clear" w:color="auto" w:fill="auto"/>
          </w:tcPr>
          <w:p w14:paraId="7268EAAB" w14:textId="77777777" w:rsidR="005F762A" w:rsidRDefault="005F762A">
            <w:pPr>
              <w:rPr>
                <w:rFonts w:ascii="宋体"/>
                <w:vanish/>
              </w:rPr>
            </w:pPr>
          </w:p>
        </w:tc>
        <w:tc>
          <w:tcPr>
            <w:tcW w:w="0" w:type="auto"/>
            <w:shd w:val="clear" w:color="auto" w:fill="auto"/>
          </w:tcPr>
          <w:p w14:paraId="7268EAAC" w14:textId="77777777" w:rsidR="005F762A" w:rsidRDefault="005F762A">
            <w:pPr>
              <w:rPr>
                <w:rFonts w:ascii="宋体"/>
                <w:vanish/>
              </w:rPr>
            </w:pPr>
          </w:p>
        </w:tc>
        <w:tc>
          <w:tcPr>
            <w:tcW w:w="0" w:type="auto"/>
            <w:shd w:val="clear" w:color="auto" w:fill="auto"/>
          </w:tcPr>
          <w:p w14:paraId="7268EAAD" w14:textId="77777777" w:rsidR="005F762A" w:rsidRDefault="005F762A">
            <w:pPr>
              <w:rPr>
                <w:rFonts w:ascii="宋体"/>
                <w:vanish/>
              </w:rPr>
            </w:pPr>
          </w:p>
        </w:tc>
        <w:tc>
          <w:tcPr>
            <w:tcW w:w="0" w:type="auto"/>
            <w:shd w:val="clear" w:color="auto" w:fill="auto"/>
          </w:tcPr>
          <w:p w14:paraId="7268EAAE" w14:textId="77777777" w:rsidR="005F762A" w:rsidRDefault="005F762A">
            <w:pPr>
              <w:rPr>
                <w:rFonts w:ascii="宋体"/>
                <w:vanish/>
              </w:rPr>
            </w:pPr>
          </w:p>
        </w:tc>
        <w:tc>
          <w:tcPr>
            <w:tcW w:w="0" w:type="auto"/>
            <w:gridSpan w:val="3"/>
            <w:shd w:val="clear" w:color="auto" w:fill="auto"/>
          </w:tcPr>
          <w:p w14:paraId="7268EAAF" w14:textId="77777777" w:rsidR="005F762A" w:rsidRDefault="005F762A">
            <w:pPr>
              <w:rPr>
                <w:rFonts w:ascii="宋体"/>
                <w:vanish/>
              </w:rPr>
            </w:pPr>
          </w:p>
        </w:tc>
        <w:tc>
          <w:tcPr>
            <w:tcW w:w="0" w:type="auto"/>
            <w:gridSpan w:val="3"/>
            <w:shd w:val="clear" w:color="auto" w:fill="auto"/>
          </w:tcPr>
          <w:p w14:paraId="7268EAB0" w14:textId="77777777" w:rsidR="005F762A" w:rsidRDefault="005F762A">
            <w:pPr>
              <w:rPr>
                <w:rFonts w:ascii="宋体"/>
                <w:vanish/>
              </w:rPr>
            </w:pPr>
          </w:p>
        </w:tc>
        <w:tc>
          <w:tcPr>
            <w:tcW w:w="0" w:type="auto"/>
            <w:gridSpan w:val="3"/>
            <w:shd w:val="clear" w:color="auto" w:fill="auto"/>
          </w:tcPr>
          <w:p w14:paraId="7268EAB1" w14:textId="77777777" w:rsidR="005F762A" w:rsidRDefault="005F762A">
            <w:pPr>
              <w:rPr>
                <w:rFonts w:ascii="宋体"/>
                <w:vanish/>
              </w:rPr>
            </w:pPr>
          </w:p>
        </w:tc>
        <w:tc>
          <w:tcPr>
            <w:tcW w:w="0" w:type="auto"/>
            <w:gridSpan w:val="3"/>
            <w:shd w:val="clear" w:color="auto" w:fill="auto"/>
          </w:tcPr>
          <w:p w14:paraId="7268EAB2" w14:textId="77777777" w:rsidR="005F762A" w:rsidRDefault="005F762A">
            <w:pPr>
              <w:rPr>
                <w:rFonts w:ascii="宋体"/>
                <w:vanish/>
              </w:rPr>
            </w:pPr>
          </w:p>
        </w:tc>
      </w:tr>
      <w:tr w:rsidR="005F762A" w14:paraId="7268EABC" w14:textId="77777777">
        <w:trPr>
          <w:jc w:val="center"/>
          <w:hidden/>
        </w:trPr>
        <w:tc>
          <w:tcPr>
            <w:tcW w:w="0" w:type="auto"/>
            <w:gridSpan w:val="3"/>
            <w:shd w:val="clear" w:color="auto" w:fill="auto"/>
          </w:tcPr>
          <w:p w14:paraId="7268EAB4" w14:textId="77777777" w:rsidR="005F762A" w:rsidRDefault="005F762A">
            <w:pPr>
              <w:rPr>
                <w:rFonts w:ascii="宋体"/>
                <w:vanish/>
              </w:rPr>
            </w:pPr>
          </w:p>
        </w:tc>
        <w:tc>
          <w:tcPr>
            <w:tcW w:w="0" w:type="auto"/>
            <w:shd w:val="clear" w:color="auto" w:fill="auto"/>
          </w:tcPr>
          <w:p w14:paraId="7268EAB5" w14:textId="77777777" w:rsidR="005F762A" w:rsidRDefault="005F762A">
            <w:pPr>
              <w:rPr>
                <w:rFonts w:ascii="宋体"/>
                <w:vanish/>
              </w:rPr>
            </w:pPr>
          </w:p>
        </w:tc>
        <w:tc>
          <w:tcPr>
            <w:tcW w:w="0" w:type="auto"/>
            <w:shd w:val="clear" w:color="auto" w:fill="auto"/>
          </w:tcPr>
          <w:p w14:paraId="7268EAB6" w14:textId="77777777" w:rsidR="005F762A" w:rsidRDefault="005F762A">
            <w:pPr>
              <w:rPr>
                <w:rFonts w:ascii="宋体"/>
                <w:vanish/>
              </w:rPr>
            </w:pPr>
          </w:p>
        </w:tc>
        <w:tc>
          <w:tcPr>
            <w:tcW w:w="0" w:type="auto"/>
            <w:shd w:val="clear" w:color="auto" w:fill="auto"/>
          </w:tcPr>
          <w:p w14:paraId="7268EAB7" w14:textId="77777777" w:rsidR="005F762A" w:rsidRDefault="005F762A">
            <w:pPr>
              <w:rPr>
                <w:rFonts w:ascii="宋体"/>
                <w:vanish/>
              </w:rPr>
            </w:pPr>
          </w:p>
        </w:tc>
        <w:tc>
          <w:tcPr>
            <w:tcW w:w="0" w:type="auto"/>
            <w:gridSpan w:val="3"/>
            <w:shd w:val="clear" w:color="auto" w:fill="auto"/>
          </w:tcPr>
          <w:p w14:paraId="7268EAB8" w14:textId="77777777" w:rsidR="005F762A" w:rsidRDefault="005F762A">
            <w:pPr>
              <w:rPr>
                <w:rFonts w:ascii="宋体"/>
                <w:vanish/>
              </w:rPr>
            </w:pPr>
          </w:p>
        </w:tc>
        <w:tc>
          <w:tcPr>
            <w:tcW w:w="0" w:type="auto"/>
            <w:gridSpan w:val="3"/>
            <w:shd w:val="clear" w:color="auto" w:fill="auto"/>
          </w:tcPr>
          <w:p w14:paraId="7268EAB9" w14:textId="77777777" w:rsidR="005F762A" w:rsidRDefault="005F762A">
            <w:pPr>
              <w:rPr>
                <w:rFonts w:ascii="宋体"/>
                <w:vanish/>
              </w:rPr>
            </w:pPr>
          </w:p>
        </w:tc>
        <w:tc>
          <w:tcPr>
            <w:tcW w:w="0" w:type="auto"/>
            <w:gridSpan w:val="3"/>
            <w:shd w:val="clear" w:color="auto" w:fill="auto"/>
          </w:tcPr>
          <w:p w14:paraId="7268EABA" w14:textId="77777777" w:rsidR="005F762A" w:rsidRDefault="005F762A">
            <w:pPr>
              <w:rPr>
                <w:rFonts w:ascii="宋体"/>
                <w:vanish/>
              </w:rPr>
            </w:pPr>
          </w:p>
        </w:tc>
        <w:tc>
          <w:tcPr>
            <w:tcW w:w="0" w:type="auto"/>
            <w:gridSpan w:val="3"/>
            <w:shd w:val="clear" w:color="auto" w:fill="auto"/>
          </w:tcPr>
          <w:p w14:paraId="7268EABB" w14:textId="77777777" w:rsidR="005F762A" w:rsidRDefault="005F762A">
            <w:pPr>
              <w:rPr>
                <w:rFonts w:ascii="宋体"/>
                <w:vanish/>
              </w:rPr>
            </w:pPr>
          </w:p>
        </w:tc>
      </w:tr>
      <w:tr w:rsidR="005F762A" w14:paraId="7268EAC5" w14:textId="77777777">
        <w:trPr>
          <w:jc w:val="center"/>
          <w:hidden/>
        </w:trPr>
        <w:tc>
          <w:tcPr>
            <w:tcW w:w="0" w:type="auto"/>
            <w:gridSpan w:val="3"/>
            <w:shd w:val="clear" w:color="auto" w:fill="auto"/>
          </w:tcPr>
          <w:p w14:paraId="7268EABD" w14:textId="77777777" w:rsidR="005F762A" w:rsidRDefault="005F762A">
            <w:pPr>
              <w:rPr>
                <w:rFonts w:ascii="宋体"/>
                <w:vanish/>
              </w:rPr>
            </w:pPr>
          </w:p>
        </w:tc>
        <w:tc>
          <w:tcPr>
            <w:tcW w:w="0" w:type="auto"/>
            <w:shd w:val="clear" w:color="auto" w:fill="auto"/>
          </w:tcPr>
          <w:p w14:paraId="7268EABE" w14:textId="77777777" w:rsidR="005F762A" w:rsidRDefault="005F762A">
            <w:pPr>
              <w:rPr>
                <w:rFonts w:ascii="宋体"/>
                <w:vanish/>
              </w:rPr>
            </w:pPr>
          </w:p>
        </w:tc>
        <w:tc>
          <w:tcPr>
            <w:tcW w:w="0" w:type="auto"/>
            <w:shd w:val="clear" w:color="auto" w:fill="auto"/>
          </w:tcPr>
          <w:p w14:paraId="7268EABF" w14:textId="77777777" w:rsidR="005F762A" w:rsidRDefault="005F762A">
            <w:pPr>
              <w:rPr>
                <w:rFonts w:ascii="宋体"/>
                <w:vanish/>
              </w:rPr>
            </w:pPr>
          </w:p>
        </w:tc>
        <w:tc>
          <w:tcPr>
            <w:tcW w:w="0" w:type="auto"/>
            <w:shd w:val="clear" w:color="auto" w:fill="auto"/>
          </w:tcPr>
          <w:p w14:paraId="7268EAC0" w14:textId="77777777" w:rsidR="005F762A" w:rsidRDefault="005F762A">
            <w:pPr>
              <w:rPr>
                <w:rFonts w:ascii="宋体"/>
                <w:vanish/>
              </w:rPr>
            </w:pPr>
          </w:p>
        </w:tc>
        <w:tc>
          <w:tcPr>
            <w:tcW w:w="0" w:type="auto"/>
            <w:gridSpan w:val="3"/>
            <w:shd w:val="clear" w:color="auto" w:fill="auto"/>
          </w:tcPr>
          <w:p w14:paraId="7268EAC1" w14:textId="77777777" w:rsidR="005F762A" w:rsidRDefault="005F762A">
            <w:pPr>
              <w:rPr>
                <w:rFonts w:ascii="宋体"/>
                <w:vanish/>
              </w:rPr>
            </w:pPr>
          </w:p>
        </w:tc>
        <w:tc>
          <w:tcPr>
            <w:tcW w:w="0" w:type="auto"/>
            <w:gridSpan w:val="3"/>
            <w:shd w:val="clear" w:color="auto" w:fill="auto"/>
          </w:tcPr>
          <w:p w14:paraId="7268EAC2" w14:textId="77777777" w:rsidR="005F762A" w:rsidRDefault="005F762A">
            <w:pPr>
              <w:rPr>
                <w:rFonts w:ascii="宋体"/>
                <w:vanish/>
              </w:rPr>
            </w:pPr>
          </w:p>
        </w:tc>
        <w:tc>
          <w:tcPr>
            <w:tcW w:w="0" w:type="auto"/>
            <w:gridSpan w:val="3"/>
            <w:shd w:val="clear" w:color="auto" w:fill="auto"/>
          </w:tcPr>
          <w:p w14:paraId="7268EAC3" w14:textId="77777777" w:rsidR="005F762A" w:rsidRDefault="005F762A">
            <w:pPr>
              <w:rPr>
                <w:rFonts w:ascii="宋体"/>
                <w:vanish/>
              </w:rPr>
            </w:pPr>
          </w:p>
        </w:tc>
        <w:tc>
          <w:tcPr>
            <w:tcW w:w="0" w:type="auto"/>
            <w:gridSpan w:val="3"/>
            <w:shd w:val="clear" w:color="auto" w:fill="auto"/>
          </w:tcPr>
          <w:p w14:paraId="7268EAC4" w14:textId="77777777" w:rsidR="005F762A" w:rsidRDefault="005F762A">
            <w:pPr>
              <w:rPr>
                <w:rFonts w:ascii="宋体"/>
                <w:vanish/>
              </w:rPr>
            </w:pPr>
          </w:p>
        </w:tc>
      </w:tr>
      <w:tr w:rsidR="005F762A" w14:paraId="7268EAD0" w14:textId="77777777">
        <w:trPr>
          <w:jc w:val="center"/>
        </w:trPr>
        <w:tc>
          <w:tcPr>
            <w:tcW w:w="0" w:type="auto"/>
            <w:gridSpan w:val="3"/>
            <w:shd w:val="clear" w:color="auto" w:fill="FFFFFF"/>
            <w:tcMar>
              <w:top w:w="40" w:type="dxa"/>
              <w:left w:w="155" w:type="dxa"/>
              <w:bottom w:w="40" w:type="dxa"/>
              <w:right w:w="20" w:type="dxa"/>
            </w:tcMar>
            <w:vAlign w:val="bottom"/>
          </w:tcPr>
          <w:p w14:paraId="7268EAC6" w14:textId="77777777" w:rsidR="005F762A" w:rsidRDefault="00D74111">
            <w:pPr>
              <w:textAlignment w:val="bottom"/>
            </w:pPr>
            <w:r>
              <w:rPr>
                <w:rFonts w:ascii="Arial" w:eastAsia="宋体" w:hAnsi="Arial" w:cs="Arial"/>
                <w:color w:val="000000"/>
                <w:sz w:val="18"/>
                <w:szCs w:val="18"/>
              </w:rPr>
              <w:t>Foreign currency translation and other</w:t>
            </w:r>
          </w:p>
        </w:tc>
        <w:tc>
          <w:tcPr>
            <w:tcW w:w="0" w:type="auto"/>
            <w:shd w:val="clear" w:color="auto" w:fill="auto"/>
          </w:tcPr>
          <w:p w14:paraId="7268EAC7" w14:textId="77777777" w:rsidR="005F762A" w:rsidRDefault="005F762A">
            <w:pPr>
              <w:rPr>
                <w:rFonts w:ascii="宋体"/>
                <w:vanish/>
              </w:rPr>
            </w:pPr>
          </w:p>
        </w:tc>
        <w:tc>
          <w:tcPr>
            <w:tcW w:w="0" w:type="auto"/>
            <w:shd w:val="clear" w:color="auto" w:fill="auto"/>
          </w:tcPr>
          <w:p w14:paraId="7268EAC8" w14:textId="77777777" w:rsidR="005F762A" w:rsidRDefault="005F762A">
            <w:pPr>
              <w:rPr>
                <w:rFonts w:ascii="宋体"/>
                <w:vanish/>
              </w:rPr>
            </w:pPr>
          </w:p>
        </w:tc>
        <w:tc>
          <w:tcPr>
            <w:tcW w:w="0" w:type="auto"/>
            <w:shd w:val="clear" w:color="auto" w:fill="auto"/>
          </w:tcPr>
          <w:p w14:paraId="7268EAC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AC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ACB"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7268EAC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AC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ACE"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7268EACF" w14:textId="77777777" w:rsidR="005F762A" w:rsidRDefault="005F762A">
            <w:pPr>
              <w:jc w:val="right"/>
              <w:rPr>
                <w:rFonts w:ascii="宋体"/>
              </w:rPr>
            </w:pPr>
          </w:p>
        </w:tc>
      </w:tr>
      <w:tr w:rsidR="005F762A" w14:paraId="7268EADD" w14:textId="77777777">
        <w:trPr>
          <w:jc w:val="center"/>
        </w:trPr>
        <w:tc>
          <w:tcPr>
            <w:tcW w:w="0" w:type="auto"/>
            <w:gridSpan w:val="3"/>
            <w:shd w:val="clear" w:color="auto" w:fill="E2E2E2"/>
            <w:tcMar>
              <w:top w:w="40" w:type="dxa"/>
              <w:left w:w="20" w:type="dxa"/>
              <w:bottom w:w="40" w:type="dxa"/>
              <w:right w:w="20" w:type="dxa"/>
            </w:tcMar>
            <w:vAlign w:val="bottom"/>
          </w:tcPr>
          <w:p w14:paraId="7268EAD1" w14:textId="77777777" w:rsidR="005F762A" w:rsidRDefault="00D74111">
            <w:pPr>
              <w:textAlignment w:val="bottom"/>
            </w:pPr>
            <w:r>
              <w:rPr>
                <w:rFonts w:ascii="Arial" w:eastAsia="宋体" w:hAnsi="Arial" w:cs="Arial"/>
                <w:color w:val="000000"/>
                <w:sz w:val="18"/>
                <w:szCs w:val="18"/>
              </w:rPr>
              <w:t>Carrying value, end of period</w:t>
            </w:r>
          </w:p>
        </w:tc>
        <w:tc>
          <w:tcPr>
            <w:tcW w:w="0" w:type="auto"/>
            <w:shd w:val="clear" w:color="auto" w:fill="auto"/>
          </w:tcPr>
          <w:p w14:paraId="7268EAD2" w14:textId="77777777" w:rsidR="005F762A" w:rsidRDefault="005F762A">
            <w:pPr>
              <w:rPr>
                <w:rFonts w:ascii="宋体"/>
                <w:vanish/>
              </w:rPr>
            </w:pPr>
          </w:p>
        </w:tc>
        <w:tc>
          <w:tcPr>
            <w:tcW w:w="0" w:type="auto"/>
            <w:shd w:val="clear" w:color="auto" w:fill="auto"/>
          </w:tcPr>
          <w:p w14:paraId="7268EAD3" w14:textId="77777777" w:rsidR="005F762A" w:rsidRDefault="005F762A">
            <w:pPr>
              <w:rPr>
                <w:rFonts w:ascii="宋体"/>
                <w:vanish/>
              </w:rPr>
            </w:pPr>
          </w:p>
        </w:tc>
        <w:tc>
          <w:tcPr>
            <w:tcW w:w="0" w:type="auto"/>
            <w:shd w:val="clear" w:color="auto" w:fill="auto"/>
          </w:tcPr>
          <w:p w14:paraId="7268EAD4"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AD5"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AD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AD7" w14:textId="77777777" w:rsidR="005F762A" w:rsidRDefault="00D74111">
            <w:pPr>
              <w:jc w:val="right"/>
              <w:textAlignment w:val="bottom"/>
            </w:pPr>
            <w:r>
              <w:rPr>
                <w:rFonts w:ascii="Arial" w:eastAsia="宋体" w:hAnsi="Arial" w:cs="Arial"/>
                <w:color w:val="000000"/>
                <w:sz w:val="18"/>
                <w:szCs w:val="18"/>
              </w:rPr>
              <w:t>528 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AD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AD9"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AD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ADB" w14:textId="77777777" w:rsidR="005F762A" w:rsidRDefault="00D74111">
            <w:pPr>
              <w:jc w:val="right"/>
              <w:textAlignment w:val="bottom"/>
            </w:pPr>
            <w:r>
              <w:rPr>
                <w:rFonts w:ascii="Arial" w:eastAsia="宋体" w:hAnsi="Arial" w:cs="Arial"/>
                <w:color w:val="000000"/>
                <w:sz w:val="18"/>
                <w:szCs w:val="18"/>
              </w:rPr>
              <w:t>296 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ADC" w14:textId="77777777" w:rsidR="005F762A" w:rsidRDefault="005F762A">
            <w:pPr>
              <w:jc w:val="right"/>
              <w:rPr>
                <w:rFonts w:ascii="宋体"/>
              </w:rPr>
            </w:pPr>
          </w:p>
        </w:tc>
      </w:tr>
    </w:tbl>
    <w:p w14:paraId="7268EADE" w14:textId="77777777" w:rsidR="005F762A" w:rsidRDefault="005F762A">
      <w:pPr>
        <w:jc w:val="both"/>
      </w:pPr>
    </w:p>
    <w:p w14:paraId="7268EADF" w14:textId="77777777" w:rsidR="005F762A" w:rsidRDefault="00D74111">
      <w:pPr>
        <w:ind w:firstLine="540"/>
        <w:jc w:val="both"/>
      </w:pPr>
      <w:r>
        <w:rPr>
          <w:rFonts w:ascii="Arial" w:eastAsia="宋体" w:hAnsi="Arial" w:cs="Arial"/>
          <w:color w:val="000000"/>
          <w:sz w:val="20"/>
          <w:szCs w:val="20"/>
        </w:rPr>
        <w:t>For such equity investments without readily determinable fair values still held at March 31, 2021, the cumulative upward adjustment for observable price changes were $239 million and cumulative downward adjustments for observable price changes</w:t>
      </w:r>
      <w:r>
        <w:rPr>
          <w:rFonts w:ascii="Arial" w:eastAsia="宋体" w:hAnsi="Arial" w:cs="Arial"/>
          <w:color w:val="000000"/>
          <w:sz w:val="20"/>
          <w:szCs w:val="20"/>
        </w:rPr>
        <w:t xml:space="preserve"> and impairments were $121 million. </w:t>
      </w:r>
    </w:p>
    <w:p w14:paraId="7268EAE0" w14:textId="77777777" w:rsidR="005F762A" w:rsidRDefault="005F762A">
      <w:pPr>
        <w:jc w:val="both"/>
      </w:pPr>
    </w:p>
    <w:p w14:paraId="7268EAE1" w14:textId="77777777" w:rsidR="005F762A" w:rsidRDefault="00D74111">
      <w:r>
        <w:rPr>
          <w:rFonts w:ascii="Arial" w:eastAsia="宋体" w:hAnsi="Arial" w:cs="Arial"/>
          <w:b/>
          <w:bCs/>
          <w:color w:val="000000"/>
          <w:sz w:val="20"/>
          <w:szCs w:val="20"/>
        </w:rPr>
        <w:t xml:space="preserve">Note 7 — Derivative Instruments </w:t>
      </w:r>
    </w:p>
    <w:p w14:paraId="7268EAE2" w14:textId="77777777" w:rsidR="005F762A" w:rsidRDefault="005F762A"/>
    <w:p w14:paraId="7268EAE3" w14:textId="77777777" w:rsidR="005F762A" w:rsidRDefault="00D74111">
      <w:pPr>
        <w:ind w:firstLine="540"/>
        <w:jc w:val="both"/>
      </w:pPr>
      <w:r>
        <w:rPr>
          <w:rFonts w:ascii="Arial" w:eastAsia="宋体" w:hAnsi="Arial" w:cs="Arial"/>
          <w:color w:val="000000"/>
          <w:sz w:val="20"/>
          <w:szCs w:val="20"/>
        </w:rPr>
        <w:t>Our primary objective in holding derivatives is to reduce the volatility of earnings and cash flows associated with changes in foreign currency exchange rates and interest rates. These</w:t>
      </w:r>
      <w:r>
        <w:rPr>
          <w:rFonts w:ascii="Arial" w:eastAsia="宋体" w:hAnsi="Arial" w:cs="Arial"/>
          <w:color w:val="000000"/>
          <w:sz w:val="20"/>
          <w:szCs w:val="20"/>
        </w:rPr>
        <w:t xml:space="preserve"> hedging contracts reduce, but do not entirely eliminate, the impact of adverse foreign exchange rate and interest rate movements. We do not use any of our derivative instruments for trading purposes.</w:t>
      </w:r>
    </w:p>
    <w:p w14:paraId="7268EAE4" w14:textId="77777777" w:rsidR="005F762A" w:rsidRDefault="005F762A">
      <w:pPr>
        <w:ind w:firstLine="540"/>
        <w:jc w:val="both"/>
      </w:pPr>
    </w:p>
    <w:p w14:paraId="7268EAE5" w14:textId="77777777" w:rsidR="005F762A" w:rsidRDefault="00D74111">
      <w:pPr>
        <w:ind w:firstLine="540"/>
        <w:jc w:val="both"/>
      </w:pPr>
      <w:r>
        <w:rPr>
          <w:rFonts w:ascii="Arial" w:eastAsia="宋体" w:hAnsi="Arial" w:cs="Arial"/>
          <w:color w:val="000000"/>
          <w:sz w:val="20"/>
          <w:szCs w:val="20"/>
        </w:rPr>
        <w:t>We use foreign currency exchange contracts to reduce t</w:t>
      </w:r>
      <w:r>
        <w:rPr>
          <w:rFonts w:ascii="Arial" w:eastAsia="宋体" w:hAnsi="Arial" w:cs="Arial"/>
          <w:color w:val="000000"/>
          <w:sz w:val="20"/>
          <w:szCs w:val="20"/>
        </w:rPr>
        <w:t>he volatility of cash flows related to forecasted revenues, expenses, assets and liabilities, including intercompany balances denominated in foreign currencies. These contracts are generally one month to one year in duration but with maturities up to 24 mo</w:t>
      </w:r>
      <w:r>
        <w:rPr>
          <w:rFonts w:ascii="Arial" w:eastAsia="宋体" w:hAnsi="Arial" w:cs="Arial"/>
          <w:color w:val="000000"/>
          <w:sz w:val="20"/>
          <w:szCs w:val="20"/>
        </w:rPr>
        <w:t>nths. The objective of the foreign exchange contracts is to better ensure that ultimately the U.S. dollar-equivalent cash flows are not adversely affected by changes in the applicable U.S. dollar/foreign currency exchange rate. We evaluate the effectivenes</w:t>
      </w:r>
      <w:r>
        <w:rPr>
          <w:rFonts w:ascii="Arial" w:eastAsia="宋体" w:hAnsi="Arial" w:cs="Arial"/>
          <w:color w:val="000000"/>
          <w:sz w:val="20"/>
          <w:szCs w:val="20"/>
        </w:rPr>
        <w:t xml:space="preserve">s of our foreign exchange contracts designated as cash flow or net investment hedges on a quarterly basis. </w:t>
      </w:r>
    </w:p>
    <w:p w14:paraId="7268EAE6" w14:textId="77777777" w:rsidR="005F762A" w:rsidRDefault="005F762A">
      <w:pPr>
        <w:ind w:firstLine="540"/>
        <w:jc w:val="both"/>
      </w:pPr>
    </w:p>
    <w:p w14:paraId="7268EAE7" w14:textId="77777777" w:rsidR="005F762A" w:rsidRDefault="00D74111">
      <w:pPr>
        <w:ind w:firstLine="540"/>
        <w:jc w:val="both"/>
      </w:pPr>
      <w:r>
        <w:rPr>
          <w:rFonts w:ascii="Arial" w:eastAsia="宋体" w:hAnsi="Arial" w:cs="Arial"/>
          <w:color w:val="000000"/>
          <w:sz w:val="20"/>
          <w:szCs w:val="20"/>
        </w:rPr>
        <w:t>During 2020, we began to hedge the variability of forecasted interest payments on anticipated debt issuance using forward-starting interest rate swaps. The total notional amount of these forward-starting interest rate swaps was $700 million as of March 31,</w:t>
      </w:r>
      <w:r>
        <w:rPr>
          <w:rFonts w:ascii="Arial" w:eastAsia="宋体" w:hAnsi="Arial" w:cs="Arial"/>
          <w:color w:val="000000"/>
          <w:sz w:val="20"/>
          <w:szCs w:val="20"/>
        </w:rPr>
        <w:t xml:space="preserve"> 2021 with terms calling for us to receive interest at a variable rate and to pay interest at a fixed rate. These interest rate swaps effectively fix the benchmark interest rate and have the economic effect of hedging the variability of forecasted interest</w:t>
      </w:r>
      <w:r>
        <w:rPr>
          <w:rFonts w:ascii="Arial" w:eastAsia="宋体" w:hAnsi="Arial" w:cs="Arial"/>
          <w:color w:val="000000"/>
          <w:sz w:val="20"/>
          <w:szCs w:val="20"/>
        </w:rPr>
        <w:t xml:space="preserve"> payments for up to 10 years on an anticipated debt issuance likely within the next twelve months, and they will be terminated upon issuance of the debt. Similar to other cash flow hedges, we record changes in the fair value of these interest rate swaps in</w:t>
      </w:r>
      <w:r>
        <w:rPr>
          <w:rFonts w:ascii="Arial" w:eastAsia="宋体" w:hAnsi="Arial" w:cs="Arial"/>
          <w:color w:val="000000"/>
          <w:sz w:val="20"/>
          <w:szCs w:val="20"/>
        </w:rPr>
        <w:t xml:space="preserve"> accumulated other comprehensive income (loss) until the anticipated debt issuance. Upon debt issuance and termination of the derivative instruments, their fair value will be amortized over the term of the new debt to interest expense. We evaluate the effe</w:t>
      </w:r>
      <w:r>
        <w:rPr>
          <w:rFonts w:ascii="Arial" w:eastAsia="宋体" w:hAnsi="Arial" w:cs="Arial"/>
          <w:color w:val="000000"/>
          <w:sz w:val="20"/>
          <w:szCs w:val="20"/>
        </w:rPr>
        <w:t xml:space="preserve">ctiveness of interest rate swaps designated as cash flow hedges on a quarterly basis. </w:t>
      </w:r>
    </w:p>
    <w:p w14:paraId="7268EAE8" w14:textId="77777777" w:rsidR="005F762A" w:rsidRDefault="005F762A">
      <w:pPr>
        <w:ind w:firstLine="540"/>
        <w:jc w:val="both"/>
      </w:pPr>
    </w:p>
    <w:p w14:paraId="7268EAE9" w14:textId="77777777" w:rsidR="005F762A" w:rsidRDefault="005F762A">
      <w:pPr>
        <w:jc w:val="center"/>
      </w:pPr>
    </w:p>
    <w:p w14:paraId="7268EAEA" w14:textId="77777777" w:rsidR="005F762A" w:rsidRDefault="00D74111">
      <w:pPr>
        <w:jc w:val="center"/>
      </w:pPr>
      <w:r>
        <w:rPr>
          <w:rFonts w:ascii="Arial" w:eastAsia="宋体" w:hAnsi="Arial" w:cs="Arial"/>
          <w:color w:val="000000"/>
          <w:sz w:val="20"/>
          <w:szCs w:val="20"/>
        </w:rPr>
        <w:t>16</w:t>
      </w:r>
    </w:p>
    <w:p w14:paraId="7268EAEB" w14:textId="77777777" w:rsidR="005F762A" w:rsidRDefault="00D74111">
      <w:r>
        <w:pict w14:anchorId="7269014F">
          <v:rect id="_x0000_i1040" style="width:415.3pt;height:1.5pt" o:hralign="center" o:hrstd="t" o:hr="t" fillcolor="#a0a0a0" stroked="f"/>
        </w:pict>
      </w:r>
    </w:p>
    <w:p w14:paraId="7268EAEC" w14:textId="77777777" w:rsidR="005F762A" w:rsidRDefault="005F762A">
      <w:pPr>
        <w:jc w:val="center"/>
      </w:pPr>
    </w:p>
    <w:p w14:paraId="7268EAED" w14:textId="77777777" w:rsidR="005F762A" w:rsidRDefault="00D74111">
      <w:pPr>
        <w:jc w:val="center"/>
      </w:pPr>
      <w:r>
        <w:rPr>
          <w:rFonts w:ascii="Arial" w:eastAsia="宋体" w:hAnsi="Arial" w:cs="Arial"/>
          <w:b/>
          <w:bCs/>
          <w:color w:val="000000"/>
          <w:sz w:val="20"/>
          <w:szCs w:val="20"/>
        </w:rPr>
        <w:t>eBay Inc.</w:t>
      </w:r>
    </w:p>
    <w:p w14:paraId="7268EAEE"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EAEF" w14:textId="77777777" w:rsidR="005F762A" w:rsidRDefault="00D74111">
      <w:pPr>
        <w:ind w:firstLine="540"/>
        <w:jc w:val="both"/>
      </w:pPr>
      <w:r>
        <w:rPr>
          <w:rFonts w:ascii="Arial" w:eastAsia="宋体" w:hAnsi="Arial" w:cs="Arial"/>
          <w:color w:val="000000"/>
          <w:sz w:val="20"/>
          <w:szCs w:val="20"/>
        </w:rPr>
        <w:t xml:space="preserve">During 2020, we began to hedge the variability of the cash flows in interest payments </w:t>
      </w:r>
      <w:r>
        <w:rPr>
          <w:rFonts w:ascii="Arial" w:eastAsia="宋体" w:hAnsi="Arial" w:cs="Arial"/>
          <w:color w:val="000000"/>
          <w:sz w:val="20"/>
          <w:szCs w:val="20"/>
        </w:rPr>
        <w:t>associated with our floating-rate debt using interest rate swaps. These interest rate swap agreements effectively convert our floating-rate debt that is based on London Interbank Offered Rate (“LIBOR”) to a fixed-rate basis, reducing the impact of interest</w:t>
      </w:r>
      <w:r>
        <w:rPr>
          <w:rFonts w:ascii="Arial" w:eastAsia="宋体" w:hAnsi="Arial" w:cs="Arial"/>
          <w:color w:val="000000"/>
          <w:sz w:val="20"/>
          <w:szCs w:val="20"/>
        </w:rPr>
        <w:t>-rate changes on future interest expense. The total notional amount of these interest rate swaps was $400 million as of March 31, 2021 with terms calling for us to receive interest at a variable rate and to pay interest at a fixed rate. Our interest rate s</w:t>
      </w:r>
      <w:r>
        <w:rPr>
          <w:rFonts w:ascii="Arial" w:eastAsia="宋体" w:hAnsi="Arial" w:cs="Arial"/>
          <w:color w:val="000000"/>
          <w:sz w:val="20"/>
          <w:szCs w:val="20"/>
        </w:rPr>
        <w:t>wap contracts have maturity dates in 2023. Similar to other cash flow hedges, we record changes in the fair value of these interest rate swaps in accumulated other comprehensive income (loss) and their fair value will be amortized over the term of the debt</w:t>
      </w:r>
      <w:r>
        <w:rPr>
          <w:rFonts w:ascii="Arial" w:eastAsia="宋体" w:hAnsi="Arial" w:cs="Arial"/>
          <w:color w:val="000000"/>
          <w:sz w:val="20"/>
          <w:szCs w:val="20"/>
        </w:rPr>
        <w:t xml:space="preserve"> to interest expense. </w:t>
      </w:r>
    </w:p>
    <w:p w14:paraId="7268EAF0" w14:textId="77777777" w:rsidR="005F762A" w:rsidRDefault="005F762A">
      <w:pPr>
        <w:ind w:firstLine="540"/>
        <w:jc w:val="both"/>
      </w:pPr>
    </w:p>
    <w:p w14:paraId="7268EAF1" w14:textId="77777777" w:rsidR="005F762A" w:rsidRDefault="00D74111">
      <w:pPr>
        <w:jc w:val="both"/>
      </w:pPr>
      <w:r>
        <w:rPr>
          <w:rFonts w:ascii="Arial" w:eastAsia="宋体" w:hAnsi="Arial" w:cs="Arial"/>
          <w:b/>
          <w:bCs/>
          <w:i/>
          <w:iCs/>
          <w:color w:val="000000"/>
          <w:sz w:val="20"/>
          <w:szCs w:val="20"/>
        </w:rPr>
        <w:t>Cash Flow Hedges</w:t>
      </w:r>
    </w:p>
    <w:p w14:paraId="7268EAF2" w14:textId="77777777" w:rsidR="005F762A" w:rsidRDefault="005F762A">
      <w:pPr>
        <w:ind w:firstLine="540"/>
        <w:jc w:val="both"/>
      </w:pPr>
    </w:p>
    <w:p w14:paraId="7268EAF3" w14:textId="77777777" w:rsidR="005F762A" w:rsidRDefault="00D74111">
      <w:pPr>
        <w:ind w:firstLine="540"/>
        <w:jc w:val="both"/>
      </w:pPr>
      <w:r>
        <w:rPr>
          <w:rFonts w:ascii="Arial" w:eastAsia="宋体" w:hAnsi="Arial" w:cs="Arial"/>
          <w:color w:val="000000"/>
          <w:sz w:val="20"/>
          <w:szCs w:val="20"/>
        </w:rPr>
        <w:t xml:space="preserve">For derivative instruments that are designated as cash flow hedges, the derivative’s gain or loss is initially reported as a component of accumulated other comprehensive income (“AOCI”) and subsequently </w:t>
      </w:r>
      <w:r>
        <w:rPr>
          <w:rFonts w:ascii="Arial" w:eastAsia="宋体" w:hAnsi="Arial" w:cs="Arial"/>
          <w:color w:val="000000"/>
          <w:sz w:val="20"/>
          <w:szCs w:val="20"/>
        </w:rPr>
        <w:t xml:space="preserve">reclassified into earnings in the same period the forecasted hedged transaction affects earnings. Derivative instruments designated as cash flow hedges must be de-designated as hedges when it is probable the forecasted hedged transaction will not occur in </w:t>
      </w:r>
      <w:r>
        <w:rPr>
          <w:rFonts w:ascii="Arial" w:eastAsia="宋体" w:hAnsi="Arial" w:cs="Arial"/>
          <w:color w:val="000000"/>
          <w:sz w:val="20"/>
          <w:szCs w:val="20"/>
        </w:rPr>
        <w:t>the initially identified time period or within a subsequent two-month time period. Unrealized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March 31, 2021, we have estimated that appr</w:t>
      </w:r>
      <w:r>
        <w:rPr>
          <w:rFonts w:ascii="Arial" w:eastAsia="宋体" w:hAnsi="Arial" w:cs="Arial"/>
          <w:color w:val="000000"/>
          <w:sz w:val="20"/>
          <w:szCs w:val="20"/>
        </w:rPr>
        <w:t>oximately $53 million of net derivative loss related to our foreign exchange cash flow hedges and $1 million net derivative loss related to our interest rate cash flow hedges included in accumulated other comprehensive income will be reclassified into earn</w:t>
      </w:r>
      <w:r>
        <w:rPr>
          <w:rFonts w:ascii="Arial" w:eastAsia="宋体" w:hAnsi="Arial" w:cs="Arial"/>
          <w:color w:val="000000"/>
          <w:sz w:val="20"/>
          <w:szCs w:val="20"/>
        </w:rPr>
        <w:t>ings within the next 12 months. We classify cash flows related to our cash flow hedges as operating activities in our condensed consolidated statement of cash flows.</w:t>
      </w:r>
    </w:p>
    <w:p w14:paraId="7268EAF4" w14:textId="77777777" w:rsidR="005F762A" w:rsidRDefault="005F762A">
      <w:pPr>
        <w:ind w:firstLine="540"/>
        <w:jc w:val="both"/>
      </w:pPr>
    </w:p>
    <w:p w14:paraId="7268EAF5" w14:textId="77777777" w:rsidR="005F762A" w:rsidRDefault="00D74111">
      <w:pPr>
        <w:ind w:firstLine="270"/>
        <w:jc w:val="both"/>
      </w:pPr>
      <w:r>
        <w:rPr>
          <w:rFonts w:ascii="Arial" w:eastAsia="宋体" w:hAnsi="Arial" w:cs="Arial"/>
          <w:b/>
          <w:bCs/>
          <w:i/>
          <w:iCs/>
          <w:color w:val="000000"/>
          <w:sz w:val="20"/>
          <w:szCs w:val="20"/>
        </w:rPr>
        <w:t>Net Investment Hedges</w:t>
      </w:r>
    </w:p>
    <w:p w14:paraId="7268EAF6" w14:textId="77777777" w:rsidR="005F762A" w:rsidRDefault="005F762A"/>
    <w:p w14:paraId="7268EAF7" w14:textId="77777777" w:rsidR="005F762A" w:rsidRDefault="00D74111">
      <w:pPr>
        <w:ind w:firstLine="540"/>
        <w:jc w:val="both"/>
      </w:pPr>
      <w:r>
        <w:rPr>
          <w:rFonts w:ascii="Arial" w:eastAsia="宋体" w:hAnsi="Arial" w:cs="Arial"/>
          <w:color w:val="000000"/>
          <w:sz w:val="20"/>
          <w:szCs w:val="20"/>
        </w:rPr>
        <w:t>For derivative instruments that are designated as net investment h</w:t>
      </w:r>
      <w:r>
        <w:rPr>
          <w:rFonts w:ascii="Arial" w:eastAsia="宋体" w:hAnsi="Arial" w:cs="Arial"/>
          <w:color w:val="000000"/>
          <w:sz w:val="20"/>
          <w:szCs w:val="20"/>
        </w:rPr>
        <w:t xml:space="preserve">edges, the derivative’s gain or loss is initially reported in the translation adjustments component of AOCI and is reclassified to net earnings in the period in which the hedged subsidiary is either sold or substantially liquidated. </w:t>
      </w:r>
    </w:p>
    <w:p w14:paraId="7268EAF8" w14:textId="77777777" w:rsidR="005F762A" w:rsidRDefault="005F762A">
      <w:pPr>
        <w:ind w:firstLine="540"/>
        <w:jc w:val="both"/>
      </w:pPr>
    </w:p>
    <w:p w14:paraId="7268EAF9" w14:textId="77777777" w:rsidR="005F762A" w:rsidRDefault="00D74111">
      <w:pPr>
        <w:jc w:val="both"/>
      </w:pPr>
      <w:r>
        <w:rPr>
          <w:rFonts w:ascii="Arial" w:eastAsia="宋体" w:hAnsi="Arial" w:cs="Arial"/>
          <w:b/>
          <w:bCs/>
          <w:i/>
          <w:iCs/>
          <w:color w:val="000000"/>
          <w:sz w:val="20"/>
          <w:szCs w:val="20"/>
        </w:rPr>
        <w:t>Non-Designated Hedges</w:t>
      </w:r>
    </w:p>
    <w:p w14:paraId="7268EAFA" w14:textId="77777777" w:rsidR="005F762A" w:rsidRDefault="005F762A"/>
    <w:p w14:paraId="7268EAFB" w14:textId="77777777" w:rsidR="005F762A" w:rsidRDefault="00D74111">
      <w:pPr>
        <w:ind w:firstLine="540"/>
        <w:jc w:val="both"/>
      </w:pPr>
      <w:r>
        <w:rPr>
          <w:rFonts w:ascii="Arial" w:eastAsia="宋体" w:hAnsi="Arial" w:cs="Arial"/>
          <w:color w:val="000000"/>
          <w:sz w:val="20"/>
          <w:szCs w:val="20"/>
        </w:rPr>
        <w:t>Our derivatives not designated as hedging instruments consist of foreign currency forward contracts that we primarily use to hedge monetary assets or liabilities, including intercompany balances denominated in non-functional currencies. The gains and los</w:t>
      </w:r>
      <w:r>
        <w:rPr>
          <w:rFonts w:ascii="Arial" w:eastAsia="宋体" w:hAnsi="Arial" w:cs="Arial"/>
          <w:color w:val="000000"/>
          <w:sz w:val="20"/>
          <w:szCs w:val="20"/>
        </w:rPr>
        <w:t>ses on our derivatives not designated as hedging instruments are recorded in interest and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liabilities that are also recorded in interest and other, net. We clas</w:t>
      </w:r>
      <w:r>
        <w:rPr>
          <w:rFonts w:ascii="Arial" w:eastAsia="宋体" w:hAnsi="Arial" w:cs="Arial"/>
          <w:color w:val="000000"/>
          <w:sz w:val="20"/>
          <w:szCs w:val="20"/>
        </w:rPr>
        <w:t>sify cash flows related to our non-designated hedging instruments as operating activities in our condensed consolidated statement of cash flows.</w:t>
      </w:r>
    </w:p>
    <w:p w14:paraId="7268EAFC" w14:textId="77777777" w:rsidR="005F762A" w:rsidRDefault="005F762A">
      <w:pPr>
        <w:ind w:firstLine="540"/>
        <w:jc w:val="both"/>
      </w:pPr>
    </w:p>
    <w:p w14:paraId="7268EAFD" w14:textId="77777777" w:rsidR="005F762A" w:rsidRDefault="00D74111">
      <w:pPr>
        <w:ind w:firstLine="270"/>
      </w:pPr>
      <w:r>
        <w:rPr>
          <w:rFonts w:ascii="Arial" w:eastAsia="宋体" w:hAnsi="Arial" w:cs="Arial"/>
          <w:b/>
          <w:bCs/>
          <w:i/>
          <w:iCs/>
          <w:color w:val="000000"/>
          <w:sz w:val="20"/>
          <w:szCs w:val="20"/>
        </w:rPr>
        <w:t>Warrant</w:t>
      </w:r>
    </w:p>
    <w:p w14:paraId="7268EAFE" w14:textId="77777777" w:rsidR="005F762A" w:rsidRDefault="005F762A"/>
    <w:p w14:paraId="7268EAFF" w14:textId="77777777" w:rsidR="005F762A" w:rsidRDefault="00D74111">
      <w:pPr>
        <w:ind w:firstLine="540"/>
        <w:jc w:val="both"/>
      </w:pPr>
      <w:r>
        <w:rPr>
          <w:rFonts w:ascii="Arial" w:eastAsia="宋体" w:hAnsi="Arial" w:cs="Arial"/>
          <w:color w:val="000000"/>
          <w:sz w:val="20"/>
          <w:szCs w:val="20"/>
        </w:rPr>
        <w:t xml:space="preserve">We entered into a warrant agreement in conjunction with a commercial agreement with Adyen that, </w:t>
      </w:r>
      <w:r>
        <w:rPr>
          <w:rFonts w:ascii="Arial" w:eastAsia="宋体" w:hAnsi="Arial" w:cs="Arial"/>
          <w:color w:val="000000"/>
          <w:sz w:val="20"/>
          <w:szCs w:val="20"/>
        </w:rPr>
        <w:t>subject to meeting certain conditions, entitles us to acquire a fixed number of shares up to 5% of Adyen’s fully diluted issued and outstanding share capital at a specific date. The warrant has a term of seven years and will vest in a series of four tranch</w:t>
      </w:r>
      <w:r>
        <w:rPr>
          <w:rFonts w:ascii="Arial" w:eastAsia="宋体" w:hAnsi="Arial" w:cs="Arial"/>
          <w:color w:val="000000"/>
          <w:sz w:val="20"/>
          <w:szCs w:val="20"/>
        </w:rPr>
        <w:t xml:space="preserve">es, at a specified price per share (fixed for the first two tranches) upon meeting processing volume milestone targets on a calendar year basis. If and when a relevant milestone is reached, the warrant becomes exercisable with respect to the corresponding </w:t>
      </w:r>
      <w:r>
        <w:rPr>
          <w:rFonts w:ascii="Arial" w:eastAsia="宋体" w:hAnsi="Arial" w:cs="Arial"/>
          <w:color w:val="000000"/>
          <w:sz w:val="20"/>
          <w:szCs w:val="20"/>
        </w:rPr>
        <w:t>tranche of warrant shares up until the warrant expiration date of January 31, 2025. The maximum number of tranches that can vest in one calendar year is two.</w:t>
      </w:r>
    </w:p>
    <w:p w14:paraId="7268EB00" w14:textId="77777777" w:rsidR="005F762A" w:rsidRDefault="00D74111">
      <w:pPr>
        <w:ind w:firstLine="450"/>
        <w:jc w:val="both"/>
      </w:pPr>
      <w:r>
        <w:rPr>
          <w:rFonts w:ascii="Arial" w:eastAsia="宋体" w:hAnsi="Arial" w:cs="Arial"/>
          <w:color w:val="000000"/>
          <w:sz w:val="20"/>
          <w:szCs w:val="20"/>
        </w:rPr>
        <w:t> </w:t>
      </w:r>
    </w:p>
    <w:p w14:paraId="7268EB01" w14:textId="77777777" w:rsidR="005F762A" w:rsidRDefault="00D74111">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w:t>
      </w:r>
      <w:r>
        <w:rPr>
          <w:rFonts w:ascii="Arial" w:eastAsia="宋体" w:hAnsi="Arial" w:cs="Arial"/>
          <w:color w:val="000000"/>
          <w:sz w:val="20"/>
          <w:szCs w:val="20"/>
        </w:rPr>
        <w:t>port the warrant at fair value within warrant asset in our condensed consolidated balance sheets and changes in the fair value of the warrant are recognized in interest and other, net in our condensed consolidated statement of income. The day-one value att</w:t>
      </w:r>
      <w:r>
        <w:rPr>
          <w:rFonts w:ascii="Arial" w:eastAsia="宋体" w:hAnsi="Arial" w:cs="Arial"/>
          <w:color w:val="000000"/>
          <w:sz w:val="20"/>
          <w:szCs w:val="20"/>
        </w:rPr>
        <w:t xml:space="preserve">ributable to the other side of the warrant, which was recorded as a deferred credit, is reported within other liabilities in our condensed consolidated balance sheets and will be amortized over the life of the commercial arrangement. </w:t>
      </w:r>
    </w:p>
    <w:p w14:paraId="7268EB02" w14:textId="77777777" w:rsidR="005F762A" w:rsidRDefault="005F762A">
      <w:pPr>
        <w:jc w:val="center"/>
      </w:pPr>
    </w:p>
    <w:p w14:paraId="7268EB03" w14:textId="77777777" w:rsidR="005F762A" w:rsidRDefault="00D74111">
      <w:pPr>
        <w:jc w:val="center"/>
      </w:pPr>
      <w:r>
        <w:rPr>
          <w:rFonts w:ascii="Arial" w:eastAsia="宋体" w:hAnsi="Arial" w:cs="Arial"/>
          <w:color w:val="000000"/>
          <w:sz w:val="20"/>
          <w:szCs w:val="20"/>
        </w:rPr>
        <w:t>17</w:t>
      </w:r>
    </w:p>
    <w:p w14:paraId="7268EB04" w14:textId="77777777" w:rsidR="005F762A" w:rsidRDefault="00D74111">
      <w:r>
        <w:pict w14:anchorId="72690150">
          <v:rect id="_x0000_i1041" style="width:415.3pt;height:1.5pt" o:hralign="center" o:hrstd="t" o:hr="t" fillcolor="#a0a0a0" stroked="f"/>
        </w:pict>
      </w:r>
    </w:p>
    <w:p w14:paraId="7268EB05" w14:textId="77777777" w:rsidR="005F762A" w:rsidRDefault="005F762A">
      <w:pPr>
        <w:jc w:val="center"/>
      </w:pPr>
    </w:p>
    <w:p w14:paraId="7268EB06" w14:textId="77777777" w:rsidR="005F762A" w:rsidRDefault="00D74111">
      <w:pPr>
        <w:jc w:val="center"/>
      </w:pPr>
      <w:r>
        <w:rPr>
          <w:rFonts w:ascii="Arial" w:eastAsia="宋体" w:hAnsi="Arial" w:cs="Arial"/>
          <w:b/>
          <w:bCs/>
          <w:color w:val="000000"/>
          <w:sz w:val="20"/>
          <w:szCs w:val="20"/>
        </w:rPr>
        <w:t>eBay Inc.</w:t>
      </w:r>
    </w:p>
    <w:p w14:paraId="7268EB07" w14:textId="77777777" w:rsidR="005F762A" w:rsidRDefault="00D74111">
      <w:pPr>
        <w:spacing w:after="240"/>
        <w:jc w:val="center"/>
      </w:pPr>
      <w:r>
        <w:rPr>
          <w:rFonts w:ascii="Arial" w:eastAsia="宋体" w:hAnsi="Arial" w:cs="Arial"/>
          <w:b/>
          <w:bCs/>
          <w:color w:val="000000"/>
          <w:sz w:val="20"/>
          <w:szCs w:val="20"/>
        </w:rPr>
        <w:t>NOTE</w:t>
      </w:r>
      <w:r>
        <w:rPr>
          <w:rFonts w:ascii="Arial" w:eastAsia="宋体" w:hAnsi="Arial" w:cs="Arial"/>
          <w:b/>
          <w:bCs/>
          <w:color w:val="000000"/>
          <w:sz w:val="20"/>
          <w:szCs w:val="20"/>
        </w:rPr>
        <w:t>S TO CONDENSED CONSOLIDATED FINANCIAL STATEMENTS—(Continued)</w:t>
      </w:r>
    </w:p>
    <w:p w14:paraId="7268EB08" w14:textId="77777777" w:rsidR="005F762A" w:rsidRDefault="005F762A"/>
    <w:p w14:paraId="7268EB09" w14:textId="77777777" w:rsidR="005F762A" w:rsidRDefault="00D74111">
      <w:r>
        <w:rPr>
          <w:rFonts w:ascii="Arial" w:eastAsia="宋体" w:hAnsi="Arial" w:cs="Arial"/>
          <w:b/>
          <w:bCs/>
          <w:i/>
          <w:iCs/>
          <w:color w:val="000000"/>
          <w:sz w:val="20"/>
          <w:szCs w:val="20"/>
        </w:rPr>
        <w:t>Fair Value of Derivative Contracts</w:t>
      </w:r>
    </w:p>
    <w:p w14:paraId="7268EB0A" w14:textId="77777777" w:rsidR="005F762A" w:rsidRDefault="005F762A">
      <w:pPr>
        <w:ind w:firstLine="720"/>
      </w:pPr>
    </w:p>
    <w:p w14:paraId="7268EB0B" w14:textId="77777777" w:rsidR="005F762A" w:rsidRDefault="00D74111">
      <w:pPr>
        <w:ind w:firstLine="540"/>
      </w:pPr>
      <w:r>
        <w:rPr>
          <w:rFonts w:ascii="Arial" w:eastAsia="宋体" w:hAnsi="Arial" w:cs="Arial"/>
          <w:color w:val="000000"/>
          <w:sz w:val="20"/>
          <w:szCs w:val="20"/>
        </w:rPr>
        <w:t>The fair values of our outstanding derivative instruments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5"/>
        <w:gridCol w:w="4224"/>
        <w:gridCol w:w="39"/>
        <w:gridCol w:w="45"/>
        <w:gridCol w:w="1590"/>
        <w:gridCol w:w="37"/>
        <w:gridCol w:w="36"/>
        <w:gridCol w:w="36"/>
        <w:gridCol w:w="36"/>
        <w:gridCol w:w="121"/>
        <w:gridCol w:w="900"/>
        <w:gridCol w:w="36"/>
        <w:gridCol w:w="36"/>
        <w:gridCol w:w="36"/>
        <w:gridCol w:w="36"/>
        <w:gridCol w:w="122"/>
        <w:gridCol w:w="900"/>
        <w:gridCol w:w="36"/>
      </w:tblGrid>
      <w:tr w:rsidR="005F762A" w14:paraId="7268EB1E" w14:textId="77777777">
        <w:tc>
          <w:tcPr>
            <w:tcW w:w="50" w:type="pct"/>
            <w:shd w:val="clear" w:color="auto" w:fill="auto"/>
          </w:tcPr>
          <w:p w14:paraId="7268EB0C" w14:textId="77777777" w:rsidR="005F762A" w:rsidRDefault="005F762A">
            <w:pPr>
              <w:rPr>
                <w:rFonts w:ascii="宋体"/>
              </w:rPr>
            </w:pPr>
          </w:p>
        </w:tc>
        <w:tc>
          <w:tcPr>
            <w:tcW w:w="2562" w:type="pct"/>
            <w:shd w:val="clear" w:color="auto" w:fill="auto"/>
          </w:tcPr>
          <w:p w14:paraId="7268EB0D" w14:textId="77777777" w:rsidR="005F762A" w:rsidRDefault="005F762A">
            <w:pPr>
              <w:rPr>
                <w:rFonts w:ascii="宋体"/>
              </w:rPr>
            </w:pPr>
          </w:p>
        </w:tc>
        <w:tc>
          <w:tcPr>
            <w:tcW w:w="5" w:type="pct"/>
            <w:shd w:val="clear" w:color="auto" w:fill="auto"/>
          </w:tcPr>
          <w:p w14:paraId="7268EB0E" w14:textId="77777777" w:rsidR="005F762A" w:rsidRDefault="005F762A">
            <w:pPr>
              <w:rPr>
                <w:rFonts w:ascii="宋体"/>
              </w:rPr>
            </w:pPr>
          </w:p>
        </w:tc>
        <w:tc>
          <w:tcPr>
            <w:tcW w:w="50" w:type="pct"/>
            <w:shd w:val="clear" w:color="auto" w:fill="auto"/>
          </w:tcPr>
          <w:p w14:paraId="7268EB0F" w14:textId="77777777" w:rsidR="005F762A" w:rsidRDefault="005F762A">
            <w:pPr>
              <w:rPr>
                <w:rFonts w:ascii="宋体"/>
              </w:rPr>
            </w:pPr>
          </w:p>
        </w:tc>
        <w:tc>
          <w:tcPr>
            <w:tcW w:w="978" w:type="pct"/>
            <w:shd w:val="clear" w:color="auto" w:fill="auto"/>
          </w:tcPr>
          <w:p w14:paraId="7268EB10" w14:textId="77777777" w:rsidR="005F762A" w:rsidRDefault="005F762A">
            <w:pPr>
              <w:rPr>
                <w:rFonts w:ascii="宋体"/>
              </w:rPr>
            </w:pPr>
          </w:p>
        </w:tc>
        <w:tc>
          <w:tcPr>
            <w:tcW w:w="5" w:type="pct"/>
            <w:shd w:val="clear" w:color="auto" w:fill="auto"/>
          </w:tcPr>
          <w:p w14:paraId="7268EB11" w14:textId="77777777" w:rsidR="005F762A" w:rsidRDefault="005F762A">
            <w:pPr>
              <w:rPr>
                <w:rFonts w:ascii="宋体"/>
              </w:rPr>
            </w:pPr>
          </w:p>
        </w:tc>
        <w:tc>
          <w:tcPr>
            <w:tcW w:w="5" w:type="pct"/>
            <w:shd w:val="clear" w:color="auto" w:fill="auto"/>
          </w:tcPr>
          <w:p w14:paraId="7268EB12" w14:textId="77777777" w:rsidR="005F762A" w:rsidRDefault="005F762A">
            <w:pPr>
              <w:rPr>
                <w:rFonts w:ascii="宋体"/>
              </w:rPr>
            </w:pPr>
          </w:p>
        </w:tc>
        <w:tc>
          <w:tcPr>
            <w:tcW w:w="26" w:type="pct"/>
            <w:shd w:val="clear" w:color="auto" w:fill="auto"/>
          </w:tcPr>
          <w:p w14:paraId="7268EB13" w14:textId="77777777" w:rsidR="005F762A" w:rsidRDefault="005F762A">
            <w:pPr>
              <w:rPr>
                <w:rFonts w:ascii="宋体"/>
              </w:rPr>
            </w:pPr>
          </w:p>
        </w:tc>
        <w:tc>
          <w:tcPr>
            <w:tcW w:w="5" w:type="pct"/>
            <w:shd w:val="clear" w:color="auto" w:fill="auto"/>
          </w:tcPr>
          <w:p w14:paraId="7268EB14" w14:textId="77777777" w:rsidR="005F762A" w:rsidRDefault="005F762A">
            <w:pPr>
              <w:rPr>
                <w:rFonts w:ascii="宋体"/>
              </w:rPr>
            </w:pPr>
          </w:p>
        </w:tc>
        <w:tc>
          <w:tcPr>
            <w:tcW w:w="50" w:type="pct"/>
            <w:shd w:val="clear" w:color="auto" w:fill="auto"/>
          </w:tcPr>
          <w:p w14:paraId="7268EB15" w14:textId="77777777" w:rsidR="005F762A" w:rsidRDefault="005F762A">
            <w:pPr>
              <w:rPr>
                <w:rFonts w:ascii="宋体"/>
              </w:rPr>
            </w:pPr>
          </w:p>
        </w:tc>
        <w:tc>
          <w:tcPr>
            <w:tcW w:w="582" w:type="pct"/>
            <w:shd w:val="clear" w:color="auto" w:fill="auto"/>
          </w:tcPr>
          <w:p w14:paraId="7268EB16" w14:textId="77777777" w:rsidR="005F762A" w:rsidRDefault="005F762A">
            <w:pPr>
              <w:rPr>
                <w:rFonts w:ascii="宋体"/>
              </w:rPr>
            </w:pPr>
          </w:p>
        </w:tc>
        <w:tc>
          <w:tcPr>
            <w:tcW w:w="5" w:type="pct"/>
            <w:shd w:val="clear" w:color="auto" w:fill="auto"/>
          </w:tcPr>
          <w:p w14:paraId="7268EB17" w14:textId="77777777" w:rsidR="005F762A" w:rsidRDefault="005F762A">
            <w:pPr>
              <w:rPr>
                <w:rFonts w:ascii="宋体"/>
              </w:rPr>
            </w:pPr>
          </w:p>
        </w:tc>
        <w:tc>
          <w:tcPr>
            <w:tcW w:w="5" w:type="pct"/>
            <w:shd w:val="clear" w:color="auto" w:fill="auto"/>
          </w:tcPr>
          <w:p w14:paraId="7268EB18" w14:textId="77777777" w:rsidR="005F762A" w:rsidRDefault="005F762A">
            <w:pPr>
              <w:rPr>
                <w:rFonts w:ascii="宋体"/>
              </w:rPr>
            </w:pPr>
          </w:p>
        </w:tc>
        <w:tc>
          <w:tcPr>
            <w:tcW w:w="26" w:type="pct"/>
            <w:shd w:val="clear" w:color="auto" w:fill="auto"/>
          </w:tcPr>
          <w:p w14:paraId="7268EB19" w14:textId="77777777" w:rsidR="005F762A" w:rsidRDefault="005F762A">
            <w:pPr>
              <w:rPr>
                <w:rFonts w:ascii="宋体"/>
              </w:rPr>
            </w:pPr>
          </w:p>
        </w:tc>
        <w:tc>
          <w:tcPr>
            <w:tcW w:w="5" w:type="pct"/>
            <w:shd w:val="clear" w:color="auto" w:fill="auto"/>
          </w:tcPr>
          <w:p w14:paraId="7268EB1A" w14:textId="77777777" w:rsidR="005F762A" w:rsidRDefault="005F762A">
            <w:pPr>
              <w:rPr>
                <w:rFonts w:ascii="宋体"/>
              </w:rPr>
            </w:pPr>
          </w:p>
        </w:tc>
        <w:tc>
          <w:tcPr>
            <w:tcW w:w="50" w:type="pct"/>
            <w:shd w:val="clear" w:color="auto" w:fill="auto"/>
          </w:tcPr>
          <w:p w14:paraId="7268EB1B" w14:textId="77777777" w:rsidR="005F762A" w:rsidRDefault="005F762A">
            <w:pPr>
              <w:rPr>
                <w:rFonts w:ascii="宋体"/>
              </w:rPr>
            </w:pPr>
          </w:p>
        </w:tc>
        <w:tc>
          <w:tcPr>
            <w:tcW w:w="582" w:type="pct"/>
            <w:shd w:val="clear" w:color="auto" w:fill="auto"/>
          </w:tcPr>
          <w:p w14:paraId="7268EB1C" w14:textId="77777777" w:rsidR="005F762A" w:rsidRDefault="005F762A">
            <w:pPr>
              <w:rPr>
                <w:rFonts w:ascii="宋体"/>
              </w:rPr>
            </w:pPr>
          </w:p>
        </w:tc>
        <w:tc>
          <w:tcPr>
            <w:tcW w:w="5" w:type="pct"/>
            <w:shd w:val="clear" w:color="auto" w:fill="auto"/>
          </w:tcPr>
          <w:p w14:paraId="7268EB1D" w14:textId="77777777" w:rsidR="005F762A" w:rsidRDefault="005F762A">
            <w:pPr>
              <w:rPr>
                <w:rFonts w:ascii="宋体"/>
              </w:rPr>
            </w:pPr>
          </w:p>
        </w:tc>
      </w:tr>
      <w:tr w:rsidR="005F762A" w14:paraId="7268EB25" w14:textId="77777777">
        <w:tc>
          <w:tcPr>
            <w:tcW w:w="0" w:type="auto"/>
            <w:gridSpan w:val="3"/>
            <w:shd w:val="clear" w:color="auto" w:fill="auto"/>
            <w:tcMar>
              <w:top w:w="40" w:type="dxa"/>
              <w:left w:w="20" w:type="dxa"/>
              <w:bottom w:w="40" w:type="dxa"/>
              <w:right w:w="20" w:type="dxa"/>
            </w:tcMar>
            <w:vAlign w:val="bottom"/>
          </w:tcPr>
          <w:p w14:paraId="7268EB1F"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B20" w14:textId="77777777" w:rsidR="005F762A" w:rsidRDefault="00D74111">
            <w:pPr>
              <w:jc w:val="center"/>
              <w:textAlignment w:val="bottom"/>
            </w:pPr>
            <w:r>
              <w:rPr>
                <w:rFonts w:ascii="Arial" w:eastAsia="宋体" w:hAnsi="Arial" w:cs="Arial"/>
                <w:b/>
                <w:bCs/>
                <w:color w:val="000000"/>
                <w:sz w:val="16"/>
                <w:szCs w:val="16"/>
              </w:rPr>
              <w:t>Balance Sheet Location</w:t>
            </w:r>
          </w:p>
        </w:tc>
        <w:tc>
          <w:tcPr>
            <w:tcW w:w="0" w:type="auto"/>
            <w:gridSpan w:val="3"/>
            <w:shd w:val="clear" w:color="auto" w:fill="auto"/>
            <w:tcMar>
              <w:top w:w="0" w:type="dxa"/>
              <w:left w:w="20" w:type="dxa"/>
              <w:bottom w:w="0" w:type="dxa"/>
              <w:right w:w="20" w:type="dxa"/>
            </w:tcMar>
          </w:tcPr>
          <w:p w14:paraId="7268EB2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B22" w14:textId="77777777" w:rsidR="005F762A" w:rsidRDefault="00D74111">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tcPr>
          <w:p w14:paraId="7268EB23"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EB24" w14:textId="77777777" w:rsidR="005F762A" w:rsidRDefault="00D74111">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5F762A" w14:paraId="7268EB2C" w14:textId="77777777">
        <w:tc>
          <w:tcPr>
            <w:tcW w:w="0" w:type="auto"/>
            <w:gridSpan w:val="3"/>
            <w:shd w:val="clear" w:color="auto" w:fill="E2E2E2"/>
            <w:tcMar>
              <w:top w:w="40" w:type="dxa"/>
              <w:left w:w="20" w:type="dxa"/>
              <w:bottom w:w="40" w:type="dxa"/>
              <w:right w:w="20" w:type="dxa"/>
            </w:tcMar>
            <w:vAlign w:val="bottom"/>
          </w:tcPr>
          <w:p w14:paraId="7268EB26" w14:textId="77777777" w:rsidR="005F762A" w:rsidRDefault="00D74111">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tcPr>
          <w:p w14:paraId="7268EB2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28"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B2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2A"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B2B" w14:textId="77777777" w:rsidR="005F762A" w:rsidRDefault="005F762A">
            <w:pPr>
              <w:rPr>
                <w:rFonts w:ascii="宋体"/>
              </w:rPr>
            </w:pPr>
          </w:p>
        </w:tc>
      </w:tr>
      <w:tr w:rsidR="005F762A" w14:paraId="7268EB37" w14:textId="77777777">
        <w:tc>
          <w:tcPr>
            <w:tcW w:w="0" w:type="auto"/>
            <w:gridSpan w:val="3"/>
            <w:shd w:val="clear" w:color="auto" w:fill="FFFFFF"/>
            <w:tcMar>
              <w:top w:w="40" w:type="dxa"/>
              <w:left w:w="20" w:type="dxa"/>
              <w:bottom w:w="40" w:type="dxa"/>
              <w:right w:w="20" w:type="dxa"/>
            </w:tcMar>
            <w:vAlign w:val="bottom"/>
          </w:tcPr>
          <w:p w14:paraId="7268EB2D" w14:textId="77777777" w:rsidR="005F762A" w:rsidRDefault="00D74111">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7268EB2E" w14:textId="77777777" w:rsidR="005F762A" w:rsidRDefault="00D74111">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tcPr>
          <w:p w14:paraId="7268EB2F"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B30"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B31" w14:textId="77777777" w:rsidR="005F762A" w:rsidRDefault="00D74111">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7268EB3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33"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B3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B35" w14:textId="77777777" w:rsidR="005F762A" w:rsidRDefault="00D74111">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7268EB36" w14:textId="77777777" w:rsidR="005F762A" w:rsidRDefault="005F762A">
            <w:pPr>
              <w:jc w:val="right"/>
              <w:rPr>
                <w:rFonts w:ascii="宋体"/>
              </w:rPr>
            </w:pPr>
          </w:p>
        </w:tc>
      </w:tr>
      <w:tr w:rsidR="005F762A" w14:paraId="7268EB40" w14:textId="77777777">
        <w:tc>
          <w:tcPr>
            <w:tcW w:w="0" w:type="auto"/>
            <w:gridSpan w:val="3"/>
            <w:shd w:val="clear" w:color="auto" w:fill="E2E2E2"/>
            <w:tcMar>
              <w:top w:w="40" w:type="dxa"/>
              <w:left w:w="20" w:type="dxa"/>
              <w:bottom w:w="40" w:type="dxa"/>
              <w:right w:w="20" w:type="dxa"/>
            </w:tcMar>
            <w:vAlign w:val="bottom"/>
          </w:tcPr>
          <w:p w14:paraId="7268EB38" w14:textId="77777777" w:rsidR="005F762A" w:rsidRDefault="00D74111">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7268EB39" w14:textId="77777777" w:rsidR="005F762A" w:rsidRDefault="00D74111">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tcPr>
          <w:p w14:paraId="7268EB3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3B"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7268EB3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3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3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B3F" w14:textId="77777777" w:rsidR="005F762A" w:rsidRDefault="005F762A">
            <w:pPr>
              <w:jc w:val="right"/>
              <w:rPr>
                <w:rFonts w:ascii="宋体"/>
              </w:rPr>
            </w:pPr>
          </w:p>
        </w:tc>
      </w:tr>
      <w:tr w:rsidR="005F762A" w14:paraId="7268EB49" w14:textId="77777777">
        <w:tc>
          <w:tcPr>
            <w:tcW w:w="0" w:type="auto"/>
            <w:gridSpan w:val="3"/>
            <w:shd w:val="clear" w:color="auto" w:fill="FFFFFF"/>
            <w:tcMar>
              <w:top w:w="40" w:type="dxa"/>
              <w:left w:w="20" w:type="dxa"/>
              <w:bottom w:w="40" w:type="dxa"/>
              <w:right w:w="20" w:type="dxa"/>
            </w:tcMar>
            <w:vAlign w:val="bottom"/>
          </w:tcPr>
          <w:p w14:paraId="7268EB41" w14:textId="77777777" w:rsidR="005F762A" w:rsidRDefault="00D74111">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exchange contracts not designated as hedging instruments</w:t>
            </w:r>
          </w:p>
        </w:tc>
        <w:tc>
          <w:tcPr>
            <w:tcW w:w="0" w:type="auto"/>
            <w:gridSpan w:val="3"/>
            <w:shd w:val="clear" w:color="auto" w:fill="FFFFFF"/>
            <w:tcMar>
              <w:top w:w="40" w:type="dxa"/>
              <w:left w:w="20" w:type="dxa"/>
              <w:bottom w:w="40" w:type="dxa"/>
              <w:right w:w="20" w:type="dxa"/>
            </w:tcMar>
            <w:vAlign w:val="bottom"/>
          </w:tcPr>
          <w:p w14:paraId="7268EB42" w14:textId="77777777" w:rsidR="005F762A" w:rsidRDefault="00D74111">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tcPr>
          <w:p w14:paraId="7268EB4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44" w14:textId="77777777" w:rsidR="005F762A" w:rsidRDefault="00D74111">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7268EB4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4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47"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B48" w14:textId="77777777" w:rsidR="005F762A" w:rsidRDefault="005F762A">
            <w:pPr>
              <w:jc w:val="right"/>
              <w:rPr>
                <w:rFonts w:ascii="宋体"/>
              </w:rPr>
            </w:pPr>
          </w:p>
        </w:tc>
      </w:tr>
      <w:tr w:rsidR="005F762A" w14:paraId="7268EB52" w14:textId="77777777">
        <w:tc>
          <w:tcPr>
            <w:tcW w:w="0" w:type="auto"/>
            <w:gridSpan w:val="3"/>
            <w:shd w:val="clear" w:color="auto" w:fill="E2E2E2"/>
            <w:tcMar>
              <w:top w:w="40" w:type="dxa"/>
              <w:left w:w="20" w:type="dxa"/>
              <w:bottom w:w="40" w:type="dxa"/>
              <w:right w:w="20" w:type="dxa"/>
            </w:tcMar>
            <w:vAlign w:val="bottom"/>
          </w:tcPr>
          <w:p w14:paraId="7268EB4A" w14:textId="77777777" w:rsidR="005F762A" w:rsidRDefault="00D74111">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E2E2E2"/>
            <w:tcMar>
              <w:top w:w="40" w:type="dxa"/>
              <w:left w:w="20" w:type="dxa"/>
              <w:bottom w:w="40" w:type="dxa"/>
              <w:right w:w="20" w:type="dxa"/>
            </w:tcMar>
            <w:vAlign w:val="bottom"/>
          </w:tcPr>
          <w:p w14:paraId="7268EB4B" w14:textId="77777777" w:rsidR="005F762A" w:rsidRDefault="00D74111">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tcPr>
          <w:p w14:paraId="7268EB4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4D" w14:textId="77777777" w:rsidR="005F762A" w:rsidRDefault="00D74111">
            <w:pPr>
              <w:jc w:val="right"/>
              <w:textAlignment w:val="bottom"/>
            </w:pPr>
            <w:r>
              <w:rPr>
                <w:rFonts w:ascii="Arial" w:eastAsia="宋体" w:hAnsi="Arial" w:cs="Arial"/>
                <w:color w:val="000000"/>
                <w:sz w:val="18"/>
                <w:szCs w:val="18"/>
              </w:rPr>
              <w:t>56 </w:t>
            </w:r>
          </w:p>
        </w:tc>
        <w:tc>
          <w:tcPr>
            <w:tcW w:w="0" w:type="auto"/>
            <w:shd w:val="clear" w:color="auto" w:fill="E2E2E2"/>
            <w:tcMar>
              <w:top w:w="40" w:type="dxa"/>
              <w:left w:w="0" w:type="dxa"/>
              <w:bottom w:w="40" w:type="dxa"/>
              <w:right w:w="20" w:type="dxa"/>
            </w:tcMar>
            <w:vAlign w:val="bottom"/>
          </w:tcPr>
          <w:p w14:paraId="7268EB4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4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50"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B51" w14:textId="77777777" w:rsidR="005F762A" w:rsidRDefault="005F762A">
            <w:pPr>
              <w:jc w:val="right"/>
              <w:rPr>
                <w:rFonts w:ascii="宋体"/>
              </w:rPr>
            </w:pPr>
          </w:p>
        </w:tc>
      </w:tr>
      <w:tr w:rsidR="005F762A" w14:paraId="7268EB5B" w14:textId="77777777">
        <w:tc>
          <w:tcPr>
            <w:tcW w:w="0" w:type="auto"/>
            <w:gridSpan w:val="3"/>
            <w:shd w:val="clear" w:color="auto" w:fill="FFFFFF"/>
            <w:tcMar>
              <w:top w:w="40" w:type="dxa"/>
              <w:left w:w="20" w:type="dxa"/>
              <w:bottom w:w="40" w:type="dxa"/>
              <w:right w:w="20" w:type="dxa"/>
            </w:tcMar>
            <w:vAlign w:val="bottom"/>
          </w:tcPr>
          <w:p w14:paraId="7268EB53" w14:textId="77777777" w:rsidR="005F762A" w:rsidRDefault="00D74111">
            <w:pPr>
              <w:textAlignment w:val="bottom"/>
            </w:pPr>
            <w:r>
              <w:rPr>
                <w:rFonts w:ascii="Arial" w:eastAsia="宋体" w:hAnsi="Arial" w:cs="Arial"/>
                <w:color w:val="000000"/>
                <w:sz w:val="18"/>
                <w:szCs w:val="18"/>
              </w:rPr>
              <w:t>Warrant</w:t>
            </w:r>
          </w:p>
        </w:tc>
        <w:tc>
          <w:tcPr>
            <w:tcW w:w="0" w:type="auto"/>
            <w:gridSpan w:val="3"/>
            <w:shd w:val="clear" w:color="auto" w:fill="FFFFFF"/>
            <w:tcMar>
              <w:top w:w="40" w:type="dxa"/>
              <w:left w:w="20" w:type="dxa"/>
              <w:bottom w:w="40" w:type="dxa"/>
              <w:right w:w="20" w:type="dxa"/>
            </w:tcMar>
            <w:vAlign w:val="bottom"/>
          </w:tcPr>
          <w:p w14:paraId="7268EB54" w14:textId="77777777" w:rsidR="005F762A" w:rsidRDefault="00D74111">
            <w:pPr>
              <w:jc w:val="right"/>
              <w:textAlignment w:val="bottom"/>
            </w:pPr>
            <w:r>
              <w:rPr>
                <w:rFonts w:ascii="Arial" w:eastAsia="宋体" w:hAnsi="Arial" w:cs="Arial"/>
                <w:color w:val="000000"/>
                <w:sz w:val="18"/>
                <w:szCs w:val="18"/>
              </w:rPr>
              <w:t>Warrant Asset</w:t>
            </w:r>
          </w:p>
        </w:tc>
        <w:tc>
          <w:tcPr>
            <w:tcW w:w="0" w:type="auto"/>
            <w:gridSpan w:val="3"/>
            <w:shd w:val="clear" w:color="auto" w:fill="FFFFFF"/>
            <w:tcMar>
              <w:top w:w="0" w:type="dxa"/>
              <w:left w:w="20" w:type="dxa"/>
              <w:bottom w:w="0" w:type="dxa"/>
              <w:right w:w="20" w:type="dxa"/>
            </w:tcMar>
          </w:tcPr>
          <w:p w14:paraId="7268EB5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56" w14:textId="77777777" w:rsidR="005F762A" w:rsidRDefault="00D74111">
            <w:pPr>
              <w:jc w:val="right"/>
              <w:textAlignment w:val="bottom"/>
            </w:pPr>
            <w:r>
              <w:rPr>
                <w:rFonts w:ascii="Arial" w:eastAsia="宋体" w:hAnsi="Arial" w:cs="Arial"/>
                <w:color w:val="000000"/>
                <w:sz w:val="18"/>
                <w:szCs w:val="18"/>
              </w:rPr>
              <w:t>1,015 </w:t>
            </w:r>
          </w:p>
        </w:tc>
        <w:tc>
          <w:tcPr>
            <w:tcW w:w="0" w:type="auto"/>
            <w:shd w:val="clear" w:color="auto" w:fill="FFFFFF"/>
            <w:tcMar>
              <w:top w:w="40" w:type="dxa"/>
              <w:left w:w="0" w:type="dxa"/>
              <w:bottom w:w="40" w:type="dxa"/>
              <w:right w:w="20" w:type="dxa"/>
            </w:tcMar>
            <w:vAlign w:val="bottom"/>
          </w:tcPr>
          <w:p w14:paraId="7268EB5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5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59" w14:textId="77777777" w:rsidR="005F762A" w:rsidRDefault="00D74111">
            <w:pPr>
              <w:jc w:val="right"/>
              <w:textAlignment w:val="bottom"/>
            </w:pPr>
            <w:r>
              <w:rPr>
                <w:rFonts w:ascii="Arial" w:eastAsia="宋体" w:hAnsi="Arial" w:cs="Arial"/>
                <w:color w:val="000000"/>
                <w:sz w:val="18"/>
                <w:szCs w:val="18"/>
              </w:rPr>
              <w:t>1,051 </w:t>
            </w:r>
          </w:p>
        </w:tc>
        <w:tc>
          <w:tcPr>
            <w:tcW w:w="0" w:type="auto"/>
            <w:shd w:val="clear" w:color="auto" w:fill="FFFFFF"/>
            <w:tcMar>
              <w:top w:w="40" w:type="dxa"/>
              <w:left w:w="0" w:type="dxa"/>
              <w:bottom w:w="40" w:type="dxa"/>
              <w:right w:w="20" w:type="dxa"/>
            </w:tcMar>
            <w:vAlign w:val="bottom"/>
          </w:tcPr>
          <w:p w14:paraId="7268EB5A" w14:textId="77777777" w:rsidR="005F762A" w:rsidRDefault="005F762A">
            <w:pPr>
              <w:jc w:val="right"/>
              <w:rPr>
                <w:rFonts w:ascii="宋体"/>
              </w:rPr>
            </w:pPr>
          </w:p>
        </w:tc>
      </w:tr>
      <w:tr w:rsidR="005F762A" w14:paraId="7268EB64" w14:textId="77777777">
        <w:tc>
          <w:tcPr>
            <w:tcW w:w="0" w:type="auto"/>
            <w:gridSpan w:val="3"/>
            <w:shd w:val="clear" w:color="auto" w:fill="E2E2E2"/>
            <w:tcMar>
              <w:top w:w="40" w:type="dxa"/>
              <w:left w:w="20" w:type="dxa"/>
              <w:bottom w:w="40" w:type="dxa"/>
              <w:right w:w="20" w:type="dxa"/>
            </w:tcMar>
            <w:vAlign w:val="bottom"/>
          </w:tcPr>
          <w:p w14:paraId="7268EB5C" w14:textId="77777777" w:rsidR="005F762A" w:rsidRDefault="00D74111">
            <w:pPr>
              <w:textAlignment w:val="bottom"/>
            </w:pPr>
            <w:r>
              <w:rPr>
                <w:rFonts w:ascii="Arial" w:eastAsia="宋体" w:hAnsi="Arial" w:cs="Arial"/>
                <w:color w:val="000000"/>
                <w:sz w:val="18"/>
                <w:szCs w:val="18"/>
              </w:rPr>
              <w:t xml:space="preserve">Foreign exchange contracts </w:t>
            </w:r>
            <w:r>
              <w:rPr>
                <w:rFonts w:ascii="Arial" w:eastAsia="宋体" w:hAnsi="Arial" w:cs="Arial"/>
                <w:color w:val="000000"/>
                <w:sz w:val="18"/>
                <w:szCs w:val="18"/>
              </w:rPr>
              <w:t>designated as cash flow hedges</w:t>
            </w:r>
          </w:p>
        </w:tc>
        <w:tc>
          <w:tcPr>
            <w:tcW w:w="0" w:type="auto"/>
            <w:gridSpan w:val="3"/>
            <w:shd w:val="clear" w:color="auto" w:fill="E2E2E2"/>
            <w:tcMar>
              <w:top w:w="40" w:type="dxa"/>
              <w:left w:w="20" w:type="dxa"/>
              <w:bottom w:w="40" w:type="dxa"/>
              <w:right w:w="20" w:type="dxa"/>
            </w:tcMar>
            <w:vAlign w:val="bottom"/>
          </w:tcPr>
          <w:p w14:paraId="7268EB5D" w14:textId="77777777" w:rsidR="005F762A" w:rsidRDefault="00D74111">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tcPr>
          <w:p w14:paraId="7268EB5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5F" w14:textId="77777777" w:rsidR="005F762A" w:rsidRDefault="00D74111">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7268EB6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6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62" w14:textId="77777777" w:rsidR="005F762A" w:rsidRDefault="00D74111">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7268EB63" w14:textId="77777777" w:rsidR="005F762A" w:rsidRDefault="005F762A">
            <w:pPr>
              <w:jc w:val="right"/>
              <w:rPr>
                <w:rFonts w:ascii="宋体"/>
              </w:rPr>
            </w:pPr>
          </w:p>
        </w:tc>
      </w:tr>
      <w:tr w:rsidR="005F762A" w14:paraId="7268EB6D" w14:textId="77777777">
        <w:tc>
          <w:tcPr>
            <w:tcW w:w="0" w:type="auto"/>
            <w:gridSpan w:val="3"/>
            <w:shd w:val="clear" w:color="auto" w:fill="FFFFFF"/>
            <w:tcMar>
              <w:top w:w="40" w:type="dxa"/>
              <w:left w:w="20" w:type="dxa"/>
              <w:bottom w:w="40" w:type="dxa"/>
              <w:right w:w="20" w:type="dxa"/>
            </w:tcMar>
            <w:vAlign w:val="bottom"/>
          </w:tcPr>
          <w:p w14:paraId="7268EB65" w14:textId="77777777" w:rsidR="005F762A" w:rsidRDefault="00D74111">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7268EB66" w14:textId="77777777" w:rsidR="005F762A" w:rsidRDefault="00D74111">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tcPr>
          <w:p w14:paraId="7268EB6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6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B6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6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6B" w14:textId="77777777" w:rsidR="005F762A" w:rsidRDefault="00D74111">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7268EB6C" w14:textId="77777777" w:rsidR="005F762A" w:rsidRDefault="005F762A">
            <w:pPr>
              <w:jc w:val="right"/>
              <w:rPr>
                <w:rFonts w:ascii="宋体"/>
              </w:rPr>
            </w:pPr>
          </w:p>
        </w:tc>
      </w:tr>
      <w:tr w:rsidR="005F762A" w14:paraId="7268EB74" w14:textId="77777777">
        <w:trPr>
          <w:hidden/>
        </w:trPr>
        <w:tc>
          <w:tcPr>
            <w:tcW w:w="0" w:type="auto"/>
            <w:gridSpan w:val="3"/>
            <w:shd w:val="clear" w:color="auto" w:fill="auto"/>
          </w:tcPr>
          <w:p w14:paraId="7268EB6E" w14:textId="77777777" w:rsidR="005F762A" w:rsidRDefault="005F762A">
            <w:pPr>
              <w:rPr>
                <w:rFonts w:ascii="宋体"/>
                <w:vanish/>
              </w:rPr>
            </w:pPr>
          </w:p>
        </w:tc>
        <w:tc>
          <w:tcPr>
            <w:tcW w:w="0" w:type="auto"/>
            <w:gridSpan w:val="3"/>
            <w:shd w:val="clear" w:color="auto" w:fill="auto"/>
          </w:tcPr>
          <w:p w14:paraId="7268EB6F" w14:textId="77777777" w:rsidR="005F762A" w:rsidRDefault="005F762A">
            <w:pPr>
              <w:rPr>
                <w:rFonts w:ascii="宋体"/>
                <w:vanish/>
              </w:rPr>
            </w:pPr>
          </w:p>
        </w:tc>
        <w:tc>
          <w:tcPr>
            <w:tcW w:w="0" w:type="auto"/>
            <w:gridSpan w:val="3"/>
            <w:shd w:val="clear" w:color="auto" w:fill="auto"/>
          </w:tcPr>
          <w:p w14:paraId="7268EB70" w14:textId="77777777" w:rsidR="005F762A" w:rsidRDefault="005F762A">
            <w:pPr>
              <w:rPr>
                <w:rFonts w:ascii="宋体"/>
                <w:vanish/>
              </w:rPr>
            </w:pPr>
          </w:p>
        </w:tc>
        <w:tc>
          <w:tcPr>
            <w:tcW w:w="0" w:type="auto"/>
            <w:gridSpan w:val="3"/>
            <w:shd w:val="clear" w:color="auto" w:fill="auto"/>
          </w:tcPr>
          <w:p w14:paraId="7268EB71" w14:textId="77777777" w:rsidR="005F762A" w:rsidRDefault="005F762A">
            <w:pPr>
              <w:rPr>
                <w:rFonts w:ascii="宋体"/>
                <w:vanish/>
              </w:rPr>
            </w:pPr>
          </w:p>
        </w:tc>
        <w:tc>
          <w:tcPr>
            <w:tcW w:w="0" w:type="auto"/>
            <w:gridSpan w:val="3"/>
            <w:shd w:val="clear" w:color="auto" w:fill="auto"/>
          </w:tcPr>
          <w:p w14:paraId="7268EB72" w14:textId="77777777" w:rsidR="005F762A" w:rsidRDefault="005F762A">
            <w:pPr>
              <w:rPr>
                <w:rFonts w:ascii="宋体"/>
                <w:vanish/>
              </w:rPr>
            </w:pPr>
          </w:p>
        </w:tc>
        <w:tc>
          <w:tcPr>
            <w:tcW w:w="0" w:type="auto"/>
            <w:gridSpan w:val="3"/>
            <w:shd w:val="clear" w:color="auto" w:fill="auto"/>
          </w:tcPr>
          <w:p w14:paraId="7268EB73" w14:textId="77777777" w:rsidR="005F762A" w:rsidRDefault="005F762A">
            <w:pPr>
              <w:rPr>
                <w:rFonts w:ascii="宋体"/>
                <w:vanish/>
              </w:rPr>
            </w:pPr>
          </w:p>
        </w:tc>
      </w:tr>
      <w:tr w:rsidR="005F762A" w14:paraId="7268EB7F" w14:textId="77777777">
        <w:tc>
          <w:tcPr>
            <w:tcW w:w="0" w:type="auto"/>
            <w:gridSpan w:val="3"/>
            <w:shd w:val="clear" w:color="auto" w:fill="E2E2E2"/>
            <w:tcMar>
              <w:top w:w="40" w:type="dxa"/>
              <w:left w:w="245" w:type="dxa"/>
              <w:bottom w:w="40" w:type="dxa"/>
              <w:right w:w="20" w:type="dxa"/>
            </w:tcMar>
            <w:vAlign w:val="bottom"/>
          </w:tcPr>
          <w:p w14:paraId="7268EB75" w14:textId="77777777" w:rsidR="005F762A" w:rsidRDefault="00D74111">
            <w:pPr>
              <w:textAlignment w:val="bottom"/>
            </w:pPr>
            <w:r>
              <w:rPr>
                <w:rFonts w:ascii="Arial" w:eastAsia="宋体" w:hAnsi="Arial" w:cs="Arial"/>
                <w:color w:val="000000"/>
                <w:sz w:val="18"/>
                <w:szCs w:val="18"/>
              </w:rPr>
              <w:t>Total derivative assets</w:t>
            </w:r>
          </w:p>
        </w:tc>
        <w:tc>
          <w:tcPr>
            <w:tcW w:w="0" w:type="auto"/>
            <w:gridSpan w:val="3"/>
            <w:shd w:val="clear" w:color="auto" w:fill="E2E2E2"/>
            <w:tcMar>
              <w:top w:w="0" w:type="dxa"/>
              <w:left w:w="20" w:type="dxa"/>
              <w:bottom w:w="0" w:type="dxa"/>
              <w:right w:w="20" w:type="dxa"/>
            </w:tcMar>
          </w:tcPr>
          <w:p w14:paraId="7268EB76"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7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B7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B79" w14:textId="77777777" w:rsidR="005F762A" w:rsidRDefault="00D74111">
            <w:pPr>
              <w:jc w:val="right"/>
              <w:textAlignment w:val="bottom"/>
            </w:pPr>
            <w:r>
              <w:rPr>
                <w:rFonts w:ascii="Arial" w:eastAsia="宋体" w:hAnsi="Arial" w:cs="Arial"/>
                <w:color w:val="000000"/>
                <w:sz w:val="18"/>
                <w:szCs w:val="18"/>
              </w:rPr>
              <w:t>1,129 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B7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7B"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B7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B7D" w14:textId="77777777" w:rsidR="005F762A" w:rsidRDefault="00D74111">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B7E" w14:textId="77777777" w:rsidR="005F762A" w:rsidRDefault="005F762A">
            <w:pPr>
              <w:jc w:val="right"/>
              <w:rPr>
                <w:rFonts w:ascii="宋体"/>
              </w:rPr>
            </w:pPr>
          </w:p>
        </w:tc>
      </w:tr>
      <w:tr w:rsidR="005F762A" w14:paraId="7268EB86" w14:textId="77777777">
        <w:trPr>
          <w:trHeight w:val="280"/>
        </w:trPr>
        <w:tc>
          <w:tcPr>
            <w:tcW w:w="0" w:type="auto"/>
            <w:gridSpan w:val="3"/>
            <w:shd w:val="clear" w:color="auto" w:fill="FFFFFF"/>
            <w:tcMar>
              <w:top w:w="0" w:type="dxa"/>
              <w:left w:w="20" w:type="dxa"/>
              <w:bottom w:w="0" w:type="dxa"/>
              <w:right w:w="20" w:type="dxa"/>
            </w:tcMar>
          </w:tcPr>
          <w:p w14:paraId="7268EB8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8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82"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B8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84"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B85" w14:textId="77777777" w:rsidR="005F762A" w:rsidRDefault="005F762A">
            <w:pPr>
              <w:rPr>
                <w:rFonts w:ascii="宋体"/>
              </w:rPr>
            </w:pPr>
          </w:p>
        </w:tc>
      </w:tr>
      <w:tr w:rsidR="005F762A" w14:paraId="7268EB8D" w14:textId="77777777">
        <w:tc>
          <w:tcPr>
            <w:tcW w:w="0" w:type="auto"/>
            <w:gridSpan w:val="3"/>
            <w:shd w:val="clear" w:color="auto" w:fill="E2E2E2"/>
            <w:tcMar>
              <w:top w:w="40" w:type="dxa"/>
              <w:left w:w="20" w:type="dxa"/>
              <w:bottom w:w="40" w:type="dxa"/>
              <w:right w:w="20" w:type="dxa"/>
            </w:tcMar>
            <w:vAlign w:val="bottom"/>
          </w:tcPr>
          <w:p w14:paraId="7268EB87" w14:textId="77777777" w:rsidR="005F762A" w:rsidRDefault="00D74111">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top w:w="0" w:type="dxa"/>
              <w:left w:w="20" w:type="dxa"/>
              <w:bottom w:w="0" w:type="dxa"/>
              <w:right w:w="20" w:type="dxa"/>
            </w:tcMar>
          </w:tcPr>
          <w:p w14:paraId="7268EB8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8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8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8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8C" w14:textId="77777777" w:rsidR="005F762A" w:rsidRDefault="005F762A">
            <w:pPr>
              <w:rPr>
                <w:rFonts w:ascii="宋体"/>
              </w:rPr>
            </w:pPr>
          </w:p>
        </w:tc>
      </w:tr>
      <w:tr w:rsidR="005F762A" w14:paraId="7268EB98" w14:textId="77777777">
        <w:tc>
          <w:tcPr>
            <w:tcW w:w="0" w:type="auto"/>
            <w:gridSpan w:val="3"/>
            <w:shd w:val="clear" w:color="auto" w:fill="FFFFFF"/>
            <w:tcMar>
              <w:top w:w="40" w:type="dxa"/>
              <w:left w:w="20" w:type="dxa"/>
              <w:bottom w:w="40" w:type="dxa"/>
              <w:right w:w="20" w:type="dxa"/>
            </w:tcMar>
            <w:vAlign w:val="bottom"/>
          </w:tcPr>
          <w:p w14:paraId="7268EB8E" w14:textId="77777777" w:rsidR="005F762A" w:rsidRDefault="00D74111">
            <w:pPr>
              <w:textAlignment w:val="bottom"/>
            </w:pPr>
            <w:r>
              <w:rPr>
                <w:rFonts w:ascii="Arial" w:eastAsia="宋体" w:hAnsi="Arial" w:cs="Arial"/>
                <w:color w:val="000000"/>
                <w:sz w:val="18"/>
                <w:szCs w:val="18"/>
              </w:rPr>
              <w:t xml:space="preserve">Foreign exchange </w:t>
            </w:r>
            <w:r>
              <w:rPr>
                <w:rFonts w:ascii="Arial" w:eastAsia="宋体" w:hAnsi="Arial" w:cs="Arial"/>
                <w:color w:val="000000"/>
                <w:sz w:val="18"/>
                <w:szCs w:val="18"/>
              </w:rPr>
              <w:t>contracts designated as cash flow hedges</w:t>
            </w:r>
          </w:p>
        </w:tc>
        <w:tc>
          <w:tcPr>
            <w:tcW w:w="0" w:type="auto"/>
            <w:gridSpan w:val="3"/>
            <w:shd w:val="clear" w:color="auto" w:fill="FFFFFF"/>
            <w:tcMar>
              <w:top w:w="40" w:type="dxa"/>
              <w:left w:w="20" w:type="dxa"/>
              <w:bottom w:w="40" w:type="dxa"/>
              <w:right w:w="20" w:type="dxa"/>
            </w:tcMar>
            <w:vAlign w:val="bottom"/>
          </w:tcPr>
          <w:p w14:paraId="7268EB8F" w14:textId="77777777" w:rsidR="005F762A" w:rsidRDefault="00D74111">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7268EB90"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B91"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B92" w14:textId="77777777" w:rsidR="005F762A" w:rsidRDefault="00D74111">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7268EB9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94"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EB95"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EB96" w14:textId="77777777" w:rsidR="005F762A" w:rsidRDefault="00D74111">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7268EB97" w14:textId="77777777" w:rsidR="005F762A" w:rsidRDefault="005F762A">
            <w:pPr>
              <w:jc w:val="right"/>
              <w:rPr>
                <w:rFonts w:ascii="宋体"/>
              </w:rPr>
            </w:pPr>
          </w:p>
        </w:tc>
      </w:tr>
      <w:tr w:rsidR="005F762A" w14:paraId="7268EBA1" w14:textId="77777777">
        <w:tc>
          <w:tcPr>
            <w:tcW w:w="0" w:type="auto"/>
            <w:gridSpan w:val="3"/>
            <w:shd w:val="clear" w:color="auto" w:fill="E2E2E2"/>
            <w:tcMar>
              <w:top w:w="40" w:type="dxa"/>
              <w:left w:w="20" w:type="dxa"/>
              <w:bottom w:w="40" w:type="dxa"/>
              <w:right w:w="20" w:type="dxa"/>
            </w:tcMar>
            <w:vAlign w:val="bottom"/>
          </w:tcPr>
          <w:p w14:paraId="7268EB99" w14:textId="77777777" w:rsidR="005F762A" w:rsidRDefault="00D74111">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7268EB9A" w14:textId="77777777" w:rsidR="005F762A" w:rsidRDefault="00D74111">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tcPr>
          <w:p w14:paraId="7268EB9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9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B9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9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9F"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7268EBA0" w14:textId="77777777" w:rsidR="005F762A" w:rsidRDefault="005F762A">
            <w:pPr>
              <w:jc w:val="right"/>
              <w:rPr>
                <w:rFonts w:ascii="宋体"/>
              </w:rPr>
            </w:pPr>
          </w:p>
        </w:tc>
      </w:tr>
      <w:tr w:rsidR="005F762A" w14:paraId="7268EBA8" w14:textId="77777777">
        <w:trPr>
          <w:hidden/>
        </w:trPr>
        <w:tc>
          <w:tcPr>
            <w:tcW w:w="0" w:type="auto"/>
            <w:gridSpan w:val="3"/>
            <w:shd w:val="clear" w:color="auto" w:fill="auto"/>
          </w:tcPr>
          <w:p w14:paraId="7268EBA2" w14:textId="77777777" w:rsidR="005F762A" w:rsidRDefault="005F762A">
            <w:pPr>
              <w:rPr>
                <w:rFonts w:ascii="宋体"/>
                <w:vanish/>
              </w:rPr>
            </w:pPr>
          </w:p>
        </w:tc>
        <w:tc>
          <w:tcPr>
            <w:tcW w:w="0" w:type="auto"/>
            <w:gridSpan w:val="3"/>
            <w:shd w:val="clear" w:color="auto" w:fill="auto"/>
          </w:tcPr>
          <w:p w14:paraId="7268EBA3" w14:textId="77777777" w:rsidR="005F762A" w:rsidRDefault="005F762A">
            <w:pPr>
              <w:rPr>
                <w:rFonts w:ascii="宋体"/>
                <w:vanish/>
              </w:rPr>
            </w:pPr>
          </w:p>
        </w:tc>
        <w:tc>
          <w:tcPr>
            <w:tcW w:w="0" w:type="auto"/>
            <w:gridSpan w:val="3"/>
            <w:shd w:val="clear" w:color="auto" w:fill="auto"/>
          </w:tcPr>
          <w:p w14:paraId="7268EBA4" w14:textId="77777777" w:rsidR="005F762A" w:rsidRDefault="005F762A">
            <w:pPr>
              <w:rPr>
                <w:rFonts w:ascii="宋体"/>
                <w:vanish/>
              </w:rPr>
            </w:pPr>
          </w:p>
        </w:tc>
        <w:tc>
          <w:tcPr>
            <w:tcW w:w="0" w:type="auto"/>
            <w:gridSpan w:val="3"/>
            <w:shd w:val="clear" w:color="auto" w:fill="auto"/>
          </w:tcPr>
          <w:p w14:paraId="7268EBA5" w14:textId="77777777" w:rsidR="005F762A" w:rsidRDefault="005F762A">
            <w:pPr>
              <w:rPr>
                <w:rFonts w:ascii="宋体"/>
                <w:vanish/>
              </w:rPr>
            </w:pPr>
          </w:p>
        </w:tc>
        <w:tc>
          <w:tcPr>
            <w:tcW w:w="0" w:type="auto"/>
            <w:gridSpan w:val="3"/>
            <w:shd w:val="clear" w:color="auto" w:fill="auto"/>
          </w:tcPr>
          <w:p w14:paraId="7268EBA6" w14:textId="77777777" w:rsidR="005F762A" w:rsidRDefault="005F762A">
            <w:pPr>
              <w:rPr>
                <w:rFonts w:ascii="宋体"/>
                <w:vanish/>
              </w:rPr>
            </w:pPr>
          </w:p>
        </w:tc>
        <w:tc>
          <w:tcPr>
            <w:tcW w:w="0" w:type="auto"/>
            <w:gridSpan w:val="3"/>
            <w:shd w:val="clear" w:color="auto" w:fill="auto"/>
          </w:tcPr>
          <w:p w14:paraId="7268EBA7" w14:textId="77777777" w:rsidR="005F762A" w:rsidRDefault="005F762A">
            <w:pPr>
              <w:rPr>
                <w:rFonts w:ascii="宋体"/>
                <w:vanish/>
              </w:rPr>
            </w:pPr>
          </w:p>
        </w:tc>
      </w:tr>
      <w:tr w:rsidR="005F762A" w14:paraId="7268EBB1" w14:textId="77777777">
        <w:tc>
          <w:tcPr>
            <w:tcW w:w="0" w:type="auto"/>
            <w:gridSpan w:val="3"/>
            <w:shd w:val="clear" w:color="auto" w:fill="FFFFFF"/>
            <w:tcMar>
              <w:top w:w="40" w:type="dxa"/>
              <w:left w:w="20" w:type="dxa"/>
              <w:bottom w:w="40" w:type="dxa"/>
              <w:right w:w="20" w:type="dxa"/>
            </w:tcMar>
            <w:vAlign w:val="bottom"/>
          </w:tcPr>
          <w:p w14:paraId="7268EBA9" w14:textId="77777777" w:rsidR="005F762A" w:rsidRDefault="00D74111">
            <w:pPr>
              <w:textAlignment w:val="bottom"/>
            </w:pPr>
            <w:r>
              <w:rPr>
                <w:rFonts w:ascii="Arial" w:eastAsia="宋体" w:hAnsi="Arial" w:cs="Arial"/>
                <w:color w:val="000000"/>
                <w:sz w:val="18"/>
                <w:szCs w:val="18"/>
              </w:rPr>
              <w:t xml:space="preserve">Foreign exchange contracts not designated as hedging </w:t>
            </w:r>
            <w:r>
              <w:rPr>
                <w:rFonts w:ascii="Arial" w:eastAsia="宋体" w:hAnsi="Arial" w:cs="Arial"/>
                <w:color w:val="000000"/>
                <w:sz w:val="18"/>
                <w:szCs w:val="18"/>
              </w:rPr>
              <w:t>instruments</w:t>
            </w:r>
          </w:p>
        </w:tc>
        <w:tc>
          <w:tcPr>
            <w:tcW w:w="0" w:type="auto"/>
            <w:gridSpan w:val="3"/>
            <w:shd w:val="clear" w:color="auto" w:fill="FFFFFF"/>
            <w:tcMar>
              <w:top w:w="40" w:type="dxa"/>
              <w:left w:w="20" w:type="dxa"/>
              <w:bottom w:w="40" w:type="dxa"/>
              <w:right w:w="20" w:type="dxa"/>
            </w:tcMar>
            <w:vAlign w:val="bottom"/>
          </w:tcPr>
          <w:p w14:paraId="7268EBAA" w14:textId="77777777" w:rsidR="005F762A" w:rsidRDefault="00D74111">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7268EBA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AC" w14:textId="77777777" w:rsidR="005F762A" w:rsidRDefault="00D74111">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7268EBA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A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AF" w14:textId="77777777" w:rsidR="005F762A" w:rsidRDefault="00D74111">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7268EBB0" w14:textId="77777777" w:rsidR="005F762A" w:rsidRDefault="005F762A">
            <w:pPr>
              <w:jc w:val="right"/>
              <w:rPr>
                <w:rFonts w:ascii="宋体"/>
              </w:rPr>
            </w:pPr>
          </w:p>
        </w:tc>
      </w:tr>
      <w:tr w:rsidR="005F762A" w14:paraId="7268EBBA" w14:textId="77777777">
        <w:tc>
          <w:tcPr>
            <w:tcW w:w="0" w:type="auto"/>
            <w:gridSpan w:val="3"/>
            <w:shd w:val="clear" w:color="auto" w:fill="E2E2E2"/>
            <w:tcMar>
              <w:top w:w="40" w:type="dxa"/>
              <w:left w:w="20" w:type="dxa"/>
              <w:bottom w:w="40" w:type="dxa"/>
              <w:right w:w="20" w:type="dxa"/>
            </w:tcMar>
            <w:vAlign w:val="bottom"/>
          </w:tcPr>
          <w:p w14:paraId="7268EBB2" w14:textId="77777777" w:rsidR="005F762A" w:rsidRDefault="00D74111">
            <w:pPr>
              <w:textAlignment w:val="bottom"/>
            </w:pPr>
            <w:r>
              <w:rPr>
                <w:rFonts w:ascii="Arial" w:eastAsia="宋体" w:hAnsi="Arial" w:cs="Arial"/>
                <w:color w:val="000000"/>
                <w:sz w:val="18"/>
                <w:szCs w:val="18"/>
              </w:rPr>
              <w:t xml:space="preserve">Interest rate contracts designated as cash flow hedges </w:t>
            </w:r>
          </w:p>
        </w:tc>
        <w:tc>
          <w:tcPr>
            <w:tcW w:w="0" w:type="auto"/>
            <w:gridSpan w:val="3"/>
            <w:shd w:val="clear" w:color="auto" w:fill="E2E2E2"/>
            <w:tcMar>
              <w:top w:w="40" w:type="dxa"/>
              <w:left w:w="20" w:type="dxa"/>
              <w:bottom w:w="40" w:type="dxa"/>
              <w:right w:w="20" w:type="dxa"/>
            </w:tcMar>
            <w:vAlign w:val="bottom"/>
          </w:tcPr>
          <w:p w14:paraId="7268EBB3" w14:textId="77777777" w:rsidR="005F762A" w:rsidRDefault="00D74111">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tcPr>
          <w:p w14:paraId="7268EBB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B5"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7268EBB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B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BB8"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7268EBB9" w14:textId="77777777" w:rsidR="005F762A" w:rsidRDefault="005F762A">
            <w:pPr>
              <w:jc w:val="right"/>
              <w:rPr>
                <w:rFonts w:ascii="宋体"/>
              </w:rPr>
            </w:pPr>
          </w:p>
        </w:tc>
      </w:tr>
      <w:tr w:rsidR="005F762A" w14:paraId="7268EBC3" w14:textId="77777777">
        <w:tc>
          <w:tcPr>
            <w:tcW w:w="0" w:type="auto"/>
            <w:gridSpan w:val="3"/>
            <w:shd w:val="clear" w:color="auto" w:fill="FFFFFF"/>
            <w:tcMar>
              <w:top w:w="40" w:type="dxa"/>
              <w:left w:w="20" w:type="dxa"/>
              <w:bottom w:w="40" w:type="dxa"/>
              <w:right w:w="20" w:type="dxa"/>
            </w:tcMar>
            <w:vAlign w:val="bottom"/>
          </w:tcPr>
          <w:p w14:paraId="7268EBBB" w14:textId="77777777" w:rsidR="005F762A" w:rsidRDefault="00D74111">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7268EBBC" w14:textId="77777777" w:rsidR="005F762A" w:rsidRDefault="00D74111">
            <w:pPr>
              <w:jc w:val="right"/>
              <w:textAlignment w:val="bottom"/>
            </w:pPr>
            <w:r>
              <w:rPr>
                <w:rFonts w:ascii="Arial" w:eastAsia="宋体" w:hAnsi="Arial" w:cs="Arial"/>
                <w:color w:val="000000"/>
                <w:sz w:val="18"/>
                <w:szCs w:val="18"/>
              </w:rPr>
              <w:t>Other Liabilities</w:t>
            </w:r>
          </w:p>
        </w:tc>
        <w:tc>
          <w:tcPr>
            <w:tcW w:w="0" w:type="auto"/>
            <w:gridSpan w:val="3"/>
            <w:shd w:val="clear" w:color="auto" w:fill="FFFFFF"/>
            <w:tcMar>
              <w:top w:w="0" w:type="dxa"/>
              <w:left w:w="20" w:type="dxa"/>
              <w:bottom w:w="0" w:type="dxa"/>
              <w:right w:w="20" w:type="dxa"/>
            </w:tcMar>
          </w:tcPr>
          <w:p w14:paraId="7268EBB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BE"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BB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BC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BC1"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BC2" w14:textId="77777777" w:rsidR="005F762A" w:rsidRDefault="005F762A">
            <w:pPr>
              <w:jc w:val="right"/>
              <w:rPr>
                <w:rFonts w:ascii="宋体"/>
              </w:rPr>
            </w:pPr>
          </w:p>
        </w:tc>
      </w:tr>
      <w:tr w:rsidR="005F762A" w14:paraId="7268EBCA" w14:textId="77777777">
        <w:trPr>
          <w:hidden/>
        </w:trPr>
        <w:tc>
          <w:tcPr>
            <w:tcW w:w="0" w:type="auto"/>
            <w:gridSpan w:val="3"/>
            <w:shd w:val="clear" w:color="auto" w:fill="auto"/>
          </w:tcPr>
          <w:p w14:paraId="7268EBC4" w14:textId="77777777" w:rsidR="005F762A" w:rsidRDefault="005F762A">
            <w:pPr>
              <w:rPr>
                <w:rFonts w:ascii="宋体"/>
                <w:vanish/>
              </w:rPr>
            </w:pPr>
          </w:p>
        </w:tc>
        <w:tc>
          <w:tcPr>
            <w:tcW w:w="0" w:type="auto"/>
            <w:gridSpan w:val="3"/>
            <w:shd w:val="clear" w:color="auto" w:fill="auto"/>
          </w:tcPr>
          <w:p w14:paraId="7268EBC5" w14:textId="77777777" w:rsidR="005F762A" w:rsidRDefault="005F762A">
            <w:pPr>
              <w:rPr>
                <w:rFonts w:ascii="宋体"/>
                <w:vanish/>
              </w:rPr>
            </w:pPr>
          </w:p>
        </w:tc>
        <w:tc>
          <w:tcPr>
            <w:tcW w:w="0" w:type="auto"/>
            <w:gridSpan w:val="3"/>
            <w:shd w:val="clear" w:color="auto" w:fill="auto"/>
          </w:tcPr>
          <w:p w14:paraId="7268EBC6" w14:textId="77777777" w:rsidR="005F762A" w:rsidRDefault="005F762A">
            <w:pPr>
              <w:rPr>
                <w:rFonts w:ascii="宋体"/>
                <w:vanish/>
              </w:rPr>
            </w:pPr>
          </w:p>
        </w:tc>
        <w:tc>
          <w:tcPr>
            <w:tcW w:w="0" w:type="auto"/>
            <w:gridSpan w:val="3"/>
            <w:shd w:val="clear" w:color="auto" w:fill="auto"/>
          </w:tcPr>
          <w:p w14:paraId="7268EBC7" w14:textId="77777777" w:rsidR="005F762A" w:rsidRDefault="005F762A">
            <w:pPr>
              <w:rPr>
                <w:rFonts w:ascii="宋体"/>
                <w:vanish/>
              </w:rPr>
            </w:pPr>
          </w:p>
        </w:tc>
        <w:tc>
          <w:tcPr>
            <w:tcW w:w="0" w:type="auto"/>
            <w:gridSpan w:val="3"/>
            <w:shd w:val="clear" w:color="auto" w:fill="auto"/>
          </w:tcPr>
          <w:p w14:paraId="7268EBC8" w14:textId="77777777" w:rsidR="005F762A" w:rsidRDefault="005F762A">
            <w:pPr>
              <w:rPr>
                <w:rFonts w:ascii="宋体"/>
                <w:vanish/>
              </w:rPr>
            </w:pPr>
          </w:p>
        </w:tc>
        <w:tc>
          <w:tcPr>
            <w:tcW w:w="0" w:type="auto"/>
            <w:gridSpan w:val="3"/>
            <w:shd w:val="clear" w:color="auto" w:fill="auto"/>
          </w:tcPr>
          <w:p w14:paraId="7268EBC9" w14:textId="77777777" w:rsidR="005F762A" w:rsidRDefault="005F762A">
            <w:pPr>
              <w:rPr>
                <w:rFonts w:ascii="宋体"/>
                <w:vanish/>
              </w:rPr>
            </w:pPr>
          </w:p>
        </w:tc>
      </w:tr>
      <w:tr w:rsidR="005F762A" w14:paraId="7268EBD5" w14:textId="77777777">
        <w:tc>
          <w:tcPr>
            <w:tcW w:w="0" w:type="auto"/>
            <w:gridSpan w:val="3"/>
            <w:shd w:val="clear" w:color="auto" w:fill="E2E2E2"/>
            <w:tcMar>
              <w:top w:w="40" w:type="dxa"/>
              <w:left w:w="245" w:type="dxa"/>
              <w:bottom w:w="40" w:type="dxa"/>
              <w:right w:w="20" w:type="dxa"/>
            </w:tcMar>
            <w:vAlign w:val="bottom"/>
          </w:tcPr>
          <w:p w14:paraId="7268EBCB" w14:textId="77777777" w:rsidR="005F762A" w:rsidRDefault="00D74111">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derivative liabilities</w:t>
            </w:r>
          </w:p>
        </w:tc>
        <w:tc>
          <w:tcPr>
            <w:tcW w:w="0" w:type="auto"/>
            <w:gridSpan w:val="3"/>
            <w:shd w:val="clear" w:color="auto" w:fill="E2E2E2"/>
            <w:tcMar>
              <w:top w:w="0" w:type="dxa"/>
              <w:left w:w="20" w:type="dxa"/>
              <w:bottom w:w="0" w:type="dxa"/>
              <w:right w:w="20" w:type="dxa"/>
            </w:tcMar>
          </w:tcPr>
          <w:p w14:paraId="7268EBC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CD"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BC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BCF" w14:textId="77777777" w:rsidR="005F762A" w:rsidRDefault="00D74111">
            <w:pPr>
              <w:jc w:val="right"/>
              <w:textAlignment w:val="bottom"/>
            </w:pPr>
            <w:r>
              <w:rPr>
                <w:rFonts w:ascii="Arial" w:eastAsia="宋体" w:hAnsi="Arial" w:cs="Arial"/>
                <w:color w:val="000000"/>
                <w:sz w:val="18"/>
                <w:szCs w:val="18"/>
              </w:rPr>
              <w:t>30 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BD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D1"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BD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BD3" w14:textId="77777777" w:rsidR="005F762A" w:rsidRDefault="00D74111">
            <w:pPr>
              <w:jc w:val="right"/>
              <w:textAlignment w:val="bottom"/>
            </w:pPr>
            <w:r>
              <w:rPr>
                <w:rFonts w:ascii="Arial" w:eastAsia="宋体" w:hAnsi="Arial" w:cs="Arial"/>
                <w:color w:val="000000"/>
                <w:sz w:val="18"/>
                <w:szCs w:val="18"/>
              </w:rPr>
              <w:t>46 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BD4" w14:textId="77777777" w:rsidR="005F762A" w:rsidRDefault="005F762A">
            <w:pPr>
              <w:jc w:val="right"/>
              <w:rPr>
                <w:rFonts w:ascii="宋体"/>
              </w:rPr>
            </w:pPr>
          </w:p>
        </w:tc>
      </w:tr>
      <w:tr w:rsidR="005F762A" w14:paraId="7268EBDC" w14:textId="77777777">
        <w:trPr>
          <w:trHeight w:val="280"/>
        </w:trPr>
        <w:tc>
          <w:tcPr>
            <w:tcW w:w="0" w:type="auto"/>
            <w:gridSpan w:val="3"/>
            <w:shd w:val="clear" w:color="auto" w:fill="FFFFFF"/>
            <w:tcMar>
              <w:top w:w="0" w:type="dxa"/>
              <w:left w:w="20" w:type="dxa"/>
              <w:bottom w:w="0" w:type="dxa"/>
              <w:right w:w="20" w:type="dxa"/>
            </w:tcMar>
          </w:tcPr>
          <w:p w14:paraId="7268EBD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D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D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D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D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BDB" w14:textId="77777777" w:rsidR="005F762A" w:rsidRDefault="005F762A">
            <w:pPr>
              <w:rPr>
                <w:rFonts w:ascii="宋体"/>
              </w:rPr>
            </w:pPr>
          </w:p>
        </w:tc>
      </w:tr>
      <w:tr w:rsidR="005F762A" w14:paraId="7268EBE7" w14:textId="77777777">
        <w:tc>
          <w:tcPr>
            <w:tcW w:w="0" w:type="auto"/>
            <w:gridSpan w:val="3"/>
            <w:shd w:val="clear" w:color="auto" w:fill="E2E2E2"/>
            <w:tcMar>
              <w:top w:w="40" w:type="dxa"/>
              <w:left w:w="245" w:type="dxa"/>
              <w:bottom w:w="40" w:type="dxa"/>
              <w:right w:w="20" w:type="dxa"/>
            </w:tcMar>
            <w:vAlign w:val="bottom"/>
          </w:tcPr>
          <w:p w14:paraId="7268EBDD" w14:textId="77777777" w:rsidR="005F762A" w:rsidRDefault="00D74111">
            <w:pPr>
              <w:textAlignment w:val="bottom"/>
            </w:pPr>
            <w:r>
              <w:rPr>
                <w:rFonts w:ascii="Arial" w:eastAsia="宋体" w:hAnsi="Arial" w:cs="Arial"/>
                <w:color w:val="000000"/>
                <w:sz w:val="18"/>
                <w:szCs w:val="18"/>
              </w:rPr>
              <w:t>Total fair value of derivative instruments</w:t>
            </w:r>
          </w:p>
        </w:tc>
        <w:tc>
          <w:tcPr>
            <w:tcW w:w="0" w:type="auto"/>
            <w:gridSpan w:val="3"/>
            <w:shd w:val="clear" w:color="auto" w:fill="E2E2E2"/>
            <w:tcMar>
              <w:top w:w="0" w:type="dxa"/>
              <w:left w:w="20" w:type="dxa"/>
              <w:bottom w:w="0" w:type="dxa"/>
              <w:right w:w="20" w:type="dxa"/>
            </w:tcMar>
          </w:tcPr>
          <w:p w14:paraId="7268EBD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BD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BE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BE1" w14:textId="77777777" w:rsidR="005F762A" w:rsidRDefault="00D74111">
            <w:pPr>
              <w:jc w:val="right"/>
              <w:textAlignment w:val="bottom"/>
            </w:pPr>
            <w:r>
              <w:rPr>
                <w:rFonts w:ascii="Arial" w:eastAsia="宋体" w:hAnsi="Arial" w:cs="Arial"/>
                <w:color w:val="000000"/>
                <w:sz w:val="18"/>
                <w:szCs w:val="18"/>
              </w:rPr>
              <w:t>1,099 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BE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BE3"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BE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BE5" w14:textId="77777777" w:rsidR="005F762A" w:rsidRDefault="00D74111">
            <w:pPr>
              <w:jc w:val="right"/>
              <w:textAlignment w:val="bottom"/>
            </w:pPr>
            <w:r>
              <w:rPr>
                <w:rFonts w:ascii="Arial" w:eastAsia="宋体" w:hAnsi="Arial" w:cs="Arial"/>
                <w:color w:val="000000"/>
                <w:sz w:val="18"/>
                <w:szCs w:val="18"/>
              </w:rPr>
              <w:t>1,067 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BE6" w14:textId="77777777" w:rsidR="005F762A" w:rsidRDefault="005F762A">
            <w:pPr>
              <w:jc w:val="right"/>
              <w:rPr>
                <w:rFonts w:ascii="宋体"/>
              </w:rPr>
            </w:pPr>
          </w:p>
        </w:tc>
      </w:tr>
    </w:tbl>
    <w:p w14:paraId="7268EBE8" w14:textId="77777777" w:rsidR="005F762A" w:rsidRDefault="005F762A"/>
    <w:p w14:paraId="7268EBE9" w14:textId="77777777" w:rsidR="005F762A" w:rsidRDefault="00D74111">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w:t>
      </w:r>
      <w:r>
        <w:rPr>
          <w:rFonts w:ascii="Arial" w:eastAsia="宋体" w:hAnsi="Arial" w:cs="Arial"/>
          <w:color w:val="000000"/>
          <w:sz w:val="20"/>
          <w:szCs w:val="20"/>
        </w:rPr>
        <w:t>owever, we have elected to present the derivative assets and derivative liabilities on a gross basis on our condensed consolidated balance sheet. As of March 31, 2021, the potential effect of rights of set-off associated with the foreign exchange contracts</w:t>
      </w:r>
      <w:r>
        <w:rPr>
          <w:rFonts w:ascii="Arial" w:eastAsia="宋体" w:hAnsi="Arial" w:cs="Arial"/>
          <w:color w:val="000000"/>
          <w:sz w:val="20"/>
          <w:szCs w:val="20"/>
        </w:rPr>
        <w:t xml:space="preserve"> would be an offset to both assets and liabilities by $22 million, resulting in net derivative assets of $36 million and net derivative liabilities of $6 million. As of March 31, 2021, the potential effect of rights of set-off associated with the interest </w:t>
      </w:r>
      <w:r>
        <w:rPr>
          <w:rFonts w:ascii="Arial" w:eastAsia="宋体" w:hAnsi="Arial" w:cs="Arial"/>
          <w:color w:val="000000"/>
          <w:sz w:val="20"/>
          <w:szCs w:val="20"/>
        </w:rPr>
        <w:t xml:space="preserve">rate contracts would be an offset to both assets and liabilities by $1 million, resulting in net derivative assets of $55 million and net derivative liabilities of $1 million. </w:t>
      </w:r>
    </w:p>
    <w:p w14:paraId="7268EBEA" w14:textId="77777777" w:rsidR="005F762A" w:rsidRDefault="005F762A"/>
    <w:p w14:paraId="7268EBEB" w14:textId="77777777" w:rsidR="005F762A" w:rsidRDefault="00D74111">
      <w:r>
        <w:rPr>
          <w:rFonts w:ascii="Arial" w:eastAsia="宋体" w:hAnsi="Arial" w:cs="Arial"/>
          <w:b/>
          <w:bCs/>
          <w:i/>
          <w:iCs/>
          <w:color w:val="000000"/>
          <w:sz w:val="20"/>
          <w:szCs w:val="20"/>
        </w:rPr>
        <w:t>Effect of Derivative Contracts on Accumulated Other Comprehensive Income</w:t>
      </w:r>
    </w:p>
    <w:p w14:paraId="7268EBEC" w14:textId="77777777" w:rsidR="005F762A" w:rsidRDefault="005F762A">
      <w:pPr>
        <w:ind w:firstLine="495"/>
      </w:pPr>
    </w:p>
    <w:p w14:paraId="7268EBED" w14:textId="77777777" w:rsidR="005F762A" w:rsidRDefault="00D74111">
      <w:pPr>
        <w:ind w:firstLine="540"/>
        <w:jc w:val="both"/>
      </w:pPr>
      <w:r>
        <w:rPr>
          <w:rFonts w:ascii="Arial" w:eastAsia="宋体" w:hAnsi="Arial" w:cs="Arial"/>
          <w:color w:val="000000"/>
          <w:sz w:val="20"/>
          <w:szCs w:val="20"/>
        </w:rPr>
        <w:t>The following tables present the activity of derivative instruments designated as cash flow hedges as of March 31, 2021 and December 31, 2020, and the impact of these derivative contracts on AOCI for the three months ended March 31, 2021 and 2020 (in milli</w:t>
      </w:r>
      <w:r>
        <w:rPr>
          <w:rFonts w:ascii="Arial" w:eastAsia="宋体" w:hAnsi="Arial" w:cs="Arial"/>
          <w:color w:val="000000"/>
          <w:sz w:val="20"/>
          <w:szCs w:val="20"/>
        </w:rPr>
        <w:t>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7"/>
        <w:gridCol w:w="36"/>
        <w:gridCol w:w="36"/>
        <w:gridCol w:w="36"/>
        <w:gridCol w:w="36"/>
        <w:gridCol w:w="122"/>
        <w:gridCol w:w="1192"/>
        <w:gridCol w:w="36"/>
        <w:gridCol w:w="36"/>
        <w:gridCol w:w="36"/>
        <w:gridCol w:w="36"/>
        <w:gridCol w:w="122"/>
        <w:gridCol w:w="1119"/>
        <w:gridCol w:w="36"/>
      </w:tblGrid>
      <w:tr w:rsidR="005F762A" w14:paraId="7268EC06" w14:textId="77777777">
        <w:trPr>
          <w:jc w:val="center"/>
        </w:trPr>
        <w:tc>
          <w:tcPr>
            <w:tcW w:w="50" w:type="pct"/>
            <w:shd w:val="clear" w:color="auto" w:fill="auto"/>
          </w:tcPr>
          <w:p w14:paraId="7268EBEE" w14:textId="77777777" w:rsidR="005F762A" w:rsidRDefault="005F762A">
            <w:pPr>
              <w:rPr>
                <w:rFonts w:ascii="宋体"/>
              </w:rPr>
            </w:pPr>
          </w:p>
        </w:tc>
        <w:tc>
          <w:tcPr>
            <w:tcW w:w="1531" w:type="pct"/>
            <w:shd w:val="clear" w:color="auto" w:fill="auto"/>
          </w:tcPr>
          <w:p w14:paraId="7268EBEF" w14:textId="77777777" w:rsidR="005F762A" w:rsidRDefault="005F762A">
            <w:pPr>
              <w:rPr>
                <w:rFonts w:ascii="宋体"/>
              </w:rPr>
            </w:pPr>
          </w:p>
        </w:tc>
        <w:tc>
          <w:tcPr>
            <w:tcW w:w="5" w:type="pct"/>
            <w:shd w:val="clear" w:color="auto" w:fill="auto"/>
          </w:tcPr>
          <w:p w14:paraId="7268EBF0" w14:textId="77777777" w:rsidR="005F762A" w:rsidRDefault="005F762A">
            <w:pPr>
              <w:rPr>
                <w:rFonts w:ascii="宋体"/>
              </w:rPr>
            </w:pPr>
          </w:p>
        </w:tc>
        <w:tc>
          <w:tcPr>
            <w:tcW w:w="50" w:type="pct"/>
            <w:shd w:val="clear" w:color="auto" w:fill="auto"/>
          </w:tcPr>
          <w:p w14:paraId="7268EBF1" w14:textId="77777777" w:rsidR="005F762A" w:rsidRDefault="005F762A">
            <w:pPr>
              <w:rPr>
                <w:rFonts w:ascii="宋体"/>
              </w:rPr>
            </w:pPr>
          </w:p>
        </w:tc>
        <w:tc>
          <w:tcPr>
            <w:tcW w:w="727" w:type="pct"/>
            <w:shd w:val="clear" w:color="auto" w:fill="auto"/>
          </w:tcPr>
          <w:p w14:paraId="7268EBF2" w14:textId="77777777" w:rsidR="005F762A" w:rsidRDefault="005F762A">
            <w:pPr>
              <w:rPr>
                <w:rFonts w:ascii="宋体"/>
              </w:rPr>
            </w:pPr>
          </w:p>
        </w:tc>
        <w:tc>
          <w:tcPr>
            <w:tcW w:w="5" w:type="pct"/>
            <w:shd w:val="clear" w:color="auto" w:fill="auto"/>
          </w:tcPr>
          <w:p w14:paraId="7268EBF3" w14:textId="77777777" w:rsidR="005F762A" w:rsidRDefault="005F762A">
            <w:pPr>
              <w:rPr>
                <w:rFonts w:ascii="宋体"/>
              </w:rPr>
            </w:pPr>
          </w:p>
        </w:tc>
        <w:tc>
          <w:tcPr>
            <w:tcW w:w="5" w:type="pct"/>
            <w:shd w:val="clear" w:color="auto" w:fill="auto"/>
          </w:tcPr>
          <w:p w14:paraId="7268EBF4" w14:textId="77777777" w:rsidR="005F762A" w:rsidRDefault="005F762A">
            <w:pPr>
              <w:rPr>
                <w:rFonts w:ascii="宋体"/>
              </w:rPr>
            </w:pPr>
          </w:p>
        </w:tc>
        <w:tc>
          <w:tcPr>
            <w:tcW w:w="26" w:type="pct"/>
            <w:shd w:val="clear" w:color="auto" w:fill="auto"/>
          </w:tcPr>
          <w:p w14:paraId="7268EBF5" w14:textId="77777777" w:rsidR="005F762A" w:rsidRDefault="005F762A">
            <w:pPr>
              <w:rPr>
                <w:rFonts w:ascii="宋体"/>
              </w:rPr>
            </w:pPr>
          </w:p>
        </w:tc>
        <w:tc>
          <w:tcPr>
            <w:tcW w:w="5" w:type="pct"/>
            <w:shd w:val="clear" w:color="auto" w:fill="auto"/>
          </w:tcPr>
          <w:p w14:paraId="7268EBF6" w14:textId="77777777" w:rsidR="005F762A" w:rsidRDefault="005F762A">
            <w:pPr>
              <w:rPr>
                <w:rFonts w:ascii="宋体"/>
              </w:rPr>
            </w:pPr>
          </w:p>
        </w:tc>
        <w:tc>
          <w:tcPr>
            <w:tcW w:w="50" w:type="pct"/>
            <w:shd w:val="clear" w:color="auto" w:fill="auto"/>
          </w:tcPr>
          <w:p w14:paraId="7268EBF7" w14:textId="77777777" w:rsidR="005F762A" w:rsidRDefault="005F762A">
            <w:pPr>
              <w:rPr>
                <w:rFonts w:ascii="宋体"/>
              </w:rPr>
            </w:pPr>
          </w:p>
        </w:tc>
        <w:tc>
          <w:tcPr>
            <w:tcW w:w="858" w:type="pct"/>
            <w:shd w:val="clear" w:color="auto" w:fill="auto"/>
          </w:tcPr>
          <w:p w14:paraId="7268EBF8" w14:textId="77777777" w:rsidR="005F762A" w:rsidRDefault="005F762A">
            <w:pPr>
              <w:rPr>
                <w:rFonts w:ascii="宋体"/>
              </w:rPr>
            </w:pPr>
          </w:p>
        </w:tc>
        <w:tc>
          <w:tcPr>
            <w:tcW w:w="5" w:type="pct"/>
            <w:shd w:val="clear" w:color="auto" w:fill="auto"/>
          </w:tcPr>
          <w:p w14:paraId="7268EBF9" w14:textId="77777777" w:rsidR="005F762A" w:rsidRDefault="005F762A">
            <w:pPr>
              <w:rPr>
                <w:rFonts w:ascii="宋体"/>
              </w:rPr>
            </w:pPr>
          </w:p>
        </w:tc>
        <w:tc>
          <w:tcPr>
            <w:tcW w:w="5" w:type="pct"/>
            <w:shd w:val="clear" w:color="auto" w:fill="auto"/>
          </w:tcPr>
          <w:p w14:paraId="7268EBFA" w14:textId="77777777" w:rsidR="005F762A" w:rsidRDefault="005F762A">
            <w:pPr>
              <w:rPr>
                <w:rFonts w:ascii="宋体"/>
              </w:rPr>
            </w:pPr>
          </w:p>
        </w:tc>
        <w:tc>
          <w:tcPr>
            <w:tcW w:w="26" w:type="pct"/>
            <w:shd w:val="clear" w:color="auto" w:fill="auto"/>
          </w:tcPr>
          <w:p w14:paraId="7268EBFB" w14:textId="77777777" w:rsidR="005F762A" w:rsidRDefault="005F762A">
            <w:pPr>
              <w:rPr>
                <w:rFonts w:ascii="宋体"/>
              </w:rPr>
            </w:pPr>
          </w:p>
        </w:tc>
        <w:tc>
          <w:tcPr>
            <w:tcW w:w="5" w:type="pct"/>
            <w:shd w:val="clear" w:color="auto" w:fill="auto"/>
          </w:tcPr>
          <w:p w14:paraId="7268EBFC" w14:textId="77777777" w:rsidR="005F762A" w:rsidRDefault="005F762A">
            <w:pPr>
              <w:rPr>
                <w:rFonts w:ascii="宋体"/>
              </w:rPr>
            </w:pPr>
          </w:p>
        </w:tc>
        <w:tc>
          <w:tcPr>
            <w:tcW w:w="50" w:type="pct"/>
            <w:shd w:val="clear" w:color="auto" w:fill="auto"/>
          </w:tcPr>
          <w:p w14:paraId="7268EBFD" w14:textId="77777777" w:rsidR="005F762A" w:rsidRDefault="005F762A">
            <w:pPr>
              <w:rPr>
                <w:rFonts w:ascii="宋体"/>
              </w:rPr>
            </w:pPr>
          </w:p>
        </w:tc>
        <w:tc>
          <w:tcPr>
            <w:tcW w:w="771" w:type="pct"/>
            <w:shd w:val="clear" w:color="auto" w:fill="auto"/>
          </w:tcPr>
          <w:p w14:paraId="7268EBFE" w14:textId="77777777" w:rsidR="005F762A" w:rsidRDefault="005F762A">
            <w:pPr>
              <w:rPr>
                <w:rFonts w:ascii="宋体"/>
              </w:rPr>
            </w:pPr>
          </w:p>
        </w:tc>
        <w:tc>
          <w:tcPr>
            <w:tcW w:w="5" w:type="pct"/>
            <w:shd w:val="clear" w:color="auto" w:fill="auto"/>
          </w:tcPr>
          <w:p w14:paraId="7268EBFF" w14:textId="77777777" w:rsidR="005F762A" w:rsidRDefault="005F762A">
            <w:pPr>
              <w:rPr>
                <w:rFonts w:ascii="宋体"/>
              </w:rPr>
            </w:pPr>
          </w:p>
        </w:tc>
        <w:tc>
          <w:tcPr>
            <w:tcW w:w="5" w:type="pct"/>
            <w:shd w:val="clear" w:color="auto" w:fill="auto"/>
          </w:tcPr>
          <w:p w14:paraId="7268EC00" w14:textId="77777777" w:rsidR="005F762A" w:rsidRDefault="005F762A">
            <w:pPr>
              <w:rPr>
                <w:rFonts w:ascii="宋体"/>
              </w:rPr>
            </w:pPr>
          </w:p>
        </w:tc>
        <w:tc>
          <w:tcPr>
            <w:tcW w:w="26" w:type="pct"/>
            <w:shd w:val="clear" w:color="auto" w:fill="auto"/>
          </w:tcPr>
          <w:p w14:paraId="7268EC01" w14:textId="77777777" w:rsidR="005F762A" w:rsidRDefault="005F762A">
            <w:pPr>
              <w:rPr>
                <w:rFonts w:ascii="宋体"/>
              </w:rPr>
            </w:pPr>
          </w:p>
        </w:tc>
        <w:tc>
          <w:tcPr>
            <w:tcW w:w="5" w:type="pct"/>
            <w:shd w:val="clear" w:color="auto" w:fill="auto"/>
          </w:tcPr>
          <w:p w14:paraId="7268EC02" w14:textId="77777777" w:rsidR="005F762A" w:rsidRDefault="005F762A">
            <w:pPr>
              <w:rPr>
                <w:rFonts w:ascii="宋体"/>
              </w:rPr>
            </w:pPr>
          </w:p>
        </w:tc>
        <w:tc>
          <w:tcPr>
            <w:tcW w:w="50" w:type="pct"/>
            <w:shd w:val="clear" w:color="auto" w:fill="auto"/>
          </w:tcPr>
          <w:p w14:paraId="7268EC03" w14:textId="77777777" w:rsidR="005F762A" w:rsidRDefault="005F762A">
            <w:pPr>
              <w:rPr>
                <w:rFonts w:ascii="宋体"/>
              </w:rPr>
            </w:pPr>
          </w:p>
        </w:tc>
        <w:tc>
          <w:tcPr>
            <w:tcW w:w="727" w:type="pct"/>
            <w:shd w:val="clear" w:color="auto" w:fill="auto"/>
          </w:tcPr>
          <w:p w14:paraId="7268EC04" w14:textId="77777777" w:rsidR="005F762A" w:rsidRDefault="005F762A">
            <w:pPr>
              <w:rPr>
                <w:rFonts w:ascii="宋体"/>
              </w:rPr>
            </w:pPr>
          </w:p>
        </w:tc>
        <w:tc>
          <w:tcPr>
            <w:tcW w:w="5" w:type="pct"/>
            <w:shd w:val="clear" w:color="auto" w:fill="auto"/>
          </w:tcPr>
          <w:p w14:paraId="7268EC05" w14:textId="77777777" w:rsidR="005F762A" w:rsidRDefault="005F762A">
            <w:pPr>
              <w:rPr>
                <w:rFonts w:ascii="宋体"/>
              </w:rPr>
            </w:pPr>
          </w:p>
        </w:tc>
      </w:tr>
      <w:tr w:rsidR="005F762A" w14:paraId="7268EC12" w14:textId="77777777">
        <w:trPr>
          <w:jc w:val="center"/>
        </w:trPr>
        <w:tc>
          <w:tcPr>
            <w:tcW w:w="0" w:type="auto"/>
            <w:gridSpan w:val="3"/>
            <w:shd w:val="clear" w:color="auto" w:fill="auto"/>
            <w:tcMar>
              <w:top w:w="40" w:type="dxa"/>
              <w:left w:w="20" w:type="dxa"/>
              <w:bottom w:w="40" w:type="dxa"/>
              <w:right w:w="20" w:type="dxa"/>
            </w:tcMar>
            <w:vAlign w:val="bottom"/>
          </w:tcPr>
          <w:p w14:paraId="7268EC07"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C08" w14:textId="77777777" w:rsidR="005F762A" w:rsidRDefault="00D74111">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tcMar>
              <w:top w:w="0" w:type="dxa"/>
              <w:left w:w="20" w:type="dxa"/>
              <w:bottom w:w="0" w:type="dxa"/>
              <w:right w:w="20" w:type="dxa"/>
            </w:tcMar>
          </w:tcPr>
          <w:p w14:paraId="7268EC0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C0A" w14:textId="77777777" w:rsidR="005F762A" w:rsidRDefault="00D74111">
            <w:pPr>
              <w:jc w:val="center"/>
              <w:textAlignment w:val="bottom"/>
            </w:pPr>
            <w:r>
              <w:rPr>
                <w:rFonts w:ascii="Arial" w:eastAsia="宋体" w:hAnsi="Arial" w:cs="Arial"/>
                <w:b/>
                <w:bCs/>
                <w:color w:val="000000"/>
                <w:sz w:val="16"/>
                <w:szCs w:val="16"/>
              </w:rPr>
              <w:t>Amount of Gain (Loss)</w:t>
            </w:r>
          </w:p>
          <w:p w14:paraId="7268EC0B" w14:textId="77777777" w:rsidR="005F762A" w:rsidRDefault="00D74111">
            <w:pPr>
              <w:jc w:val="center"/>
              <w:textAlignment w:val="bottom"/>
            </w:pPr>
            <w:r>
              <w:rPr>
                <w:rFonts w:ascii="Arial" w:eastAsia="宋体" w:hAnsi="Arial" w:cs="Arial"/>
                <w:b/>
                <w:bCs/>
                <w:color w:val="000000"/>
                <w:sz w:val="16"/>
                <w:szCs w:val="16"/>
              </w:rPr>
              <w:t>Recognized in Other</w:t>
            </w:r>
          </w:p>
          <w:p w14:paraId="7268EC0C" w14:textId="77777777" w:rsidR="005F762A" w:rsidRDefault="00D74111">
            <w:pPr>
              <w:jc w:val="center"/>
              <w:textAlignment w:val="bottom"/>
            </w:pPr>
            <w:r>
              <w:rPr>
                <w:rFonts w:ascii="Arial" w:eastAsia="宋体" w:hAnsi="Arial" w:cs="Arial"/>
                <w:b/>
                <w:bCs/>
                <w:color w:val="000000"/>
                <w:sz w:val="16"/>
                <w:szCs w:val="16"/>
              </w:rPr>
              <w:t>Comprehensive </w:t>
            </w:r>
          </w:p>
          <w:p w14:paraId="7268EC0D" w14:textId="77777777" w:rsidR="005F762A" w:rsidRDefault="00D74111">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tcPr>
          <w:p w14:paraId="7268EC0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C0F" w14:textId="77777777" w:rsidR="005F762A" w:rsidRDefault="00D74111">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tcPr>
          <w:p w14:paraId="7268EC10"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C11" w14:textId="77777777" w:rsidR="005F762A" w:rsidRDefault="00D74111">
            <w:pPr>
              <w:jc w:val="center"/>
              <w:textAlignment w:val="bottom"/>
            </w:pPr>
            <w:r>
              <w:rPr>
                <w:rFonts w:ascii="Arial" w:eastAsia="宋体" w:hAnsi="Arial" w:cs="Arial"/>
                <w:b/>
                <w:bCs/>
                <w:color w:val="000000"/>
                <w:sz w:val="16"/>
                <w:szCs w:val="16"/>
              </w:rPr>
              <w:t>March 31, 2021</w:t>
            </w:r>
          </w:p>
        </w:tc>
      </w:tr>
      <w:tr w:rsidR="005F762A" w14:paraId="7268EC23" w14:textId="77777777">
        <w:trPr>
          <w:jc w:val="center"/>
        </w:trPr>
        <w:tc>
          <w:tcPr>
            <w:tcW w:w="0" w:type="auto"/>
            <w:gridSpan w:val="3"/>
            <w:shd w:val="clear" w:color="auto" w:fill="E2E2E2"/>
            <w:tcMar>
              <w:top w:w="40" w:type="dxa"/>
              <w:left w:w="20" w:type="dxa"/>
              <w:bottom w:w="40" w:type="dxa"/>
              <w:right w:w="20" w:type="dxa"/>
            </w:tcMar>
            <w:vAlign w:val="bottom"/>
          </w:tcPr>
          <w:p w14:paraId="7268EC13" w14:textId="77777777" w:rsidR="005F762A" w:rsidRDefault="00D74111">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C1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15" w14:textId="77777777" w:rsidR="005F762A" w:rsidRDefault="00D74111">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1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1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C1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19" w14:textId="77777777" w:rsidR="005F762A" w:rsidRDefault="00D74111">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1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1B"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C1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1D" w14:textId="77777777" w:rsidR="005F762A" w:rsidRDefault="00D74111">
            <w:pPr>
              <w:jc w:val="right"/>
              <w:textAlignment w:val="bottom"/>
            </w:pPr>
            <w:r>
              <w:rPr>
                <w:rFonts w:ascii="Arial" w:eastAsia="宋体" w:hAnsi="Arial" w:cs="Arial"/>
                <w:color w:val="000000"/>
                <w:sz w:val="18"/>
                <w:szCs w:val="18"/>
              </w:rPr>
              <w:t>(27)</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1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1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C2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21" w14:textId="77777777" w:rsidR="005F762A" w:rsidRDefault="00D74111">
            <w:pPr>
              <w:jc w:val="right"/>
              <w:textAlignment w:val="bottom"/>
            </w:pPr>
            <w:r>
              <w:rPr>
                <w:rFonts w:ascii="Arial" w:eastAsia="宋体" w:hAnsi="Arial" w:cs="Arial"/>
                <w:color w:val="000000"/>
                <w:sz w:val="18"/>
                <w:szCs w:val="18"/>
              </w:rPr>
              <w:t>(65)</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22" w14:textId="77777777" w:rsidR="005F762A" w:rsidRDefault="005F762A">
            <w:pPr>
              <w:jc w:val="right"/>
              <w:rPr>
                <w:rFonts w:ascii="宋体"/>
              </w:rPr>
            </w:pPr>
          </w:p>
        </w:tc>
      </w:tr>
      <w:tr w:rsidR="005F762A" w14:paraId="7268EC30" w14:textId="77777777">
        <w:trPr>
          <w:jc w:val="center"/>
        </w:trPr>
        <w:tc>
          <w:tcPr>
            <w:tcW w:w="0" w:type="auto"/>
            <w:gridSpan w:val="3"/>
            <w:shd w:val="clear" w:color="auto" w:fill="FFFFFF"/>
            <w:tcMar>
              <w:top w:w="40" w:type="dxa"/>
              <w:left w:w="20" w:type="dxa"/>
              <w:bottom w:w="40" w:type="dxa"/>
              <w:right w:w="20" w:type="dxa"/>
            </w:tcMar>
            <w:vAlign w:val="bottom"/>
          </w:tcPr>
          <w:p w14:paraId="7268EC24" w14:textId="77777777" w:rsidR="005F762A" w:rsidRDefault="00D74111">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7268EC25" w14:textId="77777777" w:rsidR="005F762A" w:rsidRDefault="00D74111">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7268EC2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C2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C28" w14:textId="77777777" w:rsidR="005F762A" w:rsidRDefault="00D74111">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7268EC2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C2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C2B"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7268EC2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C2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C2E" w14:textId="77777777" w:rsidR="005F762A" w:rsidRDefault="00D74111">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7268EC2F" w14:textId="77777777" w:rsidR="005F762A" w:rsidRDefault="005F762A">
            <w:pPr>
              <w:jc w:val="right"/>
              <w:rPr>
                <w:rFonts w:ascii="宋体"/>
              </w:rPr>
            </w:pPr>
          </w:p>
        </w:tc>
      </w:tr>
      <w:tr w:rsidR="005F762A" w14:paraId="7268EC41" w14:textId="77777777">
        <w:trPr>
          <w:jc w:val="center"/>
        </w:trPr>
        <w:tc>
          <w:tcPr>
            <w:tcW w:w="0" w:type="auto"/>
            <w:gridSpan w:val="3"/>
            <w:shd w:val="clear" w:color="auto" w:fill="E2E2E2"/>
            <w:tcMar>
              <w:top w:w="40" w:type="dxa"/>
              <w:left w:w="20" w:type="dxa"/>
              <w:bottom w:w="40" w:type="dxa"/>
              <w:right w:w="20" w:type="dxa"/>
            </w:tcMar>
            <w:vAlign w:val="bottom"/>
          </w:tcPr>
          <w:p w14:paraId="7268EC31" w14:textId="77777777" w:rsidR="005F762A" w:rsidRDefault="00D74111">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3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33" w14:textId="77777777" w:rsidR="005F762A" w:rsidRDefault="00D74111">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3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35"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3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37" w14:textId="77777777" w:rsidR="005F762A" w:rsidRDefault="00D74111">
            <w:pPr>
              <w:jc w:val="right"/>
              <w:textAlignment w:val="bottom"/>
            </w:pPr>
            <w:r>
              <w:rPr>
                <w:rFonts w:ascii="Arial" w:eastAsia="宋体" w:hAnsi="Arial" w:cs="Arial"/>
                <w:color w:val="000000"/>
                <w:sz w:val="18"/>
                <w:szCs w:val="18"/>
              </w:rPr>
              <w:t>46 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3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39"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3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3B" w14:textId="77777777" w:rsidR="005F762A" w:rsidRDefault="00D74111">
            <w:pPr>
              <w:jc w:val="right"/>
              <w:textAlignment w:val="bottom"/>
            </w:pPr>
            <w:r>
              <w:rPr>
                <w:rFonts w:ascii="Arial" w:eastAsia="宋体" w:hAnsi="Arial" w:cs="Arial"/>
                <w:color w:val="000000"/>
                <w:sz w:val="18"/>
                <w:szCs w:val="18"/>
              </w:rPr>
              <w:t>(28)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3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3D"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3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3F" w14:textId="77777777" w:rsidR="005F762A" w:rsidRDefault="00D74111">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40" w14:textId="77777777" w:rsidR="005F762A" w:rsidRDefault="005F762A">
            <w:pPr>
              <w:jc w:val="right"/>
              <w:rPr>
                <w:rFonts w:ascii="宋体"/>
              </w:rPr>
            </w:pPr>
          </w:p>
        </w:tc>
      </w:tr>
    </w:tbl>
    <w:p w14:paraId="7268EC42" w14:textId="77777777" w:rsidR="005F762A" w:rsidRDefault="005F762A">
      <w:pPr>
        <w:jc w:val="both"/>
      </w:pPr>
    </w:p>
    <w:p w14:paraId="7268EC43" w14:textId="77777777" w:rsidR="005F762A" w:rsidRDefault="005F762A">
      <w:pPr>
        <w:jc w:val="center"/>
      </w:pPr>
    </w:p>
    <w:p w14:paraId="7268EC44" w14:textId="77777777" w:rsidR="005F762A" w:rsidRDefault="00D74111">
      <w:pPr>
        <w:jc w:val="center"/>
      </w:pPr>
      <w:r>
        <w:rPr>
          <w:rFonts w:ascii="Arial" w:eastAsia="宋体" w:hAnsi="Arial" w:cs="Arial"/>
          <w:color w:val="000000"/>
          <w:sz w:val="20"/>
          <w:szCs w:val="20"/>
        </w:rPr>
        <w:t>18</w:t>
      </w:r>
    </w:p>
    <w:p w14:paraId="7268EC45" w14:textId="77777777" w:rsidR="005F762A" w:rsidRDefault="00D74111">
      <w:r>
        <w:pict w14:anchorId="72690151">
          <v:rect id="_x0000_i1042" style="width:415.3pt;height:1.5pt" o:hralign="center" o:hrstd="t" o:hr="t" fillcolor="#a0a0a0" stroked="f"/>
        </w:pict>
      </w:r>
    </w:p>
    <w:p w14:paraId="7268EC46" w14:textId="77777777" w:rsidR="005F762A" w:rsidRDefault="005F762A">
      <w:pPr>
        <w:jc w:val="center"/>
      </w:pPr>
    </w:p>
    <w:p w14:paraId="7268EC47" w14:textId="77777777" w:rsidR="005F762A" w:rsidRDefault="00D74111">
      <w:pPr>
        <w:jc w:val="center"/>
      </w:pPr>
      <w:r>
        <w:rPr>
          <w:rFonts w:ascii="Arial" w:eastAsia="宋体" w:hAnsi="Arial" w:cs="Arial"/>
          <w:b/>
          <w:bCs/>
          <w:color w:val="000000"/>
          <w:sz w:val="20"/>
          <w:szCs w:val="20"/>
        </w:rPr>
        <w:t>eBay Inc.</w:t>
      </w:r>
    </w:p>
    <w:p w14:paraId="7268EC48"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7"/>
        <w:gridCol w:w="36"/>
        <w:gridCol w:w="36"/>
        <w:gridCol w:w="36"/>
        <w:gridCol w:w="36"/>
        <w:gridCol w:w="122"/>
        <w:gridCol w:w="1192"/>
        <w:gridCol w:w="36"/>
        <w:gridCol w:w="36"/>
        <w:gridCol w:w="36"/>
        <w:gridCol w:w="36"/>
        <w:gridCol w:w="122"/>
        <w:gridCol w:w="1119"/>
        <w:gridCol w:w="36"/>
      </w:tblGrid>
      <w:tr w:rsidR="005F762A" w14:paraId="7268EC61" w14:textId="77777777">
        <w:trPr>
          <w:jc w:val="center"/>
        </w:trPr>
        <w:tc>
          <w:tcPr>
            <w:tcW w:w="50" w:type="pct"/>
            <w:shd w:val="clear" w:color="auto" w:fill="auto"/>
          </w:tcPr>
          <w:p w14:paraId="7268EC49" w14:textId="77777777" w:rsidR="005F762A" w:rsidRDefault="005F762A">
            <w:pPr>
              <w:rPr>
                <w:rFonts w:ascii="宋体"/>
              </w:rPr>
            </w:pPr>
          </w:p>
        </w:tc>
        <w:tc>
          <w:tcPr>
            <w:tcW w:w="1531" w:type="pct"/>
            <w:shd w:val="clear" w:color="auto" w:fill="auto"/>
          </w:tcPr>
          <w:p w14:paraId="7268EC4A" w14:textId="77777777" w:rsidR="005F762A" w:rsidRDefault="005F762A">
            <w:pPr>
              <w:rPr>
                <w:rFonts w:ascii="宋体"/>
              </w:rPr>
            </w:pPr>
          </w:p>
        </w:tc>
        <w:tc>
          <w:tcPr>
            <w:tcW w:w="5" w:type="pct"/>
            <w:shd w:val="clear" w:color="auto" w:fill="auto"/>
          </w:tcPr>
          <w:p w14:paraId="7268EC4B" w14:textId="77777777" w:rsidR="005F762A" w:rsidRDefault="005F762A">
            <w:pPr>
              <w:rPr>
                <w:rFonts w:ascii="宋体"/>
              </w:rPr>
            </w:pPr>
          </w:p>
        </w:tc>
        <w:tc>
          <w:tcPr>
            <w:tcW w:w="50" w:type="pct"/>
            <w:shd w:val="clear" w:color="auto" w:fill="auto"/>
          </w:tcPr>
          <w:p w14:paraId="7268EC4C" w14:textId="77777777" w:rsidR="005F762A" w:rsidRDefault="005F762A">
            <w:pPr>
              <w:rPr>
                <w:rFonts w:ascii="宋体"/>
              </w:rPr>
            </w:pPr>
          </w:p>
        </w:tc>
        <w:tc>
          <w:tcPr>
            <w:tcW w:w="727" w:type="pct"/>
            <w:shd w:val="clear" w:color="auto" w:fill="auto"/>
          </w:tcPr>
          <w:p w14:paraId="7268EC4D" w14:textId="77777777" w:rsidR="005F762A" w:rsidRDefault="005F762A">
            <w:pPr>
              <w:rPr>
                <w:rFonts w:ascii="宋体"/>
              </w:rPr>
            </w:pPr>
          </w:p>
        </w:tc>
        <w:tc>
          <w:tcPr>
            <w:tcW w:w="5" w:type="pct"/>
            <w:shd w:val="clear" w:color="auto" w:fill="auto"/>
          </w:tcPr>
          <w:p w14:paraId="7268EC4E" w14:textId="77777777" w:rsidR="005F762A" w:rsidRDefault="005F762A">
            <w:pPr>
              <w:rPr>
                <w:rFonts w:ascii="宋体"/>
              </w:rPr>
            </w:pPr>
          </w:p>
        </w:tc>
        <w:tc>
          <w:tcPr>
            <w:tcW w:w="5" w:type="pct"/>
            <w:shd w:val="clear" w:color="auto" w:fill="auto"/>
          </w:tcPr>
          <w:p w14:paraId="7268EC4F" w14:textId="77777777" w:rsidR="005F762A" w:rsidRDefault="005F762A">
            <w:pPr>
              <w:rPr>
                <w:rFonts w:ascii="宋体"/>
              </w:rPr>
            </w:pPr>
          </w:p>
        </w:tc>
        <w:tc>
          <w:tcPr>
            <w:tcW w:w="26" w:type="pct"/>
            <w:shd w:val="clear" w:color="auto" w:fill="auto"/>
          </w:tcPr>
          <w:p w14:paraId="7268EC50" w14:textId="77777777" w:rsidR="005F762A" w:rsidRDefault="005F762A">
            <w:pPr>
              <w:rPr>
                <w:rFonts w:ascii="宋体"/>
              </w:rPr>
            </w:pPr>
          </w:p>
        </w:tc>
        <w:tc>
          <w:tcPr>
            <w:tcW w:w="5" w:type="pct"/>
            <w:shd w:val="clear" w:color="auto" w:fill="auto"/>
          </w:tcPr>
          <w:p w14:paraId="7268EC51" w14:textId="77777777" w:rsidR="005F762A" w:rsidRDefault="005F762A">
            <w:pPr>
              <w:rPr>
                <w:rFonts w:ascii="宋体"/>
              </w:rPr>
            </w:pPr>
          </w:p>
        </w:tc>
        <w:tc>
          <w:tcPr>
            <w:tcW w:w="50" w:type="pct"/>
            <w:shd w:val="clear" w:color="auto" w:fill="auto"/>
          </w:tcPr>
          <w:p w14:paraId="7268EC52" w14:textId="77777777" w:rsidR="005F762A" w:rsidRDefault="005F762A">
            <w:pPr>
              <w:rPr>
                <w:rFonts w:ascii="宋体"/>
              </w:rPr>
            </w:pPr>
          </w:p>
        </w:tc>
        <w:tc>
          <w:tcPr>
            <w:tcW w:w="858" w:type="pct"/>
            <w:shd w:val="clear" w:color="auto" w:fill="auto"/>
          </w:tcPr>
          <w:p w14:paraId="7268EC53" w14:textId="77777777" w:rsidR="005F762A" w:rsidRDefault="005F762A">
            <w:pPr>
              <w:rPr>
                <w:rFonts w:ascii="宋体"/>
              </w:rPr>
            </w:pPr>
          </w:p>
        </w:tc>
        <w:tc>
          <w:tcPr>
            <w:tcW w:w="5" w:type="pct"/>
            <w:shd w:val="clear" w:color="auto" w:fill="auto"/>
          </w:tcPr>
          <w:p w14:paraId="7268EC54" w14:textId="77777777" w:rsidR="005F762A" w:rsidRDefault="005F762A">
            <w:pPr>
              <w:rPr>
                <w:rFonts w:ascii="宋体"/>
              </w:rPr>
            </w:pPr>
          </w:p>
        </w:tc>
        <w:tc>
          <w:tcPr>
            <w:tcW w:w="5" w:type="pct"/>
            <w:shd w:val="clear" w:color="auto" w:fill="auto"/>
          </w:tcPr>
          <w:p w14:paraId="7268EC55" w14:textId="77777777" w:rsidR="005F762A" w:rsidRDefault="005F762A">
            <w:pPr>
              <w:rPr>
                <w:rFonts w:ascii="宋体"/>
              </w:rPr>
            </w:pPr>
          </w:p>
        </w:tc>
        <w:tc>
          <w:tcPr>
            <w:tcW w:w="26" w:type="pct"/>
            <w:shd w:val="clear" w:color="auto" w:fill="auto"/>
          </w:tcPr>
          <w:p w14:paraId="7268EC56" w14:textId="77777777" w:rsidR="005F762A" w:rsidRDefault="005F762A">
            <w:pPr>
              <w:rPr>
                <w:rFonts w:ascii="宋体"/>
              </w:rPr>
            </w:pPr>
          </w:p>
        </w:tc>
        <w:tc>
          <w:tcPr>
            <w:tcW w:w="5" w:type="pct"/>
            <w:shd w:val="clear" w:color="auto" w:fill="auto"/>
          </w:tcPr>
          <w:p w14:paraId="7268EC57" w14:textId="77777777" w:rsidR="005F762A" w:rsidRDefault="005F762A">
            <w:pPr>
              <w:rPr>
                <w:rFonts w:ascii="宋体"/>
              </w:rPr>
            </w:pPr>
          </w:p>
        </w:tc>
        <w:tc>
          <w:tcPr>
            <w:tcW w:w="50" w:type="pct"/>
            <w:shd w:val="clear" w:color="auto" w:fill="auto"/>
          </w:tcPr>
          <w:p w14:paraId="7268EC58" w14:textId="77777777" w:rsidR="005F762A" w:rsidRDefault="005F762A">
            <w:pPr>
              <w:rPr>
                <w:rFonts w:ascii="宋体"/>
              </w:rPr>
            </w:pPr>
          </w:p>
        </w:tc>
        <w:tc>
          <w:tcPr>
            <w:tcW w:w="771" w:type="pct"/>
            <w:shd w:val="clear" w:color="auto" w:fill="auto"/>
          </w:tcPr>
          <w:p w14:paraId="7268EC59" w14:textId="77777777" w:rsidR="005F762A" w:rsidRDefault="005F762A">
            <w:pPr>
              <w:rPr>
                <w:rFonts w:ascii="宋体"/>
              </w:rPr>
            </w:pPr>
          </w:p>
        </w:tc>
        <w:tc>
          <w:tcPr>
            <w:tcW w:w="5" w:type="pct"/>
            <w:shd w:val="clear" w:color="auto" w:fill="auto"/>
          </w:tcPr>
          <w:p w14:paraId="7268EC5A" w14:textId="77777777" w:rsidR="005F762A" w:rsidRDefault="005F762A">
            <w:pPr>
              <w:rPr>
                <w:rFonts w:ascii="宋体"/>
              </w:rPr>
            </w:pPr>
          </w:p>
        </w:tc>
        <w:tc>
          <w:tcPr>
            <w:tcW w:w="5" w:type="pct"/>
            <w:shd w:val="clear" w:color="auto" w:fill="auto"/>
          </w:tcPr>
          <w:p w14:paraId="7268EC5B" w14:textId="77777777" w:rsidR="005F762A" w:rsidRDefault="005F762A">
            <w:pPr>
              <w:rPr>
                <w:rFonts w:ascii="宋体"/>
              </w:rPr>
            </w:pPr>
          </w:p>
        </w:tc>
        <w:tc>
          <w:tcPr>
            <w:tcW w:w="26" w:type="pct"/>
            <w:shd w:val="clear" w:color="auto" w:fill="auto"/>
          </w:tcPr>
          <w:p w14:paraId="7268EC5C" w14:textId="77777777" w:rsidR="005F762A" w:rsidRDefault="005F762A">
            <w:pPr>
              <w:rPr>
                <w:rFonts w:ascii="宋体"/>
              </w:rPr>
            </w:pPr>
          </w:p>
        </w:tc>
        <w:tc>
          <w:tcPr>
            <w:tcW w:w="5" w:type="pct"/>
            <w:shd w:val="clear" w:color="auto" w:fill="auto"/>
          </w:tcPr>
          <w:p w14:paraId="7268EC5D" w14:textId="77777777" w:rsidR="005F762A" w:rsidRDefault="005F762A">
            <w:pPr>
              <w:rPr>
                <w:rFonts w:ascii="宋体"/>
              </w:rPr>
            </w:pPr>
          </w:p>
        </w:tc>
        <w:tc>
          <w:tcPr>
            <w:tcW w:w="50" w:type="pct"/>
            <w:shd w:val="clear" w:color="auto" w:fill="auto"/>
          </w:tcPr>
          <w:p w14:paraId="7268EC5E" w14:textId="77777777" w:rsidR="005F762A" w:rsidRDefault="005F762A">
            <w:pPr>
              <w:rPr>
                <w:rFonts w:ascii="宋体"/>
              </w:rPr>
            </w:pPr>
          </w:p>
        </w:tc>
        <w:tc>
          <w:tcPr>
            <w:tcW w:w="727" w:type="pct"/>
            <w:shd w:val="clear" w:color="auto" w:fill="auto"/>
          </w:tcPr>
          <w:p w14:paraId="7268EC5F" w14:textId="77777777" w:rsidR="005F762A" w:rsidRDefault="005F762A">
            <w:pPr>
              <w:rPr>
                <w:rFonts w:ascii="宋体"/>
              </w:rPr>
            </w:pPr>
          </w:p>
        </w:tc>
        <w:tc>
          <w:tcPr>
            <w:tcW w:w="5" w:type="pct"/>
            <w:shd w:val="clear" w:color="auto" w:fill="auto"/>
          </w:tcPr>
          <w:p w14:paraId="7268EC60" w14:textId="77777777" w:rsidR="005F762A" w:rsidRDefault="005F762A">
            <w:pPr>
              <w:rPr>
                <w:rFonts w:ascii="宋体"/>
              </w:rPr>
            </w:pPr>
          </w:p>
        </w:tc>
      </w:tr>
      <w:tr w:rsidR="005F762A" w14:paraId="7268EC6D" w14:textId="77777777">
        <w:trPr>
          <w:jc w:val="center"/>
        </w:trPr>
        <w:tc>
          <w:tcPr>
            <w:tcW w:w="0" w:type="auto"/>
            <w:gridSpan w:val="3"/>
            <w:shd w:val="clear" w:color="auto" w:fill="auto"/>
            <w:tcMar>
              <w:top w:w="40" w:type="dxa"/>
              <w:left w:w="20" w:type="dxa"/>
              <w:bottom w:w="40" w:type="dxa"/>
              <w:right w:w="20" w:type="dxa"/>
            </w:tcMar>
            <w:vAlign w:val="bottom"/>
          </w:tcPr>
          <w:p w14:paraId="7268EC62"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EC63" w14:textId="77777777" w:rsidR="005F762A" w:rsidRDefault="00D74111">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top w:w="0" w:type="dxa"/>
              <w:left w:w="20" w:type="dxa"/>
              <w:bottom w:w="0" w:type="dxa"/>
              <w:right w:w="20" w:type="dxa"/>
            </w:tcMar>
          </w:tcPr>
          <w:p w14:paraId="7268EC64"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C65" w14:textId="77777777" w:rsidR="005F762A" w:rsidRDefault="00D74111">
            <w:pPr>
              <w:jc w:val="center"/>
              <w:textAlignment w:val="bottom"/>
            </w:pPr>
            <w:r>
              <w:rPr>
                <w:rFonts w:ascii="Arial" w:eastAsia="宋体" w:hAnsi="Arial" w:cs="Arial"/>
                <w:b/>
                <w:bCs/>
                <w:color w:val="000000"/>
                <w:sz w:val="16"/>
                <w:szCs w:val="16"/>
              </w:rPr>
              <w:t>Amount of Gain (Loss)</w:t>
            </w:r>
          </w:p>
          <w:p w14:paraId="7268EC66" w14:textId="77777777" w:rsidR="005F762A" w:rsidRDefault="00D74111">
            <w:pPr>
              <w:jc w:val="center"/>
              <w:textAlignment w:val="bottom"/>
            </w:pPr>
            <w:r>
              <w:rPr>
                <w:rFonts w:ascii="Arial" w:eastAsia="宋体" w:hAnsi="Arial" w:cs="Arial"/>
                <w:b/>
                <w:bCs/>
                <w:color w:val="000000"/>
                <w:sz w:val="16"/>
                <w:szCs w:val="16"/>
              </w:rPr>
              <w:t>Recognized in Other</w:t>
            </w:r>
          </w:p>
          <w:p w14:paraId="7268EC67" w14:textId="77777777" w:rsidR="005F762A" w:rsidRDefault="00D74111">
            <w:pPr>
              <w:jc w:val="center"/>
              <w:textAlignment w:val="bottom"/>
            </w:pPr>
            <w:r>
              <w:rPr>
                <w:rFonts w:ascii="Arial" w:eastAsia="宋体" w:hAnsi="Arial" w:cs="Arial"/>
                <w:b/>
                <w:bCs/>
                <w:color w:val="000000"/>
                <w:sz w:val="16"/>
                <w:szCs w:val="16"/>
              </w:rPr>
              <w:t>Comprehensive </w:t>
            </w:r>
          </w:p>
          <w:p w14:paraId="7268EC68" w14:textId="77777777" w:rsidR="005F762A" w:rsidRDefault="00D74111">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tcPr>
          <w:p w14:paraId="7268EC6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C6A" w14:textId="77777777" w:rsidR="005F762A" w:rsidRDefault="00D74111">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tcPr>
          <w:p w14:paraId="7268EC6B"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EC6C" w14:textId="77777777" w:rsidR="005F762A" w:rsidRDefault="00D74111">
            <w:pPr>
              <w:jc w:val="center"/>
              <w:textAlignment w:val="bottom"/>
            </w:pPr>
            <w:r>
              <w:rPr>
                <w:rFonts w:ascii="Arial" w:eastAsia="宋体" w:hAnsi="Arial" w:cs="Arial"/>
                <w:b/>
                <w:bCs/>
                <w:color w:val="000000"/>
                <w:sz w:val="16"/>
                <w:szCs w:val="16"/>
              </w:rPr>
              <w:t>March 31, 2020</w:t>
            </w:r>
          </w:p>
        </w:tc>
      </w:tr>
      <w:tr w:rsidR="005F762A" w14:paraId="7268EC7E" w14:textId="77777777">
        <w:trPr>
          <w:jc w:val="center"/>
        </w:trPr>
        <w:tc>
          <w:tcPr>
            <w:tcW w:w="0" w:type="auto"/>
            <w:gridSpan w:val="3"/>
            <w:shd w:val="clear" w:color="auto" w:fill="E2E2E2"/>
            <w:tcMar>
              <w:top w:w="40" w:type="dxa"/>
              <w:left w:w="20" w:type="dxa"/>
              <w:bottom w:w="40" w:type="dxa"/>
              <w:right w:w="20" w:type="dxa"/>
            </w:tcMar>
            <w:vAlign w:val="bottom"/>
          </w:tcPr>
          <w:p w14:paraId="7268EC6E" w14:textId="77777777" w:rsidR="005F762A" w:rsidRDefault="00D74111">
            <w:pPr>
              <w:textAlignment w:val="bottom"/>
            </w:pPr>
            <w:r>
              <w:rPr>
                <w:rFonts w:ascii="Arial" w:eastAsia="宋体" w:hAnsi="Arial" w:cs="Arial"/>
                <w:color w:val="000000"/>
                <w:sz w:val="18"/>
                <w:szCs w:val="18"/>
              </w:rPr>
              <w:t xml:space="preserve">Foreign exchange contracts designated as cash </w:t>
            </w:r>
            <w:r>
              <w:rPr>
                <w:rFonts w:ascii="Arial" w:eastAsia="宋体" w:hAnsi="Arial" w:cs="Arial"/>
                <w:color w:val="000000"/>
                <w:sz w:val="18"/>
                <w:szCs w:val="18"/>
              </w:rPr>
              <w:t>flow hedges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6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70" w14:textId="77777777" w:rsidR="005F762A" w:rsidRDefault="00D74111">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7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72"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7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74" w14:textId="77777777" w:rsidR="005F762A" w:rsidRDefault="00D74111">
            <w:pPr>
              <w:jc w:val="right"/>
              <w:textAlignment w:val="bottom"/>
            </w:pPr>
            <w:r>
              <w:rPr>
                <w:rFonts w:ascii="Arial" w:eastAsia="宋体" w:hAnsi="Arial" w:cs="Arial"/>
                <w:color w:val="000000"/>
                <w:sz w:val="18"/>
                <w:szCs w:val="18"/>
              </w:rPr>
              <w:t>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7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76"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7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78"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7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7A"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C7B"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C7C" w14:textId="77777777" w:rsidR="005F762A" w:rsidRDefault="00D74111">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C7D" w14:textId="77777777" w:rsidR="005F762A" w:rsidRDefault="005F762A">
            <w:pPr>
              <w:jc w:val="right"/>
              <w:rPr>
                <w:rFonts w:ascii="宋体"/>
              </w:rPr>
            </w:pPr>
          </w:p>
        </w:tc>
      </w:tr>
      <w:tr w:rsidR="005F762A" w14:paraId="7268EC87" w14:textId="77777777">
        <w:trPr>
          <w:jc w:val="center"/>
          <w:hidden/>
        </w:trPr>
        <w:tc>
          <w:tcPr>
            <w:tcW w:w="0" w:type="auto"/>
            <w:gridSpan w:val="3"/>
            <w:shd w:val="clear" w:color="auto" w:fill="auto"/>
          </w:tcPr>
          <w:p w14:paraId="7268EC7F" w14:textId="77777777" w:rsidR="005F762A" w:rsidRDefault="005F762A">
            <w:pPr>
              <w:rPr>
                <w:rFonts w:ascii="宋体"/>
                <w:vanish/>
              </w:rPr>
            </w:pPr>
          </w:p>
        </w:tc>
        <w:tc>
          <w:tcPr>
            <w:tcW w:w="0" w:type="auto"/>
            <w:gridSpan w:val="3"/>
            <w:shd w:val="clear" w:color="auto" w:fill="auto"/>
          </w:tcPr>
          <w:p w14:paraId="7268EC80" w14:textId="77777777" w:rsidR="005F762A" w:rsidRDefault="005F762A">
            <w:pPr>
              <w:rPr>
                <w:rFonts w:ascii="宋体"/>
                <w:vanish/>
              </w:rPr>
            </w:pPr>
          </w:p>
        </w:tc>
        <w:tc>
          <w:tcPr>
            <w:tcW w:w="0" w:type="auto"/>
            <w:gridSpan w:val="3"/>
            <w:shd w:val="clear" w:color="auto" w:fill="auto"/>
          </w:tcPr>
          <w:p w14:paraId="7268EC81" w14:textId="77777777" w:rsidR="005F762A" w:rsidRDefault="005F762A">
            <w:pPr>
              <w:rPr>
                <w:rFonts w:ascii="宋体"/>
                <w:vanish/>
              </w:rPr>
            </w:pPr>
          </w:p>
        </w:tc>
        <w:tc>
          <w:tcPr>
            <w:tcW w:w="0" w:type="auto"/>
            <w:gridSpan w:val="3"/>
            <w:shd w:val="clear" w:color="auto" w:fill="auto"/>
          </w:tcPr>
          <w:p w14:paraId="7268EC82" w14:textId="77777777" w:rsidR="005F762A" w:rsidRDefault="005F762A">
            <w:pPr>
              <w:rPr>
                <w:rFonts w:ascii="宋体"/>
                <w:vanish/>
              </w:rPr>
            </w:pPr>
          </w:p>
        </w:tc>
        <w:tc>
          <w:tcPr>
            <w:tcW w:w="0" w:type="auto"/>
            <w:gridSpan w:val="3"/>
            <w:shd w:val="clear" w:color="auto" w:fill="auto"/>
          </w:tcPr>
          <w:p w14:paraId="7268EC83" w14:textId="77777777" w:rsidR="005F762A" w:rsidRDefault="005F762A">
            <w:pPr>
              <w:rPr>
                <w:rFonts w:ascii="宋体"/>
                <w:vanish/>
              </w:rPr>
            </w:pPr>
          </w:p>
        </w:tc>
        <w:tc>
          <w:tcPr>
            <w:tcW w:w="0" w:type="auto"/>
            <w:gridSpan w:val="3"/>
            <w:shd w:val="clear" w:color="auto" w:fill="auto"/>
          </w:tcPr>
          <w:p w14:paraId="7268EC84" w14:textId="77777777" w:rsidR="005F762A" w:rsidRDefault="005F762A">
            <w:pPr>
              <w:rPr>
                <w:rFonts w:ascii="宋体"/>
                <w:vanish/>
              </w:rPr>
            </w:pPr>
          </w:p>
        </w:tc>
        <w:tc>
          <w:tcPr>
            <w:tcW w:w="0" w:type="auto"/>
            <w:gridSpan w:val="3"/>
            <w:shd w:val="clear" w:color="auto" w:fill="auto"/>
          </w:tcPr>
          <w:p w14:paraId="7268EC85" w14:textId="77777777" w:rsidR="005F762A" w:rsidRDefault="005F762A">
            <w:pPr>
              <w:rPr>
                <w:rFonts w:ascii="宋体"/>
                <w:vanish/>
              </w:rPr>
            </w:pPr>
          </w:p>
        </w:tc>
        <w:tc>
          <w:tcPr>
            <w:tcW w:w="0" w:type="auto"/>
            <w:gridSpan w:val="3"/>
            <w:shd w:val="clear" w:color="auto" w:fill="auto"/>
          </w:tcPr>
          <w:p w14:paraId="7268EC86" w14:textId="77777777" w:rsidR="005F762A" w:rsidRDefault="005F762A">
            <w:pPr>
              <w:rPr>
                <w:rFonts w:ascii="宋体"/>
                <w:vanish/>
              </w:rPr>
            </w:pPr>
          </w:p>
        </w:tc>
      </w:tr>
      <w:tr w:rsidR="005F762A" w14:paraId="7268EC90" w14:textId="77777777">
        <w:trPr>
          <w:jc w:val="center"/>
          <w:hidden/>
        </w:trPr>
        <w:tc>
          <w:tcPr>
            <w:tcW w:w="0" w:type="auto"/>
            <w:gridSpan w:val="3"/>
            <w:shd w:val="clear" w:color="auto" w:fill="auto"/>
          </w:tcPr>
          <w:p w14:paraId="7268EC88" w14:textId="77777777" w:rsidR="005F762A" w:rsidRDefault="005F762A">
            <w:pPr>
              <w:rPr>
                <w:rFonts w:ascii="宋体"/>
                <w:vanish/>
              </w:rPr>
            </w:pPr>
          </w:p>
        </w:tc>
        <w:tc>
          <w:tcPr>
            <w:tcW w:w="0" w:type="auto"/>
            <w:gridSpan w:val="3"/>
            <w:shd w:val="clear" w:color="auto" w:fill="auto"/>
          </w:tcPr>
          <w:p w14:paraId="7268EC89" w14:textId="77777777" w:rsidR="005F762A" w:rsidRDefault="005F762A">
            <w:pPr>
              <w:rPr>
                <w:rFonts w:ascii="宋体"/>
                <w:vanish/>
              </w:rPr>
            </w:pPr>
          </w:p>
        </w:tc>
        <w:tc>
          <w:tcPr>
            <w:tcW w:w="0" w:type="auto"/>
            <w:gridSpan w:val="3"/>
            <w:shd w:val="clear" w:color="auto" w:fill="auto"/>
          </w:tcPr>
          <w:p w14:paraId="7268EC8A" w14:textId="77777777" w:rsidR="005F762A" w:rsidRDefault="005F762A">
            <w:pPr>
              <w:rPr>
                <w:rFonts w:ascii="宋体"/>
                <w:vanish/>
              </w:rPr>
            </w:pPr>
          </w:p>
        </w:tc>
        <w:tc>
          <w:tcPr>
            <w:tcW w:w="0" w:type="auto"/>
            <w:gridSpan w:val="3"/>
            <w:shd w:val="clear" w:color="auto" w:fill="auto"/>
          </w:tcPr>
          <w:p w14:paraId="7268EC8B" w14:textId="77777777" w:rsidR="005F762A" w:rsidRDefault="005F762A">
            <w:pPr>
              <w:rPr>
                <w:rFonts w:ascii="宋体"/>
                <w:vanish/>
              </w:rPr>
            </w:pPr>
          </w:p>
        </w:tc>
        <w:tc>
          <w:tcPr>
            <w:tcW w:w="0" w:type="auto"/>
            <w:gridSpan w:val="3"/>
            <w:shd w:val="clear" w:color="auto" w:fill="auto"/>
          </w:tcPr>
          <w:p w14:paraId="7268EC8C" w14:textId="77777777" w:rsidR="005F762A" w:rsidRDefault="005F762A">
            <w:pPr>
              <w:rPr>
                <w:rFonts w:ascii="宋体"/>
                <w:vanish/>
              </w:rPr>
            </w:pPr>
          </w:p>
        </w:tc>
        <w:tc>
          <w:tcPr>
            <w:tcW w:w="0" w:type="auto"/>
            <w:gridSpan w:val="3"/>
            <w:shd w:val="clear" w:color="auto" w:fill="auto"/>
          </w:tcPr>
          <w:p w14:paraId="7268EC8D" w14:textId="77777777" w:rsidR="005F762A" w:rsidRDefault="005F762A">
            <w:pPr>
              <w:rPr>
                <w:rFonts w:ascii="宋体"/>
                <w:vanish/>
              </w:rPr>
            </w:pPr>
          </w:p>
        </w:tc>
        <w:tc>
          <w:tcPr>
            <w:tcW w:w="0" w:type="auto"/>
            <w:gridSpan w:val="3"/>
            <w:shd w:val="clear" w:color="auto" w:fill="auto"/>
          </w:tcPr>
          <w:p w14:paraId="7268EC8E" w14:textId="77777777" w:rsidR="005F762A" w:rsidRDefault="005F762A">
            <w:pPr>
              <w:rPr>
                <w:rFonts w:ascii="宋体"/>
                <w:vanish/>
              </w:rPr>
            </w:pPr>
          </w:p>
        </w:tc>
        <w:tc>
          <w:tcPr>
            <w:tcW w:w="0" w:type="auto"/>
            <w:gridSpan w:val="3"/>
            <w:shd w:val="clear" w:color="auto" w:fill="auto"/>
          </w:tcPr>
          <w:p w14:paraId="7268EC8F" w14:textId="77777777" w:rsidR="005F762A" w:rsidRDefault="005F762A">
            <w:pPr>
              <w:rPr>
                <w:rFonts w:ascii="宋体"/>
                <w:vanish/>
              </w:rPr>
            </w:pPr>
          </w:p>
        </w:tc>
      </w:tr>
    </w:tbl>
    <w:p w14:paraId="7268EC91" w14:textId="77777777" w:rsidR="005F762A" w:rsidRDefault="005F762A">
      <w:pPr>
        <w:jc w:val="center"/>
      </w:pPr>
    </w:p>
    <w:p w14:paraId="7268EC92" w14:textId="77777777" w:rsidR="005F762A" w:rsidRDefault="00D74111">
      <w:r>
        <w:rPr>
          <w:rFonts w:ascii="Arial" w:eastAsia="宋体" w:hAnsi="Arial" w:cs="Arial"/>
          <w:b/>
          <w:bCs/>
          <w:i/>
          <w:iCs/>
          <w:color w:val="000000"/>
          <w:sz w:val="20"/>
          <w:szCs w:val="20"/>
        </w:rPr>
        <w:t xml:space="preserve">Effect of Derivative Contracts on </w:t>
      </w:r>
      <w:r>
        <w:rPr>
          <w:rFonts w:ascii="Arial" w:eastAsia="宋体" w:hAnsi="Arial" w:cs="Arial"/>
          <w:b/>
          <w:bCs/>
          <w:i/>
          <w:iCs/>
          <w:color w:val="000000"/>
          <w:sz w:val="20"/>
          <w:szCs w:val="20"/>
        </w:rPr>
        <w:t>Condensed Consolidated Statement of Income</w:t>
      </w:r>
    </w:p>
    <w:p w14:paraId="7268EC93" w14:textId="77777777" w:rsidR="005F762A" w:rsidRDefault="005F762A">
      <w:pPr>
        <w:ind w:firstLine="495"/>
      </w:pPr>
    </w:p>
    <w:p w14:paraId="7268EC94" w14:textId="77777777" w:rsidR="005F762A" w:rsidRDefault="00D74111">
      <w:pPr>
        <w:spacing w:after="120"/>
        <w:ind w:firstLine="540"/>
      </w:pPr>
      <w:r>
        <w:rPr>
          <w:rFonts w:ascii="Arial" w:eastAsia="宋体" w:hAnsi="Arial" w:cs="Arial"/>
          <w:color w:val="000000"/>
          <w:sz w:val="20"/>
          <w:szCs w:val="20"/>
        </w:rPr>
        <w:t>The following table provides a summary of the total gain (loss) recognized in the condensed consolidated statement of income from our foreign exchange 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41"/>
        <w:gridCol w:w="37"/>
        <w:gridCol w:w="36"/>
        <w:gridCol w:w="46"/>
        <w:gridCol w:w="36"/>
        <w:gridCol w:w="36"/>
        <w:gridCol w:w="36"/>
        <w:gridCol w:w="36"/>
        <w:gridCol w:w="121"/>
        <w:gridCol w:w="785"/>
        <w:gridCol w:w="36"/>
        <w:gridCol w:w="36"/>
        <w:gridCol w:w="36"/>
        <w:gridCol w:w="36"/>
        <w:gridCol w:w="122"/>
        <w:gridCol w:w="786"/>
        <w:gridCol w:w="36"/>
      </w:tblGrid>
      <w:tr w:rsidR="005F762A" w14:paraId="7268ECA7" w14:textId="77777777">
        <w:trPr>
          <w:jc w:val="center"/>
        </w:trPr>
        <w:tc>
          <w:tcPr>
            <w:tcW w:w="50" w:type="pct"/>
            <w:shd w:val="clear" w:color="auto" w:fill="auto"/>
          </w:tcPr>
          <w:p w14:paraId="7268EC95" w14:textId="77777777" w:rsidR="005F762A" w:rsidRDefault="005F762A">
            <w:pPr>
              <w:rPr>
                <w:rFonts w:ascii="宋体"/>
              </w:rPr>
            </w:pPr>
          </w:p>
        </w:tc>
        <w:tc>
          <w:tcPr>
            <w:tcW w:w="3702" w:type="pct"/>
            <w:shd w:val="clear" w:color="auto" w:fill="auto"/>
          </w:tcPr>
          <w:p w14:paraId="7268EC96" w14:textId="77777777" w:rsidR="005F762A" w:rsidRDefault="005F762A">
            <w:pPr>
              <w:rPr>
                <w:rFonts w:ascii="宋体"/>
              </w:rPr>
            </w:pPr>
          </w:p>
        </w:tc>
        <w:tc>
          <w:tcPr>
            <w:tcW w:w="5" w:type="pct"/>
            <w:shd w:val="clear" w:color="auto" w:fill="auto"/>
          </w:tcPr>
          <w:p w14:paraId="7268EC97" w14:textId="77777777" w:rsidR="005F762A" w:rsidRDefault="005F762A">
            <w:pPr>
              <w:rPr>
                <w:rFonts w:ascii="宋体"/>
              </w:rPr>
            </w:pPr>
          </w:p>
        </w:tc>
        <w:tc>
          <w:tcPr>
            <w:tcW w:w="0" w:type="auto"/>
            <w:shd w:val="clear" w:color="auto" w:fill="auto"/>
          </w:tcPr>
          <w:p w14:paraId="7268EC98" w14:textId="77777777" w:rsidR="005F762A" w:rsidRDefault="005F762A">
            <w:pPr>
              <w:rPr>
                <w:rFonts w:ascii="宋体"/>
                <w:vanish/>
              </w:rPr>
            </w:pPr>
          </w:p>
        </w:tc>
        <w:tc>
          <w:tcPr>
            <w:tcW w:w="0" w:type="auto"/>
            <w:shd w:val="clear" w:color="auto" w:fill="auto"/>
          </w:tcPr>
          <w:p w14:paraId="7268EC99" w14:textId="77777777" w:rsidR="005F762A" w:rsidRDefault="005F762A">
            <w:pPr>
              <w:rPr>
                <w:rFonts w:ascii="宋体"/>
                <w:vanish/>
              </w:rPr>
            </w:pPr>
          </w:p>
        </w:tc>
        <w:tc>
          <w:tcPr>
            <w:tcW w:w="0" w:type="auto"/>
            <w:shd w:val="clear" w:color="auto" w:fill="auto"/>
          </w:tcPr>
          <w:p w14:paraId="7268EC9A" w14:textId="77777777" w:rsidR="005F762A" w:rsidRDefault="005F762A">
            <w:pPr>
              <w:rPr>
                <w:rFonts w:ascii="宋体"/>
                <w:vanish/>
              </w:rPr>
            </w:pPr>
          </w:p>
        </w:tc>
        <w:tc>
          <w:tcPr>
            <w:tcW w:w="5" w:type="pct"/>
            <w:shd w:val="clear" w:color="auto" w:fill="auto"/>
          </w:tcPr>
          <w:p w14:paraId="7268EC9B" w14:textId="77777777" w:rsidR="005F762A" w:rsidRDefault="005F762A">
            <w:pPr>
              <w:rPr>
                <w:rFonts w:ascii="宋体"/>
              </w:rPr>
            </w:pPr>
          </w:p>
        </w:tc>
        <w:tc>
          <w:tcPr>
            <w:tcW w:w="26" w:type="pct"/>
            <w:shd w:val="clear" w:color="auto" w:fill="auto"/>
          </w:tcPr>
          <w:p w14:paraId="7268EC9C" w14:textId="77777777" w:rsidR="005F762A" w:rsidRDefault="005F762A">
            <w:pPr>
              <w:rPr>
                <w:rFonts w:ascii="宋体"/>
              </w:rPr>
            </w:pPr>
          </w:p>
        </w:tc>
        <w:tc>
          <w:tcPr>
            <w:tcW w:w="5" w:type="pct"/>
            <w:shd w:val="clear" w:color="auto" w:fill="auto"/>
          </w:tcPr>
          <w:p w14:paraId="7268EC9D" w14:textId="77777777" w:rsidR="005F762A" w:rsidRDefault="005F762A">
            <w:pPr>
              <w:rPr>
                <w:rFonts w:ascii="宋体"/>
              </w:rPr>
            </w:pPr>
          </w:p>
        </w:tc>
        <w:tc>
          <w:tcPr>
            <w:tcW w:w="50" w:type="pct"/>
            <w:shd w:val="clear" w:color="auto" w:fill="auto"/>
          </w:tcPr>
          <w:p w14:paraId="7268EC9E" w14:textId="77777777" w:rsidR="005F762A" w:rsidRDefault="005F762A">
            <w:pPr>
              <w:rPr>
                <w:rFonts w:ascii="宋体"/>
              </w:rPr>
            </w:pPr>
          </w:p>
        </w:tc>
        <w:tc>
          <w:tcPr>
            <w:tcW w:w="529" w:type="pct"/>
            <w:shd w:val="clear" w:color="auto" w:fill="auto"/>
          </w:tcPr>
          <w:p w14:paraId="7268EC9F" w14:textId="77777777" w:rsidR="005F762A" w:rsidRDefault="005F762A">
            <w:pPr>
              <w:rPr>
                <w:rFonts w:ascii="宋体"/>
              </w:rPr>
            </w:pPr>
          </w:p>
        </w:tc>
        <w:tc>
          <w:tcPr>
            <w:tcW w:w="5" w:type="pct"/>
            <w:shd w:val="clear" w:color="auto" w:fill="auto"/>
          </w:tcPr>
          <w:p w14:paraId="7268ECA0" w14:textId="77777777" w:rsidR="005F762A" w:rsidRDefault="005F762A">
            <w:pPr>
              <w:rPr>
                <w:rFonts w:ascii="宋体"/>
              </w:rPr>
            </w:pPr>
          </w:p>
        </w:tc>
        <w:tc>
          <w:tcPr>
            <w:tcW w:w="5" w:type="pct"/>
            <w:shd w:val="clear" w:color="auto" w:fill="auto"/>
          </w:tcPr>
          <w:p w14:paraId="7268ECA1" w14:textId="77777777" w:rsidR="005F762A" w:rsidRDefault="005F762A">
            <w:pPr>
              <w:rPr>
                <w:rFonts w:ascii="宋体"/>
              </w:rPr>
            </w:pPr>
          </w:p>
        </w:tc>
        <w:tc>
          <w:tcPr>
            <w:tcW w:w="26" w:type="pct"/>
            <w:shd w:val="clear" w:color="auto" w:fill="auto"/>
          </w:tcPr>
          <w:p w14:paraId="7268ECA2" w14:textId="77777777" w:rsidR="005F762A" w:rsidRDefault="005F762A">
            <w:pPr>
              <w:rPr>
                <w:rFonts w:ascii="宋体"/>
              </w:rPr>
            </w:pPr>
          </w:p>
        </w:tc>
        <w:tc>
          <w:tcPr>
            <w:tcW w:w="5" w:type="pct"/>
            <w:shd w:val="clear" w:color="auto" w:fill="auto"/>
          </w:tcPr>
          <w:p w14:paraId="7268ECA3" w14:textId="77777777" w:rsidR="005F762A" w:rsidRDefault="005F762A">
            <w:pPr>
              <w:rPr>
                <w:rFonts w:ascii="宋体"/>
              </w:rPr>
            </w:pPr>
          </w:p>
        </w:tc>
        <w:tc>
          <w:tcPr>
            <w:tcW w:w="50" w:type="pct"/>
            <w:shd w:val="clear" w:color="auto" w:fill="auto"/>
          </w:tcPr>
          <w:p w14:paraId="7268ECA4" w14:textId="77777777" w:rsidR="005F762A" w:rsidRDefault="005F762A">
            <w:pPr>
              <w:rPr>
                <w:rFonts w:ascii="宋体"/>
              </w:rPr>
            </w:pPr>
          </w:p>
        </w:tc>
        <w:tc>
          <w:tcPr>
            <w:tcW w:w="529" w:type="pct"/>
            <w:shd w:val="clear" w:color="auto" w:fill="auto"/>
          </w:tcPr>
          <w:p w14:paraId="7268ECA5" w14:textId="77777777" w:rsidR="005F762A" w:rsidRDefault="005F762A">
            <w:pPr>
              <w:rPr>
                <w:rFonts w:ascii="宋体"/>
              </w:rPr>
            </w:pPr>
          </w:p>
        </w:tc>
        <w:tc>
          <w:tcPr>
            <w:tcW w:w="5" w:type="pct"/>
            <w:shd w:val="clear" w:color="auto" w:fill="auto"/>
          </w:tcPr>
          <w:p w14:paraId="7268ECA6" w14:textId="77777777" w:rsidR="005F762A" w:rsidRDefault="005F762A">
            <w:pPr>
              <w:rPr>
                <w:rFonts w:ascii="宋体"/>
              </w:rPr>
            </w:pPr>
          </w:p>
        </w:tc>
      </w:tr>
      <w:tr w:rsidR="005F762A" w14:paraId="7268ECB2" w14:textId="77777777">
        <w:trPr>
          <w:jc w:val="center"/>
        </w:trPr>
        <w:tc>
          <w:tcPr>
            <w:tcW w:w="0" w:type="auto"/>
            <w:gridSpan w:val="3"/>
            <w:shd w:val="clear" w:color="auto" w:fill="auto"/>
            <w:tcMar>
              <w:top w:w="0" w:type="dxa"/>
              <w:left w:w="20" w:type="dxa"/>
              <w:bottom w:w="0" w:type="dxa"/>
              <w:right w:w="20" w:type="dxa"/>
            </w:tcMar>
          </w:tcPr>
          <w:p w14:paraId="7268ECA8" w14:textId="77777777" w:rsidR="005F762A" w:rsidRDefault="005F762A">
            <w:pPr>
              <w:rPr>
                <w:rFonts w:ascii="宋体"/>
              </w:rPr>
            </w:pPr>
          </w:p>
        </w:tc>
        <w:tc>
          <w:tcPr>
            <w:tcW w:w="0" w:type="auto"/>
            <w:shd w:val="clear" w:color="auto" w:fill="auto"/>
          </w:tcPr>
          <w:p w14:paraId="7268ECA9"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CAA"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CAB"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CAC" w14:textId="77777777" w:rsidR="005F762A" w:rsidRDefault="005F762A">
            <w:pPr>
              <w:rPr>
                <w:rFonts w:ascii="宋体"/>
              </w:rPr>
            </w:pPr>
          </w:p>
        </w:tc>
        <w:tc>
          <w:tcPr>
            <w:tcW w:w="0" w:type="auto"/>
            <w:shd w:val="clear" w:color="auto" w:fill="auto"/>
          </w:tcPr>
          <w:p w14:paraId="7268ECAD" w14:textId="77777777" w:rsidR="005F762A" w:rsidRDefault="005F762A">
            <w:pPr>
              <w:rPr>
                <w:rFonts w:ascii="宋体"/>
              </w:rPr>
            </w:pPr>
          </w:p>
        </w:tc>
        <w:tc>
          <w:tcPr>
            <w:tcW w:w="0" w:type="auto"/>
            <w:shd w:val="clear" w:color="auto" w:fill="auto"/>
          </w:tcPr>
          <w:p w14:paraId="7268ECAE" w14:textId="77777777" w:rsidR="005F762A" w:rsidRDefault="005F762A">
            <w:pPr>
              <w:rPr>
                <w:rFonts w:ascii="宋体"/>
              </w:rPr>
            </w:pPr>
          </w:p>
        </w:tc>
        <w:tc>
          <w:tcPr>
            <w:tcW w:w="0" w:type="auto"/>
            <w:shd w:val="clear" w:color="auto" w:fill="auto"/>
          </w:tcPr>
          <w:p w14:paraId="7268ECAF" w14:textId="77777777" w:rsidR="005F762A" w:rsidRDefault="005F762A">
            <w:pPr>
              <w:rPr>
                <w:rFonts w:ascii="宋体"/>
              </w:rPr>
            </w:pPr>
          </w:p>
        </w:tc>
        <w:tc>
          <w:tcPr>
            <w:tcW w:w="0" w:type="auto"/>
            <w:shd w:val="clear" w:color="auto" w:fill="auto"/>
          </w:tcPr>
          <w:p w14:paraId="7268ECB0" w14:textId="77777777" w:rsidR="005F762A" w:rsidRDefault="005F762A">
            <w:pPr>
              <w:rPr>
                <w:rFonts w:ascii="宋体"/>
              </w:rPr>
            </w:pPr>
          </w:p>
        </w:tc>
        <w:tc>
          <w:tcPr>
            <w:tcW w:w="0" w:type="auto"/>
            <w:shd w:val="clear" w:color="auto" w:fill="auto"/>
          </w:tcPr>
          <w:p w14:paraId="7268ECB1" w14:textId="77777777" w:rsidR="005F762A" w:rsidRDefault="005F762A">
            <w:pPr>
              <w:rPr>
                <w:rFonts w:ascii="宋体"/>
              </w:rPr>
            </w:pPr>
          </w:p>
        </w:tc>
      </w:tr>
      <w:tr w:rsidR="005F762A" w14:paraId="7268ECBB" w14:textId="77777777">
        <w:trPr>
          <w:jc w:val="center"/>
        </w:trPr>
        <w:tc>
          <w:tcPr>
            <w:tcW w:w="0" w:type="auto"/>
            <w:gridSpan w:val="3"/>
            <w:shd w:val="clear" w:color="auto" w:fill="auto"/>
            <w:tcMar>
              <w:top w:w="40" w:type="dxa"/>
              <w:left w:w="20" w:type="dxa"/>
              <w:bottom w:w="40" w:type="dxa"/>
              <w:right w:w="20" w:type="dxa"/>
            </w:tcMar>
            <w:vAlign w:val="bottom"/>
          </w:tcPr>
          <w:p w14:paraId="7268ECB3"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CB4" w14:textId="77777777" w:rsidR="005F762A" w:rsidRDefault="005F762A">
            <w:pPr>
              <w:rPr>
                <w:rFonts w:ascii="宋体"/>
                <w:vanish/>
              </w:rPr>
            </w:pPr>
          </w:p>
        </w:tc>
        <w:tc>
          <w:tcPr>
            <w:tcW w:w="0" w:type="auto"/>
            <w:shd w:val="clear" w:color="auto" w:fill="auto"/>
          </w:tcPr>
          <w:p w14:paraId="7268ECB5" w14:textId="77777777" w:rsidR="005F762A" w:rsidRDefault="005F762A">
            <w:pPr>
              <w:rPr>
                <w:rFonts w:ascii="宋体"/>
                <w:vanish/>
              </w:rPr>
            </w:pPr>
          </w:p>
        </w:tc>
        <w:tc>
          <w:tcPr>
            <w:tcW w:w="0" w:type="auto"/>
            <w:shd w:val="clear" w:color="auto" w:fill="auto"/>
          </w:tcPr>
          <w:p w14:paraId="7268ECB6"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CB7"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CB8"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CB9" w14:textId="77777777" w:rsidR="005F762A" w:rsidRDefault="005F762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ECBA"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CC8" w14:textId="77777777">
        <w:trPr>
          <w:jc w:val="center"/>
        </w:trPr>
        <w:tc>
          <w:tcPr>
            <w:tcW w:w="0" w:type="auto"/>
            <w:gridSpan w:val="3"/>
            <w:shd w:val="clear" w:color="auto" w:fill="E2E2E2"/>
            <w:tcMar>
              <w:top w:w="40" w:type="dxa"/>
              <w:left w:w="20" w:type="dxa"/>
              <w:bottom w:w="40" w:type="dxa"/>
              <w:right w:w="20" w:type="dxa"/>
            </w:tcMar>
            <w:vAlign w:val="bottom"/>
          </w:tcPr>
          <w:p w14:paraId="7268ECBC" w14:textId="77777777" w:rsidR="005F762A" w:rsidRDefault="00D74111">
            <w:pPr>
              <w:textAlignment w:val="bottom"/>
            </w:pPr>
            <w:r>
              <w:rPr>
                <w:rFonts w:ascii="Arial" w:eastAsia="宋体" w:hAnsi="Arial" w:cs="Arial"/>
                <w:color w:val="000000"/>
                <w:sz w:val="18"/>
                <w:szCs w:val="18"/>
              </w:rPr>
              <w:t>Foreign exchange contracts designated as cash flow hedges recognized in net revenues</w:t>
            </w:r>
          </w:p>
        </w:tc>
        <w:tc>
          <w:tcPr>
            <w:tcW w:w="0" w:type="auto"/>
            <w:shd w:val="clear" w:color="auto" w:fill="auto"/>
          </w:tcPr>
          <w:p w14:paraId="7268ECBD" w14:textId="77777777" w:rsidR="005F762A" w:rsidRDefault="005F762A">
            <w:pPr>
              <w:rPr>
                <w:rFonts w:ascii="宋体"/>
                <w:vanish/>
              </w:rPr>
            </w:pPr>
          </w:p>
        </w:tc>
        <w:tc>
          <w:tcPr>
            <w:tcW w:w="0" w:type="auto"/>
            <w:shd w:val="clear" w:color="auto" w:fill="auto"/>
          </w:tcPr>
          <w:p w14:paraId="7268ECBE" w14:textId="77777777" w:rsidR="005F762A" w:rsidRDefault="005F762A">
            <w:pPr>
              <w:rPr>
                <w:rFonts w:ascii="宋体"/>
                <w:vanish/>
              </w:rPr>
            </w:pPr>
          </w:p>
        </w:tc>
        <w:tc>
          <w:tcPr>
            <w:tcW w:w="0" w:type="auto"/>
            <w:shd w:val="clear" w:color="auto" w:fill="auto"/>
          </w:tcPr>
          <w:p w14:paraId="7268ECBF"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CC0"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CC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C2" w14:textId="77777777" w:rsidR="005F762A" w:rsidRDefault="00D74111">
            <w:pPr>
              <w:jc w:val="right"/>
              <w:textAlignment w:val="bottom"/>
            </w:pPr>
            <w:r>
              <w:rPr>
                <w:rFonts w:ascii="Arial" w:eastAsia="宋体" w:hAnsi="Arial" w:cs="Arial"/>
                <w:color w:val="000000"/>
                <w:sz w:val="18"/>
                <w:szCs w:val="18"/>
              </w:rPr>
              <w:t>(28)</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C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C4"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CC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CC6" w14:textId="77777777" w:rsidR="005F762A" w:rsidRDefault="00D74111">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CC7" w14:textId="77777777" w:rsidR="005F762A" w:rsidRDefault="005F762A">
            <w:pPr>
              <w:jc w:val="right"/>
              <w:rPr>
                <w:rFonts w:ascii="宋体"/>
              </w:rPr>
            </w:pPr>
          </w:p>
        </w:tc>
      </w:tr>
      <w:tr w:rsidR="005F762A" w14:paraId="7268ECD3" w14:textId="77777777">
        <w:trPr>
          <w:jc w:val="center"/>
        </w:trPr>
        <w:tc>
          <w:tcPr>
            <w:tcW w:w="0" w:type="auto"/>
            <w:gridSpan w:val="3"/>
            <w:shd w:val="clear" w:color="auto" w:fill="FFFFFF"/>
            <w:tcMar>
              <w:top w:w="40" w:type="dxa"/>
              <w:left w:w="20" w:type="dxa"/>
              <w:bottom w:w="40" w:type="dxa"/>
              <w:right w:w="20" w:type="dxa"/>
            </w:tcMar>
            <w:vAlign w:val="bottom"/>
          </w:tcPr>
          <w:p w14:paraId="7268ECC9" w14:textId="77777777" w:rsidR="005F762A" w:rsidRDefault="00D74111">
            <w:pPr>
              <w:textAlignment w:val="bottom"/>
            </w:pPr>
            <w:r>
              <w:rPr>
                <w:rFonts w:ascii="Arial" w:eastAsia="宋体" w:hAnsi="Arial" w:cs="Arial"/>
                <w:color w:val="000000"/>
                <w:sz w:val="18"/>
                <w:szCs w:val="18"/>
              </w:rPr>
              <w:t>Fo</w:t>
            </w:r>
            <w:r>
              <w:rPr>
                <w:rFonts w:ascii="Arial" w:eastAsia="宋体" w:hAnsi="Arial" w:cs="Arial"/>
                <w:color w:val="000000"/>
                <w:sz w:val="18"/>
                <w:szCs w:val="18"/>
              </w:rPr>
              <w:t>reign exchange contracts designated as cash flow hedges recognized in cost of net revenues</w:t>
            </w:r>
          </w:p>
        </w:tc>
        <w:tc>
          <w:tcPr>
            <w:tcW w:w="0" w:type="auto"/>
            <w:shd w:val="clear" w:color="auto" w:fill="auto"/>
          </w:tcPr>
          <w:p w14:paraId="7268ECCA" w14:textId="77777777" w:rsidR="005F762A" w:rsidRDefault="005F762A">
            <w:pPr>
              <w:rPr>
                <w:rFonts w:ascii="宋体"/>
                <w:vanish/>
              </w:rPr>
            </w:pPr>
          </w:p>
        </w:tc>
        <w:tc>
          <w:tcPr>
            <w:tcW w:w="0" w:type="auto"/>
            <w:shd w:val="clear" w:color="auto" w:fill="auto"/>
          </w:tcPr>
          <w:p w14:paraId="7268ECCB" w14:textId="77777777" w:rsidR="005F762A" w:rsidRDefault="005F762A">
            <w:pPr>
              <w:rPr>
                <w:rFonts w:ascii="宋体"/>
                <w:vanish/>
              </w:rPr>
            </w:pPr>
          </w:p>
        </w:tc>
        <w:tc>
          <w:tcPr>
            <w:tcW w:w="0" w:type="auto"/>
            <w:shd w:val="clear" w:color="auto" w:fill="auto"/>
          </w:tcPr>
          <w:p w14:paraId="7268ECCC"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CC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CCE"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ECC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CD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CD1"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CD2" w14:textId="77777777" w:rsidR="005F762A" w:rsidRDefault="005F762A">
            <w:pPr>
              <w:jc w:val="right"/>
              <w:rPr>
                <w:rFonts w:ascii="宋体"/>
              </w:rPr>
            </w:pPr>
          </w:p>
        </w:tc>
      </w:tr>
      <w:tr w:rsidR="005F762A" w14:paraId="7268ECDC" w14:textId="77777777">
        <w:trPr>
          <w:jc w:val="center"/>
          <w:hidden/>
        </w:trPr>
        <w:tc>
          <w:tcPr>
            <w:tcW w:w="0" w:type="auto"/>
            <w:gridSpan w:val="3"/>
            <w:shd w:val="clear" w:color="auto" w:fill="auto"/>
          </w:tcPr>
          <w:p w14:paraId="7268ECD4" w14:textId="77777777" w:rsidR="005F762A" w:rsidRDefault="005F762A">
            <w:pPr>
              <w:rPr>
                <w:rFonts w:ascii="宋体"/>
                <w:vanish/>
              </w:rPr>
            </w:pPr>
          </w:p>
        </w:tc>
        <w:tc>
          <w:tcPr>
            <w:tcW w:w="0" w:type="auto"/>
            <w:shd w:val="clear" w:color="auto" w:fill="auto"/>
          </w:tcPr>
          <w:p w14:paraId="7268ECD5" w14:textId="77777777" w:rsidR="005F762A" w:rsidRDefault="005F762A">
            <w:pPr>
              <w:rPr>
                <w:rFonts w:ascii="宋体"/>
                <w:vanish/>
              </w:rPr>
            </w:pPr>
          </w:p>
        </w:tc>
        <w:tc>
          <w:tcPr>
            <w:tcW w:w="0" w:type="auto"/>
            <w:shd w:val="clear" w:color="auto" w:fill="auto"/>
          </w:tcPr>
          <w:p w14:paraId="7268ECD6" w14:textId="77777777" w:rsidR="005F762A" w:rsidRDefault="005F762A">
            <w:pPr>
              <w:rPr>
                <w:rFonts w:ascii="宋体"/>
                <w:vanish/>
              </w:rPr>
            </w:pPr>
          </w:p>
        </w:tc>
        <w:tc>
          <w:tcPr>
            <w:tcW w:w="0" w:type="auto"/>
            <w:shd w:val="clear" w:color="auto" w:fill="auto"/>
          </w:tcPr>
          <w:p w14:paraId="7268ECD7" w14:textId="77777777" w:rsidR="005F762A" w:rsidRDefault="005F762A">
            <w:pPr>
              <w:rPr>
                <w:rFonts w:ascii="宋体"/>
                <w:vanish/>
              </w:rPr>
            </w:pPr>
          </w:p>
        </w:tc>
        <w:tc>
          <w:tcPr>
            <w:tcW w:w="0" w:type="auto"/>
            <w:gridSpan w:val="3"/>
            <w:shd w:val="clear" w:color="auto" w:fill="auto"/>
          </w:tcPr>
          <w:p w14:paraId="7268ECD8" w14:textId="77777777" w:rsidR="005F762A" w:rsidRDefault="005F762A">
            <w:pPr>
              <w:rPr>
                <w:rFonts w:ascii="宋体"/>
                <w:vanish/>
              </w:rPr>
            </w:pPr>
          </w:p>
        </w:tc>
        <w:tc>
          <w:tcPr>
            <w:tcW w:w="0" w:type="auto"/>
            <w:gridSpan w:val="3"/>
            <w:shd w:val="clear" w:color="auto" w:fill="auto"/>
          </w:tcPr>
          <w:p w14:paraId="7268ECD9" w14:textId="77777777" w:rsidR="005F762A" w:rsidRDefault="005F762A">
            <w:pPr>
              <w:rPr>
                <w:rFonts w:ascii="宋体"/>
                <w:vanish/>
              </w:rPr>
            </w:pPr>
          </w:p>
        </w:tc>
        <w:tc>
          <w:tcPr>
            <w:tcW w:w="0" w:type="auto"/>
            <w:gridSpan w:val="3"/>
            <w:shd w:val="clear" w:color="auto" w:fill="auto"/>
          </w:tcPr>
          <w:p w14:paraId="7268ECDA" w14:textId="77777777" w:rsidR="005F762A" w:rsidRDefault="005F762A">
            <w:pPr>
              <w:rPr>
                <w:rFonts w:ascii="宋体"/>
                <w:vanish/>
              </w:rPr>
            </w:pPr>
          </w:p>
        </w:tc>
        <w:tc>
          <w:tcPr>
            <w:tcW w:w="0" w:type="auto"/>
            <w:gridSpan w:val="3"/>
            <w:shd w:val="clear" w:color="auto" w:fill="auto"/>
          </w:tcPr>
          <w:p w14:paraId="7268ECDB" w14:textId="77777777" w:rsidR="005F762A" w:rsidRDefault="005F762A">
            <w:pPr>
              <w:rPr>
                <w:rFonts w:ascii="宋体"/>
                <w:vanish/>
              </w:rPr>
            </w:pPr>
          </w:p>
        </w:tc>
      </w:tr>
      <w:tr w:rsidR="005F762A" w14:paraId="7268ECE7" w14:textId="77777777">
        <w:trPr>
          <w:jc w:val="center"/>
        </w:trPr>
        <w:tc>
          <w:tcPr>
            <w:tcW w:w="0" w:type="auto"/>
            <w:gridSpan w:val="3"/>
            <w:shd w:val="clear" w:color="auto" w:fill="E2E2E2"/>
            <w:tcMar>
              <w:top w:w="40" w:type="dxa"/>
              <w:left w:w="20" w:type="dxa"/>
              <w:bottom w:w="40" w:type="dxa"/>
              <w:right w:w="20" w:type="dxa"/>
            </w:tcMar>
            <w:vAlign w:val="bottom"/>
          </w:tcPr>
          <w:p w14:paraId="7268ECDD" w14:textId="77777777" w:rsidR="005F762A" w:rsidRDefault="00D74111">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shd w:val="clear" w:color="auto" w:fill="auto"/>
          </w:tcPr>
          <w:p w14:paraId="7268ECDE" w14:textId="77777777" w:rsidR="005F762A" w:rsidRDefault="005F762A">
            <w:pPr>
              <w:rPr>
                <w:rFonts w:ascii="宋体"/>
                <w:vanish/>
              </w:rPr>
            </w:pPr>
          </w:p>
        </w:tc>
        <w:tc>
          <w:tcPr>
            <w:tcW w:w="0" w:type="auto"/>
            <w:shd w:val="clear" w:color="auto" w:fill="auto"/>
          </w:tcPr>
          <w:p w14:paraId="7268ECDF" w14:textId="77777777" w:rsidR="005F762A" w:rsidRDefault="005F762A">
            <w:pPr>
              <w:rPr>
                <w:rFonts w:ascii="宋体"/>
                <w:vanish/>
              </w:rPr>
            </w:pPr>
          </w:p>
        </w:tc>
        <w:tc>
          <w:tcPr>
            <w:tcW w:w="0" w:type="auto"/>
            <w:shd w:val="clear" w:color="auto" w:fill="auto"/>
          </w:tcPr>
          <w:p w14:paraId="7268ECE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CE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CE2" w14:textId="77777777" w:rsidR="005F762A" w:rsidRDefault="00D74111">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7268ECE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CE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CE5" w14:textId="77777777" w:rsidR="005F762A" w:rsidRDefault="00D74111">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7268ECE6" w14:textId="77777777" w:rsidR="005F762A" w:rsidRDefault="005F762A">
            <w:pPr>
              <w:jc w:val="right"/>
              <w:rPr>
                <w:rFonts w:ascii="宋体"/>
              </w:rPr>
            </w:pPr>
          </w:p>
        </w:tc>
      </w:tr>
      <w:tr w:rsidR="005F762A" w14:paraId="7268ECF4" w14:textId="77777777">
        <w:trPr>
          <w:jc w:val="center"/>
        </w:trPr>
        <w:tc>
          <w:tcPr>
            <w:tcW w:w="0" w:type="auto"/>
            <w:gridSpan w:val="3"/>
            <w:shd w:val="clear" w:color="auto" w:fill="FFFFFF"/>
            <w:tcMar>
              <w:top w:w="40" w:type="dxa"/>
              <w:left w:w="245" w:type="dxa"/>
              <w:bottom w:w="40" w:type="dxa"/>
              <w:right w:w="20" w:type="dxa"/>
            </w:tcMar>
            <w:vAlign w:val="bottom"/>
          </w:tcPr>
          <w:p w14:paraId="7268ECE8" w14:textId="77777777" w:rsidR="005F762A" w:rsidRDefault="00D74111">
            <w:pPr>
              <w:textAlignment w:val="bottom"/>
            </w:pPr>
            <w:r>
              <w:rPr>
                <w:rFonts w:ascii="Arial" w:eastAsia="宋体" w:hAnsi="Arial" w:cs="Arial"/>
                <w:color w:val="000000"/>
                <w:sz w:val="18"/>
                <w:szCs w:val="18"/>
              </w:rPr>
              <w:t xml:space="preserve">Total gain (loss) </w:t>
            </w:r>
            <w:r>
              <w:rPr>
                <w:rFonts w:ascii="Arial" w:eastAsia="宋体" w:hAnsi="Arial" w:cs="Arial"/>
                <w:color w:val="000000"/>
                <w:sz w:val="18"/>
                <w:szCs w:val="18"/>
              </w:rPr>
              <w:t>recognized from foreign exchange derivative contracts in the condensed consolidated statement of income</w:t>
            </w:r>
          </w:p>
        </w:tc>
        <w:tc>
          <w:tcPr>
            <w:tcW w:w="0" w:type="auto"/>
            <w:shd w:val="clear" w:color="auto" w:fill="auto"/>
          </w:tcPr>
          <w:p w14:paraId="7268ECE9" w14:textId="77777777" w:rsidR="005F762A" w:rsidRDefault="005F762A">
            <w:pPr>
              <w:rPr>
                <w:rFonts w:ascii="宋体"/>
                <w:vanish/>
              </w:rPr>
            </w:pPr>
          </w:p>
        </w:tc>
        <w:tc>
          <w:tcPr>
            <w:tcW w:w="0" w:type="auto"/>
            <w:shd w:val="clear" w:color="auto" w:fill="auto"/>
          </w:tcPr>
          <w:p w14:paraId="7268ECEA" w14:textId="77777777" w:rsidR="005F762A" w:rsidRDefault="005F762A">
            <w:pPr>
              <w:rPr>
                <w:rFonts w:ascii="宋体"/>
                <w:vanish/>
              </w:rPr>
            </w:pPr>
          </w:p>
        </w:tc>
        <w:tc>
          <w:tcPr>
            <w:tcW w:w="0" w:type="auto"/>
            <w:shd w:val="clear" w:color="auto" w:fill="auto"/>
          </w:tcPr>
          <w:p w14:paraId="7268ECE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ECEC"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CE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CEE" w14:textId="77777777" w:rsidR="005F762A" w:rsidRDefault="00D74111">
            <w:pPr>
              <w:jc w:val="right"/>
              <w:textAlignment w:val="bottom"/>
            </w:pPr>
            <w:r>
              <w:rPr>
                <w:rFonts w:ascii="Arial" w:eastAsia="宋体" w:hAnsi="Arial" w:cs="Arial"/>
                <w:color w:val="000000"/>
                <w:sz w:val="18"/>
                <w:szCs w:val="18"/>
              </w:rPr>
              <w:t>(33)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CE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CF0"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ECF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ECF2" w14:textId="77777777" w:rsidR="005F762A" w:rsidRDefault="00D74111">
            <w:pPr>
              <w:jc w:val="right"/>
              <w:textAlignment w:val="bottom"/>
            </w:pPr>
            <w:r>
              <w:rPr>
                <w:rFonts w:ascii="Arial" w:eastAsia="宋体" w:hAnsi="Arial" w:cs="Arial"/>
                <w:color w:val="000000"/>
                <w:sz w:val="18"/>
                <w:szCs w:val="18"/>
              </w:rPr>
              <w:t>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ECF3" w14:textId="77777777" w:rsidR="005F762A" w:rsidRDefault="005F762A">
            <w:pPr>
              <w:jc w:val="right"/>
              <w:rPr>
                <w:rFonts w:ascii="宋体"/>
              </w:rPr>
            </w:pPr>
          </w:p>
        </w:tc>
      </w:tr>
    </w:tbl>
    <w:p w14:paraId="7268ECF5" w14:textId="77777777" w:rsidR="005F762A" w:rsidRDefault="005F762A">
      <w:pPr>
        <w:spacing w:after="120"/>
        <w:jc w:val="center"/>
      </w:pPr>
    </w:p>
    <w:p w14:paraId="7268ECF6" w14:textId="77777777" w:rsidR="005F762A" w:rsidRDefault="00D74111">
      <w:pPr>
        <w:spacing w:after="120"/>
        <w:ind w:firstLine="540"/>
      </w:pPr>
      <w:r>
        <w:rPr>
          <w:rFonts w:ascii="Arial" w:eastAsia="宋体" w:hAnsi="Arial" w:cs="Arial"/>
          <w:color w:val="000000"/>
          <w:sz w:val="20"/>
          <w:szCs w:val="20"/>
        </w:rPr>
        <w:t>The following table provides a summary of the total gain (loss) recognized in the condensed consolidated statement of income from our interest rate derivative contracts by location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692"/>
        <w:gridCol w:w="36"/>
        <w:gridCol w:w="36"/>
        <w:gridCol w:w="46"/>
        <w:gridCol w:w="536"/>
        <w:gridCol w:w="36"/>
        <w:gridCol w:w="36"/>
        <w:gridCol w:w="36"/>
        <w:gridCol w:w="37"/>
        <w:gridCol w:w="787"/>
        <w:gridCol w:w="36"/>
        <w:gridCol w:w="36"/>
        <w:gridCol w:w="36"/>
        <w:gridCol w:w="36"/>
        <w:gridCol w:w="37"/>
        <w:gridCol w:w="789"/>
        <w:gridCol w:w="36"/>
      </w:tblGrid>
      <w:tr w:rsidR="005F762A" w14:paraId="7268ED09" w14:textId="77777777">
        <w:trPr>
          <w:jc w:val="center"/>
        </w:trPr>
        <w:tc>
          <w:tcPr>
            <w:tcW w:w="50" w:type="pct"/>
            <w:shd w:val="clear" w:color="auto" w:fill="auto"/>
          </w:tcPr>
          <w:p w14:paraId="7268ECF7" w14:textId="77777777" w:rsidR="005F762A" w:rsidRDefault="005F762A">
            <w:pPr>
              <w:rPr>
                <w:rFonts w:ascii="宋体"/>
              </w:rPr>
            </w:pPr>
          </w:p>
        </w:tc>
        <w:tc>
          <w:tcPr>
            <w:tcW w:w="3702" w:type="pct"/>
            <w:shd w:val="clear" w:color="auto" w:fill="auto"/>
          </w:tcPr>
          <w:p w14:paraId="7268ECF8" w14:textId="77777777" w:rsidR="005F762A" w:rsidRDefault="005F762A">
            <w:pPr>
              <w:rPr>
                <w:rFonts w:ascii="宋体"/>
              </w:rPr>
            </w:pPr>
          </w:p>
        </w:tc>
        <w:tc>
          <w:tcPr>
            <w:tcW w:w="5" w:type="pct"/>
            <w:shd w:val="clear" w:color="auto" w:fill="auto"/>
          </w:tcPr>
          <w:p w14:paraId="7268ECF9" w14:textId="77777777" w:rsidR="005F762A" w:rsidRDefault="005F762A">
            <w:pPr>
              <w:rPr>
                <w:rFonts w:ascii="宋体"/>
              </w:rPr>
            </w:pPr>
          </w:p>
        </w:tc>
        <w:tc>
          <w:tcPr>
            <w:tcW w:w="0" w:type="auto"/>
            <w:shd w:val="clear" w:color="auto" w:fill="auto"/>
          </w:tcPr>
          <w:p w14:paraId="7268ECFA" w14:textId="77777777" w:rsidR="005F762A" w:rsidRDefault="005F762A">
            <w:pPr>
              <w:rPr>
                <w:rFonts w:ascii="宋体"/>
                <w:vanish/>
              </w:rPr>
            </w:pPr>
          </w:p>
        </w:tc>
        <w:tc>
          <w:tcPr>
            <w:tcW w:w="0" w:type="auto"/>
            <w:shd w:val="clear" w:color="auto" w:fill="auto"/>
          </w:tcPr>
          <w:p w14:paraId="7268ECFB" w14:textId="77777777" w:rsidR="005F762A" w:rsidRDefault="005F762A">
            <w:pPr>
              <w:rPr>
                <w:rFonts w:ascii="宋体"/>
                <w:vanish/>
              </w:rPr>
            </w:pPr>
          </w:p>
        </w:tc>
        <w:tc>
          <w:tcPr>
            <w:tcW w:w="0" w:type="auto"/>
            <w:shd w:val="clear" w:color="auto" w:fill="auto"/>
          </w:tcPr>
          <w:p w14:paraId="7268ECFC" w14:textId="77777777" w:rsidR="005F762A" w:rsidRDefault="005F762A">
            <w:pPr>
              <w:rPr>
                <w:rFonts w:ascii="宋体"/>
                <w:vanish/>
              </w:rPr>
            </w:pPr>
          </w:p>
        </w:tc>
        <w:tc>
          <w:tcPr>
            <w:tcW w:w="5" w:type="pct"/>
            <w:shd w:val="clear" w:color="auto" w:fill="auto"/>
          </w:tcPr>
          <w:p w14:paraId="7268ECFD" w14:textId="77777777" w:rsidR="005F762A" w:rsidRDefault="005F762A">
            <w:pPr>
              <w:rPr>
                <w:rFonts w:ascii="宋体"/>
              </w:rPr>
            </w:pPr>
          </w:p>
        </w:tc>
        <w:tc>
          <w:tcPr>
            <w:tcW w:w="26" w:type="pct"/>
            <w:shd w:val="clear" w:color="auto" w:fill="auto"/>
          </w:tcPr>
          <w:p w14:paraId="7268ECFE" w14:textId="77777777" w:rsidR="005F762A" w:rsidRDefault="005F762A">
            <w:pPr>
              <w:rPr>
                <w:rFonts w:ascii="宋体"/>
              </w:rPr>
            </w:pPr>
          </w:p>
        </w:tc>
        <w:tc>
          <w:tcPr>
            <w:tcW w:w="5" w:type="pct"/>
            <w:shd w:val="clear" w:color="auto" w:fill="auto"/>
          </w:tcPr>
          <w:p w14:paraId="7268ECFF" w14:textId="77777777" w:rsidR="005F762A" w:rsidRDefault="005F762A">
            <w:pPr>
              <w:rPr>
                <w:rFonts w:ascii="宋体"/>
              </w:rPr>
            </w:pPr>
          </w:p>
        </w:tc>
        <w:tc>
          <w:tcPr>
            <w:tcW w:w="50" w:type="pct"/>
            <w:shd w:val="clear" w:color="auto" w:fill="auto"/>
          </w:tcPr>
          <w:p w14:paraId="7268ED00" w14:textId="77777777" w:rsidR="005F762A" w:rsidRDefault="005F762A">
            <w:pPr>
              <w:rPr>
                <w:rFonts w:ascii="宋体"/>
              </w:rPr>
            </w:pPr>
          </w:p>
        </w:tc>
        <w:tc>
          <w:tcPr>
            <w:tcW w:w="529" w:type="pct"/>
            <w:shd w:val="clear" w:color="auto" w:fill="auto"/>
          </w:tcPr>
          <w:p w14:paraId="7268ED01" w14:textId="77777777" w:rsidR="005F762A" w:rsidRDefault="005F762A">
            <w:pPr>
              <w:rPr>
                <w:rFonts w:ascii="宋体"/>
              </w:rPr>
            </w:pPr>
          </w:p>
        </w:tc>
        <w:tc>
          <w:tcPr>
            <w:tcW w:w="5" w:type="pct"/>
            <w:shd w:val="clear" w:color="auto" w:fill="auto"/>
          </w:tcPr>
          <w:p w14:paraId="7268ED02" w14:textId="77777777" w:rsidR="005F762A" w:rsidRDefault="005F762A">
            <w:pPr>
              <w:rPr>
                <w:rFonts w:ascii="宋体"/>
              </w:rPr>
            </w:pPr>
          </w:p>
        </w:tc>
        <w:tc>
          <w:tcPr>
            <w:tcW w:w="5" w:type="pct"/>
            <w:shd w:val="clear" w:color="auto" w:fill="auto"/>
          </w:tcPr>
          <w:p w14:paraId="7268ED03" w14:textId="77777777" w:rsidR="005F762A" w:rsidRDefault="005F762A">
            <w:pPr>
              <w:rPr>
                <w:rFonts w:ascii="宋体"/>
              </w:rPr>
            </w:pPr>
          </w:p>
        </w:tc>
        <w:tc>
          <w:tcPr>
            <w:tcW w:w="26" w:type="pct"/>
            <w:shd w:val="clear" w:color="auto" w:fill="auto"/>
          </w:tcPr>
          <w:p w14:paraId="7268ED04" w14:textId="77777777" w:rsidR="005F762A" w:rsidRDefault="005F762A">
            <w:pPr>
              <w:rPr>
                <w:rFonts w:ascii="宋体"/>
              </w:rPr>
            </w:pPr>
          </w:p>
        </w:tc>
        <w:tc>
          <w:tcPr>
            <w:tcW w:w="5" w:type="pct"/>
            <w:shd w:val="clear" w:color="auto" w:fill="auto"/>
          </w:tcPr>
          <w:p w14:paraId="7268ED05" w14:textId="77777777" w:rsidR="005F762A" w:rsidRDefault="005F762A">
            <w:pPr>
              <w:rPr>
                <w:rFonts w:ascii="宋体"/>
              </w:rPr>
            </w:pPr>
          </w:p>
        </w:tc>
        <w:tc>
          <w:tcPr>
            <w:tcW w:w="50" w:type="pct"/>
            <w:shd w:val="clear" w:color="auto" w:fill="auto"/>
          </w:tcPr>
          <w:p w14:paraId="7268ED06" w14:textId="77777777" w:rsidR="005F762A" w:rsidRDefault="005F762A">
            <w:pPr>
              <w:rPr>
                <w:rFonts w:ascii="宋体"/>
              </w:rPr>
            </w:pPr>
          </w:p>
        </w:tc>
        <w:tc>
          <w:tcPr>
            <w:tcW w:w="529" w:type="pct"/>
            <w:shd w:val="clear" w:color="auto" w:fill="auto"/>
          </w:tcPr>
          <w:p w14:paraId="7268ED07" w14:textId="77777777" w:rsidR="005F762A" w:rsidRDefault="005F762A">
            <w:pPr>
              <w:rPr>
                <w:rFonts w:ascii="宋体"/>
              </w:rPr>
            </w:pPr>
          </w:p>
        </w:tc>
        <w:tc>
          <w:tcPr>
            <w:tcW w:w="5" w:type="pct"/>
            <w:shd w:val="clear" w:color="auto" w:fill="auto"/>
          </w:tcPr>
          <w:p w14:paraId="7268ED08" w14:textId="77777777" w:rsidR="005F762A" w:rsidRDefault="005F762A">
            <w:pPr>
              <w:rPr>
                <w:rFonts w:ascii="宋体"/>
              </w:rPr>
            </w:pPr>
          </w:p>
        </w:tc>
      </w:tr>
      <w:tr w:rsidR="005F762A" w14:paraId="7268ED14" w14:textId="77777777">
        <w:trPr>
          <w:jc w:val="center"/>
        </w:trPr>
        <w:tc>
          <w:tcPr>
            <w:tcW w:w="0" w:type="auto"/>
            <w:gridSpan w:val="3"/>
            <w:shd w:val="clear" w:color="auto" w:fill="auto"/>
            <w:tcMar>
              <w:top w:w="0" w:type="dxa"/>
              <w:left w:w="20" w:type="dxa"/>
              <w:bottom w:w="0" w:type="dxa"/>
              <w:right w:w="20" w:type="dxa"/>
            </w:tcMar>
          </w:tcPr>
          <w:p w14:paraId="7268ED0A" w14:textId="77777777" w:rsidR="005F762A" w:rsidRDefault="005F762A">
            <w:pPr>
              <w:rPr>
                <w:rFonts w:ascii="宋体"/>
              </w:rPr>
            </w:pPr>
          </w:p>
        </w:tc>
        <w:tc>
          <w:tcPr>
            <w:tcW w:w="0" w:type="auto"/>
            <w:shd w:val="clear" w:color="auto" w:fill="auto"/>
          </w:tcPr>
          <w:p w14:paraId="7268ED0B"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D0C"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D0D" w14:textId="77777777" w:rsidR="005F762A" w:rsidRDefault="00D74111">
            <w:pPr>
              <w:jc w:val="center"/>
              <w:textAlignment w:val="bottom"/>
            </w:pPr>
            <w:r>
              <w:rPr>
                <w:rFonts w:ascii="Arial" w:eastAsia="宋体" w:hAnsi="Arial" w:cs="Arial"/>
                <w:b/>
                <w:bCs/>
                <w:color w:val="000000"/>
                <w:sz w:val="16"/>
                <w:szCs w:val="16"/>
              </w:rPr>
              <w:t xml:space="preserve">Three Months </w:t>
            </w:r>
            <w:r>
              <w:rPr>
                <w:rFonts w:ascii="Arial" w:eastAsia="宋体" w:hAnsi="Arial" w:cs="Arial"/>
                <w:b/>
                <w:bCs/>
                <w:color w:val="000000"/>
                <w:sz w:val="16"/>
                <w:szCs w:val="16"/>
              </w:rPr>
              <w:t>Ended</w:t>
            </w:r>
            <w:r>
              <w:rPr>
                <w:rFonts w:ascii="Arial" w:eastAsia="宋体" w:hAnsi="Arial" w:cs="Arial"/>
                <w:b/>
                <w:bCs/>
                <w:color w:val="000000"/>
                <w:sz w:val="16"/>
                <w:szCs w:val="16"/>
              </w:rPr>
              <w:br/>
              <w:t>March 31,</w:t>
            </w:r>
          </w:p>
        </w:tc>
        <w:tc>
          <w:tcPr>
            <w:tcW w:w="0" w:type="auto"/>
            <w:shd w:val="clear" w:color="auto" w:fill="auto"/>
          </w:tcPr>
          <w:p w14:paraId="7268ED0E" w14:textId="77777777" w:rsidR="005F762A" w:rsidRDefault="005F762A">
            <w:pPr>
              <w:rPr>
                <w:rFonts w:ascii="宋体"/>
              </w:rPr>
            </w:pPr>
          </w:p>
        </w:tc>
        <w:tc>
          <w:tcPr>
            <w:tcW w:w="0" w:type="auto"/>
            <w:shd w:val="clear" w:color="auto" w:fill="auto"/>
          </w:tcPr>
          <w:p w14:paraId="7268ED0F" w14:textId="77777777" w:rsidR="005F762A" w:rsidRDefault="005F762A">
            <w:pPr>
              <w:rPr>
                <w:rFonts w:ascii="宋体"/>
              </w:rPr>
            </w:pPr>
          </w:p>
        </w:tc>
        <w:tc>
          <w:tcPr>
            <w:tcW w:w="0" w:type="auto"/>
            <w:shd w:val="clear" w:color="auto" w:fill="auto"/>
          </w:tcPr>
          <w:p w14:paraId="7268ED10" w14:textId="77777777" w:rsidR="005F762A" w:rsidRDefault="005F762A">
            <w:pPr>
              <w:rPr>
                <w:rFonts w:ascii="宋体"/>
              </w:rPr>
            </w:pPr>
          </w:p>
        </w:tc>
        <w:tc>
          <w:tcPr>
            <w:tcW w:w="0" w:type="auto"/>
            <w:shd w:val="clear" w:color="auto" w:fill="auto"/>
          </w:tcPr>
          <w:p w14:paraId="7268ED11" w14:textId="77777777" w:rsidR="005F762A" w:rsidRDefault="005F762A">
            <w:pPr>
              <w:rPr>
                <w:rFonts w:ascii="宋体"/>
              </w:rPr>
            </w:pPr>
          </w:p>
        </w:tc>
        <w:tc>
          <w:tcPr>
            <w:tcW w:w="0" w:type="auto"/>
            <w:shd w:val="clear" w:color="auto" w:fill="auto"/>
          </w:tcPr>
          <w:p w14:paraId="7268ED12" w14:textId="77777777" w:rsidR="005F762A" w:rsidRDefault="005F762A">
            <w:pPr>
              <w:rPr>
                <w:rFonts w:ascii="宋体"/>
              </w:rPr>
            </w:pPr>
          </w:p>
        </w:tc>
        <w:tc>
          <w:tcPr>
            <w:tcW w:w="0" w:type="auto"/>
            <w:shd w:val="clear" w:color="auto" w:fill="auto"/>
          </w:tcPr>
          <w:p w14:paraId="7268ED13" w14:textId="77777777" w:rsidR="005F762A" w:rsidRDefault="005F762A">
            <w:pPr>
              <w:rPr>
                <w:rFonts w:ascii="宋体"/>
              </w:rPr>
            </w:pPr>
          </w:p>
        </w:tc>
      </w:tr>
      <w:tr w:rsidR="005F762A" w14:paraId="7268ED1D" w14:textId="77777777">
        <w:trPr>
          <w:jc w:val="center"/>
        </w:trPr>
        <w:tc>
          <w:tcPr>
            <w:tcW w:w="0" w:type="auto"/>
            <w:gridSpan w:val="3"/>
            <w:shd w:val="clear" w:color="auto" w:fill="auto"/>
            <w:tcMar>
              <w:top w:w="40" w:type="dxa"/>
              <w:left w:w="20" w:type="dxa"/>
              <w:bottom w:w="40" w:type="dxa"/>
              <w:right w:w="20" w:type="dxa"/>
            </w:tcMar>
            <w:vAlign w:val="bottom"/>
          </w:tcPr>
          <w:p w14:paraId="7268ED15"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D16" w14:textId="77777777" w:rsidR="005F762A" w:rsidRDefault="005F762A">
            <w:pPr>
              <w:rPr>
                <w:rFonts w:ascii="宋体"/>
                <w:vanish/>
              </w:rPr>
            </w:pPr>
          </w:p>
        </w:tc>
        <w:tc>
          <w:tcPr>
            <w:tcW w:w="0" w:type="auto"/>
            <w:shd w:val="clear" w:color="auto" w:fill="auto"/>
          </w:tcPr>
          <w:p w14:paraId="7268ED17" w14:textId="77777777" w:rsidR="005F762A" w:rsidRDefault="005F762A">
            <w:pPr>
              <w:rPr>
                <w:rFonts w:ascii="宋体"/>
                <w:vanish/>
              </w:rPr>
            </w:pPr>
          </w:p>
        </w:tc>
        <w:tc>
          <w:tcPr>
            <w:tcW w:w="0" w:type="auto"/>
            <w:shd w:val="clear" w:color="auto" w:fill="auto"/>
          </w:tcPr>
          <w:p w14:paraId="7268ED18"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D19"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D1A"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D1B" w14:textId="77777777" w:rsidR="005F762A" w:rsidRDefault="005F762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ED1C"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D26" w14:textId="77777777">
        <w:trPr>
          <w:jc w:val="center"/>
          <w:hidden/>
        </w:trPr>
        <w:tc>
          <w:tcPr>
            <w:tcW w:w="0" w:type="auto"/>
            <w:gridSpan w:val="3"/>
            <w:shd w:val="clear" w:color="auto" w:fill="auto"/>
          </w:tcPr>
          <w:p w14:paraId="7268ED1E" w14:textId="77777777" w:rsidR="005F762A" w:rsidRDefault="005F762A">
            <w:pPr>
              <w:rPr>
                <w:rFonts w:ascii="宋体"/>
                <w:vanish/>
              </w:rPr>
            </w:pPr>
          </w:p>
        </w:tc>
        <w:tc>
          <w:tcPr>
            <w:tcW w:w="0" w:type="auto"/>
            <w:shd w:val="clear" w:color="auto" w:fill="auto"/>
          </w:tcPr>
          <w:p w14:paraId="7268ED1F" w14:textId="77777777" w:rsidR="005F762A" w:rsidRDefault="005F762A">
            <w:pPr>
              <w:rPr>
                <w:rFonts w:ascii="宋体"/>
                <w:vanish/>
              </w:rPr>
            </w:pPr>
          </w:p>
        </w:tc>
        <w:tc>
          <w:tcPr>
            <w:tcW w:w="0" w:type="auto"/>
            <w:shd w:val="clear" w:color="auto" w:fill="auto"/>
          </w:tcPr>
          <w:p w14:paraId="7268ED20" w14:textId="77777777" w:rsidR="005F762A" w:rsidRDefault="005F762A">
            <w:pPr>
              <w:rPr>
                <w:rFonts w:ascii="宋体"/>
                <w:vanish/>
              </w:rPr>
            </w:pPr>
          </w:p>
        </w:tc>
        <w:tc>
          <w:tcPr>
            <w:tcW w:w="0" w:type="auto"/>
            <w:shd w:val="clear" w:color="auto" w:fill="auto"/>
          </w:tcPr>
          <w:p w14:paraId="7268ED21" w14:textId="77777777" w:rsidR="005F762A" w:rsidRDefault="005F762A">
            <w:pPr>
              <w:rPr>
                <w:rFonts w:ascii="宋体"/>
                <w:vanish/>
              </w:rPr>
            </w:pPr>
          </w:p>
        </w:tc>
        <w:tc>
          <w:tcPr>
            <w:tcW w:w="0" w:type="auto"/>
            <w:gridSpan w:val="3"/>
            <w:shd w:val="clear" w:color="auto" w:fill="auto"/>
          </w:tcPr>
          <w:p w14:paraId="7268ED22" w14:textId="77777777" w:rsidR="005F762A" w:rsidRDefault="005F762A">
            <w:pPr>
              <w:rPr>
                <w:rFonts w:ascii="宋体"/>
                <w:vanish/>
              </w:rPr>
            </w:pPr>
          </w:p>
        </w:tc>
        <w:tc>
          <w:tcPr>
            <w:tcW w:w="0" w:type="auto"/>
            <w:gridSpan w:val="3"/>
            <w:shd w:val="clear" w:color="auto" w:fill="auto"/>
          </w:tcPr>
          <w:p w14:paraId="7268ED23" w14:textId="77777777" w:rsidR="005F762A" w:rsidRDefault="005F762A">
            <w:pPr>
              <w:rPr>
                <w:rFonts w:ascii="宋体"/>
                <w:vanish/>
              </w:rPr>
            </w:pPr>
          </w:p>
        </w:tc>
        <w:tc>
          <w:tcPr>
            <w:tcW w:w="0" w:type="auto"/>
            <w:gridSpan w:val="3"/>
            <w:shd w:val="clear" w:color="auto" w:fill="auto"/>
          </w:tcPr>
          <w:p w14:paraId="7268ED24" w14:textId="77777777" w:rsidR="005F762A" w:rsidRDefault="005F762A">
            <w:pPr>
              <w:rPr>
                <w:rFonts w:ascii="宋体"/>
                <w:vanish/>
              </w:rPr>
            </w:pPr>
          </w:p>
        </w:tc>
        <w:tc>
          <w:tcPr>
            <w:tcW w:w="0" w:type="auto"/>
            <w:gridSpan w:val="3"/>
            <w:shd w:val="clear" w:color="auto" w:fill="auto"/>
          </w:tcPr>
          <w:p w14:paraId="7268ED25" w14:textId="77777777" w:rsidR="005F762A" w:rsidRDefault="005F762A">
            <w:pPr>
              <w:rPr>
                <w:rFonts w:ascii="宋体"/>
                <w:vanish/>
              </w:rPr>
            </w:pPr>
          </w:p>
        </w:tc>
      </w:tr>
      <w:tr w:rsidR="005F762A" w14:paraId="7268ED2F" w14:textId="77777777">
        <w:trPr>
          <w:jc w:val="center"/>
          <w:hidden/>
        </w:trPr>
        <w:tc>
          <w:tcPr>
            <w:tcW w:w="0" w:type="auto"/>
            <w:gridSpan w:val="3"/>
            <w:shd w:val="clear" w:color="auto" w:fill="auto"/>
          </w:tcPr>
          <w:p w14:paraId="7268ED27" w14:textId="77777777" w:rsidR="005F762A" w:rsidRDefault="005F762A">
            <w:pPr>
              <w:rPr>
                <w:rFonts w:ascii="宋体"/>
                <w:vanish/>
              </w:rPr>
            </w:pPr>
          </w:p>
        </w:tc>
        <w:tc>
          <w:tcPr>
            <w:tcW w:w="0" w:type="auto"/>
            <w:shd w:val="clear" w:color="auto" w:fill="auto"/>
          </w:tcPr>
          <w:p w14:paraId="7268ED28" w14:textId="77777777" w:rsidR="005F762A" w:rsidRDefault="005F762A">
            <w:pPr>
              <w:rPr>
                <w:rFonts w:ascii="宋体"/>
                <w:vanish/>
              </w:rPr>
            </w:pPr>
          </w:p>
        </w:tc>
        <w:tc>
          <w:tcPr>
            <w:tcW w:w="0" w:type="auto"/>
            <w:shd w:val="clear" w:color="auto" w:fill="auto"/>
          </w:tcPr>
          <w:p w14:paraId="7268ED29" w14:textId="77777777" w:rsidR="005F762A" w:rsidRDefault="005F762A">
            <w:pPr>
              <w:rPr>
                <w:rFonts w:ascii="宋体"/>
                <w:vanish/>
              </w:rPr>
            </w:pPr>
          </w:p>
        </w:tc>
        <w:tc>
          <w:tcPr>
            <w:tcW w:w="0" w:type="auto"/>
            <w:shd w:val="clear" w:color="auto" w:fill="auto"/>
          </w:tcPr>
          <w:p w14:paraId="7268ED2A" w14:textId="77777777" w:rsidR="005F762A" w:rsidRDefault="005F762A">
            <w:pPr>
              <w:rPr>
                <w:rFonts w:ascii="宋体"/>
                <w:vanish/>
              </w:rPr>
            </w:pPr>
          </w:p>
        </w:tc>
        <w:tc>
          <w:tcPr>
            <w:tcW w:w="0" w:type="auto"/>
            <w:gridSpan w:val="3"/>
            <w:shd w:val="clear" w:color="auto" w:fill="auto"/>
          </w:tcPr>
          <w:p w14:paraId="7268ED2B" w14:textId="77777777" w:rsidR="005F762A" w:rsidRDefault="005F762A">
            <w:pPr>
              <w:rPr>
                <w:rFonts w:ascii="宋体"/>
                <w:vanish/>
              </w:rPr>
            </w:pPr>
          </w:p>
        </w:tc>
        <w:tc>
          <w:tcPr>
            <w:tcW w:w="0" w:type="auto"/>
            <w:gridSpan w:val="3"/>
            <w:shd w:val="clear" w:color="auto" w:fill="auto"/>
          </w:tcPr>
          <w:p w14:paraId="7268ED2C" w14:textId="77777777" w:rsidR="005F762A" w:rsidRDefault="005F762A">
            <w:pPr>
              <w:rPr>
                <w:rFonts w:ascii="宋体"/>
                <w:vanish/>
              </w:rPr>
            </w:pPr>
          </w:p>
        </w:tc>
        <w:tc>
          <w:tcPr>
            <w:tcW w:w="0" w:type="auto"/>
            <w:gridSpan w:val="3"/>
            <w:shd w:val="clear" w:color="auto" w:fill="auto"/>
          </w:tcPr>
          <w:p w14:paraId="7268ED2D" w14:textId="77777777" w:rsidR="005F762A" w:rsidRDefault="005F762A">
            <w:pPr>
              <w:rPr>
                <w:rFonts w:ascii="宋体"/>
                <w:vanish/>
              </w:rPr>
            </w:pPr>
          </w:p>
        </w:tc>
        <w:tc>
          <w:tcPr>
            <w:tcW w:w="0" w:type="auto"/>
            <w:gridSpan w:val="3"/>
            <w:shd w:val="clear" w:color="auto" w:fill="auto"/>
          </w:tcPr>
          <w:p w14:paraId="7268ED2E" w14:textId="77777777" w:rsidR="005F762A" w:rsidRDefault="005F762A">
            <w:pPr>
              <w:rPr>
                <w:rFonts w:ascii="宋体"/>
                <w:vanish/>
              </w:rPr>
            </w:pPr>
          </w:p>
        </w:tc>
      </w:tr>
      <w:tr w:rsidR="005F762A" w14:paraId="7268ED3A" w14:textId="77777777">
        <w:trPr>
          <w:jc w:val="center"/>
        </w:trPr>
        <w:tc>
          <w:tcPr>
            <w:tcW w:w="0" w:type="auto"/>
            <w:gridSpan w:val="3"/>
            <w:shd w:val="clear" w:color="auto" w:fill="E2E2E2"/>
            <w:tcMar>
              <w:top w:w="40" w:type="dxa"/>
              <w:left w:w="20" w:type="dxa"/>
              <w:bottom w:w="40" w:type="dxa"/>
              <w:right w:w="20" w:type="dxa"/>
            </w:tcMar>
            <w:vAlign w:val="bottom"/>
          </w:tcPr>
          <w:p w14:paraId="7268ED30" w14:textId="77777777" w:rsidR="005F762A" w:rsidRDefault="00D74111">
            <w:pPr>
              <w:textAlignment w:val="bottom"/>
            </w:pPr>
            <w:r>
              <w:rPr>
                <w:rFonts w:ascii="Arial" w:eastAsia="宋体" w:hAnsi="Arial" w:cs="Arial"/>
                <w:color w:val="000000"/>
                <w:sz w:val="18"/>
                <w:szCs w:val="18"/>
              </w:rPr>
              <w:t>Gain (loss) from interest rate contracts designated as cash flow hedges recognized in interest and other, net</w:t>
            </w:r>
          </w:p>
        </w:tc>
        <w:tc>
          <w:tcPr>
            <w:tcW w:w="0" w:type="auto"/>
            <w:shd w:val="clear" w:color="auto" w:fill="auto"/>
          </w:tcPr>
          <w:p w14:paraId="7268ED31" w14:textId="77777777" w:rsidR="005F762A" w:rsidRDefault="005F762A">
            <w:pPr>
              <w:rPr>
                <w:rFonts w:ascii="宋体"/>
                <w:vanish/>
              </w:rPr>
            </w:pPr>
          </w:p>
        </w:tc>
        <w:tc>
          <w:tcPr>
            <w:tcW w:w="0" w:type="auto"/>
            <w:shd w:val="clear" w:color="auto" w:fill="auto"/>
          </w:tcPr>
          <w:p w14:paraId="7268ED32" w14:textId="77777777" w:rsidR="005F762A" w:rsidRDefault="005F762A">
            <w:pPr>
              <w:rPr>
                <w:rFonts w:ascii="宋体"/>
                <w:vanish/>
              </w:rPr>
            </w:pPr>
          </w:p>
        </w:tc>
        <w:tc>
          <w:tcPr>
            <w:tcW w:w="0" w:type="auto"/>
            <w:shd w:val="clear" w:color="auto" w:fill="auto"/>
          </w:tcPr>
          <w:p w14:paraId="7268ED33"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D34"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35" w14:textId="77777777" w:rsidR="005F762A" w:rsidRDefault="00D74111">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3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D37"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38"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39" w14:textId="77777777" w:rsidR="005F762A" w:rsidRDefault="005F762A">
            <w:pPr>
              <w:jc w:val="right"/>
              <w:rPr>
                <w:rFonts w:ascii="宋体"/>
              </w:rPr>
            </w:pPr>
          </w:p>
        </w:tc>
      </w:tr>
      <w:tr w:rsidR="005F762A" w14:paraId="7268ED43" w14:textId="77777777">
        <w:trPr>
          <w:jc w:val="center"/>
          <w:hidden/>
        </w:trPr>
        <w:tc>
          <w:tcPr>
            <w:tcW w:w="0" w:type="auto"/>
            <w:gridSpan w:val="3"/>
            <w:shd w:val="clear" w:color="auto" w:fill="auto"/>
          </w:tcPr>
          <w:p w14:paraId="7268ED3B" w14:textId="77777777" w:rsidR="005F762A" w:rsidRDefault="005F762A">
            <w:pPr>
              <w:rPr>
                <w:rFonts w:ascii="宋体"/>
                <w:vanish/>
              </w:rPr>
            </w:pPr>
          </w:p>
        </w:tc>
        <w:tc>
          <w:tcPr>
            <w:tcW w:w="0" w:type="auto"/>
            <w:shd w:val="clear" w:color="auto" w:fill="auto"/>
          </w:tcPr>
          <w:p w14:paraId="7268ED3C" w14:textId="77777777" w:rsidR="005F762A" w:rsidRDefault="005F762A">
            <w:pPr>
              <w:rPr>
                <w:rFonts w:ascii="宋体"/>
                <w:vanish/>
              </w:rPr>
            </w:pPr>
          </w:p>
        </w:tc>
        <w:tc>
          <w:tcPr>
            <w:tcW w:w="0" w:type="auto"/>
            <w:shd w:val="clear" w:color="auto" w:fill="auto"/>
          </w:tcPr>
          <w:p w14:paraId="7268ED3D" w14:textId="77777777" w:rsidR="005F762A" w:rsidRDefault="005F762A">
            <w:pPr>
              <w:rPr>
                <w:rFonts w:ascii="宋体"/>
                <w:vanish/>
              </w:rPr>
            </w:pPr>
          </w:p>
        </w:tc>
        <w:tc>
          <w:tcPr>
            <w:tcW w:w="0" w:type="auto"/>
            <w:shd w:val="clear" w:color="auto" w:fill="auto"/>
          </w:tcPr>
          <w:p w14:paraId="7268ED3E" w14:textId="77777777" w:rsidR="005F762A" w:rsidRDefault="005F762A">
            <w:pPr>
              <w:rPr>
                <w:rFonts w:ascii="宋体"/>
                <w:vanish/>
              </w:rPr>
            </w:pPr>
          </w:p>
        </w:tc>
        <w:tc>
          <w:tcPr>
            <w:tcW w:w="0" w:type="auto"/>
            <w:gridSpan w:val="3"/>
            <w:shd w:val="clear" w:color="auto" w:fill="auto"/>
          </w:tcPr>
          <w:p w14:paraId="7268ED3F" w14:textId="77777777" w:rsidR="005F762A" w:rsidRDefault="005F762A">
            <w:pPr>
              <w:rPr>
                <w:rFonts w:ascii="宋体"/>
                <w:vanish/>
              </w:rPr>
            </w:pPr>
          </w:p>
        </w:tc>
        <w:tc>
          <w:tcPr>
            <w:tcW w:w="0" w:type="auto"/>
            <w:gridSpan w:val="3"/>
            <w:shd w:val="clear" w:color="auto" w:fill="auto"/>
          </w:tcPr>
          <w:p w14:paraId="7268ED40" w14:textId="77777777" w:rsidR="005F762A" w:rsidRDefault="005F762A">
            <w:pPr>
              <w:rPr>
                <w:rFonts w:ascii="宋体"/>
                <w:vanish/>
              </w:rPr>
            </w:pPr>
          </w:p>
        </w:tc>
        <w:tc>
          <w:tcPr>
            <w:tcW w:w="0" w:type="auto"/>
            <w:gridSpan w:val="3"/>
            <w:shd w:val="clear" w:color="auto" w:fill="auto"/>
          </w:tcPr>
          <w:p w14:paraId="7268ED41" w14:textId="77777777" w:rsidR="005F762A" w:rsidRDefault="005F762A">
            <w:pPr>
              <w:rPr>
                <w:rFonts w:ascii="宋体"/>
                <w:vanish/>
              </w:rPr>
            </w:pPr>
          </w:p>
        </w:tc>
        <w:tc>
          <w:tcPr>
            <w:tcW w:w="0" w:type="auto"/>
            <w:gridSpan w:val="3"/>
            <w:shd w:val="clear" w:color="auto" w:fill="auto"/>
          </w:tcPr>
          <w:p w14:paraId="7268ED42" w14:textId="77777777" w:rsidR="005F762A" w:rsidRDefault="005F762A">
            <w:pPr>
              <w:rPr>
                <w:rFonts w:ascii="宋体"/>
                <w:vanish/>
              </w:rPr>
            </w:pPr>
          </w:p>
        </w:tc>
      </w:tr>
    </w:tbl>
    <w:p w14:paraId="7268ED44" w14:textId="77777777" w:rsidR="005F762A" w:rsidRDefault="005F762A">
      <w:pPr>
        <w:spacing w:after="120"/>
      </w:pPr>
    </w:p>
    <w:p w14:paraId="7268ED45" w14:textId="77777777" w:rsidR="005F762A" w:rsidRDefault="00D74111">
      <w:pPr>
        <w:spacing w:after="120"/>
        <w:ind w:firstLine="540"/>
      </w:pPr>
      <w:r>
        <w:rPr>
          <w:rFonts w:ascii="Arial" w:eastAsia="宋体" w:hAnsi="Arial" w:cs="Arial"/>
          <w:color w:val="000000"/>
          <w:sz w:val="20"/>
          <w:szCs w:val="20"/>
        </w:rPr>
        <w:t xml:space="preserve">The following table provides a summary of the total gain </w:t>
      </w:r>
      <w:r>
        <w:rPr>
          <w:rFonts w:ascii="Arial" w:eastAsia="宋体" w:hAnsi="Arial" w:cs="Arial"/>
          <w:color w:val="000000"/>
          <w:sz w:val="20"/>
          <w:szCs w:val="20"/>
        </w:rPr>
        <w:t>(loss) recognized in the condensed consolidated statement of income due to changes in the fair value of the warrant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042"/>
        <w:gridCol w:w="36"/>
        <w:gridCol w:w="36"/>
        <w:gridCol w:w="46"/>
        <w:gridCol w:w="36"/>
        <w:gridCol w:w="36"/>
        <w:gridCol w:w="36"/>
        <w:gridCol w:w="36"/>
        <w:gridCol w:w="121"/>
        <w:gridCol w:w="786"/>
        <w:gridCol w:w="36"/>
        <w:gridCol w:w="36"/>
        <w:gridCol w:w="36"/>
        <w:gridCol w:w="36"/>
        <w:gridCol w:w="121"/>
        <w:gridCol w:w="787"/>
        <w:gridCol w:w="36"/>
      </w:tblGrid>
      <w:tr w:rsidR="005F762A" w14:paraId="7268ED58" w14:textId="77777777">
        <w:trPr>
          <w:jc w:val="center"/>
        </w:trPr>
        <w:tc>
          <w:tcPr>
            <w:tcW w:w="50" w:type="pct"/>
            <w:shd w:val="clear" w:color="auto" w:fill="auto"/>
          </w:tcPr>
          <w:p w14:paraId="7268ED46" w14:textId="77777777" w:rsidR="005F762A" w:rsidRDefault="005F762A">
            <w:pPr>
              <w:rPr>
                <w:rFonts w:ascii="宋体"/>
              </w:rPr>
            </w:pPr>
          </w:p>
        </w:tc>
        <w:tc>
          <w:tcPr>
            <w:tcW w:w="3702" w:type="pct"/>
            <w:shd w:val="clear" w:color="auto" w:fill="auto"/>
          </w:tcPr>
          <w:p w14:paraId="7268ED47" w14:textId="77777777" w:rsidR="005F762A" w:rsidRDefault="005F762A">
            <w:pPr>
              <w:rPr>
                <w:rFonts w:ascii="宋体"/>
              </w:rPr>
            </w:pPr>
          </w:p>
        </w:tc>
        <w:tc>
          <w:tcPr>
            <w:tcW w:w="5" w:type="pct"/>
            <w:shd w:val="clear" w:color="auto" w:fill="auto"/>
          </w:tcPr>
          <w:p w14:paraId="7268ED48" w14:textId="77777777" w:rsidR="005F762A" w:rsidRDefault="005F762A">
            <w:pPr>
              <w:rPr>
                <w:rFonts w:ascii="宋体"/>
              </w:rPr>
            </w:pPr>
          </w:p>
        </w:tc>
        <w:tc>
          <w:tcPr>
            <w:tcW w:w="0" w:type="auto"/>
            <w:shd w:val="clear" w:color="auto" w:fill="auto"/>
          </w:tcPr>
          <w:p w14:paraId="7268ED49" w14:textId="77777777" w:rsidR="005F762A" w:rsidRDefault="005F762A">
            <w:pPr>
              <w:rPr>
                <w:rFonts w:ascii="宋体"/>
                <w:vanish/>
              </w:rPr>
            </w:pPr>
          </w:p>
        </w:tc>
        <w:tc>
          <w:tcPr>
            <w:tcW w:w="0" w:type="auto"/>
            <w:shd w:val="clear" w:color="auto" w:fill="auto"/>
          </w:tcPr>
          <w:p w14:paraId="7268ED4A" w14:textId="77777777" w:rsidR="005F762A" w:rsidRDefault="005F762A">
            <w:pPr>
              <w:rPr>
                <w:rFonts w:ascii="宋体"/>
                <w:vanish/>
              </w:rPr>
            </w:pPr>
          </w:p>
        </w:tc>
        <w:tc>
          <w:tcPr>
            <w:tcW w:w="0" w:type="auto"/>
            <w:shd w:val="clear" w:color="auto" w:fill="auto"/>
          </w:tcPr>
          <w:p w14:paraId="7268ED4B" w14:textId="77777777" w:rsidR="005F762A" w:rsidRDefault="005F762A">
            <w:pPr>
              <w:rPr>
                <w:rFonts w:ascii="宋体"/>
                <w:vanish/>
              </w:rPr>
            </w:pPr>
          </w:p>
        </w:tc>
        <w:tc>
          <w:tcPr>
            <w:tcW w:w="5" w:type="pct"/>
            <w:shd w:val="clear" w:color="auto" w:fill="auto"/>
          </w:tcPr>
          <w:p w14:paraId="7268ED4C" w14:textId="77777777" w:rsidR="005F762A" w:rsidRDefault="005F762A">
            <w:pPr>
              <w:rPr>
                <w:rFonts w:ascii="宋体"/>
              </w:rPr>
            </w:pPr>
          </w:p>
        </w:tc>
        <w:tc>
          <w:tcPr>
            <w:tcW w:w="26" w:type="pct"/>
            <w:shd w:val="clear" w:color="auto" w:fill="auto"/>
          </w:tcPr>
          <w:p w14:paraId="7268ED4D" w14:textId="77777777" w:rsidR="005F762A" w:rsidRDefault="005F762A">
            <w:pPr>
              <w:rPr>
                <w:rFonts w:ascii="宋体"/>
              </w:rPr>
            </w:pPr>
          </w:p>
        </w:tc>
        <w:tc>
          <w:tcPr>
            <w:tcW w:w="5" w:type="pct"/>
            <w:shd w:val="clear" w:color="auto" w:fill="auto"/>
          </w:tcPr>
          <w:p w14:paraId="7268ED4E" w14:textId="77777777" w:rsidR="005F762A" w:rsidRDefault="005F762A">
            <w:pPr>
              <w:rPr>
                <w:rFonts w:ascii="宋体"/>
              </w:rPr>
            </w:pPr>
          </w:p>
        </w:tc>
        <w:tc>
          <w:tcPr>
            <w:tcW w:w="50" w:type="pct"/>
            <w:shd w:val="clear" w:color="auto" w:fill="auto"/>
          </w:tcPr>
          <w:p w14:paraId="7268ED4F" w14:textId="77777777" w:rsidR="005F762A" w:rsidRDefault="005F762A">
            <w:pPr>
              <w:rPr>
                <w:rFonts w:ascii="宋体"/>
              </w:rPr>
            </w:pPr>
          </w:p>
        </w:tc>
        <w:tc>
          <w:tcPr>
            <w:tcW w:w="529" w:type="pct"/>
            <w:shd w:val="clear" w:color="auto" w:fill="auto"/>
          </w:tcPr>
          <w:p w14:paraId="7268ED50" w14:textId="77777777" w:rsidR="005F762A" w:rsidRDefault="005F762A">
            <w:pPr>
              <w:rPr>
                <w:rFonts w:ascii="宋体"/>
              </w:rPr>
            </w:pPr>
          </w:p>
        </w:tc>
        <w:tc>
          <w:tcPr>
            <w:tcW w:w="5" w:type="pct"/>
            <w:shd w:val="clear" w:color="auto" w:fill="auto"/>
          </w:tcPr>
          <w:p w14:paraId="7268ED51" w14:textId="77777777" w:rsidR="005F762A" w:rsidRDefault="005F762A">
            <w:pPr>
              <w:rPr>
                <w:rFonts w:ascii="宋体"/>
              </w:rPr>
            </w:pPr>
          </w:p>
        </w:tc>
        <w:tc>
          <w:tcPr>
            <w:tcW w:w="5" w:type="pct"/>
            <w:shd w:val="clear" w:color="auto" w:fill="auto"/>
          </w:tcPr>
          <w:p w14:paraId="7268ED52" w14:textId="77777777" w:rsidR="005F762A" w:rsidRDefault="005F762A">
            <w:pPr>
              <w:rPr>
                <w:rFonts w:ascii="宋体"/>
              </w:rPr>
            </w:pPr>
          </w:p>
        </w:tc>
        <w:tc>
          <w:tcPr>
            <w:tcW w:w="26" w:type="pct"/>
            <w:shd w:val="clear" w:color="auto" w:fill="auto"/>
          </w:tcPr>
          <w:p w14:paraId="7268ED53" w14:textId="77777777" w:rsidR="005F762A" w:rsidRDefault="005F762A">
            <w:pPr>
              <w:rPr>
                <w:rFonts w:ascii="宋体"/>
              </w:rPr>
            </w:pPr>
          </w:p>
        </w:tc>
        <w:tc>
          <w:tcPr>
            <w:tcW w:w="5" w:type="pct"/>
            <w:shd w:val="clear" w:color="auto" w:fill="auto"/>
          </w:tcPr>
          <w:p w14:paraId="7268ED54" w14:textId="77777777" w:rsidR="005F762A" w:rsidRDefault="005F762A">
            <w:pPr>
              <w:rPr>
                <w:rFonts w:ascii="宋体"/>
              </w:rPr>
            </w:pPr>
          </w:p>
        </w:tc>
        <w:tc>
          <w:tcPr>
            <w:tcW w:w="50" w:type="pct"/>
            <w:shd w:val="clear" w:color="auto" w:fill="auto"/>
          </w:tcPr>
          <w:p w14:paraId="7268ED55" w14:textId="77777777" w:rsidR="005F762A" w:rsidRDefault="005F762A">
            <w:pPr>
              <w:rPr>
                <w:rFonts w:ascii="宋体"/>
              </w:rPr>
            </w:pPr>
          </w:p>
        </w:tc>
        <w:tc>
          <w:tcPr>
            <w:tcW w:w="529" w:type="pct"/>
            <w:shd w:val="clear" w:color="auto" w:fill="auto"/>
          </w:tcPr>
          <w:p w14:paraId="7268ED56" w14:textId="77777777" w:rsidR="005F762A" w:rsidRDefault="005F762A">
            <w:pPr>
              <w:rPr>
                <w:rFonts w:ascii="宋体"/>
              </w:rPr>
            </w:pPr>
          </w:p>
        </w:tc>
        <w:tc>
          <w:tcPr>
            <w:tcW w:w="5" w:type="pct"/>
            <w:shd w:val="clear" w:color="auto" w:fill="auto"/>
          </w:tcPr>
          <w:p w14:paraId="7268ED57" w14:textId="77777777" w:rsidR="005F762A" w:rsidRDefault="005F762A">
            <w:pPr>
              <w:rPr>
                <w:rFonts w:ascii="宋体"/>
              </w:rPr>
            </w:pPr>
          </w:p>
        </w:tc>
      </w:tr>
      <w:tr w:rsidR="005F762A" w14:paraId="7268ED63" w14:textId="77777777">
        <w:trPr>
          <w:jc w:val="center"/>
        </w:trPr>
        <w:tc>
          <w:tcPr>
            <w:tcW w:w="0" w:type="auto"/>
            <w:gridSpan w:val="3"/>
            <w:shd w:val="clear" w:color="auto" w:fill="auto"/>
            <w:tcMar>
              <w:top w:w="0" w:type="dxa"/>
              <w:left w:w="20" w:type="dxa"/>
              <w:bottom w:w="0" w:type="dxa"/>
              <w:right w:w="20" w:type="dxa"/>
            </w:tcMar>
          </w:tcPr>
          <w:p w14:paraId="7268ED59" w14:textId="77777777" w:rsidR="005F762A" w:rsidRDefault="005F762A">
            <w:pPr>
              <w:rPr>
                <w:rFonts w:ascii="宋体"/>
              </w:rPr>
            </w:pPr>
          </w:p>
        </w:tc>
        <w:tc>
          <w:tcPr>
            <w:tcW w:w="0" w:type="auto"/>
            <w:shd w:val="clear" w:color="auto" w:fill="auto"/>
          </w:tcPr>
          <w:p w14:paraId="7268ED5A"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ED5B"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ED5C"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ED5D" w14:textId="77777777" w:rsidR="005F762A" w:rsidRDefault="005F762A">
            <w:pPr>
              <w:rPr>
                <w:rFonts w:ascii="宋体"/>
              </w:rPr>
            </w:pPr>
          </w:p>
        </w:tc>
        <w:tc>
          <w:tcPr>
            <w:tcW w:w="0" w:type="auto"/>
            <w:shd w:val="clear" w:color="auto" w:fill="auto"/>
          </w:tcPr>
          <w:p w14:paraId="7268ED5E" w14:textId="77777777" w:rsidR="005F762A" w:rsidRDefault="005F762A">
            <w:pPr>
              <w:rPr>
                <w:rFonts w:ascii="宋体"/>
              </w:rPr>
            </w:pPr>
          </w:p>
        </w:tc>
        <w:tc>
          <w:tcPr>
            <w:tcW w:w="0" w:type="auto"/>
            <w:shd w:val="clear" w:color="auto" w:fill="auto"/>
          </w:tcPr>
          <w:p w14:paraId="7268ED5F" w14:textId="77777777" w:rsidR="005F762A" w:rsidRDefault="005F762A">
            <w:pPr>
              <w:rPr>
                <w:rFonts w:ascii="宋体"/>
              </w:rPr>
            </w:pPr>
          </w:p>
        </w:tc>
        <w:tc>
          <w:tcPr>
            <w:tcW w:w="0" w:type="auto"/>
            <w:shd w:val="clear" w:color="auto" w:fill="auto"/>
          </w:tcPr>
          <w:p w14:paraId="7268ED60" w14:textId="77777777" w:rsidR="005F762A" w:rsidRDefault="005F762A">
            <w:pPr>
              <w:rPr>
                <w:rFonts w:ascii="宋体"/>
              </w:rPr>
            </w:pPr>
          </w:p>
        </w:tc>
        <w:tc>
          <w:tcPr>
            <w:tcW w:w="0" w:type="auto"/>
            <w:shd w:val="clear" w:color="auto" w:fill="auto"/>
          </w:tcPr>
          <w:p w14:paraId="7268ED61" w14:textId="77777777" w:rsidR="005F762A" w:rsidRDefault="005F762A">
            <w:pPr>
              <w:rPr>
                <w:rFonts w:ascii="宋体"/>
              </w:rPr>
            </w:pPr>
          </w:p>
        </w:tc>
        <w:tc>
          <w:tcPr>
            <w:tcW w:w="0" w:type="auto"/>
            <w:shd w:val="clear" w:color="auto" w:fill="auto"/>
          </w:tcPr>
          <w:p w14:paraId="7268ED62" w14:textId="77777777" w:rsidR="005F762A" w:rsidRDefault="005F762A">
            <w:pPr>
              <w:rPr>
                <w:rFonts w:ascii="宋体"/>
              </w:rPr>
            </w:pPr>
          </w:p>
        </w:tc>
      </w:tr>
      <w:tr w:rsidR="005F762A" w14:paraId="7268ED6C" w14:textId="77777777">
        <w:trPr>
          <w:jc w:val="center"/>
        </w:trPr>
        <w:tc>
          <w:tcPr>
            <w:tcW w:w="0" w:type="auto"/>
            <w:gridSpan w:val="3"/>
            <w:shd w:val="clear" w:color="auto" w:fill="auto"/>
            <w:tcMar>
              <w:top w:w="40" w:type="dxa"/>
              <w:left w:w="20" w:type="dxa"/>
              <w:bottom w:w="40" w:type="dxa"/>
              <w:right w:w="20" w:type="dxa"/>
            </w:tcMar>
            <w:vAlign w:val="bottom"/>
          </w:tcPr>
          <w:p w14:paraId="7268ED64" w14:textId="77777777" w:rsidR="005F762A" w:rsidRDefault="00D74111">
            <w:pPr>
              <w:textAlignment w:val="bottom"/>
            </w:pPr>
            <w:r>
              <w:rPr>
                <w:rFonts w:ascii="Arial" w:eastAsia="宋体" w:hAnsi="Arial" w:cs="Arial"/>
                <w:color w:val="000000"/>
                <w:sz w:val="16"/>
                <w:szCs w:val="16"/>
              </w:rPr>
              <w:t> </w:t>
            </w:r>
          </w:p>
        </w:tc>
        <w:tc>
          <w:tcPr>
            <w:tcW w:w="0" w:type="auto"/>
            <w:shd w:val="clear" w:color="auto" w:fill="auto"/>
          </w:tcPr>
          <w:p w14:paraId="7268ED65" w14:textId="77777777" w:rsidR="005F762A" w:rsidRDefault="005F762A">
            <w:pPr>
              <w:rPr>
                <w:rFonts w:ascii="宋体"/>
                <w:vanish/>
              </w:rPr>
            </w:pPr>
          </w:p>
        </w:tc>
        <w:tc>
          <w:tcPr>
            <w:tcW w:w="0" w:type="auto"/>
            <w:shd w:val="clear" w:color="auto" w:fill="auto"/>
          </w:tcPr>
          <w:p w14:paraId="7268ED66" w14:textId="77777777" w:rsidR="005F762A" w:rsidRDefault="005F762A">
            <w:pPr>
              <w:rPr>
                <w:rFonts w:ascii="宋体"/>
                <w:vanish/>
              </w:rPr>
            </w:pPr>
          </w:p>
        </w:tc>
        <w:tc>
          <w:tcPr>
            <w:tcW w:w="0" w:type="auto"/>
            <w:shd w:val="clear" w:color="auto" w:fill="auto"/>
          </w:tcPr>
          <w:p w14:paraId="7268ED67"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ED68"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ED69"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ED6A" w14:textId="77777777" w:rsidR="005F762A" w:rsidRDefault="005F762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ED6B"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ED79" w14:textId="77777777">
        <w:trPr>
          <w:jc w:val="center"/>
        </w:trPr>
        <w:tc>
          <w:tcPr>
            <w:tcW w:w="0" w:type="auto"/>
            <w:gridSpan w:val="3"/>
            <w:shd w:val="clear" w:color="auto" w:fill="E2E2E2"/>
            <w:tcMar>
              <w:top w:w="40" w:type="dxa"/>
              <w:left w:w="20" w:type="dxa"/>
              <w:bottom w:w="40" w:type="dxa"/>
              <w:right w:w="20" w:type="dxa"/>
            </w:tcMar>
            <w:vAlign w:val="bottom"/>
          </w:tcPr>
          <w:p w14:paraId="7268ED6D" w14:textId="77777777" w:rsidR="005F762A" w:rsidRDefault="00D74111">
            <w:pPr>
              <w:textAlignment w:val="bottom"/>
            </w:pPr>
            <w:r>
              <w:rPr>
                <w:rFonts w:ascii="Arial" w:eastAsia="宋体" w:hAnsi="Arial" w:cs="Arial"/>
                <w:color w:val="000000"/>
                <w:sz w:val="18"/>
                <w:szCs w:val="18"/>
              </w:rPr>
              <w:t xml:space="preserve">Gain (loss) attributable to changes in the </w:t>
            </w:r>
            <w:r>
              <w:rPr>
                <w:rFonts w:ascii="Arial" w:eastAsia="宋体" w:hAnsi="Arial" w:cs="Arial"/>
                <w:color w:val="000000"/>
                <w:sz w:val="18"/>
                <w:szCs w:val="18"/>
              </w:rPr>
              <w:t>fair value of warrant recognized in interest and other, net</w:t>
            </w:r>
          </w:p>
        </w:tc>
        <w:tc>
          <w:tcPr>
            <w:tcW w:w="0" w:type="auto"/>
            <w:shd w:val="clear" w:color="auto" w:fill="auto"/>
          </w:tcPr>
          <w:p w14:paraId="7268ED6E" w14:textId="77777777" w:rsidR="005F762A" w:rsidRDefault="005F762A">
            <w:pPr>
              <w:rPr>
                <w:rFonts w:ascii="宋体"/>
                <w:vanish/>
              </w:rPr>
            </w:pPr>
          </w:p>
        </w:tc>
        <w:tc>
          <w:tcPr>
            <w:tcW w:w="0" w:type="auto"/>
            <w:shd w:val="clear" w:color="auto" w:fill="auto"/>
          </w:tcPr>
          <w:p w14:paraId="7268ED6F" w14:textId="77777777" w:rsidR="005F762A" w:rsidRDefault="005F762A">
            <w:pPr>
              <w:rPr>
                <w:rFonts w:ascii="宋体"/>
                <w:vanish/>
              </w:rPr>
            </w:pPr>
          </w:p>
        </w:tc>
        <w:tc>
          <w:tcPr>
            <w:tcW w:w="0" w:type="auto"/>
            <w:shd w:val="clear" w:color="auto" w:fill="auto"/>
          </w:tcPr>
          <w:p w14:paraId="7268ED7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ED71"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7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D73" w14:textId="77777777" w:rsidR="005F762A" w:rsidRDefault="00D74111">
            <w:pPr>
              <w:jc w:val="right"/>
              <w:textAlignment w:val="bottom"/>
            </w:pPr>
            <w:r>
              <w:rPr>
                <w:rFonts w:ascii="Arial" w:eastAsia="宋体" w:hAnsi="Arial" w:cs="Arial"/>
                <w:color w:val="000000"/>
                <w:sz w:val="18"/>
                <w:szCs w:val="18"/>
              </w:rPr>
              <w:t>(36)</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7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D75"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7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D77" w14:textId="77777777" w:rsidR="005F762A" w:rsidRDefault="00D74111">
            <w:pPr>
              <w:jc w:val="right"/>
              <w:textAlignment w:val="bottom"/>
            </w:pPr>
            <w:r>
              <w:rPr>
                <w:rFonts w:ascii="Arial" w:eastAsia="宋体" w:hAnsi="Arial" w:cs="Arial"/>
                <w:color w:val="000000"/>
                <w:sz w:val="18"/>
                <w:szCs w:val="18"/>
              </w:rPr>
              <w:t>12 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78" w14:textId="77777777" w:rsidR="005F762A" w:rsidRDefault="005F762A">
            <w:pPr>
              <w:jc w:val="right"/>
              <w:rPr>
                <w:rFonts w:ascii="宋体"/>
              </w:rPr>
            </w:pPr>
          </w:p>
        </w:tc>
      </w:tr>
    </w:tbl>
    <w:p w14:paraId="7268ED7A" w14:textId="77777777" w:rsidR="005F762A" w:rsidRDefault="005F762A"/>
    <w:p w14:paraId="7268ED7B" w14:textId="77777777" w:rsidR="005F762A" w:rsidRDefault="00D74111">
      <w:r>
        <w:rPr>
          <w:rFonts w:ascii="Arial" w:eastAsia="宋体" w:hAnsi="Arial" w:cs="Arial"/>
          <w:b/>
          <w:bCs/>
          <w:i/>
          <w:iCs/>
          <w:color w:val="000000"/>
          <w:sz w:val="20"/>
          <w:szCs w:val="20"/>
        </w:rPr>
        <w:t>Notional Amounts of Derivative Contracts</w:t>
      </w:r>
    </w:p>
    <w:p w14:paraId="7268ED7C" w14:textId="77777777" w:rsidR="005F762A" w:rsidRDefault="005F762A"/>
    <w:p w14:paraId="7268ED7D" w14:textId="77777777" w:rsidR="005F762A" w:rsidRDefault="00D74111">
      <w:pPr>
        <w:ind w:firstLine="540"/>
        <w:jc w:val="both"/>
      </w:pPr>
      <w:r>
        <w:rPr>
          <w:rFonts w:ascii="Arial" w:eastAsia="宋体" w:hAnsi="Arial" w:cs="Arial"/>
          <w:color w:val="000000"/>
          <w:sz w:val="20"/>
          <w:szCs w:val="20"/>
        </w:rPr>
        <w:t xml:space="preserve">Derivative transactions are measured in terms of the notional amount, but this amount is not recorded on the balance sheet and is not, when viewed in isolation, a meaningful measure of the risk </w:t>
      </w:r>
      <w:r>
        <w:rPr>
          <w:rFonts w:ascii="Arial" w:eastAsia="宋体" w:hAnsi="Arial" w:cs="Arial"/>
          <w:color w:val="000000"/>
          <w:sz w:val="20"/>
          <w:szCs w:val="20"/>
        </w:rPr>
        <w:t>profile of the instruments. The notional amount is generally not exchanged, but is used only as the basis on which the value of foreign exchange payments under these contracts are determined. The following table provides the notional amounts of our outstan</w:t>
      </w:r>
      <w:r>
        <w:rPr>
          <w:rFonts w:ascii="Arial" w:eastAsia="宋体" w:hAnsi="Arial" w:cs="Arial"/>
          <w:color w:val="000000"/>
          <w:sz w:val="20"/>
          <w:szCs w:val="20"/>
        </w:rPr>
        <w:t>ding derivatives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582"/>
        <w:gridCol w:w="36"/>
        <w:gridCol w:w="121"/>
        <w:gridCol w:w="1132"/>
        <w:gridCol w:w="36"/>
        <w:gridCol w:w="36"/>
        <w:gridCol w:w="36"/>
        <w:gridCol w:w="36"/>
        <w:gridCol w:w="122"/>
        <w:gridCol w:w="1098"/>
        <w:gridCol w:w="36"/>
      </w:tblGrid>
      <w:tr w:rsidR="005F762A" w14:paraId="7268ED8A" w14:textId="77777777">
        <w:tc>
          <w:tcPr>
            <w:tcW w:w="50" w:type="pct"/>
            <w:shd w:val="clear" w:color="auto" w:fill="auto"/>
          </w:tcPr>
          <w:p w14:paraId="7268ED7E" w14:textId="77777777" w:rsidR="005F762A" w:rsidRDefault="005F762A">
            <w:pPr>
              <w:rPr>
                <w:rFonts w:ascii="宋体"/>
              </w:rPr>
            </w:pPr>
          </w:p>
        </w:tc>
        <w:tc>
          <w:tcPr>
            <w:tcW w:w="3383" w:type="pct"/>
            <w:shd w:val="clear" w:color="auto" w:fill="auto"/>
          </w:tcPr>
          <w:p w14:paraId="7268ED7F" w14:textId="77777777" w:rsidR="005F762A" w:rsidRDefault="005F762A">
            <w:pPr>
              <w:rPr>
                <w:rFonts w:ascii="宋体"/>
              </w:rPr>
            </w:pPr>
          </w:p>
        </w:tc>
        <w:tc>
          <w:tcPr>
            <w:tcW w:w="5" w:type="pct"/>
            <w:shd w:val="clear" w:color="auto" w:fill="auto"/>
          </w:tcPr>
          <w:p w14:paraId="7268ED80" w14:textId="77777777" w:rsidR="005F762A" w:rsidRDefault="005F762A">
            <w:pPr>
              <w:rPr>
                <w:rFonts w:ascii="宋体"/>
              </w:rPr>
            </w:pPr>
          </w:p>
        </w:tc>
        <w:tc>
          <w:tcPr>
            <w:tcW w:w="50" w:type="pct"/>
            <w:shd w:val="clear" w:color="auto" w:fill="auto"/>
          </w:tcPr>
          <w:p w14:paraId="7268ED81" w14:textId="77777777" w:rsidR="005F762A" w:rsidRDefault="005F762A">
            <w:pPr>
              <w:rPr>
                <w:rFonts w:ascii="宋体"/>
              </w:rPr>
            </w:pPr>
          </w:p>
        </w:tc>
        <w:tc>
          <w:tcPr>
            <w:tcW w:w="707" w:type="pct"/>
            <w:shd w:val="clear" w:color="auto" w:fill="auto"/>
          </w:tcPr>
          <w:p w14:paraId="7268ED82" w14:textId="77777777" w:rsidR="005F762A" w:rsidRDefault="005F762A">
            <w:pPr>
              <w:rPr>
                <w:rFonts w:ascii="宋体"/>
              </w:rPr>
            </w:pPr>
          </w:p>
        </w:tc>
        <w:tc>
          <w:tcPr>
            <w:tcW w:w="5" w:type="pct"/>
            <w:shd w:val="clear" w:color="auto" w:fill="auto"/>
          </w:tcPr>
          <w:p w14:paraId="7268ED83" w14:textId="77777777" w:rsidR="005F762A" w:rsidRDefault="005F762A">
            <w:pPr>
              <w:rPr>
                <w:rFonts w:ascii="宋体"/>
              </w:rPr>
            </w:pPr>
          </w:p>
        </w:tc>
        <w:tc>
          <w:tcPr>
            <w:tcW w:w="5" w:type="pct"/>
            <w:shd w:val="clear" w:color="auto" w:fill="auto"/>
          </w:tcPr>
          <w:p w14:paraId="7268ED84" w14:textId="77777777" w:rsidR="005F762A" w:rsidRDefault="005F762A">
            <w:pPr>
              <w:rPr>
                <w:rFonts w:ascii="宋体"/>
              </w:rPr>
            </w:pPr>
          </w:p>
        </w:tc>
        <w:tc>
          <w:tcPr>
            <w:tcW w:w="26" w:type="pct"/>
            <w:shd w:val="clear" w:color="auto" w:fill="auto"/>
          </w:tcPr>
          <w:p w14:paraId="7268ED85" w14:textId="77777777" w:rsidR="005F762A" w:rsidRDefault="005F762A">
            <w:pPr>
              <w:rPr>
                <w:rFonts w:ascii="宋体"/>
              </w:rPr>
            </w:pPr>
          </w:p>
        </w:tc>
        <w:tc>
          <w:tcPr>
            <w:tcW w:w="5" w:type="pct"/>
            <w:shd w:val="clear" w:color="auto" w:fill="auto"/>
          </w:tcPr>
          <w:p w14:paraId="7268ED86" w14:textId="77777777" w:rsidR="005F762A" w:rsidRDefault="005F762A">
            <w:pPr>
              <w:rPr>
                <w:rFonts w:ascii="宋体"/>
              </w:rPr>
            </w:pPr>
          </w:p>
        </w:tc>
        <w:tc>
          <w:tcPr>
            <w:tcW w:w="50" w:type="pct"/>
            <w:shd w:val="clear" w:color="auto" w:fill="auto"/>
          </w:tcPr>
          <w:p w14:paraId="7268ED87" w14:textId="77777777" w:rsidR="005F762A" w:rsidRDefault="005F762A">
            <w:pPr>
              <w:rPr>
                <w:rFonts w:ascii="宋体"/>
              </w:rPr>
            </w:pPr>
          </w:p>
        </w:tc>
        <w:tc>
          <w:tcPr>
            <w:tcW w:w="707" w:type="pct"/>
            <w:shd w:val="clear" w:color="auto" w:fill="auto"/>
          </w:tcPr>
          <w:p w14:paraId="7268ED88" w14:textId="77777777" w:rsidR="005F762A" w:rsidRDefault="005F762A">
            <w:pPr>
              <w:rPr>
                <w:rFonts w:ascii="宋体"/>
              </w:rPr>
            </w:pPr>
          </w:p>
        </w:tc>
        <w:tc>
          <w:tcPr>
            <w:tcW w:w="5" w:type="pct"/>
            <w:shd w:val="clear" w:color="auto" w:fill="auto"/>
          </w:tcPr>
          <w:p w14:paraId="7268ED89" w14:textId="77777777" w:rsidR="005F762A" w:rsidRDefault="005F762A">
            <w:pPr>
              <w:rPr>
                <w:rFonts w:ascii="宋体"/>
              </w:rPr>
            </w:pPr>
          </w:p>
        </w:tc>
      </w:tr>
      <w:tr w:rsidR="005F762A" w14:paraId="7268ED8F" w14:textId="77777777">
        <w:tc>
          <w:tcPr>
            <w:tcW w:w="0" w:type="auto"/>
            <w:gridSpan w:val="3"/>
            <w:shd w:val="clear" w:color="auto" w:fill="auto"/>
            <w:tcMar>
              <w:top w:w="0" w:type="dxa"/>
              <w:left w:w="20" w:type="dxa"/>
              <w:bottom w:w="0" w:type="dxa"/>
              <w:right w:w="20" w:type="dxa"/>
            </w:tcMar>
          </w:tcPr>
          <w:p w14:paraId="7268ED8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D8C" w14:textId="77777777" w:rsidR="005F762A" w:rsidRDefault="00D74111">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tcPr>
          <w:p w14:paraId="7268ED8D"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ED8E" w14:textId="77777777" w:rsidR="005F762A" w:rsidRDefault="00D74111">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5F762A" w14:paraId="7268ED98" w14:textId="77777777">
        <w:tc>
          <w:tcPr>
            <w:tcW w:w="0" w:type="auto"/>
            <w:gridSpan w:val="3"/>
            <w:shd w:val="clear" w:color="auto" w:fill="E2E2E2"/>
            <w:tcMar>
              <w:top w:w="40" w:type="dxa"/>
              <w:left w:w="20" w:type="dxa"/>
              <w:bottom w:w="40" w:type="dxa"/>
              <w:right w:w="20" w:type="dxa"/>
            </w:tcMar>
            <w:vAlign w:val="bottom"/>
          </w:tcPr>
          <w:p w14:paraId="7268ED90" w14:textId="77777777" w:rsidR="005F762A" w:rsidRDefault="00D74111">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D9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D92" w14:textId="77777777" w:rsidR="005F762A" w:rsidRDefault="00D74111">
            <w:pPr>
              <w:jc w:val="right"/>
              <w:textAlignment w:val="bottom"/>
            </w:pPr>
            <w:r>
              <w:rPr>
                <w:rFonts w:ascii="Arial" w:eastAsia="宋体" w:hAnsi="Arial" w:cs="Arial"/>
                <w:color w:val="000000"/>
                <w:sz w:val="18"/>
                <w:szCs w:val="18"/>
              </w:rPr>
              <w:t>2,362 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D9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D94"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D9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D96" w14:textId="77777777" w:rsidR="005F762A" w:rsidRDefault="00D74111">
            <w:pPr>
              <w:jc w:val="right"/>
              <w:textAlignment w:val="bottom"/>
            </w:pPr>
            <w:r>
              <w:rPr>
                <w:rFonts w:ascii="Arial" w:eastAsia="宋体" w:hAnsi="Arial" w:cs="Arial"/>
                <w:color w:val="000000"/>
                <w:sz w:val="18"/>
                <w:szCs w:val="18"/>
              </w:rPr>
              <w:t>2,305 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D97" w14:textId="77777777" w:rsidR="005F762A" w:rsidRDefault="005F762A">
            <w:pPr>
              <w:jc w:val="right"/>
              <w:rPr>
                <w:rFonts w:ascii="宋体"/>
              </w:rPr>
            </w:pPr>
          </w:p>
        </w:tc>
      </w:tr>
      <w:tr w:rsidR="005F762A" w14:paraId="7268ED9F" w14:textId="77777777">
        <w:tc>
          <w:tcPr>
            <w:tcW w:w="0" w:type="auto"/>
            <w:gridSpan w:val="3"/>
            <w:shd w:val="clear" w:color="auto" w:fill="FFFFFF"/>
            <w:tcMar>
              <w:top w:w="40" w:type="dxa"/>
              <w:left w:w="20" w:type="dxa"/>
              <w:bottom w:w="40" w:type="dxa"/>
              <w:right w:w="20" w:type="dxa"/>
            </w:tcMar>
            <w:vAlign w:val="bottom"/>
          </w:tcPr>
          <w:p w14:paraId="7268ED99" w14:textId="77777777" w:rsidR="005F762A" w:rsidRDefault="00D74111">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FFFFFF"/>
            <w:tcMar>
              <w:top w:w="40" w:type="dxa"/>
              <w:left w:w="20" w:type="dxa"/>
              <w:bottom w:w="40" w:type="dxa"/>
              <w:right w:w="0" w:type="dxa"/>
            </w:tcMar>
            <w:vAlign w:val="bottom"/>
          </w:tcPr>
          <w:p w14:paraId="7268ED9A" w14:textId="77777777" w:rsidR="005F762A" w:rsidRDefault="00D74111">
            <w:pPr>
              <w:jc w:val="right"/>
              <w:textAlignment w:val="bottom"/>
            </w:pPr>
            <w:r>
              <w:rPr>
                <w:rFonts w:ascii="Arial" w:eastAsia="宋体" w:hAnsi="Arial" w:cs="Arial"/>
                <w:color w:val="000000"/>
                <w:sz w:val="18"/>
                <w:szCs w:val="18"/>
              </w:rPr>
              <w:t>106 </w:t>
            </w:r>
          </w:p>
        </w:tc>
        <w:tc>
          <w:tcPr>
            <w:tcW w:w="0" w:type="auto"/>
            <w:shd w:val="clear" w:color="auto" w:fill="FFFFFF"/>
            <w:tcMar>
              <w:top w:w="40" w:type="dxa"/>
              <w:left w:w="0" w:type="dxa"/>
              <w:bottom w:w="40" w:type="dxa"/>
              <w:right w:w="20" w:type="dxa"/>
            </w:tcMar>
            <w:vAlign w:val="bottom"/>
          </w:tcPr>
          <w:p w14:paraId="7268ED9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D9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D9D" w14:textId="77777777" w:rsidR="005F762A" w:rsidRDefault="00D74111">
            <w:pPr>
              <w:jc w:val="right"/>
              <w:textAlignment w:val="bottom"/>
            </w:pPr>
            <w:r>
              <w:rPr>
                <w:rFonts w:ascii="Arial" w:eastAsia="宋体" w:hAnsi="Arial" w:cs="Arial"/>
                <w:color w:val="000000"/>
                <w:sz w:val="18"/>
                <w:szCs w:val="18"/>
              </w:rPr>
              <w:t>134 </w:t>
            </w:r>
          </w:p>
        </w:tc>
        <w:tc>
          <w:tcPr>
            <w:tcW w:w="0" w:type="auto"/>
            <w:shd w:val="clear" w:color="auto" w:fill="FFFFFF"/>
            <w:tcMar>
              <w:top w:w="40" w:type="dxa"/>
              <w:left w:w="0" w:type="dxa"/>
              <w:bottom w:w="40" w:type="dxa"/>
              <w:right w:w="20" w:type="dxa"/>
            </w:tcMar>
            <w:vAlign w:val="bottom"/>
          </w:tcPr>
          <w:p w14:paraId="7268ED9E" w14:textId="77777777" w:rsidR="005F762A" w:rsidRDefault="005F762A">
            <w:pPr>
              <w:jc w:val="right"/>
              <w:rPr>
                <w:rFonts w:ascii="宋体"/>
              </w:rPr>
            </w:pPr>
          </w:p>
        </w:tc>
      </w:tr>
      <w:tr w:rsidR="005F762A" w14:paraId="7268EDA6" w14:textId="77777777">
        <w:tc>
          <w:tcPr>
            <w:tcW w:w="0" w:type="auto"/>
            <w:gridSpan w:val="3"/>
            <w:shd w:val="clear" w:color="auto" w:fill="E2E2E2"/>
            <w:tcMar>
              <w:top w:w="40" w:type="dxa"/>
              <w:left w:w="20" w:type="dxa"/>
              <w:bottom w:w="40" w:type="dxa"/>
              <w:right w:w="20" w:type="dxa"/>
            </w:tcMar>
            <w:vAlign w:val="bottom"/>
          </w:tcPr>
          <w:p w14:paraId="7268EDA0" w14:textId="77777777" w:rsidR="005F762A" w:rsidRDefault="00D74111">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exchange contracts not designated as hedging instruments</w:t>
            </w:r>
          </w:p>
        </w:tc>
        <w:tc>
          <w:tcPr>
            <w:tcW w:w="0" w:type="auto"/>
            <w:gridSpan w:val="2"/>
            <w:shd w:val="clear" w:color="auto" w:fill="E2E2E2"/>
            <w:tcMar>
              <w:top w:w="40" w:type="dxa"/>
              <w:left w:w="20" w:type="dxa"/>
              <w:bottom w:w="40" w:type="dxa"/>
              <w:right w:w="0" w:type="dxa"/>
            </w:tcMar>
            <w:vAlign w:val="bottom"/>
          </w:tcPr>
          <w:p w14:paraId="7268EDA1" w14:textId="77777777" w:rsidR="005F762A" w:rsidRDefault="00D74111">
            <w:pPr>
              <w:jc w:val="right"/>
              <w:textAlignment w:val="bottom"/>
            </w:pPr>
            <w:r>
              <w:rPr>
                <w:rFonts w:ascii="Arial" w:eastAsia="宋体" w:hAnsi="Arial" w:cs="Arial"/>
                <w:color w:val="000000"/>
                <w:sz w:val="18"/>
                <w:szCs w:val="18"/>
              </w:rPr>
              <w:t>3,158 </w:t>
            </w:r>
          </w:p>
        </w:tc>
        <w:tc>
          <w:tcPr>
            <w:tcW w:w="0" w:type="auto"/>
            <w:shd w:val="clear" w:color="auto" w:fill="E2E2E2"/>
            <w:tcMar>
              <w:top w:w="40" w:type="dxa"/>
              <w:left w:w="0" w:type="dxa"/>
              <w:bottom w:w="40" w:type="dxa"/>
              <w:right w:w="20" w:type="dxa"/>
            </w:tcMar>
            <w:vAlign w:val="bottom"/>
          </w:tcPr>
          <w:p w14:paraId="7268EDA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DA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DA4" w14:textId="77777777" w:rsidR="005F762A" w:rsidRDefault="00D74111">
            <w:pPr>
              <w:jc w:val="right"/>
              <w:textAlignment w:val="bottom"/>
            </w:pPr>
            <w:r>
              <w:rPr>
                <w:rFonts w:ascii="Arial" w:eastAsia="宋体" w:hAnsi="Arial" w:cs="Arial"/>
                <w:color w:val="000000"/>
                <w:sz w:val="18"/>
                <w:szCs w:val="18"/>
              </w:rPr>
              <w:t>3,027 </w:t>
            </w:r>
          </w:p>
        </w:tc>
        <w:tc>
          <w:tcPr>
            <w:tcW w:w="0" w:type="auto"/>
            <w:shd w:val="clear" w:color="auto" w:fill="E2E2E2"/>
            <w:tcMar>
              <w:top w:w="40" w:type="dxa"/>
              <w:left w:w="0" w:type="dxa"/>
              <w:bottom w:w="40" w:type="dxa"/>
              <w:right w:w="20" w:type="dxa"/>
            </w:tcMar>
            <w:vAlign w:val="bottom"/>
          </w:tcPr>
          <w:p w14:paraId="7268EDA5" w14:textId="77777777" w:rsidR="005F762A" w:rsidRDefault="005F762A">
            <w:pPr>
              <w:jc w:val="right"/>
              <w:rPr>
                <w:rFonts w:ascii="宋体"/>
              </w:rPr>
            </w:pPr>
          </w:p>
        </w:tc>
      </w:tr>
      <w:tr w:rsidR="005F762A" w14:paraId="7268EDAD" w14:textId="77777777">
        <w:tc>
          <w:tcPr>
            <w:tcW w:w="0" w:type="auto"/>
            <w:gridSpan w:val="3"/>
            <w:shd w:val="clear" w:color="auto" w:fill="FFFFFF"/>
            <w:tcMar>
              <w:top w:w="40" w:type="dxa"/>
              <w:left w:w="20" w:type="dxa"/>
              <w:bottom w:w="40" w:type="dxa"/>
              <w:right w:w="20" w:type="dxa"/>
            </w:tcMar>
            <w:vAlign w:val="bottom"/>
          </w:tcPr>
          <w:p w14:paraId="7268EDA7" w14:textId="77777777" w:rsidR="005F762A" w:rsidRDefault="00D74111">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7268EDA8" w14:textId="77777777" w:rsidR="005F762A" w:rsidRDefault="00D74111">
            <w:pPr>
              <w:jc w:val="right"/>
              <w:textAlignment w:val="bottom"/>
            </w:pPr>
            <w:r>
              <w:rPr>
                <w:rFonts w:ascii="Arial" w:eastAsia="宋体" w:hAnsi="Arial" w:cs="Arial"/>
                <w:color w:val="000000"/>
                <w:sz w:val="18"/>
                <w:szCs w:val="18"/>
              </w:rPr>
              <w:t>1,100 </w:t>
            </w:r>
          </w:p>
        </w:tc>
        <w:tc>
          <w:tcPr>
            <w:tcW w:w="0" w:type="auto"/>
            <w:shd w:val="clear" w:color="auto" w:fill="FFFFFF"/>
            <w:tcMar>
              <w:top w:w="40" w:type="dxa"/>
              <w:left w:w="0" w:type="dxa"/>
              <w:bottom w:w="40" w:type="dxa"/>
              <w:right w:w="20" w:type="dxa"/>
            </w:tcMar>
            <w:vAlign w:val="bottom"/>
          </w:tcPr>
          <w:p w14:paraId="7268EDA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DA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DAB" w14:textId="77777777" w:rsidR="005F762A" w:rsidRDefault="00D74111">
            <w:pPr>
              <w:jc w:val="right"/>
              <w:textAlignment w:val="bottom"/>
            </w:pPr>
            <w:r>
              <w:rPr>
                <w:rFonts w:ascii="Arial" w:eastAsia="宋体" w:hAnsi="Arial" w:cs="Arial"/>
                <w:color w:val="000000"/>
                <w:sz w:val="18"/>
                <w:szCs w:val="18"/>
              </w:rPr>
              <w:t>1,100 </w:t>
            </w:r>
          </w:p>
        </w:tc>
        <w:tc>
          <w:tcPr>
            <w:tcW w:w="0" w:type="auto"/>
            <w:shd w:val="clear" w:color="auto" w:fill="FFFFFF"/>
            <w:tcMar>
              <w:top w:w="40" w:type="dxa"/>
              <w:left w:w="0" w:type="dxa"/>
              <w:bottom w:w="40" w:type="dxa"/>
              <w:right w:w="20" w:type="dxa"/>
            </w:tcMar>
            <w:vAlign w:val="bottom"/>
          </w:tcPr>
          <w:p w14:paraId="7268EDAC" w14:textId="77777777" w:rsidR="005F762A" w:rsidRDefault="005F762A">
            <w:pPr>
              <w:jc w:val="right"/>
              <w:rPr>
                <w:rFonts w:ascii="宋体"/>
              </w:rPr>
            </w:pPr>
          </w:p>
        </w:tc>
      </w:tr>
      <w:tr w:rsidR="005F762A" w14:paraId="7268EDB2" w14:textId="77777777">
        <w:trPr>
          <w:hidden/>
        </w:trPr>
        <w:tc>
          <w:tcPr>
            <w:tcW w:w="0" w:type="auto"/>
            <w:gridSpan w:val="3"/>
            <w:shd w:val="clear" w:color="auto" w:fill="auto"/>
          </w:tcPr>
          <w:p w14:paraId="7268EDAE" w14:textId="77777777" w:rsidR="005F762A" w:rsidRDefault="005F762A">
            <w:pPr>
              <w:rPr>
                <w:rFonts w:ascii="宋体"/>
                <w:vanish/>
              </w:rPr>
            </w:pPr>
          </w:p>
        </w:tc>
        <w:tc>
          <w:tcPr>
            <w:tcW w:w="0" w:type="auto"/>
            <w:gridSpan w:val="3"/>
            <w:shd w:val="clear" w:color="auto" w:fill="auto"/>
          </w:tcPr>
          <w:p w14:paraId="7268EDAF" w14:textId="77777777" w:rsidR="005F762A" w:rsidRDefault="005F762A">
            <w:pPr>
              <w:rPr>
                <w:rFonts w:ascii="宋体"/>
                <w:vanish/>
              </w:rPr>
            </w:pPr>
          </w:p>
        </w:tc>
        <w:tc>
          <w:tcPr>
            <w:tcW w:w="0" w:type="auto"/>
            <w:gridSpan w:val="3"/>
            <w:shd w:val="clear" w:color="auto" w:fill="auto"/>
          </w:tcPr>
          <w:p w14:paraId="7268EDB0" w14:textId="77777777" w:rsidR="005F762A" w:rsidRDefault="005F762A">
            <w:pPr>
              <w:rPr>
                <w:rFonts w:ascii="宋体"/>
                <w:vanish/>
              </w:rPr>
            </w:pPr>
          </w:p>
        </w:tc>
        <w:tc>
          <w:tcPr>
            <w:tcW w:w="0" w:type="auto"/>
            <w:gridSpan w:val="3"/>
            <w:shd w:val="clear" w:color="auto" w:fill="auto"/>
          </w:tcPr>
          <w:p w14:paraId="7268EDB1" w14:textId="77777777" w:rsidR="005F762A" w:rsidRDefault="005F762A">
            <w:pPr>
              <w:rPr>
                <w:rFonts w:ascii="宋体"/>
                <w:vanish/>
              </w:rPr>
            </w:pPr>
          </w:p>
        </w:tc>
      </w:tr>
      <w:tr w:rsidR="005F762A" w14:paraId="7268EDBB" w14:textId="77777777">
        <w:tc>
          <w:tcPr>
            <w:tcW w:w="0" w:type="auto"/>
            <w:gridSpan w:val="3"/>
            <w:shd w:val="clear" w:color="auto" w:fill="E2E2E2"/>
            <w:tcMar>
              <w:top w:w="40" w:type="dxa"/>
              <w:left w:w="245" w:type="dxa"/>
              <w:bottom w:w="40" w:type="dxa"/>
              <w:right w:w="20" w:type="dxa"/>
            </w:tcMar>
            <w:vAlign w:val="bottom"/>
          </w:tcPr>
          <w:p w14:paraId="7268EDB3" w14:textId="77777777" w:rsidR="005F762A" w:rsidRDefault="00D74111">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B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DB5" w14:textId="77777777" w:rsidR="005F762A" w:rsidRDefault="00D74111">
            <w:pPr>
              <w:jc w:val="right"/>
              <w:textAlignment w:val="bottom"/>
            </w:pPr>
            <w:r>
              <w:rPr>
                <w:rFonts w:ascii="Arial" w:eastAsia="宋体" w:hAnsi="Arial" w:cs="Arial"/>
                <w:color w:val="000000"/>
                <w:sz w:val="18"/>
                <w:szCs w:val="18"/>
              </w:rPr>
              <w:t>6,726 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B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DB7"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EDB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EDB9" w14:textId="77777777" w:rsidR="005F762A" w:rsidRDefault="00D74111">
            <w:pPr>
              <w:jc w:val="right"/>
              <w:textAlignment w:val="bottom"/>
            </w:pPr>
            <w:r>
              <w:rPr>
                <w:rFonts w:ascii="Arial" w:eastAsia="宋体" w:hAnsi="Arial" w:cs="Arial"/>
                <w:color w:val="000000"/>
                <w:sz w:val="18"/>
                <w:szCs w:val="18"/>
              </w:rPr>
              <w:t>6,566 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EDBA" w14:textId="77777777" w:rsidR="005F762A" w:rsidRDefault="005F762A">
            <w:pPr>
              <w:jc w:val="right"/>
              <w:rPr>
                <w:rFonts w:ascii="宋体"/>
              </w:rPr>
            </w:pPr>
          </w:p>
        </w:tc>
      </w:tr>
    </w:tbl>
    <w:p w14:paraId="7268EDBC" w14:textId="77777777" w:rsidR="005F762A" w:rsidRDefault="005F762A">
      <w:pPr>
        <w:jc w:val="center"/>
      </w:pPr>
    </w:p>
    <w:p w14:paraId="7268EDBD" w14:textId="77777777" w:rsidR="005F762A" w:rsidRDefault="00D74111">
      <w:pPr>
        <w:jc w:val="center"/>
      </w:pPr>
      <w:r>
        <w:rPr>
          <w:rFonts w:ascii="Arial" w:eastAsia="宋体" w:hAnsi="Arial" w:cs="Arial"/>
          <w:color w:val="000000"/>
          <w:sz w:val="20"/>
          <w:szCs w:val="20"/>
        </w:rPr>
        <w:t>19</w:t>
      </w:r>
    </w:p>
    <w:p w14:paraId="7268EDBE" w14:textId="77777777" w:rsidR="005F762A" w:rsidRDefault="00D74111">
      <w:r>
        <w:pict w14:anchorId="72690152">
          <v:rect id="_x0000_i1043" style="width:415.3pt;height:1.5pt" o:hralign="center" o:hrstd="t" o:hr="t" fillcolor="#a0a0a0" stroked="f"/>
        </w:pict>
      </w:r>
    </w:p>
    <w:p w14:paraId="7268EDBF" w14:textId="77777777" w:rsidR="005F762A" w:rsidRDefault="005F762A">
      <w:pPr>
        <w:jc w:val="center"/>
      </w:pPr>
    </w:p>
    <w:p w14:paraId="7268EDC0" w14:textId="77777777" w:rsidR="005F762A" w:rsidRDefault="00D74111">
      <w:pPr>
        <w:jc w:val="center"/>
      </w:pPr>
      <w:r>
        <w:rPr>
          <w:rFonts w:ascii="Arial" w:eastAsia="宋体" w:hAnsi="Arial" w:cs="Arial"/>
          <w:b/>
          <w:bCs/>
          <w:color w:val="000000"/>
          <w:sz w:val="20"/>
          <w:szCs w:val="20"/>
        </w:rPr>
        <w:t>eBay Inc.</w:t>
      </w:r>
    </w:p>
    <w:p w14:paraId="7268EDC1" w14:textId="77777777" w:rsidR="005F762A" w:rsidRDefault="00D74111">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7268EDC2" w14:textId="77777777" w:rsidR="005F762A" w:rsidRDefault="005F762A">
      <w:pPr>
        <w:jc w:val="both"/>
      </w:pPr>
    </w:p>
    <w:p w14:paraId="7268EDC3" w14:textId="77777777" w:rsidR="005F762A" w:rsidRDefault="00D74111">
      <w:pPr>
        <w:jc w:val="both"/>
      </w:pPr>
      <w:r>
        <w:rPr>
          <w:rFonts w:ascii="Arial" w:eastAsia="宋体" w:hAnsi="Arial" w:cs="Arial"/>
          <w:b/>
          <w:bCs/>
          <w:i/>
          <w:iCs/>
          <w:color w:val="000000"/>
          <w:sz w:val="20"/>
          <w:szCs w:val="20"/>
        </w:rPr>
        <w:t xml:space="preserve">Credit Risk </w:t>
      </w:r>
    </w:p>
    <w:p w14:paraId="7268EDC4" w14:textId="77777777" w:rsidR="005F762A" w:rsidRDefault="005F762A">
      <w:pPr>
        <w:jc w:val="both"/>
      </w:pPr>
    </w:p>
    <w:p w14:paraId="7268EDC5" w14:textId="77777777" w:rsidR="005F762A" w:rsidRDefault="00D74111">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w:t>
      </w:r>
      <w:r>
        <w:rPr>
          <w:rFonts w:ascii="Arial" w:eastAsia="宋体" w:hAnsi="Arial" w:cs="Arial"/>
          <w:color w:val="000000"/>
          <w:sz w:val="20"/>
          <w:szCs w:val="20"/>
        </w:rPr>
        <w:t>isk across, major financial institutions. In addition, the potential risk of loss with any one counterparty resulting from this type of credit risk is monitored on an ongoing basis. To further limit credit risk, we also enter into collateral security arran</w:t>
      </w:r>
      <w:r>
        <w:rPr>
          <w:rFonts w:ascii="Arial" w:eastAsia="宋体" w:hAnsi="Arial" w:cs="Arial"/>
          <w:color w:val="000000"/>
          <w:sz w:val="20"/>
          <w:szCs w:val="20"/>
        </w:rPr>
        <w:t>gements related to certain interest rate derivative instruments whereby collateral is posted between counterparties if the fair value of the derivative instrument exceeds certain thresholds. Additional collateral would be required in the event of a signifi</w:t>
      </w:r>
      <w:r>
        <w:rPr>
          <w:rFonts w:ascii="Arial" w:eastAsia="宋体" w:hAnsi="Arial" w:cs="Arial"/>
          <w:color w:val="000000"/>
          <w:sz w:val="20"/>
          <w:szCs w:val="20"/>
        </w:rPr>
        <w:t xml:space="preserve">cant credit downgrade by either party. We are not required to pledge, nor are we entitled to receive, collateral related to our foreign exchange derivative transactions. </w:t>
      </w:r>
    </w:p>
    <w:p w14:paraId="7268EDC6" w14:textId="77777777" w:rsidR="005F762A" w:rsidRDefault="005F762A">
      <w:pPr>
        <w:ind w:firstLine="450"/>
      </w:pPr>
    </w:p>
    <w:p w14:paraId="7268EDC7" w14:textId="77777777" w:rsidR="005F762A" w:rsidRDefault="00D74111">
      <w:r>
        <w:rPr>
          <w:rFonts w:ascii="Arial" w:eastAsia="宋体" w:hAnsi="Arial" w:cs="Arial"/>
          <w:b/>
          <w:bCs/>
          <w:color w:val="000000"/>
          <w:sz w:val="20"/>
          <w:szCs w:val="20"/>
        </w:rPr>
        <w:t>Note 8 — Fair Value Measurement of Assets and Liabilities</w:t>
      </w:r>
    </w:p>
    <w:p w14:paraId="7268EDC8" w14:textId="77777777" w:rsidR="005F762A" w:rsidRDefault="005F762A"/>
    <w:p w14:paraId="7268EDC9" w14:textId="77777777" w:rsidR="005F762A" w:rsidRDefault="00D74111">
      <w:pPr>
        <w:ind w:firstLine="540"/>
      </w:pPr>
      <w:r>
        <w:rPr>
          <w:rFonts w:ascii="Arial" w:eastAsia="宋体" w:hAnsi="Arial" w:cs="Arial"/>
          <w:color w:val="000000"/>
          <w:sz w:val="20"/>
          <w:szCs w:val="20"/>
        </w:rPr>
        <w:t>The following tables pres</w:t>
      </w:r>
      <w:r>
        <w:rPr>
          <w:rFonts w:ascii="Arial" w:eastAsia="宋体" w:hAnsi="Arial" w:cs="Arial"/>
          <w:color w:val="000000"/>
          <w:sz w:val="20"/>
          <w:szCs w:val="20"/>
        </w:rPr>
        <w:t>ent our financial assets and liabilities measured at fair value on a recurring basis (in millions):</w:t>
      </w:r>
    </w:p>
    <w:p w14:paraId="7268EDCA" w14:textId="77777777" w:rsidR="005F762A" w:rsidRDefault="00D74111">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55"/>
        <w:gridCol w:w="2148"/>
        <w:gridCol w:w="39"/>
        <w:gridCol w:w="121"/>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5F762A" w14:paraId="7268EDE3" w14:textId="77777777">
        <w:tc>
          <w:tcPr>
            <w:tcW w:w="50" w:type="pct"/>
            <w:shd w:val="clear" w:color="auto" w:fill="auto"/>
          </w:tcPr>
          <w:p w14:paraId="7268EDCB" w14:textId="77777777" w:rsidR="005F762A" w:rsidRDefault="005F762A">
            <w:pPr>
              <w:rPr>
                <w:rFonts w:ascii="宋体"/>
              </w:rPr>
            </w:pPr>
          </w:p>
        </w:tc>
        <w:tc>
          <w:tcPr>
            <w:tcW w:w="1548" w:type="pct"/>
            <w:shd w:val="clear" w:color="auto" w:fill="auto"/>
          </w:tcPr>
          <w:p w14:paraId="7268EDCC" w14:textId="77777777" w:rsidR="005F762A" w:rsidRDefault="005F762A">
            <w:pPr>
              <w:rPr>
                <w:rFonts w:ascii="宋体"/>
              </w:rPr>
            </w:pPr>
          </w:p>
        </w:tc>
        <w:tc>
          <w:tcPr>
            <w:tcW w:w="5" w:type="pct"/>
            <w:shd w:val="clear" w:color="auto" w:fill="auto"/>
          </w:tcPr>
          <w:p w14:paraId="7268EDCD" w14:textId="77777777" w:rsidR="005F762A" w:rsidRDefault="005F762A">
            <w:pPr>
              <w:rPr>
                <w:rFonts w:ascii="宋体"/>
              </w:rPr>
            </w:pPr>
          </w:p>
        </w:tc>
        <w:tc>
          <w:tcPr>
            <w:tcW w:w="50" w:type="pct"/>
            <w:shd w:val="clear" w:color="auto" w:fill="auto"/>
          </w:tcPr>
          <w:p w14:paraId="7268EDCE" w14:textId="77777777" w:rsidR="005F762A" w:rsidRDefault="005F762A">
            <w:pPr>
              <w:rPr>
                <w:rFonts w:ascii="宋体"/>
              </w:rPr>
            </w:pPr>
          </w:p>
        </w:tc>
        <w:tc>
          <w:tcPr>
            <w:tcW w:w="757" w:type="pct"/>
            <w:shd w:val="clear" w:color="auto" w:fill="auto"/>
          </w:tcPr>
          <w:p w14:paraId="7268EDCF" w14:textId="77777777" w:rsidR="005F762A" w:rsidRDefault="005F762A">
            <w:pPr>
              <w:rPr>
                <w:rFonts w:ascii="宋体"/>
              </w:rPr>
            </w:pPr>
          </w:p>
        </w:tc>
        <w:tc>
          <w:tcPr>
            <w:tcW w:w="5" w:type="pct"/>
            <w:shd w:val="clear" w:color="auto" w:fill="auto"/>
          </w:tcPr>
          <w:p w14:paraId="7268EDD0" w14:textId="77777777" w:rsidR="005F762A" w:rsidRDefault="005F762A">
            <w:pPr>
              <w:rPr>
                <w:rFonts w:ascii="宋体"/>
              </w:rPr>
            </w:pPr>
          </w:p>
        </w:tc>
        <w:tc>
          <w:tcPr>
            <w:tcW w:w="5" w:type="pct"/>
            <w:shd w:val="clear" w:color="auto" w:fill="auto"/>
          </w:tcPr>
          <w:p w14:paraId="7268EDD1" w14:textId="77777777" w:rsidR="005F762A" w:rsidRDefault="005F762A">
            <w:pPr>
              <w:rPr>
                <w:rFonts w:ascii="宋体"/>
              </w:rPr>
            </w:pPr>
          </w:p>
        </w:tc>
        <w:tc>
          <w:tcPr>
            <w:tcW w:w="26" w:type="pct"/>
            <w:shd w:val="clear" w:color="auto" w:fill="auto"/>
          </w:tcPr>
          <w:p w14:paraId="7268EDD2" w14:textId="77777777" w:rsidR="005F762A" w:rsidRDefault="005F762A">
            <w:pPr>
              <w:rPr>
                <w:rFonts w:ascii="宋体"/>
              </w:rPr>
            </w:pPr>
          </w:p>
        </w:tc>
        <w:tc>
          <w:tcPr>
            <w:tcW w:w="5" w:type="pct"/>
            <w:shd w:val="clear" w:color="auto" w:fill="auto"/>
          </w:tcPr>
          <w:p w14:paraId="7268EDD3" w14:textId="77777777" w:rsidR="005F762A" w:rsidRDefault="005F762A">
            <w:pPr>
              <w:rPr>
                <w:rFonts w:ascii="宋体"/>
              </w:rPr>
            </w:pPr>
          </w:p>
        </w:tc>
        <w:tc>
          <w:tcPr>
            <w:tcW w:w="50" w:type="pct"/>
            <w:shd w:val="clear" w:color="auto" w:fill="auto"/>
          </w:tcPr>
          <w:p w14:paraId="7268EDD4" w14:textId="77777777" w:rsidR="005F762A" w:rsidRDefault="005F762A">
            <w:pPr>
              <w:rPr>
                <w:rFonts w:ascii="宋体"/>
              </w:rPr>
            </w:pPr>
          </w:p>
        </w:tc>
        <w:tc>
          <w:tcPr>
            <w:tcW w:w="757" w:type="pct"/>
            <w:shd w:val="clear" w:color="auto" w:fill="auto"/>
          </w:tcPr>
          <w:p w14:paraId="7268EDD5" w14:textId="77777777" w:rsidR="005F762A" w:rsidRDefault="005F762A">
            <w:pPr>
              <w:rPr>
                <w:rFonts w:ascii="宋体"/>
              </w:rPr>
            </w:pPr>
          </w:p>
        </w:tc>
        <w:tc>
          <w:tcPr>
            <w:tcW w:w="5" w:type="pct"/>
            <w:shd w:val="clear" w:color="auto" w:fill="auto"/>
          </w:tcPr>
          <w:p w14:paraId="7268EDD6" w14:textId="77777777" w:rsidR="005F762A" w:rsidRDefault="005F762A">
            <w:pPr>
              <w:rPr>
                <w:rFonts w:ascii="宋体"/>
              </w:rPr>
            </w:pPr>
          </w:p>
        </w:tc>
        <w:tc>
          <w:tcPr>
            <w:tcW w:w="5" w:type="pct"/>
            <w:shd w:val="clear" w:color="auto" w:fill="auto"/>
          </w:tcPr>
          <w:p w14:paraId="7268EDD7" w14:textId="77777777" w:rsidR="005F762A" w:rsidRDefault="005F762A">
            <w:pPr>
              <w:rPr>
                <w:rFonts w:ascii="宋体"/>
              </w:rPr>
            </w:pPr>
          </w:p>
        </w:tc>
        <w:tc>
          <w:tcPr>
            <w:tcW w:w="26" w:type="pct"/>
            <w:shd w:val="clear" w:color="auto" w:fill="auto"/>
          </w:tcPr>
          <w:p w14:paraId="7268EDD8" w14:textId="77777777" w:rsidR="005F762A" w:rsidRDefault="005F762A">
            <w:pPr>
              <w:rPr>
                <w:rFonts w:ascii="宋体"/>
              </w:rPr>
            </w:pPr>
          </w:p>
        </w:tc>
        <w:tc>
          <w:tcPr>
            <w:tcW w:w="5" w:type="pct"/>
            <w:shd w:val="clear" w:color="auto" w:fill="auto"/>
          </w:tcPr>
          <w:p w14:paraId="7268EDD9" w14:textId="77777777" w:rsidR="005F762A" w:rsidRDefault="005F762A">
            <w:pPr>
              <w:rPr>
                <w:rFonts w:ascii="宋体"/>
              </w:rPr>
            </w:pPr>
          </w:p>
        </w:tc>
        <w:tc>
          <w:tcPr>
            <w:tcW w:w="50" w:type="pct"/>
            <w:shd w:val="clear" w:color="auto" w:fill="auto"/>
          </w:tcPr>
          <w:p w14:paraId="7268EDDA" w14:textId="77777777" w:rsidR="005F762A" w:rsidRDefault="005F762A">
            <w:pPr>
              <w:rPr>
                <w:rFonts w:ascii="宋体"/>
              </w:rPr>
            </w:pPr>
          </w:p>
        </w:tc>
        <w:tc>
          <w:tcPr>
            <w:tcW w:w="757" w:type="pct"/>
            <w:shd w:val="clear" w:color="auto" w:fill="auto"/>
          </w:tcPr>
          <w:p w14:paraId="7268EDDB" w14:textId="77777777" w:rsidR="005F762A" w:rsidRDefault="005F762A">
            <w:pPr>
              <w:rPr>
                <w:rFonts w:ascii="宋体"/>
              </w:rPr>
            </w:pPr>
          </w:p>
        </w:tc>
        <w:tc>
          <w:tcPr>
            <w:tcW w:w="5" w:type="pct"/>
            <w:shd w:val="clear" w:color="auto" w:fill="auto"/>
          </w:tcPr>
          <w:p w14:paraId="7268EDDC" w14:textId="77777777" w:rsidR="005F762A" w:rsidRDefault="005F762A">
            <w:pPr>
              <w:rPr>
                <w:rFonts w:ascii="宋体"/>
              </w:rPr>
            </w:pPr>
          </w:p>
        </w:tc>
        <w:tc>
          <w:tcPr>
            <w:tcW w:w="5" w:type="pct"/>
            <w:shd w:val="clear" w:color="auto" w:fill="auto"/>
          </w:tcPr>
          <w:p w14:paraId="7268EDDD" w14:textId="77777777" w:rsidR="005F762A" w:rsidRDefault="005F762A">
            <w:pPr>
              <w:rPr>
                <w:rFonts w:ascii="宋体"/>
              </w:rPr>
            </w:pPr>
          </w:p>
        </w:tc>
        <w:tc>
          <w:tcPr>
            <w:tcW w:w="26" w:type="pct"/>
            <w:shd w:val="clear" w:color="auto" w:fill="auto"/>
          </w:tcPr>
          <w:p w14:paraId="7268EDDE" w14:textId="77777777" w:rsidR="005F762A" w:rsidRDefault="005F762A">
            <w:pPr>
              <w:rPr>
                <w:rFonts w:ascii="宋体"/>
              </w:rPr>
            </w:pPr>
          </w:p>
        </w:tc>
        <w:tc>
          <w:tcPr>
            <w:tcW w:w="5" w:type="pct"/>
            <w:shd w:val="clear" w:color="auto" w:fill="auto"/>
          </w:tcPr>
          <w:p w14:paraId="7268EDDF" w14:textId="77777777" w:rsidR="005F762A" w:rsidRDefault="005F762A">
            <w:pPr>
              <w:rPr>
                <w:rFonts w:ascii="宋体"/>
              </w:rPr>
            </w:pPr>
          </w:p>
        </w:tc>
        <w:tc>
          <w:tcPr>
            <w:tcW w:w="50" w:type="pct"/>
            <w:shd w:val="clear" w:color="auto" w:fill="auto"/>
          </w:tcPr>
          <w:p w14:paraId="7268EDE0" w14:textId="77777777" w:rsidR="005F762A" w:rsidRDefault="005F762A">
            <w:pPr>
              <w:rPr>
                <w:rFonts w:ascii="宋体"/>
              </w:rPr>
            </w:pPr>
          </w:p>
        </w:tc>
        <w:tc>
          <w:tcPr>
            <w:tcW w:w="794" w:type="pct"/>
            <w:shd w:val="clear" w:color="auto" w:fill="auto"/>
          </w:tcPr>
          <w:p w14:paraId="7268EDE1" w14:textId="77777777" w:rsidR="005F762A" w:rsidRDefault="005F762A">
            <w:pPr>
              <w:rPr>
                <w:rFonts w:ascii="宋体"/>
              </w:rPr>
            </w:pPr>
          </w:p>
        </w:tc>
        <w:tc>
          <w:tcPr>
            <w:tcW w:w="5" w:type="pct"/>
            <w:shd w:val="clear" w:color="auto" w:fill="auto"/>
          </w:tcPr>
          <w:p w14:paraId="7268EDE2" w14:textId="77777777" w:rsidR="005F762A" w:rsidRDefault="005F762A">
            <w:pPr>
              <w:rPr>
                <w:rFonts w:ascii="宋体"/>
              </w:rPr>
            </w:pPr>
          </w:p>
        </w:tc>
      </w:tr>
      <w:tr w:rsidR="005F762A" w14:paraId="7268EDF3" w14:textId="77777777">
        <w:tc>
          <w:tcPr>
            <w:tcW w:w="0" w:type="auto"/>
            <w:gridSpan w:val="3"/>
            <w:shd w:val="clear" w:color="auto" w:fill="auto"/>
            <w:tcMar>
              <w:top w:w="0" w:type="dxa"/>
              <w:left w:w="20" w:type="dxa"/>
              <w:bottom w:w="0" w:type="dxa"/>
              <w:right w:w="20" w:type="dxa"/>
            </w:tcMar>
          </w:tcPr>
          <w:p w14:paraId="7268EDE4"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DE5" w14:textId="77777777" w:rsidR="005F762A" w:rsidRDefault="00D74111">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Mar>
              <w:top w:w="0" w:type="dxa"/>
              <w:left w:w="20" w:type="dxa"/>
              <w:bottom w:w="0" w:type="dxa"/>
              <w:right w:w="20" w:type="dxa"/>
            </w:tcMar>
          </w:tcPr>
          <w:p w14:paraId="7268EDE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DE7" w14:textId="77777777" w:rsidR="005F762A" w:rsidRDefault="00D74111">
            <w:pPr>
              <w:jc w:val="center"/>
              <w:textAlignment w:val="bottom"/>
            </w:pPr>
            <w:r>
              <w:rPr>
                <w:rFonts w:ascii="Arial" w:eastAsia="宋体" w:hAnsi="Arial" w:cs="Arial"/>
                <w:b/>
                <w:bCs/>
                <w:color w:val="000000"/>
                <w:sz w:val="16"/>
                <w:szCs w:val="16"/>
              </w:rPr>
              <w:t>Quoted Prices in</w:t>
            </w:r>
          </w:p>
          <w:p w14:paraId="7268EDE8" w14:textId="77777777" w:rsidR="005F762A" w:rsidRDefault="00D74111">
            <w:pPr>
              <w:jc w:val="center"/>
              <w:textAlignment w:val="bottom"/>
            </w:pPr>
            <w:r>
              <w:rPr>
                <w:rFonts w:ascii="Arial" w:eastAsia="宋体" w:hAnsi="Arial" w:cs="Arial"/>
                <w:b/>
                <w:bCs/>
                <w:color w:val="000000"/>
                <w:sz w:val="16"/>
                <w:szCs w:val="16"/>
              </w:rPr>
              <w:t>Active Markets for</w:t>
            </w:r>
          </w:p>
          <w:p w14:paraId="7268EDE9" w14:textId="77777777" w:rsidR="005F762A" w:rsidRDefault="00D74111">
            <w:pPr>
              <w:jc w:val="center"/>
              <w:textAlignment w:val="bottom"/>
            </w:pPr>
            <w:r>
              <w:rPr>
                <w:rFonts w:ascii="Arial" w:eastAsia="宋体" w:hAnsi="Arial" w:cs="Arial"/>
                <w:b/>
                <w:bCs/>
                <w:color w:val="000000"/>
                <w:sz w:val="16"/>
                <w:szCs w:val="16"/>
              </w:rPr>
              <w:t>Identical Assets</w:t>
            </w:r>
          </w:p>
          <w:p w14:paraId="7268EDEA" w14:textId="77777777" w:rsidR="005F762A" w:rsidRDefault="00D74111">
            <w:pPr>
              <w:jc w:val="center"/>
              <w:textAlignment w:val="bottom"/>
            </w:pPr>
            <w:r>
              <w:rPr>
                <w:rFonts w:ascii="Arial" w:eastAsia="宋体" w:hAnsi="Arial" w:cs="Arial"/>
                <w:b/>
                <w:bCs/>
                <w:color w:val="000000"/>
                <w:sz w:val="16"/>
                <w:szCs w:val="16"/>
              </w:rPr>
              <w:t xml:space="preserve">(Level 1) </w:t>
            </w:r>
          </w:p>
        </w:tc>
        <w:tc>
          <w:tcPr>
            <w:tcW w:w="0" w:type="auto"/>
            <w:gridSpan w:val="3"/>
            <w:shd w:val="clear" w:color="auto" w:fill="auto"/>
            <w:tcMar>
              <w:top w:w="0" w:type="dxa"/>
              <w:left w:w="20" w:type="dxa"/>
              <w:bottom w:w="0" w:type="dxa"/>
              <w:right w:w="20" w:type="dxa"/>
            </w:tcMar>
          </w:tcPr>
          <w:p w14:paraId="7268EDE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DEC" w14:textId="77777777" w:rsidR="005F762A" w:rsidRDefault="00D74111">
            <w:pPr>
              <w:jc w:val="center"/>
              <w:textAlignment w:val="bottom"/>
            </w:pPr>
            <w:r>
              <w:rPr>
                <w:rFonts w:ascii="Arial" w:eastAsia="宋体" w:hAnsi="Arial" w:cs="Arial"/>
                <w:b/>
                <w:bCs/>
                <w:color w:val="000000"/>
                <w:sz w:val="16"/>
                <w:szCs w:val="16"/>
              </w:rPr>
              <w:t>Significant Other</w:t>
            </w:r>
          </w:p>
          <w:p w14:paraId="7268EDED" w14:textId="77777777" w:rsidR="005F762A" w:rsidRDefault="00D74111">
            <w:pPr>
              <w:jc w:val="center"/>
              <w:textAlignment w:val="bottom"/>
            </w:pPr>
            <w:r>
              <w:rPr>
                <w:rFonts w:ascii="Arial" w:eastAsia="宋体" w:hAnsi="Arial" w:cs="Arial"/>
                <w:b/>
                <w:bCs/>
                <w:color w:val="000000"/>
                <w:sz w:val="16"/>
                <w:szCs w:val="16"/>
              </w:rPr>
              <w:t>Observable Inputs</w:t>
            </w:r>
          </w:p>
          <w:p w14:paraId="7268EDEE" w14:textId="77777777" w:rsidR="005F762A" w:rsidRDefault="00D74111">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tcPr>
          <w:p w14:paraId="7268EDEF"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DF0" w14:textId="77777777" w:rsidR="005F762A" w:rsidRDefault="00D74111">
            <w:pPr>
              <w:jc w:val="center"/>
              <w:textAlignment w:val="bottom"/>
            </w:pPr>
            <w:r>
              <w:rPr>
                <w:rFonts w:ascii="Arial" w:eastAsia="宋体" w:hAnsi="Arial" w:cs="Arial"/>
                <w:b/>
                <w:bCs/>
                <w:color w:val="000000"/>
                <w:sz w:val="16"/>
                <w:szCs w:val="16"/>
              </w:rPr>
              <w:t>Significant </w:t>
            </w:r>
          </w:p>
          <w:p w14:paraId="7268EDF1" w14:textId="77777777" w:rsidR="005F762A" w:rsidRDefault="00D74111">
            <w:pPr>
              <w:jc w:val="center"/>
              <w:textAlignment w:val="bottom"/>
            </w:pPr>
            <w:r>
              <w:rPr>
                <w:rFonts w:ascii="Arial" w:eastAsia="宋体" w:hAnsi="Arial" w:cs="Arial"/>
                <w:b/>
                <w:bCs/>
                <w:color w:val="000000"/>
                <w:sz w:val="16"/>
                <w:szCs w:val="16"/>
              </w:rPr>
              <w:t>Unobservable Inputs</w:t>
            </w:r>
          </w:p>
          <w:p w14:paraId="7268EDF2" w14:textId="77777777" w:rsidR="005F762A" w:rsidRDefault="00D74111">
            <w:pPr>
              <w:jc w:val="center"/>
              <w:textAlignment w:val="bottom"/>
            </w:pPr>
            <w:r>
              <w:rPr>
                <w:rFonts w:ascii="Arial" w:eastAsia="宋体" w:hAnsi="Arial" w:cs="Arial"/>
                <w:b/>
                <w:bCs/>
                <w:color w:val="000000"/>
                <w:sz w:val="16"/>
                <w:szCs w:val="16"/>
              </w:rPr>
              <w:t>(Level 3)</w:t>
            </w:r>
          </w:p>
        </w:tc>
      </w:tr>
      <w:tr w:rsidR="005F762A" w14:paraId="7268EDFC" w14:textId="77777777">
        <w:tc>
          <w:tcPr>
            <w:tcW w:w="0" w:type="auto"/>
            <w:gridSpan w:val="3"/>
            <w:shd w:val="clear" w:color="auto" w:fill="E2E2E2"/>
            <w:tcMar>
              <w:top w:w="40" w:type="dxa"/>
              <w:left w:w="20" w:type="dxa"/>
              <w:bottom w:w="40" w:type="dxa"/>
              <w:right w:w="20" w:type="dxa"/>
            </w:tcMar>
            <w:vAlign w:val="bottom"/>
          </w:tcPr>
          <w:p w14:paraId="7268EDF4" w14:textId="77777777" w:rsidR="005F762A" w:rsidRDefault="00D74111">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DF5"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DF6" w14:textId="77777777" w:rsidR="005F762A" w:rsidRDefault="005F762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DF7"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DF8" w14:textId="77777777" w:rsidR="005F762A" w:rsidRDefault="005F762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DF9"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DFA"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DFB" w14:textId="77777777" w:rsidR="005F762A" w:rsidRDefault="005F762A">
            <w:pPr>
              <w:rPr>
                <w:rFonts w:ascii="宋体"/>
              </w:rPr>
            </w:pPr>
          </w:p>
        </w:tc>
      </w:tr>
      <w:tr w:rsidR="005F762A" w14:paraId="7268EE0D" w14:textId="77777777">
        <w:tc>
          <w:tcPr>
            <w:tcW w:w="0" w:type="auto"/>
            <w:gridSpan w:val="3"/>
            <w:shd w:val="clear" w:color="auto" w:fill="FFFFFF"/>
            <w:tcMar>
              <w:top w:w="40" w:type="dxa"/>
              <w:left w:w="245" w:type="dxa"/>
              <w:bottom w:w="40" w:type="dxa"/>
              <w:right w:w="20" w:type="dxa"/>
            </w:tcMar>
            <w:vAlign w:val="bottom"/>
          </w:tcPr>
          <w:p w14:paraId="7268EDFD" w14:textId="77777777" w:rsidR="005F762A" w:rsidRDefault="00D74111">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7268EDF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DFF" w14:textId="77777777" w:rsidR="005F762A" w:rsidRDefault="00D74111">
            <w:pPr>
              <w:jc w:val="right"/>
              <w:textAlignment w:val="bottom"/>
            </w:pPr>
            <w:r>
              <w:rPr>
                <w:rFonts w:ascii="Arial" w:eastAsia="宋体" w:hAnsi="Arial" w:cs="Arial"/>
                <w:color w:val="000000"/>
                <w:sz w:val="18"/>
                <w:szCs w:val="18"/>
              </w:rPr>
              <w:t>1,667 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0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01"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E0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E03" w14:textId="77777777" w:rsidR="005F762A" w:rsidRDefault="00D74111">
            <w:pPr>
              <w:jc w:val="right"/>
              <w:textAlignment w:val="bottom"/>
            </w:pPr>
            <w:r>
              <w:rPr>
                <w:rFonts w:ascii="Arial" w:eastAsia="宋体" w:hAnsi="Arial" w:cs="Arial"/>
                <w:color w:val="000000"/>
                <w:sz w:val="18"/>
                <w:szCs w:val="18"/>
              </w:rPr>
              <w:t>1,667 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0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05"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E0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E07"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0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09"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E0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E0B"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0C" w14:textId="77777777" w:rsidR="005F762A" w:rsidRDefault="005F762A">
            <w:pPr>
              <w:jc w:val="right"/>
              <w:rPr>
                <w:rFonts w:ascii="宋体"/>
              </w:rPr>
            </w:pPr>
          </w:p>
        </w:tc>
      </w:tr>
      <w:tr w:rsidR="005F762A" w14:paraId="7268EE16" w14:textId="77777777">
        <w:tc>
          <w:tcPr>
            <w:tcW w:w="0" w:type="auto"/>
            <w:gridSpan w:val="3"/>
            <w:shd w:val="clear" w:color="auto" w:fill="E2E2E2"/>
            <w:tcMar>
              <w:top w:w="40" w:type="dxa"/>
              <w:left w:w="245" w:type="dxa"/>
              <w:bottom w:w="40" w:type="dxa"/>
              <w:right w:w="20" w:type="dxa"/>
            </w:tcMar>
            <w:vAlign w:val="bottom"/>
          </w:tcPr>
          <w:p w14:paraId="7268EE0E" w14:textId="77777777" w:rsidR="005F762A" w:rsidRDefault="00D74111">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7268EE0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10"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1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12"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1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14"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15" w14:textId="77777777" w:rsidR="005F762A" w:rsidRDefault="005F762A">
            <w:pPr>
              <w:rPr>
                <w:rFonts w:ascii="宋体"/>
              </w:rPr>
            </w:pPr>
          </w:p>
        </w:tc>
      </w:tr>
      <w:tr w:rsidR="005F762A" w14:paraId="7268EE23" w14:textId="77777777">
        <w:tc>
          <w:tcPr>
            <w:tcW w:w="0" w:type="auto"/>
            <w:gridSpan w:val="3"/>
            <w:shd w:val="clear" w:color="auto" w:fill="FFFFFF"/>
            <w:tcMar>
              <w:top w:w="40" w:type="dxa"/>
              <w:left w:w="740" w:type="dxa"/>
              <w:bottom w:w="40" w:type="dxa"/>
              <w:right w:w="20" w:type="dxa"/>
            </w:tcMar>
            <w:vAlign w:val="bottom"/>
          </w:tcPr>
          <w:p w14:paraId="7268EE17" w14:textId="77777777" w:rsidR="005F762A" w:rsidRDefault="00D74111">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7268EE18"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E1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1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1B"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7268EE1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1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1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1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2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21"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22" w14:textId="77777777" w:rsidR="005F762A" w:rsidRDefault="005F762A">
            <w:pPr>
              <w:jc w:val="right"/>
              <w:rPr>
                <w:rFonts w:ascii="宋体"/>
              </w:rPr>
            </w:pPr>
          </w:p>
        </w:tc>
      </w:tr>
      <w:tr w:rsidR="005F762A" w14:paraId="7268EE30" w14:textId="77777777">
        <w:tc>
          <w:tcPr>
            <w:tcW w:w="0" w:type="auto"/>
            <w:gridSpan w:val="3"/>
            <w:shd w:val="clear" w:color="auto" w:fill="E2E2E2"/>
            <w:tcMar>
              <w:top w:w="40" w:type="dxa"/>
              <w:left w:w="740" w:type="dxa"/>
              <w:bottom w:w="40" w:type="dxa"/>
              <w:right w:w="20" w:type="dxa"/>
            </w:tcMar>
            <w:vAlign w:val="bottom"/>
          </w:tcPr>
          <w:p w14:paraId="7268EE24"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E25" w14:textId="77777777" w:rsidR="005F762A" w:rsidRDefault="00D74111">
            <w:pPr>
              <w:jc w:val="right"/>
              <w:textAlignment w:val="bottom"/>
            </w:pPr>
            <w:r>
              <w:rPr>
                <w:rFonts w:ascii="Arial" w:eastAsia="宋体" w:hAnsi="Arial" w:cs="Arial"/>
                <w:color w:val="000000"/>
                <w:sz w:val="18"/>
                <w:szCs w:val="18"/>
              </w:rPr>
              <w:t>1,652 </w:t>
            </w:r>
          </w:p>
        </w:tc>
        <w:tc>
          <w:tcPr>
            <w:tcW w:w="0" w:type="auto"/>
            <w:shd w:val="clear" w:color="auto" w:fill="E2E2E2"/>
            <w:tcMar>
              <w:top w:w="40" w:type="dxa"/>
              <w:left w:w="0" w:type="dxa"/>
              <w:bottom w:w="40" w:type="dxa"/>
              <w:right w:w="20" w:type="dxa"/>
            </w:tcMar>
            <w:vAlign w:val="bottom"/>
          </w:tcPr>
          <w:p w14:paraId="7268EE2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2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2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E2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2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2B" w14:textId="77777777" w:rsidR="005F762A" w:rsidRDefault="00D74111">
            <w:pPr>
              <w:jc w:val="right"/>
              <w:textAlignment w:val="bottom"/>
            </w:pPr>
            <w:r>
              <w:rPr>
                <w:rFonts w:ascii="Arial" w:eastAsia="宋体" w:hAnsi="Arial" w:cs="Arial"/>
                <w:color w:val="000000"/>
                <w:sz w:val="18"/>
                <w:szCs w:val="18"/>
              </w:rPr>
              <w:t>1,652 </w:t>
            </w:r>
          </w:p>
        </w:tc>
        <w:tc>
          <w:tcPr>
            <w:tcW w:w="0" w:type="auto"/>
            <w:shd w:val="clear" w:color="auto" w:fill="E2E2E2"/>
            <w:tcMar>
              <w:top w:w="40" w:type="dxa"/>
              <w:left w:w="0" w:type="dxa"/>
              <w:bottom w:w="40" w:type="dxa"/>
              <w:right w:w="20" w:type="dxa"/>
            </w:tcMar>
            <w:vAlign w:val="bottom"/>
          </w:tcPr>
          <w:p w14:paraId="7268EE2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2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2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E2F" w14:textId="77777777" w:rsidR="005F762A" w:rsidRDefault="005F762A">
            <w:pPr>
              <w:jc w:val="right"/>
              <w:rPr>
                <w:rFonts w:ascii="宋体"/>
              </w:rPr>
            </w:pPr>
          </w:p>
        </w:tc>
      </w:tr>
      <w:tr w:rsidR="005F762A" w14:paraId="7268EE3D" w14:textId="77777777">
        <w:tc>
          <w:tcPr>
            <w:tcW w:w="0" w:type="auto"/>
            <w:gridSpan w:val="3"/>
            <w:shd w:val="clear" w:color="auto" w:fill="FFFFFF"/>
            <w:tcMar>
              <w:top w:w="40" w:type="dxa"/>
              <w:left w:w="740" w:type="dxa"/>
              <w:bottom w:w="40" w:type="dxa"/>
              <w:right w:w="20" w:type="dxa"/>
            </w:tcMar>
            <w:vAlign w:val="bottom"/>
          </w:tcPr>
          <w:p w14:paraId="7268EE31" w14:textId="77777777" w:rsidR="005F762A" w:rsidRDefault="00D74111">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7268EE32" w14:textId="77777777" w:rsidR="005F762A" w:rsidRDefault="00D74111">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7268EE3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3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3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3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3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38" w14:textId="77777777" w:rsidR="005F762A" w:rsidRDefault="00D74111">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7268EE3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3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3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3C" w14:textId="77777777" w:rsidR="005F762A" w:rsidRDefault="005F762A">
            <w:pPr>
              <w:jc w:val="right"/>
              <w:rPr>
                <w:rFonts w:ascii="宋体"/>
              </w:rPr>
            </w:pPr>
          </w:p>
        </w:tc>
      </w:tr>
      <w:tr w:rsidR="005F762A" w14:paraId="7268EE46" w14:textId="77777777">
        <w:trPr>
          <w:hidden/>
        </w:trPr>
        <w:tc>
          <w:tcPr>
            <w:tcW w:w="0" w:type="auto"/>
            <w:gridSpan w:val="3"/>
            <w:shd w:val="clear" w:color="auto" w:fill="auto"/>
          </w:tcPr>
          <w:p w14:paraId="7268EE3E" w14:textId="77777777" w:rsidR="005F762A" w:rsidRDefault="005F762A">
            <w:pPr>
              <w:rPr>
                <w:rFonts w:ascii="宋体"/>
                <w:vanish/>
              </w:rPr>
            </w:pPr>
          </w:p>
        </w:tc>
        <w:tc>
          <w:tcPr>
            <w:tcW w:w="0" w:type="auto"/>
            <w:gridSpan w:val="3"/>
            <w:shd w:val="clear" w:color="auto" w:fill="auto"/>
          </w:tcPr>
          <w:p w14:paraId="7268EE3F" w14:textId="77777777" w:rsidR="005F762A" w:rsidRDefault="005F762A">
            <w:pPr>
              <w:rPr>
                <w:rFonts w:ascii="宋体"/>
                <w:vanish/>
              </w:rPr>
            </w:pPr>
          </w:p>
        </w:tc>
        <w:tc>
          <w:tcPr>
            <w:tcW w:w="0" w:type="auto"/>
            <w:gridSpan w:val="3"/>
            <w:shd w:val="clear" w:color="auto" w:fill="auto"/>
          </w:tcPr>
          <w:p w14:paraId="7268EE40" w14:textId="77777777" w:rsidR="005F762A" w:rsidRDefault="005F762A">
            <w:pPr>
              <w:rPr>
                <w:rFonts w:ascii="宋体"/>
                <w:vanish/>
              </w:rPr>
            </w:pPr>
          </w:p>
        </w:tc>
        <w:tc>
          <w:tcPr>
            <w:tcW w:w="0" w:type="auto"/>
            <w:gridSpan w:val="3"/>
            <w:shd w:val="clear" w:color="auto" w:fill="auto"/>
          </w:tcPr>
          <w:p w14:paraId="7268EE41" w14:textId="77777777" w:rsidR="005F762A" w:rsidRDefault="005F762A">
            <w:pPr>
              <w:rPr>
                <w:rFonts w:ascii="宋体"/>
                <w:vanish/>
              </w:rPr>
            </w:pPr>
          </w:p>
        </w:tc>
        <w:tc>
          <w:tcPr>
            <w:tcW w:w="0" w:type="auto"/>
            <w:gridSpan w:val="3"/>
            <w:shd w:val="clear" w:color="auto" w:fill="auto"/>
          </w:tcPr>
          <w:p w14:paraId="7268EE42" w14:textId="77777777" w:rsidR="005F762A" w:rsidRDefault="005F762A">
            <w:pPr>
              <w:rPr>
                <w:rFonts w:ascii="宋体"/>
                <w:vanish/>
              </w:rPr>
            </w:pPr>
          </w:p>
        </w:tc>
        <w:tc>
          <w:tcPr>
            <w:tcW w:w="0" w:type="auto"/>
            <w:gridSpan w:val="3"/>
            <w:shd w:val="clear" w:color="auto" w:fill="auto"/>
          </w:tcPr>
          <w:p w14:paraId="7268EE43" w14:textId="77777777" w:rsidR="005F762A" w:rsidRDefault="005F762A">
            <w:pPr>
              <w:rPr>
                <w:rFonts w:ascii="宋体"/>
                <w:vanish/>
              </w:rPr>
            </w:pPr>
          </w:p>
        </w:tc>
        <w:tc>
          <w:tcPr>
            <w:tcW w:w="0" w:type="auto"/>
            <w:gridSpan w:val="3"/>
            <w:shd w:val="clear" w:color="auto" w:fill="auto"/>
          </w:tcPr>
          <w:p w14:paraId="7268EE44" w14:textId="77777777" w:rsidR="005F762A" w:rsidRDefault="005F762A">
            <w:pPr>
              <w:rPr>
                <w:rFonts w:ascii="宋体"/>
                <w:vanish/>
              </w:rPr>
            </w:pPr>
          </w:p>
        </w:tc>
        <w:tc>
          <w:tcPr>
            <w:tcW w:w="0" w:type="auto"/>
            <w:gridSpan w:val="3"/>
            <w:shd w:val="clear" w:color="auto" w:fill="auto"/>
          </w:tcPr>
          <w:p w14:paraId="7268EE45" w14:textId="77777777" w:rsidR="005F762A" w:rsidRDefault="005F762A">
            <w:pPr>
              <w:rPr>
                <w:rFonts w:ascii="宋体"/>
                <w:vanish/>
              </w:rPr>
            </w:pPr>
          </w:p>
        </w:tc>
      </w:tr>
      <w:tr w:rsidR="005F762A" w14:paraId="7268EE4F" w14:textId="77777777">
        <w:trPr>
          <w:hidden/>
        </w:trPr>
        <w:tc>
          <w:tcPr>
            <w:tcW w:w="0" w:type="auto"/>
            <w:gridSpan w:val="3"/>
            <w:shd w:val="clear" w:color="auto" w:fill="auto"/>
          </w:tcPr>
          <w:p w14:paraId="7268EE47" w14:textId="77777777" w:rsidR="005F762A" w:rsidRDefault="005F762A">
            <w:pPr>
              <w:rPr>
                <w:rFonts w:ascii="宋体"/>
                <w:vanish/>
              </w:rPr>
            </w:pPr>
          </w:p>
        </w:tc>
        <w:tc>
          <w:tcPr>
            <w:tcW w:w="0" w:type="auto"/>
            <w:gridSpan w:val="3"/>
            <w:shd w:val="clear" w:color="auto" w:fill="auto"/>
          </w:tcPr>
          <w:p w14:paraId="7268EE48" w14:textId="77777777" w:rsidR="005F762A" w:rsidRDefault="005F762A">
            <w:pPr>
              <w:rPr>
                <w:rFonts w:ascii="宋体"/>
                <w:vanish/>
              </w:rPr>
            </w:pPr>
          </w:p>
        </w:tc>
        <w:tc>
          <w:tcPr>
            <w:tcW w:w="0" w:type="auto"/>
            <w:gridSpan w:val="3"/>
            <w:shd w:val="clear" w:color="auto" w:fill="auto"/>
          </w:tcPr>
          <w:p w14:paraId="7268EE49" w14:textId="77777777" w:rsidR="005F762A" w:rsidRDefault="005F762A">
            <w:pPr>
              <w:rPr>
                <w:rFonts w:ascii="宋体"/>
                <w:vanish/>
              </w:rPr>
            </w:pPr>
          </w:p>
        </w:tc>
        <w:tc>
          <w:tcPr>
            <w:tcW w:w="0" w:type="auto"/>
            <w:gridSpan w:val="3"/>
            <w:shd w:val="clear" w:color="auto" w:fill="auto"/>
          </w:tcPr>
          <w:p w14:paraId="7268EE4A" w14:textId="77777777" w:rsidR="005F762A" w:rsidRDefault="005F762A">
            <w:pPr>
              <w:rPr>
                <w:rFonts w:ascii="宋体"/>
                <w:vanish/>
              </w:rPr>
            </w:pPr>
          </w:p>
        </w:tc>
        <w:tc>
          <w:tcPr>
            <w:tcW w:w="0" w:type="auto"/>
            <w:gridSpan w:val="3"/>
            <w:shd w:val="clear" w:color="auto" w:fill="auto"/>
          </w:tcPr>
          <w:p w14:paraId="7268EE4B" w14:textId="77777777" w:rsidR="005F762A" w:rsidRDefault="005F762A">
            <w:pPr>
              <w:rPr>
                <w:rFonts w:ascii="宋体"/>
                <w:vanish/>
              </w:rPr>
            </w:pPr>
          </w:p>
        </w:tc>
        <w:tc>
          <w:tcPr>
            <w:tcW w:w="0" w:type="auto"/>
            <w:gridSpan w:val="3"/>
            <w:shd w:val="clear" w:color="auto" w:fill="auto"/>
          </w:tcPr>
          <w:p w14:paraId="7268EE4C" w14:textId="77777777" w:rsidR="005F762A" w:rsidRDefault="005F762A">
            <w:pPr>
              <w:rPr>
                <w:rFonts w:ascii="宋体"/>
                <w:vanish/>
              </w:rPr>
            </w:pPr>
          </w:p>
        </w:tc>
        <w:tc>
          <w:tcPr>
            <w:tcW w:w="0" w:type="auto"/>
            <w:gridSpan w:val="3"/>
            <w:shd w:val="clear" w:color="auto" w:fill="auto"/>
          </w:tcPr>
          <w:p w14:paraId="7268EE4D" w14:textId="77777777" w:rsidR="005F762A" w:rsidRDefault="005F762A">
            <w:pPr>
              <w:rPr>
                <w:rFonts w:ascii="宋体"/>
                <w:vanish/>
              </w:rPr>
            </w:pPr>
          </w:p>
        </w:tc>
        <w:tc>
          <w:tcPr>
            <w:tcW w:w="0" w:type="auto"/>
            <w:gridSpan w:val="3"/>
            <w:shd w:val="clear" w:color="auto" w:fill="auto"/>
          </w:tcPr>
          <w:p w14:paraId="7268EE4E" w14:textId="77777777" w:rsidR="005F762A" w:rsidRDefault="005F762A">
            <w:pPr>
              <w:rPr>
                <w:rFonts w:ascii="宋体"/>
                <w:vanish/>
              </w:rPr>
            </w:pPr>
          </w:p>
        </w:tc>
      </w:tr>
      <w:tr w:rsidR="005F762A" w14:paraId="7268EE5C" w14:textId="77777777">
        <w:tc>
          <w:tcPr>
            <w:tcW w:w="0" w:type="auto"/>
            <w:gridSpan w:val="3"/>
            <w:shd w:val="clear" w:color="auto" w:fill="E2E2E2"/>
            <w:tcMar>
              <w:top w:w="40" w:type="dxa"/>
              <w:left w:w="245" w:type="dxa"/>
              <w:bottom w:w="40" w:type="dxa"/>
              <w:right w:w="20" w:type="dxa"/>
            </w:tcMar>
            <w:vAlign w:val="bottom"/>
          </w:tcPr>
          <w:p w14:paraId="7268EE50" w14:textId="77777777" w:rsidR="005F762A" w:rsidRDefault="00D74111">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E51" w14:textId="77777777" w:rsidR="005F762A" w:rsidRDefault="00D74111">
            <w:pPr>
              <w:jc w:val="right"/>
              <w:textAlignment w:val="bottom"/>
            </w:pPr>
            <w:r>
              <w:rPr>
                <w:rFonts w:ascii="Arial" w:eastAsia="宋体" w:hAnsi="Arial" w:cs="Arial"/>
                <w:color w:val="000000"/>
                <w:sz w:val="18"/>
                <w:szCs w:val="18"/>
              </w:rPr>
              <w:t>1,700 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5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53"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E54" w14:textId="77777777" w:rsidR="005F762A" w:rsidRDefault="00D74111">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5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56"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E57" w14:textId="77777777" w:rsidR="005F762A" w:rsidRDefault="00D74111">
            <w:pPr>
              <w:jc w:val="right"/>
              <w:textAlignment w:val="bottom"/>
            </w:pPr>
            <w:r>
              <w:rPr>
                <w:rFonts w:ascii="Arial" w:eastAsia="宋体" w:hAnsi="Arial" w:cs="Arial"/>
                <w:color w:val="000000"/>
                <w:sz w:val="18"/>
                <w:szCs w:val="18"/>
              </w:rPr>
              <w:t>1,677 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5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59"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E5A"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5B" w14:textId="77777777" w:rsidR="005F762A" w:rsidRDefault="005F762A">
            <w:pPr>
              <w:jc w:val="right"/>
              <w:rPr>
                <w:rFonts w:ascii="宋体"/>
              </w:rPr>
            </w:pPr>
          </w:p>
        </w:tc>
      </w:tr>
      <w:tr w:rsidR="005F762A" w14:paraId="7268EE65" w14:textId="77777777">
        <w:trPr>
          <w:hidden/>
        </w:trPr>
        <w:tc>
          <w:tcPr>
            <w:tcW w:w="0" w:type="auto"/>
            <w:gridSpan w:val="3"/>
            <w:shd w:val="clear" w:color="auto" w:fill="auto"/>
          </w:tcPr>
          <w:p w14:paraId="7268EE5D" w14:textId="77777777" w:rsidR="005F762A" w:rsidRDefault="005F762A">
            <w:pPr>
              <w:rPr>
                <w:rFonts w:ascii="宋体"/>
                <w:vanish/>
              </w:rPr>
            </w:pPr>
          </w:p>
        </w:tc>
        <w:tc>
          <w:tcPr>
            <w:tcW w:w="0" w:type="auto"/>
            <w:gridSpan w:val="3"/>
            <w:shd w:val="clear" w:color="auto" w:fill="auto"/>
          </w:tcPr>
          <w:p w14:paraId="7268EE5E" w14:textId="77777777" w:rsidR="005F762A" w:rsidRDefault="005F762A">
            <w:pPr>
              <w:rPr>
                <w:rFonts w:ascii="宋体"/>
                <w:vanish/>
              </w:rPr>
            </w:pPr>
          </w:p>
        </w:tc>
        <w:tc>
          <w:tcPr>
            <w:tcW w:w="0" w:type="auto"/>
            <w:gridSpan w:val="3"/>
            <w:shd w:val="clear" w:color="auto" w:fill="auto"/>
          </w:tcPr>
          <w:p w14:paraId="7268EE5F" w14:textId="77777777" w:rsidR="005F762A" w:rsidRDefault="005F762A">
            <w:pPr>
              <w:rPr>
                <w:rFonts w:ascii="宋体"/>
                <w:vanish/>
              </w:rPr>
            </w:pPr>
          </w:p>
        </w:tc>
        <w:tc>
          <w:tcPr>
            <w:tcW w:w="0" w:type="auto"/>
            <w:gridSpan w:val="3"/>
            <w:shd w:val="clear" w:color="auto" w:fill="auto"/>
          </w:tcPr>
          <w:p w14:paraId="7268EE60" w14:textId="77777777" w:rsidR="005F762A" w:rsidRDefault="005F762A">
            <w:pPr>
              <w:rPr>
                <w:rFonts w:ascii="宋体"/>
                <w:vanish/>
              </w:rPr>
            </w:pPr>
          </w:p>
        </w:tc>
        <w:tc>
          <w:tcPr>
            <w:tcW w:w="0" w:type="auto"/>
            <w:gridSpan w:val="3"/>
            <w:shd w:val="clear" w:color="auto" w:fill="auto"/>
          </w:tcPr>
          <w:p w14:paraId="7268EE61" w14:textId="77777777" w:rsidR="005F762A" w:rsidRDefault="005F762A">
            <w:pPr>
              <w:rPr>
                <w:rFonts w:ascii="宋体"/>
                <w:vanish/>
              </w:rPr>
            </w:pPr>
          </w:p>
        </w:tc>
        <w:tc>
          <w:tcPr>
            <w:tcW w:w="0" w:type="auto"/>
            <w:gridSpan w:val="3"/>
            <w:shd w:val="clear" w:color="auto" w:fill="auto"/>
          </w:tcPr>
          <w:p w14:paraId="7268EE62" w14:textId="77777777" w:rsidR="005F762A" w:rsidRDefault="005F762A">
            <w:pPr>
              <w:rPr>
                <w:rFonts w:ascii="宋体"/>
                <w:vanish/>
              </w:rPr>
            </w:pPr>
          </w:p>
        </w:tc>
        <w:tc>
          <w:tcPr>
            <w:tcW w:w="0" w:type="auto"/>
            <w:gridSpan w:val="3"/>
            <w:shd w:val="clear" w:color="auto" w:fill="auto"/>
          </w:tcPr>
          <w:p w14:paraId="7268EE63" w14:textId="77777777" w:rsidR="005F762A" w:rsidRDefault="005F762A">
            <w:pPr>
              <w:rPr>
                <w:rFonts w:ascii="宋体"/>
                <w:vanish/>
              </w:rPr>
            </w:pPr>
          </w:p>
        </w:tc>
        <w:tc>
          <w:tcPr>
            <w:tcW w:w="0" w:type="auto"/>
            <w:gridSpan w:val="3"/>
            <w:shd w:val="clear" w:color="auto" w:fill="auto"/>
          </w:tcPr>
          <w:p w14:paraId="7268EE64" w14:textId="77777777" w:rsidR="005F762A" w:rsidRDefault="005F762A">
            <w:pPr>
              <w:rPr>
                <w:rFonts w:ascii="宋体"/>
                <w:vanish/>
              </w:rPr>
            </w:pPr>
          </w:p>
        </w:tc>
      </w:tr>
      <w:tr w:rsidR="005F762A" w14:paraId="7268EE72" w14:textId="77777777">
        <w:tc>
          <w:tcPr>
            <w:tcW w:w="0" w:type="auto"/>
            <w:gridSpan w:val="3"/>
            <w:shd w:val="clear" w:color="auto" w:fill="FFFFFF"/>
            <w:tcMar>
              <w:top w:w="40" w:type="dxa"/>
              <w:left w:w="245" w:type="dxa"/>
              <w:bottom w:w="40" w:type="dxa"/>
              <w:right w:w="20" w:type="dxa"/>
            </w:tcMar>
            <w:vAlign w:val="bottom"/>
          </w:tcPr>
          <w:p w14:paraId="7268EE66" w14:textId="77777777" w:rsidR="005F762A" w:rsidRDefault="00D74111">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67" w14:textId="77777777" w:rsidR="005F762A" w:rsidRDefault="00D74111">
            <w:pPr>
              <w:jc w:val="right"/>
              <w:textAlignment w:val="bottom"/>
            </w:pPr>
            <w:r>
              <w:rPr>
                <w:rFonts w:ascii="Arial" w:eastAsia="宋体" w:hAnsi="Arial" w:cs="Arial"/>
                <w:color w:val="000000"/>
                <w:sz w:val="18"/>
                <w:szCs w:val="18"/>
              </w:rPr>
              <w:t>1,129 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6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69"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6A"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6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6C"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6D" w14:textId="77777777" w:rsidR="005F762A" w:rsidRDefault="00D74111">
            <w:pPr>
              <w:jc w:val="right"/>
              <w:textAlignment w:val="bottom"/>
            </w:pPr>
            <w:r>
              <w:rPr>
                <w:rFonts w:ascii="Arial" w:eastAsia="宋体" w:hAnsi="Arial" w:cs="Arial"/>
                <w:color w:val="000000"/>
                <w:sz w:val="18"/>
                <w:szCs w:val="18"/>
              </w:rPr>
              <w:t>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6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6F"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70" w14:textId="77777777" w:rsidR="005F762A" w:rsidRDefault="00D74111">
            <w:pPr>
              <w:jc w:val="right"/>
              <w:textAlignment w:val="bottom"/>
            </w:pPr>
            <w:r>
              <w:rPr>
                <w:rFonts w:ascii="Arial" w:eastAsia="宋体" w:hAnsi="Arial" w:cs="Arial"/>
                <w:color w:val="000000"/>
                <w:sz w:val="18"/>
                <w:szCs w:val="18"/>
              </w:rPr>
              <w:t>1,015 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71" w14:textId="77777777" w:rsidR="005F762A" w:rsidRDefault="005F762A">
            <w:pPr>
              <w:jc w:val="right"/>
              <w:rPr>
                <w:rFonts w:ascii="宋体"/>
              </w:rPr>
            </w:pPr>
          </w:p>
        </w:tc>
      </w:tr>
      <w:tr w:rsidR="005F762A" w14:paraId="7268EE7B" w14:textId="77777777">
        <w:tc>
          <w:tcPr>
            <w:tcW w:w="0" w:type="auto"/>
            <w:gridSpan w:val="3"/>
            <w:shd w:val="clear" w:color="auto" w:fill="E2E2E2"/>
            <w:tcMar>
              <w:top w:w="40" w:type="dxa"/>
              <w:left w:w="245" w:type="dxa"/>
              <w:bottom w:w="40" w:type="dxa"/>
              <w:right w:w="20" w:type="dxa"/>
            </w:tcMar>
            <w:vAlign w:val="bottom"/>
          </w:tcPr>
          <w:p w14:paraId="7268EE73"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7268EE7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75"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76"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77"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7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79"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E7A" w14:textId="77777777" w:rsidR="005F762A" w:rsidRDefault="005F762A">
            <w:pPr>
              <w:rPr>
                <w:rFonts w:ascii="宋体"/>
              </w:rPr>
            </w:pPr>
          </w:p>
        </w:tc>
      </w:tr>
      <w:tr w:rsidR="005F762A" w14:paraId="7268EE88" w14:textId="77777777">
        <w:tc>
          <w:tcPr>
            <w:tcW w:w="0" w:type="auto"/>
            <w:gridSpan w:val="3"/>
            <w:shd w:val="clear" w:color="auto" w:fill="FFFFFF"/>
            <w:tcMar>
              <w:top w:w="40" w:type="dxa"/>
              <w:left w:w="740" w:type="dxa"/>
              <w:bottom w:w="40" w:type="dxa"/>
              <w:right w:w="20" w:type="dxa"/>
            </w:tcMar>
            <w:vAlign w:val="bottom"/>
          </w:tcPr>
          <w:p w14:paraId="7268EE7C"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7268EE7D" w14:textId="77777777" w:rsidR="005F762A" w:rsidRDefault="00D74111">
            <w:pPr>
              <w:jc w:val="right"/>
              <w:textAlignment w:val="bottom"/>
            </w:pPr>
            <w:r>
              <w:rPr>
                <w:rFonts w:ascii="Arial" w:eastAsia="宋体" w:hAnsi="Arial" w:cs="Arial"/>
                <w:color w:val="000000"/>
                <w:sz w:val="18"/>
                <w:szCs w:val="18"/>
              </w:rPr>
              <w:t>508 </w:t>
            </w:r>
          </w:p>
        </w:tc>
        <w:tc>
          <w:tcPr>
            <w:tcW w:w="0" w:type="auto"/>
            <w:shd w:val="clear" w:color="auto" w:fill="FFFFFF"/>
            <w:tcMar>
              <w:top w:w="40" w:type="dxa"/>
              <w:left w:w="0" w:type="dxa"/>
              <w:bottom w:w="40" w:type="dxa"/>
              <w:right w:w="20" w:type="dxa"/>
            </w:tcMar>
            <w:vAlign w:val="bottom"/>
          </w:tcPr>
          <w:p w14:paraId="7268EE7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7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80"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8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8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83" w14:textId="77777777" w:rsidR="005F762A" w:rsidRDefault="00D74111">
            <w:pPr>
              <w:jc w:val="right"/>
              <w:textAlignment w:val="bottom"/>
            </w:pPr>
            <w:r>
              <w:rPr>
                <w:rFonts w:ascii="Arial" w:eastAsia="宋体" w:hAnsi="Arial" w:cs="Arial"/>
                <w:color w:val="000000"/>
                <w:sz w:val="18"/>
                <w:szCs w:val="18"/>
              </w:rPr>
              <w:t>508 </w:t>
            </w:r>
          </w:p>
        </w:tc>
        <w:tc>
          <w:tcPr>
            <w:tcW w:w="0" w:type="auto"/>
            <w:shd w:val="clear" w:color="auto" w:fill="FFFFFF"/>
            <w:tcMar>
              <w:top w:w="40" w:type="dxa"/>
              <w:left w:w="0" w:type="dxa"/>
              <w:bottom w:w="40" w:type="dxa"/>
              <w:right w:w="20" w:type="dxa"/>
            </w:tcMar>
            <w:vAlign w:val="bottom"/>
          </w:tcPr>
          <w:p w14:paraId="7268EE8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8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E86"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E87" w14:textId="77777777" w:rsidR="005F762A" w:rsidRDefault="005F762A">
            <w:pPr>
              <w:jc w:val="right"/>
              <w:rPr>
                <w:rFonts w:ascii="宋体"/>
              </w:rPr>
            </w:pPr>
          </w:p>
        </w:tc>
      </w:tr>
      <w:tr w:rsidR="005F762A" w14:paraId="7268EE95" w14:textId="77777777">
        <w:tc>
          <w:tcPr>
            <w:tcW w:w="0" w:type="auto"/>
            <w:gridSpan w:val="3"/>
            <w:shd w:val="clear" w:color="auto" w:fill="E2E2E2"/>
            <w:tcMar>
              <w:top w:w="40" w:type="dxa"/>
              <w:left w:w="740" w:type="dxa"/>
              <w:bottom w:w="40" w:type="dxa"/>
              <w:right w:w="20" w:type="dxa"/>
            </w:tcMar>
            <w:vAlign w:val="bottom"/>
          </w:tcPr>
          <w:p w14:paraId="7268EE89" w14:textId="77777777" w:rsidR="005F762A" w:rsidRDefault="00D74111">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7268EE8A" w14:textId="77777777" w:rsidR="005F762A" w:rsidRDefault="00D74111">
            <w:pPr>
              <w:jc w:val="right"/>
              <w:textAlignment w:val="bottom"/>
            </w:pPr>
            <w:r>
              <w:rPr>
                <w:rFonts w:ascii="Arial" w:eastAsia="宋体" w:hAnsi="Arial" w:cs="Arial"/>
                <w:color w:val="000000"/>
                <w:sz w:val="18"/>
                <w:szCs w:val="18"/>
              </w:rPr>
              <w:t>16 </w:t>
            </w:r>
          </w:p>
        </w:tc>
        <w:tc>
          <w:tcPr>
            <w:tcW w:w="0" w:type="auto"/>
            <w:shd w:val="clear" w:color="auto" w:fill="E2E2E2"/>
            <w:tcMar>
              <w:top w:w="40" w:type="dxa"/>
              <w:left w:w="0" w:type="dxa"/>
              <w:bottom w:w="40" w:type="dxa"/>
              <w:right w:w="20" w:type="dxa"/>
            </w:tcMar>
            <w:vAlign w:val="bottom"/>
          </w:tcPr>
          <w:p w14:paraId="7268EE8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8C"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8D"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E8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8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90" w14:textId="77777777" w:rsidR="005F762A" w:rsidRDefault="00D74111">
            <w:pPr>
              <w:jc w:val="right"/>
              <w:textAlignment w:val="bottom"/>
            </w:pPr>
            <w:r>
              <w:rPr>
                <w:rFonts w:ascii="Arial" w:eastAsia="宋体" w:hAnsi="Arial" w:cs="Arial"/>
                <w:color w:val="000000"/>
                <w:sz w:val="18"/>
                <w:szCs w:val="18"/>
              </w:rPr>
              <w:t>16 </w:t>
            </w:r>
          </w:p>
        </w:tc>
        <w:tc>
          <w:tcPr>
            <w:tcW w:w="0" w:type="auto"/>
            <w:shd w:val="clear" w:color="auto" w:fill="E2E2E2"/>
            <w:tcMar>
              <w:top w:w="40" w:type="dxa"/>
              <w:left w:w="0" w:type="dxa"/>
              <w:bottom w:w="40" w:type="dxa"/>
              <w:right w:w="20" w:type="dxa"/>
            </w:tcMar>
            <w:vAlign w:val="bottom"/>
          </w:tcPr>
          <w:p w14:paraId="7268EE9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9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E9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E94" w14:textId="77777777" w:rsidR="005F762A" w:rsidRDefault="005F762A">
            <w:pPr>
              <w:jc w:val="right"/>
              <w:rPr>
                <w:rFonts w:ascii="宋体"/>
              </w:rPr>
            </w:pPr>
          </w:p>
        </w:tc>
      </w:tr>
      <w:tr w:rsidR="005F762A" w14:paraId="7268EEA2" w14:textId="77777777">
        <w:tc>
          <w:tcPr>
            <w:tcW w:w="0" w:type="auto"/>
            <w:gridSpan w:val="3"/>
            <w:shd w:val="clear" w:color="auto" w:fill="FFFFFF"/>
            <w:tcMar>
              <w:top w:w="40" w:type="dxa"/>
              <w:left w:w="245" w:type="dxa"/>
              <w:bottom w:w="40" w:type="dxa"/>
              <w:right w:w="20" w:type="dxa"/>
            </w:tcMar>
            <w:vAlign w:val="bottom"/>
          </w:tcPr>
          <w:p w14:paraId="7268EE96" w14:textId="77777777" w:rsidR="005F762A" w:rsidRDefault="00D74111">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97" w14:textId="77777777" w:rsidR="005F762A" w:rsidRDefault="00D74111">
            <w:pPr>
              <w:jc w:val="right"/>
              <w:textAlignment w:val="bottom"/>
            </w:pPr>
            <w:r>
              <w:rPr>
                <w:rFonts w:ascii="Arial" w:eastAsia="宋体" w:hAnsi="Arial" w:cs="Arial"/>
                <w:color w:val="000000"/>
                <w:sz w:val="18"/>
                <w:szCs w:val="18"/>
              </w:rPr>
              <w:t>524 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9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99"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9A"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9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9C"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9D" w14:textId="77777777" w:rsidR="005F762A" w:rsidRDefault="00D74111">
            <w:pPr>
              <w:jc w:val="right"/>
              <w:textAlignment w:val="bottom"/>
            </w:pPr>
            <w:r>
              <w:rPr>
                <w:rFonts w:ascii="Arial" w:eastAsia="宋体" w:hAnsi="Arial" w:cs="Arial"/>
                <w:color w:val="000000"/>
                <w:sz w:val="18"/>
                <w:szCs w:val="18"/>
              </w:rPr>
              <w:t>524 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9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9F"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EA0"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EA1" w14:textId="77777777" w:rsidR="005F762A" w:rsidRDefault="005F762A">
            <w:pPr>
              <w:jc w:val="right"/>
              <w:rPr>
                <w:rFonts w:ascii="宋体"/>
              </w:rPr>
            </w:pPr>
          </w:p>
        </w:tc>
      </w:tr>
      <w:tr w:rsidR="005F762A" w14:paraId="7268EEB3" w14:textId="77777777">
        <w:tc>
          <w:tcPr>
            <w:tcW w:w="0" w:type="auto"/>
            <w:gridSpan w:val="3"/>
            <w:shd w:val="clear" w:color="auto" w:fill="E2E2E2"/>
            <w:tcMar>
              <w:top w:w="40" w:type="dxa"/>
              <w:left w:w="245" w:type="dxa"/>
              <w:bottom w:w="40" w:type="dxa"/>
              <w:right w:w="20" w:type="dxa"/>
            </w:tcMar>
            <w:vAlign w:val="bottom"/>
          </w:tcPr>
          <w:p w14:paraId="7268EEA3" w14:textId="77777777" w:rsidR="005F762A" w:rsidRDefault="00D74111">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EA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EA5" w14:textId="77777777" w:rsidR="005F762A" w:rsidRDefault="00D74111">
            <w:pPr>
              <w:jc w:val="right"/>
              <w:textAlignment w:val="bottom"/>
            </w:pPr>
            <w:r>
              <w:rPr>
                <w:rFonts w:ascii="Arial" w:eastAsia="宋体" w:hAnsi="Arial" w:cs="Arial"/>
                <w:color w:val="000000"/>
                <w:sz w:val="18"/>
                <w:szCs w:val="18"/>
              </w:rPr>
              <w:t>5,020 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A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A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EA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EA9" w14:textId="77777777" w:rsidR="005F762A" w:rsidRDefault="00D74111">
            <w:pPr>
              <w:jc w:val="right"/>
              <w:textAlignment w:val="bottom"/>
            </w:pPr>
            <w:r>
              <w:rPr>
                <w:rFonts w:ascii="Arial" w:eastAsia="宋体" w:hAnsi="Arial" w:cs="Arial"/>
                <w:color w:val="000000"/>
                <w:sz w:val="18"/>
                <w:szCs w:val="18"/>
              </w:rPr>
              <w:t>1,690 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A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AB"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EA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EAD" w14:textId="77777777" w:rsidR="005F762A" w:rsidRDefault="00D74111">
            <w:pPr>
              <w:jc w:val="right"/>
              <w:textAlignment w:val="bottom"/>
            </w:pPr>
            <w:r>
              <w:rPr>
                <w:rFonts w:ascii="Arial" w:eastAsia="宋体" w:hAnsi="Arial" w:cs="Arial"/>
                <w:color w:val="000000"/>
                <w:sz w:val="18"/>
                <w:szCs w:val="18"/>
              </w:rPr>
              <w:t>2,315 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A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EA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EB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EB1" w14:textId="77777777" w:rsidR="005F762A" w:rsidRDefault="00D74111">
            <w:pPr>
              <w:jc w:val="right"/>
              <w:textAlignment w:val="bottom"/>
            </w:pPr>
            <w:r>
              <w:rPr>
                <w:rFonts w:ascii="Arial" w:eastAsia="宋体" w:hAnsi="Arial" w:cs="Arial"/>
                <w:color w:val="000000"/>
                <w:sz w:val="18"/>
                <w:szCs w:val="18"/>
              </w:rPr>
              <w:t>1,015 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EB2" w14:textId="77777777" w:rsidR="005F762A" w:rsidRDefault="005F762A">
            <w:pPr>
              <w:jc w:val="right"/>
              <w:rPr>
                <w:rFonts w:ascii="宋体"/>
              </w:rPr>
            </w:pPr>
          </w:p>
        </w:tc>
      </w:tr>
      <w:tr w:rsidR="005F762A" w14:paraId="7268EEBC" w14:textId="77777777">
        <w:trPr>
          <w:trHeight w:val="280"/>
        </w:trPr>
        <w:tc>
          <w:tcPr>
            <w:tcW w:w="0" w:type="auto"/>
            <w:gridSpan w:val="3"/>
            <w:shd w:val="clear" w:color="auto" w:fill="FFFFFF"/>
            <w:tcMar>
              <w:top w:w="0" w:type="dxa"/>
              <w:left w:w="20" w:type="dxa"/>
              <w:bottom w:w="0" w:type="dxa"/>
              <w:right w:w="20" w:type="dxa"/>
            </w:tcMar>
          </w:tcPr>
          <w:p w14:paraId="7268EEB4"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EB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EB6"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EB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EB8"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EB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EBA"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EBB" w14:textId="77777777" w:rsidR="005F762A" w:rsidRDefault="005F762A">
            <w:pPr>
              <w:rPr>
                <w:rFonts w:ascii="宋体"/>
              </w:rPr>
            </w:pPr>
          </w:p>
        </w:tc>
      </w:tr>
      <w:tr w:rsidR="005F762A" w14:paraId="7268EEC5" w14:textId="77777777">
        <w:tc>
          <w:tcPr>
            <w:tcW w:w="0" w:type="auto"/>
            <w:gridSpan w:val="3"/>
            <w:shd w:val="clear" w:color="auto" w:fill="E2E2E2"/>
            <w:tcMar>
              <w:top w:w="40" w:type="dxa"/>
              <w:left w:w="20" w:type="dxa"/>
              <w:bottom w:w="40" w:type="dxa"/>
              <w:right w:w="20" w:type="dxa"/>
            </w:tcMar>
            <w:vAlign w:val="bottom"/>
          </w:tcPr>
          <w:p w14:paraId="7268EEBD" w14:textId="77777777" w:rsidR="005F762A" w:rsidRDefault="00D74111">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tcPr>
          <w:p w14:paraId="7268EEB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B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C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C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C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C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EC4" w14:textId="77777777" w:rsidR="005F762A" w:rsidRDefault="005F762A">
            <w:pPr>
              <w:rPr>
                <w:rFonts w:ascii="宋体"/>
              </w:rPr>
            </w:pPr>
          </w:p>
        </w:tc>
      </w:tr>
      <w:tr w:rsidR="005F762A" w14:paraId="7268EED6" w14:textId="77777777">
        <w:tc>
          <w:tcPr>
            <w:tcW w:w="0" w:type="auto"/>
            <w:gridSpan w:val="3"/>
            <w:shd w:val="clear" w:color="auto" w:fill="FFFFFF"/>
            <w:tcMar>
              <w:top w:w="40" w:type="dxa"/>
              <w:left w:w="245" w:type="dxa"/>
              <w:bottom w:w="40" w:type="dxa"/>
              <w:right w:w="20" w:type="dxa"/>
            </w:tcMar>
            <w:vAlign w:val="bottom"/>
          </w:tcPr>
          <w:p w14:paraId="7268EEC6" w14:textId="77777777" w:rsidR="005F762A" w:rsidRDefault="00D74111">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EC7"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EC8" w14:textId="77777777" w:rsidR="005F762A" w:rsidRDefault="00D74111">
            <w:pPr>
              <w:jc w:val="right"/>
              <w:textAlignment w:val="bottom"/>
            </w:pPr>
            <w:r>
              <w:rPr>
                <w:rFonts w:ascii="Arial" w:eastAsia="宋体" w:hAnsi="Arial" w:cs="Arial"/>
                <w:color w:val="000000"/>
                <w:sz w:val="18"/>
                <w:szCs w:val="18"/>
              </w:rPr>
              <w:t>30 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EC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CA"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ECB"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ECC" w14:textId="77777777" w:rsidR="005F762A" w:rsidRDefault="00D74111">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EC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CE"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ECF"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ED0" w14:textId="77777777" w:rsidR="005F762A" w:rsidRDefault="00D74111">
            <w:pPr>
              <w:jc w:val="right"/>
              <w:textAlignment w:val="bottom"/>
            </w:pPr>
            <w:r>
              <w:rPr>
                <w:rFonts w:ascii="Arial" w:eastAsia="宋体" w:hAnsi="Arial" w:cs="Arial"/>
                <w:color w:val="000000"/>
                <w:sz w:val="18"/>
                <w:szCs w:val="18"/>
              </w:rPr>
              <w:t>30 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ED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ED2"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ED3"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ED4" w14:textId="77777777" w:rsidR="005F762A" w:rsidRDefault="00D74111">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ED5" w14:textId="77777777" w:rsidR="005F762A" w:rsidRDefault="005F762A">
            <w:pPr>
              <w:jc w:val="right"/>
              <w:rPr>
                <w:rFonts w:ascii="宋体"/>
              </w:rPr>
            </w:pPr>
          </w:p>
        </w:tc>
      </w:tr>
      <w:tr w:rsidR="005F762A" w14:paraId="7268EEDF" w14:textId="77777777">
        <w:trPr>
          <w:hidden/>
        </w:trPr>
        <w:tc>
          <w:tcPr>
            <w:tcW w:w="0" w:type="auto"/>
            <w:gridSpan w:val="3"/>
            <w:shd w:val="clear" w:color="auto" w:fill="auto"/>
          </w:tcPr>
          <w:p w14:paraId="7268EED7" w14:textId="77777777" w:rsidR="005F762A" w:rsidRDefault="005F762A">
            <w:pPr>
              <w:rPr>
                <w:rFonts w:ascii="宋体"/>
                <w:vanish/>
              </w:rPr>
            </w:pPr>
          </w:p>
        </w:tc>
        <w:tc>
          <w:tcPr>
            <w:tcW w:w="0" w:type="auto"/>
            <w:gridSpan w:val="3"/>
            <w:shd w:val="clear" w:color="auto" w:fill="auto"/>
          </w:tcPr>
          <w:p w14:paraId="7268EED8" w14:textId="77777777" w:rsidR="005F762A" w:rsidRDefault="005F762A">
            <w:pPr>
              <w:rPr>
                <w:rFonts w:ascii="宋体"/>
                <w:vanish/>
              </w:rPr>
            </w:pPr>
          </w:p>
        </w:tc>
        <w:tc>
          <w:tcPr>
            <w:tcW w:w="0" w:type="auto"/>
            <w:gridSpan w:val="3"/>
            <w:shd w:val="clear" w:color="auto" w:fill="auto"/>
          </w:tcPr>
          <w:p w14:paraId="7268EED9" w14:textId="77777777" w:rsidR="005F762A" w:rsidRDefault="005F762A">
            <w:pPr>
              <w:rPr>
                <w:rFonts w:ascii="宋体"/>
                <w:vanish/>
              </w:rPr>
            </w:pPr>
          </w:p>
        </w:tc>
        <w:tc>
          <w:tcPr>
            <w:tcW w:w="0" w:type="auto"/>
            <w:gridSpan w:val="3"/>
            <w:shd w:val="clear" w:color="auto" w:fill="auto"/>
          </w:tcPr>
          <w:p w14:paraId="7268EEDA" w14:textId="77777777" w:rsidR="005F762A" w:rsidRDefault="005F762A">
            <w:pPr>
              <w:rPr>
                <w:rFonts w:ascii="宋体"/>
                <w:vanish/>
              </w:rPr>
            </w:pPr>
          </w:p>
        </w:tc>
        <w:tc>
          <w:tcPr>
            <w:tcW w:w="0" w:type="auto"/>
            <w:gridSpan w:val="3"/>
            <w:shd w:val="clear" w:color="auto" w:fill="auto"/>
          </w:tcPr>
          <w:p w14:paraId="7268EEDB" w14:textId="77777777" w:rsidR="005F762A" w:rsidRDefault="005F762A">
            <w:pPr>
              <w:rPr>
                <w:rFonts w:ascii="宋体"/>
                <w:vanish/>
              </w:rPr>
            </w:pPr>
          </w:p>
        </w:tc>
        <w:tc>
          <w:tcPr>
            <w:tcW w:w="0" w:type="auto"/>
            <w:gridSpan w:val="3"/>
            <w:shd w:val="clear" w:color="auto" w:fill="auto"/>
          </w:tcPr>
          <w:p w14:paraId="7268EEDC" w14:textId="77777777" w:rsidR="005F762A" w:rsidRDefault="005F762A">
            <w:pPr>
              <w:rPr>
                <w:rFonts w:ascii="宋体"/>
                <w:vanish/>
              </w:rPr>
            </w:pPr>
          </w:p>
        </w:tc>
        <w:tc>
          <w:tcPr>
            <w:tcW w:w="0" w:type="auto"/>
            <w:gridSpan w:val="3"/>
            <w:shd w:val="clear" w:color="auto" w:fill="auto"/>
          </w:tcPr>
          <w:p w14:paraId="7268EEDD" w14:textId="77777777" w:rsidR="005F762A" w:rsidRDefault="005F762A">
            <w:pPr>
              <w:rPr>
                <w:rFonts w:ascii="宋体"/>
                <w:vanish/>
              </w:rPr>
            </w:pPr>
          </w:p>
        </w:tc>
        <w:tc>
          <w:tcPr>
            <w:tcW w:w="0" w:type="auto"/>
            <w:gridSpan w:val="3"/>
            <w:shd w:val="clear" w:color="auto" w:fill="auto"/>
          </w:tcPr>
          <w:p w14:paraId="7268EEDE" w14:textId="77777777" w:rsidR="005F762A" w:rsidRDefault="005F762A">
            <w:pPr>
              <w:rPr>
                <w:rFonts w:ascii="宋体"/>
                <w:vanish/>
              </w:rPr>
            </w:pPr>
          </w:p>
        </w:tc>
      </w:tr>
      <w:tr w:rsidR="005F762A" w14:paraId="7268EEE8" w14:textId="77777777">
        <w:trPr>
          <w:hidden/>
        </w:trPr>
        <w:tc>
          <w:tcPr>
            <w:tcW w:w="0" w:type="auto"/>
            <w:gridSpan w:val="3"/>
            <w:shd w:val="clear" w:color="auto" w:fill="auto"/>
          </w:tcPr>
          <w:p w14:paraId="7268EEE0" w14:textId="77777777" w:rsidR="005F762A" w:rsidRDefault="005F762A">
            <w:pPr>
              <w:rPr>
                <w:rFonts w:ascii="宋体"/>
                <w:vanish/>
              </w:rPr>
            </w:pPr>
          </w:p>
        </w:tc>
        <w:tc>
          <w:tcPr>
            <w:tcW w:w="0" w:type="auto"/>
            <w:gridSpan w:val="3"/>
            <w:shd w:val="clear" w:color="auto" w:fill="auto"/>
          </w:tcPr>
          <w:p w14:paraId="7268EEE1" w14:textId="77777777" w:rsidR="005F762A" w:rsidRDefault="005F762A">
            <w:pPr>
              <w:rPr>
                <w:rFonts w:ascii="宋体"/>
                <w:vanish/>
              </w:rPr>
            </w:pPr>
          </w:p>
        </w:tc>
        <w:tc>
          <w:tcPr>
            <w:tcW w:w="0" w:type="auto"/>
            <w:gridSpan w:val="3"/>
            <w:shd w:val="clear" w:color="auto" w:fill="auto"/>
          </w:tcPr>
          <w:p w14:paraId="7268EEE2" w14:textId="77777777" w:rsidR="005F762A" w:rsidRDefault="005F762A">
            <w:pPr>
              <w:rPr>
                <w:rFonts w:ascii="宋体"/>
                <w:vanish/>
              </w:rPr>
            </w:pPr>
          </w:p>
        </w:tc>
        <w:tc>
          <w:tcPr>
            <w:tcW w:w="0" w:type="auto"/>
            <w:gridSpan w:val="3"/>
            <w:shd w:val="clear" w:color="auto" w:fill="auto"/>
          </w:tcPr>
          <w:p w14:paraId="7268EEE3" w14:textId="77777777" w:rsidR="005F762A" w:rsidRDefault="005F762A">
            <w:pPr>
              <w:rPr>
                <w:rFonts w:ascii="宋体"/>
                <w:vanish/>
              </w:rPr>
            </w:pPr>
          </w:p>
        </w:tc>
        <w:tc>
          <w:tcPr>
            <w:tcW w:w="0" w:type="auto"/>
            <w:gridSpan w:val="3"/>
            <w:shd w:val="clear" w:color="auto" w:fill="auto"/>
          </w:tcPr>
          <w:p w14:paraId="7268EEE4" w14:textId="77777777" w:rsidR="005F762A" w:rsidRDefault="005F762A">
            <w:pPr>
              <w:rPr>
                <w:rFonts w:ascii="宋体"/>
                <w:vanish/>
              </w:rPr>
            </w:pPr>
          </w:p>
        </w:tc>
        <w:tc>
          <w:tcPr>
            <w:tcW w:w="0" w:type="auto"/>
            <w:gridSpan w:val="3"/>
            <w:shd w:val="clear" w:color="auto" w:fill="auto"/>
          </w:tcPr>
          <w:p w14:paraId="7268EEE5" w14:textId="77777777" w:rsidR="005F762A" w:rsidRDefault="005F762A">
            <w:pPr>
              <w:rPr>
                <w:rFonts w:ascii="宋体"/>
                <w:vanish/>
              </w:rPr>
            </w:pPr>
          </w:p>
        </w:tc>
        <w:tc>
          <w:tcPr>
            <w:tcW w:w="0" w:type="auto"/>
            <w:gridSpan w:val="3"/>
            <w:shd w:val="clear" w:color="auto" w:fill="auto"/>
          </w:tcPr>
          <w:p w14:paraId="7268EEE6" w14:textId="77777777" w:rsidR="005F762A" w:rsidRDefault="005F762A">
            <w:pPr>
              <w:rPr>
                <w:rFonts w:ascii="宋体"/>
                <w:vanish/>
              </w:rPr>
            </w:pPr>
          </w:p>
        </w:tc>
        <w:tc>
          <w:tcPr>
            <w:tcW w:w="0" w:type="auto"/>
            <w:gridSpan w:val="3"/>
            <w:shd w:val="clear" w:color="auto" w:fill="auto"/>
          </w:tcPr>
          <w:p w14:paraId="7268EEE7" w14:textId="77777777" w:rsidR="005F762A" w:rsidRDefault="005F762A">
            <w:pPr>
              <w:rPr>
                <w:rFonts w:ascii="宋体"/>
                <w:vanish/>
              </w:rPr>
            </w:pPr>
          </w:p>
        </w:tc>
      </w:tr>
      <w:tr w:rsidR="005F762A" w14:paraId="7268EEF1" w14:textId="77777777">
        <w:trPr>
          <w:hidden/>
        </w:trPr>
        <w:tc>
          <w:tcPr>
            <w:tcW w:w="0" w:type="auto"/>
            <w:gridSpan w:val="3"/>
            <w:shd w:val="clear" w:color="auto" w:fill="auto"/>
          </w:tcPr>
          <w:p w14:paraId="7268EEE9" w14:textId="77777777" w:rsidR="005F762A" w:rsidRDefault="005F762A">
            <w:pPr>
              <w:rPr>
                <w:rFonts w:ascii="宋体"/>
                <w:vanish/>
              </w:rPr>
            </w:pPr>
          </w:p>
        </w:tc>
        <w:tc>
          <w:tcPr>
            <w:tcW w:w="0" w:type="auto"/>
            <w:gridSpan w:val="3"/>
            <w:shd w:val="clear" w:color="auto" w:fill="auto"/>
          </w:tcPr>
          <w:p w14:paraId="7268EEEA" w14:textId="77777777" w:rsidR="005F762A" w:rsidRDefault="005F762A">
            <w:pPr>
              <w:rPr>
                <w:rFonts w:ascii="宋体"/>
                <w:vanish/>
              </w:rPr>
            </w:pPr>
          </w:p>
        </w:tc>
        <w:tc>
          <w:tcPr>
            <w:tcW w:w="0" w:type="auto"/>
            <w:gridSpan w:val="3"/>
            <w:shd w:val="clear" w:color="auto" w:fill="auto"/>
          </w:tcPr>
          <w:p w14:paraId="7268EEEB" w14:textId="77777777" w:rsidR="005F762A" w:rsidRDefault="005F762A">
            <w:pPr>
              <w:rPr>
                <w:rFonts w:ascii="宋体"/>
                <w:vanish/>
              </w:rPr>
            </w:pPr>
          </w:p>
        </w:tc>
        <w:tc>
          <w:tcPr>
            <w:tcW w:w="0" w:type="auto"/>
            <w:gridSpan w:val="3"/>
            <w:shd w:val="clear" w:color="auto" w:fill="auto"/>
          </w:tcPr>
          <w:p w14:paraId="7268EEEC" w14:textId="77777777" w:rsidR="005F762A" w:rsidRDefault="005F762A">
            <w:pPr>
              <w:rPr>
                <w:rFonts w:ascii="宋体"/>
                <w:vanish/>
              </w:rPr>
            </w:pPr>
          </w:p>
        </w:tc>
        <w:tc>
          <w:tcPr>
            <w:tcW w:w="0" w:type="auto"/>
            <w:gridSpan w:val="3"/>
            <w:shd w:val="clear" w:color="auto" w:fill="auto"/>
          </w:tcPr>
          <w:p w14:paraId="7268EEED" w14:textId="77777777" w:rsidR="005F762A" w:rsidRDefault="005F762A">
            <w:pPr>
              <w:rPr>
                <w:rFonts w:ascii="宋体"/>
                <w:vanish/>
              </w:rPr>
            </w:pPr>
          </w:p>
        </w:tc>
        <w:tc>
          <w:tcPr>
            <w:tcW w:w="0" w:type="auto"/>
            <w:gridSpan w:val="3"/>
            <w:shd w:val="clear" w:color="auto" w:fill="auto"/>
          </w:tcPr>
          <w:p w14:paraId="7268EEEE" w14:textId="77777777" w:rsidR="005F762A" w:rsidRDefault="005F762A">
            <w:pPr>
              <w:rPr>
                <w:rFonts w:ascii="宋体"/>
                <w:vanish/>
              </w:rPr>
            </w:pPr>
          </w:p>
        </w:tc>
        <w:tc>
          <w:tcPr>
            <w:tcW w:w="0" w:type="auto"/>
            <w:gridSpan w:val="3"/>
            <w:shd w:val="clear" w:color="auto" w:fill="auto"/>
          </w:tcPr>
          <w:p w14:paraId="7268EEEF" w14:textId="77777777" w:rsidR="005F762A" w:rsidRDefault="005F762A">
            <w:pPr>
              <w:rPr>
                <w:rFonts w:ascii="宋体"/>
                <w:vanish/>
              </w:rPr>
            </w:pPr>
          </w:p>
        </w:tc>
        <w:tc>
          <w:tcPr>
            <w:tcW w:w="0" w:type="auto"/>
            <w:gridSpan w:val="3"/>
            <w:shd w:val="clear" w:color="auto" w:fill="auto"/>
          </w:tcPr>
          <w:p w14:paraId="7268EEF0" w14:textId="77777777" w:rsidR="005F762A" w:rsidRDefault="005F762A">
            <w:pPr>
              <w:rPr>
                <w:rFonts w:ascii="宋体"/>
                <w:vanish/>
              </w:rPr>
            </w:pPr>
          </w:p>
        </w:tc>
      </w:tr>
      <w:tr w:rsidR="005F762A" w14:paraId="7268EEFA" w14:textId="77777777">
        <w:trPr>
          <w:hidden/>
        </w:trPr>
        <w:tc>
          <w:tcPr>
            <w:tcW w:w="0" w:type="auto"/>
            <w:gridSpan w:val="3"/>
            <w:shd w:val="clear" w:color="auto" w:fill="auto"/>
          </w:tcPr>
          <w:p w14:paraId="7268EEF2" w14:textId="77777777" w:rsidR="005F762A" w:rsidRDefault="005F762A">
            <w:pPr>
              <w:rPr>
                <w:rFonts w:ascii="宋体"/>
                <w:vanish/>
              </w:rPr>
            </w:pPr>
          </w:p>
        </w:tc>
        <w:tc>
          <w:tcPr>
            <w:tcW w:w="0" w:type="auto"/>
            <w:gridSpan w:val="3"/>
            <w:shd w:val="clear" w:color="auto" w:fill="auto"/>
          </w:tcPr>
          <w:p w14:paraId="7268EEF3" w14:textId="77777777" w:rsidR="005F762A" w:rsidRDefault="005F762A">
            <w:pPr>
              <w:rPr>
                <w:rFonts w:ascii="宋体"/>
                <w:vanish/>
              </w:rPr>
            </w:pPr>
          </w:p>
        </w:tc>
        <w:tc>
          <w:tcPr>
            <w:tcW w:w="0" w:type="auto"/>
            <w:gridSpan w:val="3"/>
            <w:shd w:val="clear" w:color="auto" w:fill="auto"/>
          </w:tcPr>
          <w:p w14:paraId="7268EEF4" w14:textId="77777777" w:rsidR="005F762A" w:rsidRDefault="005F762A">
            <w:pPr>
              <w:rPr>
                <w:rFonts w:ascii="宋体"/>
                <w:vanish/>
              </w:rPr>
            </w:pPr>
          </w:p>
        </w:tc>
        <w:tc>
          <w:tcPr>
            <w:tcW w:w="0" w:type="auto"/>
            <w:gridSpan w:val="3"/>
            <w:shd w:val="clear" w:color="auto" w:fill="auto"/>
          </w:tcPr>
          <w:p w14:paraId="7268EEF5" w14:textId="77777777" w:rsidR="005F762A" w:rsidRDefault="005F762A">
            <w:pPr>
              <w:rPr>
                <w:rFonts w:ascii="宋体"/>
                <w:vanish/>
              </w:rPr>
            </w:pPr>
          </w:p>
        </w:tc>
        <w:tc>
          <w:tcPr>
            <w:tcW w:w="0" w:type="auto"/>
            <w:gridSpan w:val="3"/>
            <w:shd w:val="clear" w:color="auto" w:fill="auto"/>
          </w:tcPr>
          <w:p w14:paraId="7268EEF6" w14:textId="77777777" w:rsidR="005F762A" w:rsidRDefault="005F762A">
            <w:pPr>
              <w:rPr>
                <w:rFonts w:ascii="宋体"/>
                <w:vanish/>
              </w:rPr>
            </w:pPr>
          </w:p>
        </w:tc>
        <w:tc>
          <w:tcPr>
            <w:tcW w:w="0" w:type="auto"/>
            <w:gridSpan w:val="3"/>
            <w:shd w:val="clear" w:color="auto" w:fill="auto"/>
          </w:tcPr>
          <w:p w14:paraId="7268EEF7" w14:textId="77777777" w:rsidR="005F762A" w:rsidRDefault="005F762A">
            <w:pPr>
              <w:rPr>
                <w:rFonts w:ascii="宋体"/>
                <w:vanish/>
              </w:rPr>
            </w:pPr>
          </w:p>
        </w:tc>
        <w:tc>
          <w:tcPr>
            <w:tcW w:w="0" w:type="auto"/>
            <w:gridSpan w:val="3"/>
            <w:shd w:val="clear" w:color="auto" w:fill="auto"/>
          </w:tcPr>
          <w:p w14:paraId="7268EEF8" w14:textId="77777777" w:rsidR="005F762A" w:rsidRDefault="005F762A">
            <w:pPr>
              <w:rPr>
                <w:rFonts w:ascii="宋体"/>
                <w:vanish/>
              </w:rPr>
            </w:pPr>
          </w:p>
        </w:tc>
        <w:tc>
          <w:tcPr>
            <w:tcW w:w="0" w:type="auto"/>
            <w:gridSpan w:val="3"/>
            <w:shd w:val="clear" w:color="auto" w:fill="auto"/>
          </w:tcPr>
          <w:p w14:paraId="7268EEF9" w14:textId="77777777" w:rsidR="005F762A" w:rsidRDefault="005F762A">
            <w:pPr>
              <w:rPr>
                <w:rFonts w:ascii="宋体"/>
                <w:vanish/>
              </w:rPr>
            </w:pPr>
          </w:p>
        </w:tc>
      </w:tr>
    </w:tbl>
    <w:p w14:paraId="7268EEFB" w14:textId="77777777" w:rsidR="005F762A" w:rsidRDefault="005F762A">
      <w:pPr>
        <w:ind w:firstLine="495"/>
      </w:pPr>
    </w:p>
    <w:p w14:paraId="7268EEFC" w14:textId="77777777" w:rsidR="005F762A" w:rsidRDefault="005F762A">
      <w:pPr>
        <w:jc w:val="center"/>
      </w:pPr>
    </w:p>
    <w:p w14:paraId="7268EEFD" w14:textId="77777777" w:rsidR="005F762A" w:rsidRDefault="00D74111">
      <w:pPr>
        <w:jc w:val="center"/>
      </w:pPr>
      <w:r>
        <w:rPr>
          <w:rFonts w:ascii="Arial" w:eastAsia="宋体" w:hAnsi="Arial" w:cs="Arial"/>
          <w:color w:val="000000"/>
          <w:sz w:val="20"/>
          <w:szCs w:val="20"/>
        </w:rPr>
        <w:t>20</w:t>
      </w:r>
    </w:p>
    <w:p w14:paraId="7268EEFE" w14:textId="77777777" w:rsidR="005F762A" w:rsidRDefault="00D74111">
      <w:r>
        <w:pict w14:anchorId="72690153">
          <v:rect id="_x0000_i1044" style="width:415.3pt;height:1.5pt" o:hralign="center" o:hrstd="t" o:hr="t" fillcolor="#a0a0a0" stroked="f"/>
        </w:pict>
      </w:r>
    </w:p>
    <w:p w14:paraId="7268EEFF" w14:textId="77777777" w:rsidR="005F762A" w:rsidRDefault="005F762A">
      <w:pPr>
        <w:jc w:val="center"/>
      </w:pPr>
    </w:p>
    <w:p w14:paraId="7268EF00" w14:textId="77777777" w:rsidR="005F762A" w:rsidRDefault="00D74111">
      <w:pPr>
        <w:jc w:val="center"/>
      </w:pPr>
      <w:r>
        <w:rPr>
          <w:rFonts w:ascii="Arial" w:eastAsia="宋体" w:hAnsi="Arial" w:cs="Arial"/>
          <w:b/>
          <w:bCs/>
          <w:color w:val="000000"/>
          <w:sz w:val="20"/>
          <w:szCs w:val="20"/>
        </w:rPr>
        <w:t>eBay Inc.</w:t>
      </w:r>
    </w:p>
    <w:p w14:paraId="7268EF01" w14:textId="77777777" w:rsidR="005F762A" w:rsidRDefault="00D74111">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tbl>
      <w:tblPr>
        <w:tblW w:w="4993" w:type="pct"/>
        <w:tblCellMar>
          <w:top w:w="15" w:type="dxa"/>
          <w:left w:w="15" w:type="dxa"/>
          <w:bottom w:w="15" w:type="dxa"/>
          <w:right w:w="15" w:type="dxa"/>
        </w:tblCellMar>
        <w:tblLook w:val="04A0" w:firstRow="1" w:lastRow="0" w:firstColumn="1" w:lastColumn="0" w:noHBand="0" w:noVBand="1"/>
      </w:tblPr>
      <w:tblGrid>
        <w:gridCol w:w="42"/>
        <w:gridCol w:w="2161"/>
        <w:gridCol w:w="38"/>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5F762A" w14:paraId="7268EF1A" w14:textId="77777777">
        <w:tc>
          <w:tcPr>
            <w:tcW w:w="50" w:type="pct"/>
            <w:shd w:val="clear" w:color="auto" w:fill="auto"/>
          </w:tcPr>
          <w:p w14:paraId="7268EF02" w14:textId="77777777" w:rsidR="005F762A" w:rsidRDefault="005F762A">
            <w:pPr>
              <w:rPr>
                <w:rFonts w:ascii="宋体"/>
              </w:rPr>
            </w:pPr>
          </w:p>
        </w:tc>
        <w:tc>
          <w:tcPr>
            <w:tcW w:w="1548" w:type="pct"/>
            <w:shd w:val="clear" w:color="auto" w:fill="auto"/>
          </w:tcPr>
          <w:p w14:paraId="7268EF03" w14:textId="77777777" w:rsidR="005F762A" w:rsidRDefault="005F762A">
            <w:pPr>
              <w:rPr>
                <w:rFonts w:ascii="宋体"/>
              </w:rPr>
            </w:pPr>
          </w:p>
        </w:tc>
        <w:tc>
          <w:tcPr>
            <w:tcW w:w="5" w:type="pct"/>
            <w:shd w:val="clear" w:color="auto" w:fill="auto"/>
          </w:tcPr>
          <w:p w14:paraId="7268EF04" w14:textId="77777777" w:rsidR="005F762A" w:rsidRDefault="005F762A">
            <w:pPr>
              <w:rPr>
                <w:rFonts w:ascii="宋体"/>
              </w:rPr>
            </w:pPr>
          </w:p>
        </w:tc>
        <w:tc>
          <w:tcPr>
            <w:tcW w:w="50" w:type="pct"/>
            <w:shd w:val="clear" w:color="auto" w:fill="auto"/>
          </w:tcPr>
          <w:p w14:paraId="7268EF05" w14:textId="77777777" w:rsidR="005F762A" w:rsidRDefault="005F762A">
            <w:pPr>
              <w:rPr>
                <w:rFonts w:ascii="宋体"/>
              </w:rPr>
            </w:pPr>
          </w:p>
        </w:tc>
        <w:tc>
          <w:tcPr>
            <w:tcW w:w="757" w:type="pct"/>
            <w:shd w:val="clear" w:color="auto" w:fill="auto"/>
          </w:tcPr>
          <w:p w14:paraId="7268EF06" w14:textId="77777777" w:rsidR="005F762A" w:rsidRDefault="005F762A">
            <w:pPr>
              <w:rPr>
                <w:rFonts w:ascii="宋体"/>
              </w:rPr>
            </w:pPr>
          </w:p>
        </w:tc>
        <w:tc>
          <w:tcPr>
            <w:tcW w:w="5" w:type="pct"/>
            <w:shd w:val="clear" w:color="auto" w:fill="auto"/>
          </w:tcPr>
          <w:p w14:paraId="7268EF07" w14:textId="77777777" w:rsidR="005F762A" w:rsidRDefault="005F762A">
            <w:pPr>
              <w:rPr>
                <w:rFonts w:ascii="宋体"/>
              </w:rPr>
            </w:pPr>
          </w:p>
        </w:tc>
        <w:tc>
          <w:tcPr>
            <w:tcW w:w="5" w:type="pct"/>
            <w:shd w:val="clear" w:color="auto" w:fill="auto"/>
          </w:tcPr>
          <w:p w14:paraId="7268EF08" w14:textId="77777777" w:rsidR="005F762A" w:rsidRDefault="005F762A">
            <w:pPr>
              <w:rPr>
                <w:rFonts w:ascii="宋体"/>
              </w:rPr>
            </w:pPr>
          </w:p>
        </w:tc>
        <w:tc>
          <w:tcPr>
            <w:tcW w:w="26" w:type="pct"/>
            <w:shd w:val="clear" w:color="auto" w:fill="auto"/>
          </w:tcPr>
          <w:p w14:paraId="7268EF09" w14:textId="77777777" w:rsidR="005F762A" w:rsidRDefault="005F762A">
            <w:pPr>
              <w:rPr>
                <w:rFonts w:ascii="宋体"/>
              </w:rPr>
            </w:pPr>
          </w:p>
        </w:tc>
        <w:tc>
          <w:tcPr>
            <w:tcW w:w="5" w:type="pct"/>
            <w:shd w:val="clear" w:color="auto" w:fill="auto"/>
          </w:tcPr>
          <w:p w14:paraId="7268EF0A" w14:textId="77777777" w:rsidR="005F762A" w:rsidRDefault="005F762A">
            <w:pPr>
              <w:rPr>
                <w:rFonts w:ascii="宋体"/>
              </w:rPr>
            </w:pPr>
          </w:p>
        </w:tc>
        <w:tc>
          <w:tcPr>
            <w:tcW w:w="50" w:type="pct"/>
            <w:shd w:val="clear" w:color="auto" w:fill="auto"/>
          </w:tcPr>
          <w:p w14:paraId="7268EF0B" w14:textId="77777777" w:rsidR="005F762A" w:rsidRDefault="005F762A">
            <w:pPr>
              <w:rPr>
                <w:rFonts w:ascii="宋体"/>
              </w:rPr>
            </w:pPr>
          </w:p>
        </w:tc>
        <w:tc>
          <w:tcPr>
            <w:tcW w:w="757" w:type="pct"/>
            <w:shd w:val="clear" w:color="auto" w:fill="auto"/>
          </w:tcPr>
          <w:p w14:paraId="7268EF0C" w14:textId="77777777" w:rsidR="005F762A" w:rsidRDefault="005F762A">
            <w:pPr>
              <w:rPr>
                <w:rFonts w:ascii="宋体"/>
              </w:rPr>
            </w:pPr>
          </w:p>
        </w:tc>
        <w:tc>
          <w:tcPr>
            <w:tcW w:w="5" w:type="pct"/>
            <w:shd w:val="clear" w:color="auto" w:fill="auto"/>
          </w:tcPr>
          <w:p w14:paraId="7268EF0D" w14:textId="77777777" w:rsidR="005F762A" w:rsidRDefault="005F762A">
            <w:pPr>
              <w:rPr>
                <w:rFonts w:ascii="宋体"/>
              </w:rPr>
            </w:pPr>
          </w:p>
        </w:tc>
        <w:tc>
          <w:tcPr>
            <w:tcW w:w="5" w:type="pct"/>
            <w:shd w:val="clear" w:color="auto" w:fill="auto"/>
          </w:tcPr>
          <w:p w14:paraId="7268EF0E" w14:textId="77777777" w:rsidR="005F762A" w:rsidRDefault="005F762A">
            <w:pPr>
              <w:rPr>
                <w:rFonts w:ascii="宋体"/>
              </w:rPr>
            </w:pPr>
          </w:p>
        </w:tc>
        <w:tc>
          <w:tcPr>
            <w:tcW w:w="26" w:type="pct"/>
            <w:shd w:val="clear" w:color="auto" w:fill="auto"/>
          </w:tcPr>
          <w:p w14:paraId="7268EF0F" w14:textId="77777777" w:rsidR="005F762A" w:rsidRDefault="005F762A">
            <w:pPr>
              <w:rPr>
                <w:rFonts w:ascii="宋体"/>
              </w:rPr>
            </w:pPr>
          </w:p>
        </w:tc>
        <w:tc>
          <w:tcPr>
            <w:tcW w:w="5" w:type="pct"/>
            <w:shd w:val="clear" w:color="auto" w:fill="auto"/>
          </w:tcPr>
          <w:p w14:paraId="7268EF10" w14:textId="77777777" w:rsidR="005F762A" w:rsidRDefault="005F762A">
            <w:pPr>
              <w:rPr>
                <w:rFonts w:ascii="宋体"/>
              </w:rPr>
            </w:pPr>
          </w:p>
        </w:tc>
        <w:tc>
          <w:tcPr>
            <w:tcW w:w="50" w:type="pct"/>
            <w:shd w:val="clear" w:color="auto" w:fill="auto"/>
          </w:tcPr>
          <w:p w14:paraId="7268EF11" w14:textId="77777777" w:rsidR="005F762A" w:rsidRDefault="005F762A">
            <w:pPr>
              <w:rPr>
                <w:rFonts w:ascii="宋体"/>
              </w:rPr>
            </w:pPr>
          </w:p>
        </w:tc>
        <w:tc>
          <w:tcPr>
            <w:tcW w:w="757" w:type="pct"/>
            <w:shd w:val="clear" w:color="auto" w:fill="auto"/>
          </w:tcPr>
          <w:p w14:paraId="7268EF12" w14:textId="77777777" w:rsidR="005F762A" w:rsidRDefault="005F762A">
            <w:pPr>
              <w:rPr>
                <w:rFonts w:ascii="宋体"/>
              </w:rPr>
            </w:pPr>
          </w:p>
        </w:tc>
        <w:tc>
          <w:tcPr>
            <w:tcW w:w="5" w:type="pct"/>
            <w:shd w:val="clear" w:color="auto" w:fill="auto"/>
          </w:tcPr>
          <w:p w14:paraId="7268EF13" w14:textId="77777777" w:rsidR="005F762A" w:rsidRDefault="005F762A">
            <w:pPr>
              <w:rPr>
                <w:rFonts w:ascii="宋体"/>
              </w:rPr>
            </w:pPr>
          </w:p>
        </w:tc>
        <w:tc>
          <w:tcPr>
            <w:tcW w:w="5" w:type="pct"/>
            <w:shd w:val="clear" w:color="auto" w:fill="auto"/>
          </w:tcPr>
          <w:p w14:paraId="7268EF14" w14:textId="77777777" w:rsidR="005F762A" w:rsidRDefault="005F762A">
            <w:pPr>
              <w:rPr>
                <w:rFonts w:ascii="宋体"/>
              </w:rPr>
            </w:pPr>
          </w:p>
        </w:tc>
        <w:tc>
          <w:tcPr>
            <w:tcW w:w="26" w:type="pct"/>
            <w:shd w:val="clear" w:color="auto" w:fill="auto"/>
          </w:tcPr>
          <w:p w14:paraId="7268EF15" w14:textId="77777777" w:rsidR="005F762A" w:rsidRDefault="005F762A">
            <w:pPr>
              <w:rPr>
                <w:rFonts w:ascii="宋体"/>
              </w:rPr>
            </w:pPr>
          </w:p>
        </w:tc>
        <w:tc>
          <w:tcPr>
            <w:tcW w:w="5" w:type="pct"/>
            <w:shd w:val="clear" w:color="auto" w:fill="auto"/>
          </w:tcPr>
          <w:p w14:paraId="7268EF16" w14:textId="77777777" w:rsidR="005F762A" w:rsidRDefault="005F762A">
            <w:pPr>
              <w:rPr>
                <w:rFonts w:ascii="宋体"/>
              </w:rPr>
            </w:pPr>
          </w:p>
        </w:tc>
        <w:tc>
          <w:tcPr>
            <w:tcW w:w="50" w:type="pct"/>
            <w:shd w:val="clear" w:color="auto" w:fill="auto"/>
          </w:tcPr>
          <w:p w14:paraId="7268EF17" w14:textId="77777777" w:rsidR="005F762A" w:rsidRDefault="005F762A">
            <w:pPr>
              <w:rPr>
                <w:rFonts w:ascii="宋体"/>
              </w:rPr>
            </w:pPr>
          </w:p>
        </w:tc>
        <w:tc>
          <w:tcPr>
            <w:tcW w:w="794" w:type="pct"/>
            <w:shd w:val="clear" w:color="auto" w:fill="auto"/>
          </w:tcPr>
          <w:p w14:paraId="7268EF18" w14:textId="77777777" w:rsidR="005F762A" w:rsidRDefault="005F762A">
            <w:pPr>
              <w:rPr>
                <w:rFonts w:ascii="宋体"/>
              </w:rPr>
            </w:pPr>
          </w:p>
        </w:tc>
        <w:tc>
          <w:tcPr>
            <w:tcW w:w="5" w:type="pct"/>
            <w:shd w:val="clear" w:color="auto" w:fill="auto"/>
          </w:tcPr>
          <w:p w14:paraId="7268EF19" w14:textId="77777777" w:rsidR="005F762A" w:rsidRDefault="005F762A">
            <w:pPr>
              <w:rPr>
                <w:rFonts w:ascii="宋体"/>
              </w:rPr>
            </w:pPr>
          </w:p>
        </w:tc>
      </w:tr>
      <w:tr w:rsidR="005F762A" w14:paraId="7268EF2A" w14:textId="77777777">
        <w:tc>
          <w:tcPr>
            <w:tcW w:w="0" w:type="auto"/>
            <w:gridSpan w:val="3"/>
            <w:shd w:val="clear" w:color="auto" w:fill="auto"/>
            <w:tcMar>
              <w:top w:w="0" w:type="dxa"/>
              <w:left w:w="20" w:type="dxa"/>
              <w:bottom w:w="0" w:type="dxa"/>
              <w:right w:w="20" w:type="dxa"/>
            </w:tcMar>
          </w:tcPr>
          <w:p w14:paraId="7268EF1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F1C" w14:textId="77777777" w:rsidR="005F762A" w:rsidRDefault="00D74111">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tcMar>
              <w:top w:w="0" w:type="dxa"/>
              <w:left w:w="20" w:type="dxa"/>
              <w:bottom w:w="0" w:type="dxa"/>
              <w:right w:w="20" w:type="dxa"/>
            </w:tcMar>
          </w:tcPr>
          <w:p w14:paraId="7268EF1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F1E" w14:textId="77777777" w:rsidR="005F762A" w:rsidRDefault="00D74111">
            <w:pPr>
              <w:jc w:val="center"/>
              <w:textAlignment w:val="bottom"/>
            </w:pPr>
            <w:r>
              <w:rPr>
                <w:rFonts w:ascii="Arial" w:eastAsia="宋体" w:hAnsi="Arial" w:cs="Arial"/>
                <w:b/>
                <w:bCs/>
                <w:color w:val="000000"/>
                <w:sz w:val="16"/>
                <w:szCs w:val="16"/>
              </w:rPr>
              <w:t>Quoted Prices in</w:t>
            </w:r>
          </w:p>
          <w:p w14:paraId="7268EF1F" w14:textId="77777777" w:rsidR="005F762A" w:rsidRDefault="00D74111">
            <w:pPr>
              <w:jc w:val="center"/>
              <w:textAlignment w:val="bottom"/>
            </w:pPr>
            <w:r>
              <w:rPr>
                <w:rFonts w:ascii="Arial" w:eastAsia="宋体" w:hAnsi="Arial" w:cs="Arial"/>
                <w:b/>
                <w:bCs/>
                <w:color w:val="000000"/>
                <w:sz w:val="16"/>
                <w:szCs w:val="16"/>
              </w:rPr>
              <w:t>Active Markets for</w:t>
            </w:r>
          </w:p>
          <w:p w14:paraId="7268EF20" w14:textId="77777777" w:rsidR="005F762A" w:rsidRDefault="00D74111">
            <w:pPr>
              <w:jc w:val="center"/>
              <w:textAlignment w:val="bottom"/>
            </w:pPr>
            <w:r>
              <w:rPr>
                <w:rFonts w:ascii="Arial" w:eastAsia="宋体" w:hAnsi="Arial" w:cs="Arial"/>
                <w:b/>
                <w:bCs/>
                <w:color w:val="000000"/>
                <w:sz w:val="16"/>
                <w:szCs w:val="16"/>
              </w:rPr>
              <w:t>Identical Assets</w:t>
            </w:r>
          </w:p>
          <w:p w14:paraId="7268EF21" w14:textId="77777777" w:rsidR="005F762A" w:rsidRDefault="00D74111">
            <w:pPr>
              <w:jc w:val="center"/>
              <w:textAlignment w:val="bottom"/>
            </w:pPr>
            <w:r>
              <w:rPr>
                <w:rFonts w:ascii="Arial" w:eastAsia="宋体" w:hAnsi="Arial" w:cs="Arial"/>
                <w:b/>
                <w:bCs/>
                <w:color w:val="000000"/>
                <w:sz w:val="16"/>
                <w:szCs w:val="16"/>
              </w:rPr>
              <w:t>(Level 1)</w:t>
            </w:r>
            <w:r>
              <w:rPr>
                <w:rFonts w:ascii="Arial" w:eastAsia="宋体" w:hAnsi="Arial" w:cs="Arial"/>
                <w:color w:val="000000"/>
                <w:sz w:val="16"/>
                <w:szCs w:val="16"/>
              </w:rPr>
              <w:t xml:space="preserve"> </w:t>
            </w:r>
          </w:p>
        </w:tc>
        <w:tc>
          <w:tcPr>
            <w:tcW w:w="0" w:type="auto"/>
            <w:gridSpan w:val="3"/>
            <w:shd w:val="clear" w:color="auto" w:fill="auto"/>
            <w:tcMar>
              <w:top w:w="0" w:type="dxa"/>
              <w:left w:w="20" w:type="dxa"/>
              <w:bottom w:w="0" w:type="dxa"/>
              <w:right w:w="20" w:type="dxa"/>
            </w:tcMar>
          </w:tcPr>
          <w:p w14:paraId="7268EF2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F23" w14:textId="77777777" w:rsidR="005F762A" w:rsidRDefault="00D74111">
            <w:pPr>
              <w:jc w:val="center"/>
              <w:textAlignment w:val="bottom"/>
            </w:pPr>
            <w:r>
              <w:rPr>
                <w:rFonts w:ascii="Arial" w:eastAsia="宋体" w:hAnsi="Arial" w:cs="Arial"/>
                <w:b/>
                <w:bCs/>
                <w:color w:val="000000"/>
                <w:sz w:val="16"/>
                <w:szCs w:val="16"/>
              </w:rPr>
              <w:t>Significant Other</w:t>
            </w:r>
          </w:p>
          <w:p w14:paraId="7268EF24" w14:textId="77777777" w:rsidR="005F762A" w:rsidRDefault="00D74111">
            <w:pPr>
              <w:jc w:val="center"/>
              <w:textAlignment w:val="bottom"/>
            </w:pPr>
            <w:r>
              <w:rPr>
                <w:rFonts w:ascii="Arial" w:eastAsia="宋体" w:hAnsi="Arial" w:cs="Arial"/>
                <w:b/>
                <w:bCs/>
                <w:color w:val="000000"/>
                <w:sz w:val="16"/>
                <w:szCs w:val="16"/>
              </w:rPr>
              <w:t>Observable Inputs</w:t>
            </w:r>
          </w:p>
          <w:p w14:paraId="7268EF25" w14:textId="77777777" w:rsidR="005F762A" w:rsidRDefault="00D74111">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tcPr>
          <w:p w14:paraId="7268EF2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EF27" w14:textId="77777777" w:rsidR="005F762A" w:rsidRDefault="00D74111">
            <w:pPr>
              <w:jc w:val="center"/>
              <w:textAlignment w:val="bottom"/>
            </w:pPr>
            <w:r>
              <w:rPr>
                <w:rFonts w:ascii="Arial" w:eastAsia="宋体" w:hAnsi="Arial" w:cs="Arial"/>
                <w:b/>
                <w:bCs/>
                <w:color w:val="000000"/>
                <w:sz w:val="16"/>
                <w:szCs w:val="16"/>
              </w:rPr>
              <w:t>Significant </w:t>
            </w:r>
          </w:p>
          <w:p w14:paraId="7268EF28" w14:textId="77777777" w:rsidR="005F762A" w:rsidRDefault="00D74111">
            <w:pPr>
              <w:jc w:val="center"/>
              <w:textAlignment w:val="bottom"/>
            </w:pPr>
            <w:r>
              <w:rPr>
                <w:rFonts w:ascii="Arial" w:eastAsia="宋体" w:hAnsi="Arial" w:cs="Arial"/>
                <w:b/>
                <w:bCs/>
                <w:color w:val="000000"/>
                <w:sz w:val="16"/>
                <w:szCs w:val="16"/>
              </w:rPr>
              <w:t>Unobservable Inputs</w:t>
            </w:r>
          </w:p>
          <w:p w14:paraId="7268EF29" w14:textId="77777777" w:rsidR="005F762A" w:rsidRDefault="00D74111">
            <w:pPr>
              <w:jc w:val="center"/>
              <w:textAlignment w:val="bottom"/>
            </w:pPr>
            <w:r>
              <w:rPr>
                <w:rFonts w:ascii="Arial" w:eastAsia="宋体" w:hAnsi="Arial" w:cs="Arial"/>
                <w:b/>
                <w:bCs/>
                <w:color w:val="000000"/>
                <w:sz w:val="16"/>
                <w:szCs w:val="16"/>
              </w:rPr>
              <w:t>(Level 3)</w:t>
            </w:r>
          </w:p>
        </w:tc>
      </w:tr>
      <w:tr w:rsidR="005F762A" w14:paraId="7268EF33" w14:textId="77777777">
        <w:tc>
          <w:tcPr>
            <w:tcW w:w="0" w:type="auto"/>
            <w:gridSpan w:val="3"/>
            <w:shd w:val="clear" w:color="auto" w:fill="E2E2E2"/>
            <w:tcMar>
              <w:top w:w="40" w:type="dxa"/>
              <w:left w:w="20" w:type="dxa"/>
              <w:bottom w:w="40" w:type="dxa"/>
              <w:right w:w="20" w:type="dxa"/>
            </w:tcMar>
            <w:vAlign w:val="bottom"/>
          </w:tcPr>
          <w:p w14:paraId="7268EF2B" w14:textId="77777777" w:rsidR="005F762A" w:rsidRDefault="00D74111">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F2C"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F2D" w14:textId="77777777" w:rsidR="005F762A" w:rsidRDefault="005F762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F2E"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F2F" w14:textId="77777777" w:rsidR="005F762A" w:rsidRDefault="005F762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EF30"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EF31"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F32" w14:textId="77777777" w:rsidR="005F762A" w:rsidRDefault="005F762A">
            <w:pPr>
              <w:rPr>
                <w:rFonts w:ascii="宋体"/>
              </w:rPr>
            </w:pPr>
          </w:p>
        </w:tc>
      </w:tr>
      <w:tr w:rsidR="005F762A" w14:paraId="7268EF44" w14:textId="77777777">
        <w:tc>
          <w:tcPr>
            <w:tcW w:w="0" w:type="auto"/>
            <w:gridSpan w:val="3"/>
            <w:shd w:val="clear" w:color="auto" w:fill="FFFFFF"/>
            <w:tcMar>
              <w:top w:w="40" w:type="dxa"/>
              <w:left w:w="20" w:type="dxa"/>
              <w:bottom w:w="40" w:type="dxa"/>
              <w:right w:w="20" w:type="dxa"/>
            </w:tcMar>
            <w:vAlign w:val="bottom"/>
          </w:tcPr>
          <w:p w14:paraId="7268EF34" w14:textId="77777777" w:rsidR="005F762A" w:rsidRDefault="00D74111">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7268EF3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F36" w14:textId="77777777" w:rsidR="005F762A" w:rsidRDefault="00D74111">
            <w:pPr>
              <w:jc w:val="right"/>
              <w:textAlignment w:val="bottom"/>
            </w:pPr>
            <w:r>
              <w:rPr>
                <w:rFonts w:ascii="Arial" w:eastAsia="宋体" w:hAnsi="Arial" w:cs="Arial"/>
                <w:color w:val="000000"/>
                <w:sz w:val="18"/>
                <w:szCs w:val="18"/>
              </w:rPr>
              <w:t>1,428 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3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38"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F3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F3A" w14:textId="77777777" w:rsidR="005F762A" w:rsidRDefault="00D74111">
            <w:pPr>
              <w:jc w:val="right"/>
              <w:textAlignment w:val="bottom"/>
            </w:pPr>
            <w:r>
              <w:rPr>
                <w:rFonts w:ascii="Arial" w:eastAsia="宋体" w:hAnsi="Arial" w:cs="Arial"/>
                <w:color w:val="000000"/>
                <w:sz w:val="18"/>
                <w:szCs w:val="18"/>
              </w:rPr>
              <w:t>1,217 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3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3C"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F3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F3E" w14:textId="77777777" w:rsidR="005F762A" w:rsidRDefault="00D74111">
            <w:pPr>
              <w:jc w:val="right"/>
              <w:textAlignment w:val="bottom"/>
            </w:pPr>
            <w:r>
              <w:rPr>
                <w:rFonts w:ascii="Arial" w:eastAsia="宋体" w:hAnsi="Arial" w:cs="Arial"/>
                <w:color w:val="000000"/>
                <w:sz w:val="18"/>
                <w:szCs w:val="18"/>
              </w:rPr>
              <w:t>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3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40" w14:textId="77777777" w:rsidR="005F762A" w:rsidRDefault="005F762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268EF4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268EF42"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43" w14:textId="77777777" w:rsidR="005F762A" w:rsidRDefault="005F762A">
            <w:pPr>
              <w:jc w:val="right"/>
              <w:rPr>
                <w:rFonts w:ascii="宋体"/>
              </w:rPr>
            </w:pPr>
          </w:p>
        </w:tc>
      </w:tr>
      <w:tr w:rsidR="005F762A" w14:paraId="7268EF4D" w14:textId="77777777">
        <w:tc>
          <w:tcPr>
            <w:tcW w:w="0" w:type="auto"/>
            <w:gridSpan w:val="3"/>
            <w:shd w:val="clear" w:color="auto" w:fill="E2E2E2"/>
            <w:tcMar>
              <w:top w:w="40" w:type="dxa"/>
              <w:left w:w="20" w:type="dxa"/>
              <w:bottom w:w="40" w:type="dxa"/>
              <w:right w:w="20" w:type="dxa"/>
            </w:tcMar>
            <w:vAlign w:val="bottom"/>
          </w:tcPr>
          <w:p w14:paraId="7268EF45" w14:textId="77777777" w:rsidR="005F762A" w:rsidRDefault="00D74111">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tcPr>
          <w:p w14:paraId="7268EF46"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47"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F4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49"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F4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4B"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EF4C" w14:textId="77777777" w:rsidR="005F762A" w:rsidRDefault="005F762A">
            <w:pPr>
              <w:rPr>
                <w:rFonts w:ascii="宋体"/>
              </w:rPr>
            </w:pPr>
          </w:p>
        </w:tc>
      </w:tr>
      <w:tr w:rsidR="005F762A" w14:paraId="7268EF5A" w14:textId="77777777">
        <w:tc>
          <w:tcPr>
            <w:tcW w:w="0" w:type="auto"/>
            <w:gridSpan w:val="3"/>
            <w:shd w:val="clear" w:color="auto" w:fill="FFFFFF"/>
            <w:tcMar>
              <w:top w:w="40" w:type="dxa"/>
              <w:left w:w="515" w:type="dxa"/>
              <w:bottom w:w="40" w:type="dxa"/>
              <w:right w:w="20" w:type="dxa"/>
            </w:tcMar>
            <w:vAlign w:val="bottom"/>
          </w:tcPr>
          <w:p w14:paraId="7268EF4E" w14:textId="77777777" w:rsidR="005F762A" w:rsidRDefault="00D74111">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7268EF4F" w14:textId="77777777" w:rsidR="005F762A" w:rsidRDefault="00D74111">
            <w:pPr>
              <w:jc w:val="right"/>
              <w:textAlignment w:val="bottom"/>
            </w:pPr>
            <w:r>
              <w:rPr>
                <w:rFonts w:ascii="Arial" w:eastAsia="宋体" w:hAnsi="Arial" w:cs="Arial"/>
                <w:color w:val="000000"/>
                <w:sz w:val="18"/>
                <w:szCs w:val="18"/>
              </w:rPr>
              <w:t>143 </w:t>
            </w:r>
          </w:p>
        </w:tc>
        <w:tc>
          <w:tcPr>
            <w:tcW w:w="0" w:type="auto"/>
            <w:shd w:val="clear" w:color="auto" w:fill="FFFFFF"/>
            <w:tcMar>
              <w:top w:w="40" w:type="dxa"/>
              <w:left w:w="0" w:type="dxa"/>
              <w:bottom w:w="40" w:type="dxa"/>
              <w:right w:w="20" w:type="dxa"/>
            </w:tcMar>
            <w:vAlign w:val="bottom"/>
          </w:tcPr>
          <w:p w14:paraId="7268EF5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5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F52" w14:textId="77777777" w:rsidR="005F762A" w:rsidRDefault="00D74111">
            <w:pPr>
              <w:jc w:val="right"/>
              <w:textAlignment w:val="bottom"/>
            </w:pPr>
            <w:r>
              <w:rPr>
                <w:rFonts w:ascii="Arial" w:eastAsia="宋体" w:hAnsi="Arial" w:cs="Arial"/>
                <w:color w:val="000000"/>
                <w:sz w:val="18"/>
                <w:szCs w:val="18"/>
              </w:rPr>
              <w:t>143 </w:t>
            </w:r>
          </w:p>
        </w:tc>
        <w:tc>
          <w:tcPr>
            <w:tcW w:w="0" w:type="auto"/>
            <w:shd w:val="clear" w:color="auto" w:fill="FFFFFF"/>
            <w:tcMar>
              <w:top w:w="40" w:type="dxa"/>
              <w:left w:w="0" w:type="dxa"/>
              <w:bottom w:w="40" w:type="dxa"/>
              <w:right w:w="20" w:type="dxa"/>
            </w:tcMar>
            <w:vAlign w:val="bottom"/>
          </w:tcPr>
          <w:p w14:paraId="7268EF5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5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F5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F5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5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EF5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EF59" w14:textId="77777777" w:rsidR="005F762A" w:rsidRDefault="005F762A">
            <w:pPr>
              <w:jc w:val="right"/>
              <w:rPr>
                <w:rFonts w:ascii="宋体"/>
              </w:rPr>
            </w:pPr>
          </w:p>
        </w:tc>
      </w:tr>
      <w:tr w:rsidR="005F762A" w14:paraId="7268EF67" w14:textId="77777777">
        <w:tc>
          <w:tcPr>
            <w:tcW w:w="0" w:type="auto"/>
            <w:gridSpan w:val="3"/>
            <w:shd w:val="clear" w:color="auto" w:fill="E2E2E2"/>
            <w:tcMar>
              <w:top w:w="40" w:type="dxa"/>
              <w:left w:w="515" w:type="dxa"/>
              <w:bottom w:w="40" w:type="dxa"/>
              <w:right w:w="20" w:type="dxa"/>
            </w:tcMar>
            <w:vAlign w:val="bottom"/>
          </w:tcPr>
          <w:p w14:paraId="7268EF5B"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F5C" w14:textId="77777777" w:rsidR="005F762A" w:rsidRDefault="00D74111">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7268EF5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5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5F"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F6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6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62" w14:textId="77777777" w:rsidR="005F762A" w:rsidRDefault="00D74111">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7268EF6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6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6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F66" w14:textId="77777777" w:rsidR="005F762A" w:rsidRDefault="005F762A">
            <w:pPr>
              <w:jc w:val="right"/>
              <w:rPr>
                <w:rFonts w:ascii="宋体"/>
              </w:rPr>
            </w:pPr>
          </w:p>
        </w:tc>
      </w:tr>
      <w:tr w:rsidR="005F762A" w14:paraId="7268EF70" w14:textId="77777777">
        <w:trPr>
          <w:hidden/>
        </w:trPr>
        <w:tc>
          <w:tcPr>
            <w:tcW w:w="0" w:type="auto"/>
            <w:gridSpan w:val="3"/>
            <w:shd w:val="clear" w:color="auto" w:fill="auto"/>
          </w:tcPr>
          <w:p w14:paraId="7268EF68" w14:textId="77777777" w:rsidR="005F762A" w:rsidRDefault="005F762A">
            <w:pPr>
              <w:rPr>
                <w:rFonts w:ascii="宋体"/>
                <w:vanish/>
              </w:rPr>
            </w:pPr>
          </w:p>
        </w:tc>
        <w:tc>
          <w:tcPr>
            <w:tcW w:w="0" w:type="auto"/>
            <w:gridSpan w:val="3"/>
            <w:shd w:val="clear" w:color="auto" w:fill="auto"/>
          </w:tcPr>
          <w:p w14:paraId="7268EF69" w14:textId="77777777" w:rsidR="005F762A" w:rsidRDefault="005F762A">
            <w:pPr>
              <w:rPr>
                <w:rFonts w:ascii="宋体"/>
                <w:vanish/>
              </w:rPr>
            </w:pPr>
          </w:p>
        </w:tc>
        <w:tc>
          <w:tcPr>
            <w:tcW w:w="0" w:type="auto"/>
            <w:gridSpan w:val="3"/>
            <w:shd w:val="clear" w:color="auto" w:fill="auto"/>
          </w:tcPr>
          <w:p w14:paraId="7268EF6A" w14:textId="77777777" w:rsidR="005F762A" w:rsidRDefault="005F762A">
            <w:pPr>
              <w:rPr>
                <w:rFonts w:ascii="宋体"/>
                <w:vanish/>
              </w:rPr>
            </w:pPr>
          </w:p>
        </w:tc>
        <w:tc>
          <w:tcPr>
            <w:tcW w:w="0" w:type="auto"/>
            <w:gridSpan w:val="3"/>
            <w:shd w:val="clear" w:color="auto" w:fill="auto"/>
          </w:tcPr>
          <w:p w14:paraId="7268EF6B" w14:textId="77777777" w:rsidR="005F762A" w:rsidRDefault="005F762A">
            <w:pPr>
              <w:rPr>
                <w:rFonts w:ascii="宋体"/>
                <w:vanish/>
              </w:rPr>
            </w:pPr>
          </w:p>
        </w:tc>
        <w:tc>
          <w:tcPr>
            <w:tcW w:w="0" w:type="auto"/>
            <w:gridSpan w:val="3"/>
            <w:shd w:val="clear" w:color="auto" w:fill="auto"/>
          </w:tcPr>
          <w:p w14:paraId="7268EF6C" w14:textId="77777777" w:rsidR="005F762A" w:rsidRDefault="005F762A">
            <w:pPr>
              <w:rPr>
                <w:rFonts w:ascii="宋体"/>
                <w:vanish/>
              </w:rPr>
            </w:pPr>
          </w:p>
        </w:tc>
        <w:tc>
          <w:tcPr>
            <w:tcW w:w="0" w:type="auto"/>
            <w:gridSpan w:val="3"/>
            <w:shd w:val="clear" w:color="auto" w:fill="auto"/>
          </w:tcPr>
          <w:p w14:paraId="7268EF6D" w14:textId="77777777" w:rsidR="005F762A" w:rsidRDefault="005F762A">
            <w:pPr>
              <w:rPr>
                <w:rFonts w:ascii="宋体"/>
                <w:vanish/>
              </w:rPr>
            </w:pPr>
          </w:p>
        </w:tc>
        <w:tc>
          <w:tcPr>
            <w:tcW w:w="0" w:type="auto"/>
            <w:gridSpan w:val="3"/>
            <w:shd w:val="clear" w:color="auto" w:fill="auto"/>
          </w:tcPr>
          <w:p w14:paraId="7268EF6E" w14:textId="77777777" w:rsidR="005F762A" w:rsidRDefault="005F762A">
            <w:pPr>
              <w:rPr>
                <w:rFonts w:ascii="宋体"/>
                <w:vanish/>
              </w:rPr>
            </w:pPr>
          </w:p>
        </w:tc>
        <w:tc>
          <w:tcPr>
            <w:tcW w:w="0" w:type="auto"/>
            <w:gridSpan w:val="3"/>
            <w:shd w:val="clear" w:color="auto" w:fill="auto"/>
          </w:tcPr>
          <w:p w14:paraId="7268EF6F" w14:textId="77777777" w:rsidR="005F762A" w:rsidRDefault="005F762A">
            <w:pPr>
              <w:rPr>
                <w:rFonts w:ascii="宋体"/>
                <w:vanish/>
              </w:rPr>
            </w:pPr>
          </w:p>
        </w:tc>
      </w:tr>
      <w:tr w:rsidR="005F762A" w14:paraId="7268EF79" w14:textId="77777777">
        <w:trPr>
          <w:hidden/>
        </w:trPr>
        <w:tc>
          <w:tcPr>
            <w:tcW w:w="0" w:type="auto"/>
            <w:gridSpan w:val="3"/>
            <w:shd w:val="clear" w:color="auto" w:fill="auto"/>
          </w:tcPr>
          <w:p w14:paraId="7268EF71" w14:textId="77777777" w:rsidR="005F762A" w:rsidRDefault="005F762A">
            <w:pPr>
              <w:rPr>
                <w:rFonts w:ascii="宋体"/>
                <w:vanish/>
              </w:rPr>
            </w:pPr>
          </w:p>
        </w:tc>
        <w:tc>
          <w:tcPr>
            <w:tcW w:w="0" w:type="auto"/>
            <w:gridSpan w:val="3"/>
            <w:shd w:val="clear" w:color="auto" w:fill="auto"/>
          </w:tcPr>
          <w:p w14:paraId="7268EF72" w14:textId="77777777" w:rsidR="005F762A" w:rsidRDefault="005F762A">
            <w:pPr>
              <w:rPr>
                <w:rFonts w:ascii="宋体"/>
                <w:vanish/>
              </w:rPr>
            </w:pPr>
          </w:p>
        </w:tc>
        <w:tc>
          <w:tcPr>
            <w:tcW w:w="0" w:type="auto"/>
            <w:gridSpan w:val="3"/>
            <w:shd w:val="clear" w:color="auto" w:fill="auto"/>
          </w:tcPr>
          <w:p w14:paraId="7268EF73" w14:textId="77777777" w:rsidR="005F762A" w:rsidRDefault="005F762A">
            <w:pPr>
              <w:rPr>
                <w:rFonts w:ascii="宋体"/>
                <w:vanish/>
              </w:rPr>
            </w:pPr>
          </w:p>
        </w:tc>
        <w:tc>
          <w:tcPr>
            <w:tcW w:w="0" w:type="auto"/>
            <w:gridSpan w:val="3"/>
            <w:shd w:val="clear" w:color="auto" w:fill="auto"/>
          </w:tcPr>
          <w:p w14:paraId="7268EF74" w14:textId="77777777" w:rsidR="005F762A" w:rsidRDefault="005F762A">
            <w:pPr>
              <w:rPr>
                <w:rFonts w:ascii="宋体"/>
                <w:vanish/>
              </w:rPr>
            </w:pPr>
          </w:p>
        </w:tc>
        <w:tc>
          <w:tcPr>
            <w:tcW w:w="0" w:type="auto"/>
            <w:gridSpan w:val="3"/>
            <w:shd w:val="clear" w:color="auto" w:fill="auto"/>
          </w:tcPr>
          <w:p w14:paraId="7268EF75" w14:textId="77777777" w:rsidR="005F762A" w:rsidRDefault="005F762A">
            <w:pPr>
              <w:rPr>
                <w:rFonts w:ascii="宋体"/>
                <w:vanish/>
              </w:rPr>
            </w:pPr>
          </w:p>
        </w:tc>
        <w:tc>
          <w:tcPr>
            <w:tcW w:w="0" w:type="auto"/>
            <w:gridSpan w:val="3"/>
            <w:shd w:val="clear" w:color="auto" w:fill="auto"/>
          </w:tcPr>
          <w:p w14:paraId="7268EF76" w14:textId="77777777" w:rsidR="005F762A" w:rsidRDefault="005F762A">
            <w:pPr>
              <w:rPr>
                <w:rFonts w:ascii="宋体"/>
                <w:vanish/>
              </w:rPr>
            </w:pPr>
          </w:p>
        </w:tc>
        <w:tc>
          <w:tcPr>
            <w:tcW w:w="0" w:type="auto"/>
            <w:gridSpan w:val="3"/>
            <w:shd w:val="clear" w:color="auto" w:fill="auto"/>
          </w:tcPr>
          <w:p w14:paraId="7268EF77" w14:textId="77777777" w:rsidR="005F762A" w:rsidRDefault="005F762A">
            <w:pPr>
              <w:rPr>
                <w:rFonts w:ascii="宋体"/>
                <w:vanish/>
              </w:rPr>
            </w:pPr>
          </w:p>
        </w:tc>
        <w:tc>
          <w:tcPr>
            <w:tcW w:w="0" w:type="auto"/>
            <w:gridSpan w:val="3"/>
            <w:shd w:val="clear" w:color="auto" w:fill="auto"/>
          </w:tcPr>
          <w:p w14:paraId="7268EF78" w14:textId="77777777" w:rsidR="005F762A" w:rsidRDefault="005F762A">
            <w:pPr>
              <w:rPr>
                <w:rFonts w:ascii="宋体"/>
                <w:vanish/>
              </w:rPr>
            </w:pPr>
          </w:p>
        </w:tc>
      </w:tr>
      <w:tr w:rsidR="005F762A" w14:paraId="7268EF82" w14:textId="77777777">
        <w:trPr>
          <w:hidden/>
        </w:trPr>
        <w:tc>
          <w:tcPr>
            <w:tcW w:w="0" w:type="auto"/>
            <w:gridSpan w:val="3"/>
            <w:shd w:val="clear" w:color="auto" w:fill="auto"/>
          </w:tcPr>
          <w:p w14:paraId="7268EF7A" w14:textId="77777777" w:rsidR="005F762A" w:rsidRDefault="005F762A">
            <w:pPr>
              <w:rPr>
                <w:rFonts w:ascii="宋体"/>
                <w:vanish/>
              </w:rPr>
            </w:pPr>
          </w:p>
        </w:tc>
        <w:tc>
          <w:tcPr>
            <w:tcW w:w="0" w:type="auto"/>
            <w:gridSpan w:val="3"/>
            <w:shd w:val="clear" w:color="auto" w:fill="auto"/>
          </w:tcPr>
          <w:p w14:paraId="7268EF7B" w14:textId="77777777" w:rsidR="005F762A" w:rsidRDefault="005F762A">
            <w:pPr>
              <w:rPr>
                <w:rFonts w:ascii="宋体"/>
                <w:vanish/>
              </w:rPr>
            </w:pPr>
          </w:p>
        </w:tc>
        <w:tc>
          <w:tcPr>
            <w:tcW w:w="0" w:type="auto"/>
            <w:gridSpan w:val="3"/>
            <w:shd w:val="clear" w:color="auto" w:fill="auto"/>
          </w:tcPr>
          <w:p w14:paraId="7268EF7C" w14:textId="77777777" w:rsidR="005F762A" w:rsidRDefault="005F762A">
            <w:pPr>
              <w:rPr>
                <w:rFonts w:ascii="宋体"/>
                <w:vanish/>
              </w:rPr>
            </w:pPr>
          </w:p>
        </w:tc>
        <w:tc>
          <w:tcPr>
            <w:tcW w:w="0" w:type="auto"/>
            <w:gridSpan w:val="3"/>
            <w:shd w:val="clear" w:color="auto" w:fill="auto"/>
          </w:tcPr>
          <w:p w14:paraId="7268EF7D" w14:textId="77777777" w:rsidR="005F762A" w:rsidRDefault="005F762A">
            <w:pPr>
              <w:rPr>
                <w:rFonts w:ascii="宋体"/>
                <w:vanish/>
              </w:rPr>
            </w:pPr>
          </w:p>
        </w:tc>
        <w:tc>
          <w:tcPr>
            <w:tcW w:w="0" w:type="auto"/>
            <w:gridSpan w:val="3"/>
            <w:shd w:val="clear" w:color="auto" w:fill="auto"/>
          </w:tcPr>
          <w:p w14:paraId="7268EF7E" w14:textId="77777777" w:rsidR="005F762A" w:rsidRDefault="005F762A">
            <w:pPr>
              <w:rPr>
                <w:rFonts w:ascii="宋体"/>
                <w:vanish/>
              </w:rPr>
            </w:pPr>
          </w:p>
        </w:tc>
        <w:tc>
          <w:tcPr>
            <w:tcW w:w="0" w:type="auto"/>
            <w:gridSpan w:val="3"/>
            <w:shd w:val="clear" w:color="auto" w:fill="auto"/>
          </w:tcPr>
          <w:p w14:paraId="7268EF7F" w14:textId="77777777" w:rsidR="005F762A" w:rsidRDefault="005F762A">
            <w:pPr>
              <w:rPr>
                <w:rFonts w:ascii="宋体"/>
                <w:vanish/>
              </w:rPr>
            </w:pPr>
          </w:p>
        </w:tc>
        <w:tc>
          <w:tcPr>
            <w:tcW w:w="0" w:type="auto"/>
            <w:gridSpan w:val="3"/>
            <w:shd w:val="clear" w:color="auto" w:fill="auto"/>
          </w:tcPr>
          <w:p w14:paraId="7268EF80" w14:textId="77777777" w:rsidR="005F762A" w:rsidRDefault="005F762A">
            <w:pPr>
              <w:rPr>
                <w:rFonts w:ascii="宋体"/>
                <w:vanish/>
              </w:rPr>
            </w:pPr>
          </w:p>
        </w:tc>
        <w:tc>
          <w:tcPr>
            <w:tcW w:w="0" w:type="auto"/>
            <w:gridSpan w:val="3"/>
            <w:shd w:val="clear" w:color="auto" w:fill="auto"/>
          </w:tcPr>
          <w:p w14:paraId="7268EF81" w14:textId="77777777" w:rsidR="005F762A" w:rsidRDefault="005F762A">
            <w:pPr>
              <w:rPr>
                <w:rFonts w:ascii="宋体"/>
                <w:vanish/>
              </w:rPr>
            </w:pPr>
          </w:p>
        </w:tc>
      </w:tr>
      <w:tr w:rsidR="005F762A" w14:paraId="7268EF8F" w14:textId="77777777">
        <w:tc>
          <w:tcPr>
            <w:tcW w:w="0" w:type="auto"/>
            <w:gridSpan w:val="3"/>
            <w:shd w:val="clear" w:color="auto" w:fill="FFFFFF"/>
            <w:tcMar>
              <w:top w:w="40" w:type="dxa"/>
              <w:left w:w="20" w:type="dxa"/>
              <w:bottom w:w="40" w:type="dxa"/>
              <w:right w:w="20" w:type="dxa"/>
            </w:tcMar>
            <w:vAlign w:val="bottom"/>
          </w:tcPr>
          <w:p w14:paraId="7268EF83" w14:textId="77777777" w:rsidR="005F762A" w:rsidRDefault="00D74111">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84" w14:textId="77777777" w:rsidR="005F762A" w:rsidRDefault="00D74111">
            <w:pPr>
              <w:jc w:val="right"/>
              <w:textAlignment w:val="bottom"/>
            </w:pPr>
            <w:r>
              <w:rPr>
                <w:rFonts w:ascii="Arial" w:eastAsia="宋体" w:hAnsi="Arial" w:cs="Arial"/>
                <w:color w:val="000000"/>
                <w:sz w:val="18"/>
                <w:szCs w:val="18"/>
              </w:rPr>
              <w:t>2,398 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8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86"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87" w14:textId="77777777" w:rsidR="005F762A" w:rsidRDefault="00D74111">
            <w:pPr>
              <w:jc w:val="right"/>
              <w:textAlignment w:val="bottom"/>
            </w:pPr>
            <w:r>
              <w:rPr>
                <w:rFonts w:ascii="Arial" w:eastAsia="宋体" w:hAnsi="Arial" w:cs="Arial"/>
                <w:color w:val="000000"/>
                <w:sz w:val="18"/>
                <w:szCs w:val="18"/>
              </w:rPr>
              <w:t>143 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8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89"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8A" w14:textId="77777777" w:rsidR="005F762A" w:rsidRDefault="00D74111">
            <w:pPr>
              <w:jc w:val="right"/>
              <w:textAlignment w:val="bottom"/>
            </w:pPr>
            <w:r>
              <w:rPr>
                <w:rFonts w:ascii="Arial" w:eastAsia="宋体" w:hAnsi="Arial" w:cs="Arial"/>
                <w:color w:val="000000"/>
                <w:sz w:val="18"/>
                <w:szCs w:val="18"/>
              </w:rPr>
              <w:t>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8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8C"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8D"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8E" w14:textId="77777777" w:rsidR="005F762A" w:rsidRDefault="005F762A">
            <w:pPr>
              <w:jc w:val="right"/>
              <w:rPr>
                <w:rFonts w:ascii="宋体"/>
              </w:rPr>
            </w:pPr>
          </w:p>
        </w:tc>
      </w:tr>
      <w:tr w:rsidR="005F762A" w14:paraId="7268EF98" w14:textId="77777777">
        <w:trPr>
          <w:hidden/>
        </w:trPr>
        <w:tc>
          <w:tcPr>
            <w:tcW w:w="0" w:type="auto"/>
            <w:gridSpan w:val="3"/>
            <w:shd w:val="clear" w:color="auto" w:fill="auto"/>
          </w:tcPr>
          <w:p w14:paraId="7268EF90" w14:textId="77777777" w:rsidR="005F762A" w:rsidRDefault="005F762A">
            <w:pPr>
              <w:rPr>
                <w:rFonts w:ascii="宋体"/>
                <w:vanish/>
              </w:rPr>
            </w:pPr>
          </w:p>
        </w:tc>
        <w:tc>
          <w:tcPr>
            <w:tcW w:w="0" w:type="auto"/>
            <w:gridSpan w:val="3"/>
            <w:shd w:val="clear" w:color="auto" w:fill="auto"/>
          </w:tcPr>
          <w:p w14:paraId="7268EF91" w14:textId="77777777" w:rsidR="005F762A" w:rsidRDefault="005F762A">
            <w:pPr>
              <w:rPr>
                <w:rFonts w:ascii="宋体"/>
                <w:vanish/>
              </w:rPr>
            </w:pPr>
          </w:p>
        </w:tc>
        <w:tc>
          <w:tcPr>
            <w:tcW w:w="0" w:type="auto"/>
            <w:gridSpan w:val="3"/>
            <w:shd w:val="clear" w:color="auto" w:fill="auto"/>
          </w:tcPr>
          <w:p w14:paraId="7268EF92" w14:textId="77777777" w:rsidR="005F762A" w:rsidRDefault="005F762A">
            <w:pPr>
              <w:rPr>
                <w:rFonts w:ascii="宋体"/>
                <w:vanish/>
              </w:rPr>
            </w:pPr>
          </w:p>
        </w:tc>
        <w:tc>
          <w:tcPr>
            <w:tcW w:w="0" w:type="auto"/>
            <w:gridSpan w:val="3"/>
            <w:shd w:val="clear" w:color="auto" w:fill="auto"/>
          </w:tcPr>
          <w:p w14:paraId="7268EF93" w14:textId="77777777" w:rsidR="005F762A" w:rsidRDefault="005F762A">
            <w:pPr>
              <w:rPr>
                <w:rFonts w:ascii="宋体"/>
                <w:vanish/>
              </w:rPr>
            </w:pPr>
          </w:p>
        </w:tc>
        <w:tc>
          <w:tcPr>
            <w:tcW w:w="0" w:type="auto"/>
            <w:gridSpan w:val="3"/>
            <w:shd w:val="clear" w:color="auto" w:fill="auto"/>
          </w:tcPr>
          <w:p w14:paraId="7268EF94" w14:textId="77777777" w:rsidR="005F762A" w:rsidRDefault="005F762A">
            <w:pPr>
              <w:rPr>
                <w:rFonts w:ascii="宋体"/>
                <w:vanish/>
              </w:rPr>
            </w:pPr>
          </w:p>
        </w:tc>
        <w:tc>
          <w:tcPr>
            <w:tcW w:w="0" w:type="auto"/>
            <w:gridSpan w:val="3"/>
            <w:shd w:val="clear" w:color="auto" w:fill="auto"/>
          </w:tcPr>
          <w:p w14:paraId="7268EF95" w14:textId="77777777" w:rsidR="005F762A" w:rsidRDefault="005F762A">
            <w:pPr>
              <w:rPr>
                <w:rFonts w:ascii="宋体"/>
                <w:vanish/>
              </w:rPr>
            </w:pPr>
          </w:p>
        </w:tc>
        <w:tc>
          <w:tcPr>
            <w:tcW w:w="0" w:type="auto"/>
            <w:gridSpan w:val="3"/>
            <w:shd w:val="clear" w:color="auto" w:fill="auto"/>
          </w:tcPr>
          <w:p w14:paraId="7268EF96" w14:textId="77777777" w:rsidR="005F762A" w:rsidRDefault="005F762A">
            <w:pPr>
              <w:rPr>
                <w:rFonts w:ascii="宋体"/>
                <w:vanish/>
              </w:rPr>
            </w:pPr>
          </w:p>
        </w:tc>
        <w:tc>
          <w:tcPr>
            <w:tcW w:w="0" w:type="auto"/>
            <w:gridSpan w:val="3"/>
            <w:shd w:val="clear" w:color="auto" w:fill="auto"/>
          </w:tcPr>
          <w:p w14:paraId="7268EF97" w14:textId="77777777" w:rsidR="005F762A" w:rsidRDefault="005F762A">
            <w:pPr>
              <w:rPr>
                <w:rFonts w:ascii="宋体"/>
                <w:vanish/>
              </w:rPr>
            </w:pPr>
          </w:p>
        </w:tc>
      </w:tr>
      <w:tr w:rsidR="005F762A" w14:paraId="7268EFA5" w14:textId="77777777">
        <w:tc>
          <w:tcPr>
            <w:tcW w:w="0" w:type="auto"/>
            <w:gridSpan w:val="3"/>
            <w:shd w:val="clear" w:color="auto" w:fill="E2E2E2"/>
            <w:tcMar>
              <w:top w:w="40" w:type="dxa"/>
              <w:left w:w="20" w:type="dxa"/>
              <w:bottom w:w="40" w:type="dxa"/>
              <w:right w:w="20" w:type="dxa"/>
            </w:tcMar>
            <w:vAlign w:val="bottom"/>
          </w:tcPr>
          <w:p w14:paraId="7268EF99" w14:textId="77777777" w:rsidR="005F762A" w:rsidRDefault="00D74111">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F9A" w14:textId="77777777" w:rsidR="005F762A" w:rsidRDefault="00D74111">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9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9C"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F9D"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9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9F"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FA0" w14:textId="77777777" w:rsidR="005F762A" w:rsidRDefault="00D74111">
            <w:pPr>
              <w:jc w:val="right"/>
              <w:textAlignment w:val="bottom"/>
            </w:pPr>
            <w:r>
              <w:rPr>
                <w:rFonts w:ascii="Arial" w:eastAsia="宋体" w:hAnsi="Arial" w:cs="Arial"/>
                <w:color w:val="000000"/>
                <w:sz w:val="18"/>
                <w:szCs w:val="18"/>
              </w:rPr>
              <w:t>62 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A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A2"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EFA3" w14:textId="77777777" w:rsidR="005F762A" w:rsidRDefault="00D74111">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A4" w14:textId="77777777" w:rsidR="005F762A" w:rsidRDefault="005F762A">
            <w:pPr>
              <w:jc w:val="right"/>
              <w:rPr>
                <w:rFonts w:ascii="宋体"/>
              </w:rPr>
            </w:pPr>
          </w:p>
        </w:tc>
      </w:tr>
      <w:tr w:rsidR="005F762A" w14:paraId="7268EFAE" w14:textId="77777777">
        <w:tc>
          <w:tcPr>
            <w:tcW w:w="0" w:type="auto"/>
            <w:gridSpan w:val="3"/>
            <w:shd w:val="clear" w:color="auto" w:fill="FFFFFF"/>
            <w:tcMar>
              <w:top w:w="40" w:type="dxa"/>
              <w:left w:w="20" w:type="dxa"/>
              <w:bottom w:w="40" w:type="dxa"/>
              <w:right w:w="20" w:type="dxa"/>
            </w:tcMar>
            <w:vAlign w:val="bottom"/>
          </w:tcPr>
          <w:p w14:paraId="7268EFA6" w14:textId="77777777" w:rsidR="005F762A" w:rsidRDefault="00D74111">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tcPr>
          <w:p w14:paraId="7268EFA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A8"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FA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AA"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FA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AC"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EFAD" w14:textId="77777777" w:rsidR="005F762A" w:rsidRDefault="005F762A">
            <w:pPr>
              <w:rPr>
                <w:rFonts w:ascii="宋体"/>
              </w:rPr>
            </w:pPr>
          </w:p>
        </w:tc>
      </w:tr>
      <w:tr w:rsidR="005F762A" w14:paraId="7268EFBB" w14:textId="77777777">
        <w:tc>
          <w:tcPr>
            <w:tcW w:w="0" w:type="auto"/>
            <w:gridSpan w:val="3"/>
            <w:shd w:val="clear" w:color="auto" w:fill="E2E2E2"/>
            <w:tcMar>
              <w:top w:w="40" w:type="dxa"/>
              <w:left w:w="515" w:type="dxa"/>
              <w:bottom w:w="40" w:type="dxa"/>
              <w:right w:w="20" w:type="dxa"/>
            </w:tcMar>
            <w:vAlign w:val="bottom"/>
          </w:tcPr>
          <w:p w14:paraId="7268EFAF" w14:textId="77777777" w:rsidR="005F762A" w:rsidRDefault="00D74111">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7268EFB0" w14:textId="77777777" w:rsidR="005F762A" w:rsidRDefault="00D74111">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7268EFB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B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B3"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FB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B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B6" w14:textId="77777777" w:rsidR="005F762A" w:rsidRDefault="00D74111">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7268EFB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B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EFB9"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EFBA" w14:textId="77777777" w:rsidR="005F762A" w:rsidRDefault="005F762A">
            <w:pPr>
              <w:jc w:val="right"/>
              <w:rPr>
                <w:rFonts w:ascii="宋体"/>
              </w:rPr>
            </w:pPr>
          </w:p>
        </w:tc>
      </w:tr>
      <w:tr w:rsidR="005F762A" w14:paraId="7268EFC4" w14:textId="77777777">
        <w:trPr>
          <w:hidden/>
        </w:trPr>
        <w:tc>
          <w:tcPr>
            <w:tcW w:w="0" w:type="auto"/>
            <w:gridSpan w:val="3"/>
            <w:shd w:val="clear" w:color="auto" w:fill="auto"/>
          </w:tcPr>
          <w:p w14:paraId="7268EFBC" w14:textId="77777777" w:rsidR="005F762A" w:rsidRDefault="005F762A">
            <w:pPr>
              <w:rPr>
                <w:rFonts w:ascii="宋体"/>
                <w:vanish/>
              </w:rPr>
            </w:pPr>
          </w:p>
        </w:tc>
        <w:tc>
          <w:tcPr>
            <w:tcW w:w="0" w:type="auto"/>
            <w:gridSpan w:val="3"/>
            <w:shd w:val="clear" w:color="auto" w:fill="auto"/>
          </w:tcPr>
          <w:p w14:paraId="7268EFBD" w14:textId="77777777" w:rsidR="005F762A" w:rsidRDefault="005F762A">
            <w:pPr>
              <w:rPr>
                <w:rFonts w:ascii="宋体"/>
                <w:vanish/>
              </w:rPr>
            </w:pPr>
          </w:p>
        </w:tc>
        <w:tc>
          <w:tcPr>
            <w:tcW w:w="0" w:type="auto"/>
            <w:gridSpan w:val="3"/>
            <w:shd w:val="clear" w:color="auto" w:fill="auto"/>
          </w:tcPr>
          <w:p w14:paraId="7268EFBE" w14:textId="77777777" w:rsidR="005F762A" w:rsidRDefault="005F762A">
            <w:pPr>
              <w:rPr>
                <w:rFonts w:ascii="宋体"/>
                <w:vanish/>
              </w:rPr>
            </w:pPr>
          </w:p>
        </w:tc>
        <w:tc>
          <w:tcPr>
            <w:tcW w:w="0" w:type="auto"/>
            <w:gridSpan w:val="3"/>
            <w:shd w:val="clear" w:color="auto" w:fill="auto"/>
          </w:tcPr>
          <w:p w14:paraId="7268EFBF" w14:textId="77777777" w:rsidR="005F762A" w:rsidRDefault="005F762A">
            <w:pPr>
              <w:rPr>
                <w:rFonts w:ascii="宋体"/>
                <w:vanish/>
              </w:rPr>
            </w:pPr>
          </w:p>
        </w:tc>
        <w:tc>
          <w:tcPr>
            <w:tcW w:w="0" w:type="auto"/>
            <w:gridSpan w:val="3"/>
            <w:shd w:val="clear" w:color="auto" w:fill="auto"/>
          </w:tcPr>
          <w:p w14:paraId="7268EFC0" w14:textId="77777777" w:rsidR="005F762A" w:rsidRDefault="005F762A">
            <w:pPr>
              <w:rPr>
                <w:rFonts w:ascii="宋体"/>
                <w:vanish/>
              </w:rPr>
            </w:pPr>
          </w:p>
        </w:tc>
        <w:tc>
          <w:tcPr>
            <w:tcW w:w="0" w:type="auto"/>
            <w:gridSpan w:val="3"/>
            <w:shd w:val="clear" w:color="auto" w:fill="auto"/>
          </w:tcPr>
          <w:p w14:paraId="7268EFC1" w14:textId="77777777" w:rsidR="005F762A" w:rsidRDefault="005F762A">
            <w:pPr>
              <w:rPr>
                <w:rFonts w:ascii="宋体"/>
                <w:vanish/>
              </w:rPr>
            </w:pPr>
          </w:p>
        </w:tc>
        <w:tc>
          <w:tcPr>
            <w:tcW w:w="0" w:type="auto"/>
            <w:gridSpan w:val="3"/>
            <w:shd w:val="clear" w:color="auto" w:fill="auto"/>
          </w:tcPr>
          <w:p w14:paraId="7268EFC2" w14:textId="77777777" w:rsidR="005F762A" w:rsidRDefault="005F762A">
            <w:pPr>
              <w:rPr>
                <w:rFonts w:ascii="宋体"/>
                <w:vanish/>
              </w:rPr>
            </w:pPr>
          </w:p>
        </w:tc>
        <w:tc>
          <w:tcPr>
            <w:tcW w:w="0" w:type="auto"/>
            <w:gridSpan w:val="3"/>
            <w:shd w:val="clear" w:color="auto" w:fill="auto"/>
          </w:tcPr>
          <w:p w14:paraId="7268EFC3" w14:textId="77777777" w:rsidR="005F762A" w:rsidRDefault="005F762A">
            <w:pPr>
              <w:rPr>
                <w:rFonts w:ascii="宋体"/>
                <w:vanish/>
              </w:rPr>
            </w:pPr>
          </w:p>
        </w:tc>
      </w:tr>
      <w:tr w:rsidR="005F762A" w14:paraId="7268EFD1" w14:textId="77777777">
        <w:tc>
          <w:tcPr>
            <w:tcW w:w="0" w:type="auto"/>
            <w:gridSpan w:val="3"/>
            <w:shd w:val="clear" w:color="auto" w:fill="FFFFFF"/>
            <w:tcMar>
              <w:top w:w="40" w:type="dxa"/>
              <w:left w:w="20" w:type="dxa"/>
              <w:bottom w:w="40" w:type="dxa"/>
              <w:right w:w="20" w:type="dxa"/>
            </w:tcMar>
            <w:vAlign w:val="bottom"/>
          </w:tcPr>
          <w:p w14:paraId="7268EFC5" w14:textId="77777777" w:rsidR="005F762A" w:rsidRDefault="00D74111">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C6" w14:textId="77777777" w:rsidR="005F762A" w:rsidRDefault="00D74111">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C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C8"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C9"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C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CB"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CC" w14:textId="77777777" w:rsidR="005F762A" w:rsidRDefault="00D74111">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C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CE"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EFCF"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EFD0" w14:textId="77777777" w:rsidR="005F762A" w:rsidRDefault="005F762A">
            <w:pPr>
              <w:jc w:val="right"/>
              <w:rPr>
                <w:rFonts w:ascii="宋体"/>
              </w:rPr>
            </w:pPr>
          </w:p>
        </w:tc>
      </w:tr>
      <w:tr w:rsidR="005F762A" w14:paraId="7268EFE2" w14:textId="77777777">
        <w:tc>
          <w:tcPr>
            <w:tcW w:w="0" w:type="auto"/>
            <w:gridSpan w:val="3"/>
            <w:shd w:val="clear" w:color="auto" w:fill="E2E2E2"/>
            <w:tcMar>
              <w:top w:w="40" w:type="dxa"/>
              <w:left w:w="20" w:type="dxa"/>
              <w:bottom w:w="40" w:type="dxa"/>
              <w:right w:w="20" w:type="dxa"/>
            </w:tcMar>
            <w:vAlign w:val="bottom"/>
          </w:tcPr>
          <w:p w14:paraId="7268EFD2" w14:textId="77777777" w:rsidR="005F762A" w:rsidRDefault="00D74111">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EFD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FD4" w14:textId="77777777" w:rsidR="005F762A" w:rsidRDefault="00D74111">
            <w:pPr>
              <w:jc w:val="right"/>
              <w:textAlignment w:val="bottom"/>
            </w:pPr>
            <w:r>
              <w:rPr>
                <w:rFonts w:ascii="Arial" w:eastAsia="宋体" w:hAnsi="Arial" w:cs="Arial"/>
                <w:color w:val="000000"/>
                <w:sz w:val="18"/>
                <w:szCs w:val="18"/>
              </w:rPr>
              <w:t>5,225 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D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D6"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FD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FD8" w14:textId="77777777" w:rsidR="005F762A" w:rsidRDefault="00D74111">
            <w:pPr>
              <w:jc w:val="right"/>
              <w:textAlignment w:val="bottom"/>
            </w:pPr>
            <w:r>
              <w:rPr>
                <w:rFonts w:ascii="Arial" w:eastAsia="宋体" w:hAnsi="Arial" w:cs="Arial"/>
                <w:color w:val="000000"/>
                <w:sz w:val="18"/>
                <w:szCs w:val="18"/>
              </w:rPr>
              <w:t>1,360 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D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DA"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FDB"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FDC" w14:textId="77777777" w:rsidR="005F762A" w:rsidRDefault="00D74111">
            <w:pPr>
              <w:jc w:val="right"/>
              <w:textAlignment w:val="bottom"/>
            </w:pPr>
            <w:r>
              <w:rPr>
                <w:rFonts w:ascii="Arial" w:eastAsia="宋体" w:hAnsi="Arial" w:cs="Arial"/>
                <w:color w:val="000000"/>
                <w:sz w:val="18"/>
                <w:szCs w:val="18"/>
              </w:rPr>
              <w:t>2,814 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D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EFDE"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EFD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EFE0" w14:textId="77777777" w:rsidR="005F762A" w:rsidRDefault="00D74111">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EFE1" w14:textId="77777777" w:rsidR="005F762A" w:rsidRDefault="005F762A">
            <w:pPr>
              <w:jc w:val="right"/>
              <w:rPr>
                <w:rFonts w:ascii="宋体"/>
              </w:rPr>
            </w:pPr>
          </w:p>
        </w:tc>
      </w:tr>
      <w:tr w:rsidR="005F762A" w14:paraId="7268EFEB" w14:textId="77777777">
        <w:trPr>
          <w:trHeight w:val="280"/>
        </w:trPr>
        <w:tc>
          <w:tcPr>
            <w:tcW w:w="0" w:type="auto"/>
            <w:gridSpan w:val="3"/>
            <w:shd w:val="clear" w:color="auto" w:fill="FFFFFF"/>
            <w:tcMar>
              <w:top w:w="0" w:type="dxa"/>
              <w:left w:w="20" w:type="dxa"/>
              <w:bottom w:w="0" w:type="dxa"/>
              <w:right w:w="20" w:type="dxa"/>
            </w:tcMar>
          </w:tcPr>
          <w:p w14:paraId="7268EFE3"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FE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E5"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FE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E7"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FE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EFE9" w14:textId="77777777" w:rsidR="005F762A" w:rsidRDefault="005F762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268EFEA" w14:textId="77777777" w:rsidR="005F762A" w:rsidRDefault="005F762A">
            <w:pPr>
              <w:rPr>
                <w:rFonts w:ascii="宋体"/>
              </w:rPr>
            </w:pPr>
          </w:p>
        </w:tc>
      </w:tr>
      <w:tr w:rsidR="005F762A" w14:paraId="7268EFF4" w14:textId="77777777">
        <w:tc>
          <w:tcPr>
            <w:tcW w:w="0" w:type="auto"/>
            <w:gridSpan w:val="3"/>
            <w:shd w:val="clear" w:color="auto" w:fill="E2E2E2"/>
            <w:tcMar>
              <w:top w:w="40" w:type="dxa"/>
              <w:left w:w="20" w:type="dxa"/>
              <w:bottom w:w="40" w:type="dxa"/>
              <w:right w:w="20" w:type="dxa"/>
            </w:tcMar>
            <w:vAlign w:val="bottom"/>
          </w:tcPr>
          <w:p w14:paraId="7268EFEC" w14:textId="77777777" w:rsidR="005F762A" w:rsidRDefault="00D74111">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tcPr>
          <w:p w14:paraId="7268EFE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E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E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F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F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F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EFF3" w14:textId="77777777" w:rsidR="005F762A" w:rsidRDefault="005F762A">
            <w:pPr>
              <w:rPr>
                <w:rFonts w:ascii="宋体"/>
              </w:rPr>
            </w:pPr>
          </w:p>
        </w:tc>
      </w:tr>
      <w:tr w:rsidR="005F762A" w14:paraId="7268F005" w14:textId="77777777">
        <w:tc>
          <w:tcPr>
            <w:tcW w:w="0" w:type="auto"/>
            <w:gridSpan w:val="3"/>
            <w:shd w:val="clear" w:color="auto" w:fill="FFFFFF"/>
            <w:tcMar>
              <w:top w:w="40" w:type="dxa"/>
              <w:left w:w="20" w:type="dxa"/>
              <w:bottom w:w="40" w:type="dxa"/>
              <w:right w:w="20" w:type="dxa"/>
            </w:tcMar>
            <w:vAlign w:val="bottom"/>
          </w:tcPr>
          <w:p w14:paraId="7268EFF5" w14:textId="77777777" w:rsidR="005F762A" w:rsidRDefault="00D74111">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FF6"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FF7" w14:textId="77777777" w:rsidR="005F762A" w:rsidRDefault="00D74111">
            <w:pPr>
              <w:jc w:val="right"/>
              <w:textAlignment w:val="bottom"/>
            </w:pPr>
            <w:r>
              <w:rPr>
                <w:rFonts w:ascii="Arial" w:eastAsia="宋体" w:hAnsi="Arial" w:cs="Arial"/>
                <w:color w:val="000000"/>
                <w:sz w:val="18"/>
                <w:szCs w:val="18"/>
              </w:rPr>
              <w:t>46 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FF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F9"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FFA"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FFB" w14:textId="77777777" w:rsidR="005F762A" w:rsidRDefault="00D74111">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EFF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EFFD"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EFFE"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EFFF" w14:textId="77777777" w:rsidR="005F762A" w:rsidRDefault="00D74111">
            <w:pPr>
              <w:jc w:val="right"/>
              <w:textAlignment w:val="bottom"/>
            </w:pPr>
            <w:r>
              <w:rPr>
                <w:rFonts w:ascii="Arial" w:eastAsia="宋体" w:hAnsi="Arial" w:cs="Arial"/>
                <w:color w:val="000000"/>
                <w:sz w:val="18"/>
                <w:szCs w:val="18"/>
              </w:rPr>
              <w:t>46 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F00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001" w14:textId="77777777" w:rsidR="005F762A" w:rsidRDefault="005F762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268F002" w14:textId="77777777" w:rsidR="005F762A" w:rsidRDefault="00D74111">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268F003" w14:textId="77777777" w:rsidR="005F762A" w:rsidRDefault="00D74111">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268F004" w14:textId="77777777" w:rsidR="005F762A" w:rsidRDefault="005F762A">
            <w:pPr>
              <w:jc w:val="right"/>
              <w:rPr>
                <w:rFonts w:ascii="宋体"/>
              </w:rPr>
            </w:pPr>
          </w:p>
        </w:tc>
      </w:tr>
    </w:tbl>
    <w:p w14:paraId="7268F006" w14:textId="77777777" w:rsidR="005F762A" w:rsidRDefault="005F762A"/>
    <w:p w14:paraId="7268F007" w14:textId="77777777" w:rsidR="005F762A" w:rsidRDefault="00D74111">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w:t>
      </w:r>
      <w:r>
        <w:rPr>
          <w:rFonts w:ascii="Arial" w:eastAsia="宋体" w:hAnsi="Arial" w:cs="Arial"/>
          <w:color w:val="000000"/>
          <w:sz w:val="20"/>
          <w:szCs w:val="20"/>
        </w:rPr>
        <w:t>2) and little or no market activity (Level 3). Level 1 instrument valuations are obtained from real-time quotes for transactions in active exchange markets involving identical assets. Level 2 instrument valuations are obtained from readily available pricin</w:t>
      </w:r>
      <w:r>
        <w:rPr>
          <w:rFonts w:ascii="Arial" w:eastAsia="宋体" w:hAnsi="Arial" w:cs="Arial"/>
          <w:color w:val="000000"/>
          <w:sz w:val="20"/>
          <w:szCs w:val="20"/>
        </w:rPr>
        <w:t>g sources for comparable instruments, identical instruments in less active markets, or models using market observable inputs. Level 3 instrument valuations typically reflect management’s estimate of assumptions that market participants would use in pricing</w:t>
      </w:r>
      <w:r>
        <w:rPr>
          <w:rFonts w:ascii="Arial" w:eastAsia="宋体" w:hAnsi="Arial" w:cs="Arial"/>
          <w:color w:val="000000"/>
          <w:sz w:val="20"/>
          <w:szCs w:val="20"/>
        </w:rPr>
        <w:t xml:space="preserve"> the asset or liability. We did not have any transfers of financial instruments between valuation levels during the three months ended March 31, 2021.</w:t>
      </w:r>
    </w:p>
    <w:p w14:paraId="7268F008" w14:textId="77777777" w:rsidR="005F762A" w:rsidRDefault="005F762A">
      <w:pPr>
        <w:ind w:firstLine="540"/>
        <w:jc w:val="both"/>
      </w:pPr>
    </w:p>
    <w:p w14:paraId="7268F009" w14:textId="77777777" w:rsidR="005F762A" w:rsidRDefault="00D74111">
      <w:pPr>
        <w:ind w:firstLine="540"/>
        <w:jc w:val="both"/>
      </w:pPr>
      <w:r>
        <w:rPr>
          <w:rFonts w:ascii="Arial" w:eastAsia="宋体" w:hAnsi="Arial" w:cs="Arial"/>
          <w:color w:val="000000"/>
          <w:sz w:val="20"/>
          <w:szCs w:val="20"/>
        </w:rPr>
        <w:t>The majority of our derivative instruments are valued using pricing models that take into account the co</w:t>
      </w:r>
      <w:r>
        <w:rPr>
          <w:rFonts w:ascii="Arial" w:eastAsia="宋体" w:hAnsi="Arial" w:cs="Arial"/>
          <w:color w:val="000000"/>
          <w:sz w:val="20"/>
          <w:szCs w:val="20"/>
        </w:rPr>
        <w:t>ntract terms as well as multiple inputs where applicable, such as equity prices, interest rate yield curves, option volatility and currency rates. Our warrant, which is accounted for as a derivative instrument, is valued using a Black-Scholes model. Key as</w:t>
      </w:r>
      <w:r>
        <w:rPr>
          <w:rFonts w:ascii="Arial" w:eastAsia="宋体" w:hAnsi="Arial" w:cs="Arial"/>
          <w:color w:val="000000"/>
          <w:sz w:val="20"/>
          <w:szCs w:val="20"/>
        </w:rPr>
        <w:t>sumptions used in the valuation include risk-free interest rates; Adyen’s common stock price, equity volatility and common stock outstanding; exercise price; and details specific to the warrant. The value is also probability adjusted for management’s assum</w:t>
      </w:r>
      <w:r>
        <w:rPr>
          <w:rFonts w:ascii="Arial" w:eastAsia="宋体" w:hAnsi="Arial" w:cs="Arial"/>
          <w:color w:val="000000"/>
          <w:sz w:val="20"/>
          <w:szCs w:val="20"/>
        </w:rPr>
        <w:t>ptions with respect to vesting of the four tranches which are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These assumptions and the probability of meeting processing volume milestone targets may have a significant impact on the value of th</w:t>
      </w:r>
      <w:r>
        <w:rPr>
          <w:rFonts w:ascii="Arial" w:eastAsia="宋体" w:hAnsi="Arial" w:cs="Arial"/>
          <w:color w:val="000000"/>
          <w:sz w:val="20"/>
          <w:szCs w:val="20"/>
        </w:rPr>
        <w:t>e warrant. Refer to “Note 7 – Derivative Instruments” for further details on our derivative instruments.</w:t>
      </w:r>
    </w:p>
    <w:p w14:paraId="7268F00A" w14:textId="77777777" w:rsidR="005F762A" w:rsidRDefault="005F762A">
      <w:pPr>
        <w:ind w:firstLine="450"/>
        <w:jc w:val="both"/>
      </w:pPr>
    </w:p>
    <w:p w14:paraId="7268F00B" w14:textId="77777777" w:rsidR="005F762A" w:rsidRDefault="00D74111">
      <w:pPr>
        <w:ind w:firstLine="540"/>
        <w:jc w:val="both"/>
      </w:pPr>
      <w:r>
        <w:rPr>
          <w:rFonts w:ascii="Arial" w:eastAsia="宋体" w:hAnsi="Arial" w:cs="Arial"/>
          <w:color w:val="000000"/>
          <w:sz w:val="20"/>
          <w:szCs w:val="20"/>
        </w:rPr>
        <w:t>Other financial instruments, including accounts receivable and accounts payable, are carried at cost, which approximates their fair value because of t</w:t>
      </w:r>
      <w:r>
        <w:rPr>
          <w:rFonts w:ascii="Arial" w:eastAsia="宋体" w:hAnsi="Arial" w:cs="Arial"/>
          <w:color w:val="000000"/>
          <w:sz w:val="20"/>
          <w:szCs w:val="20"/>
        </w:rPr>
        <w:t xml:space="preserve">he short-term nature of these instruments. </w:t>
      </w:r>
    </w:p>
    <w:p w14:paraId="7268F00C" w14:textId="77777777" w:rsidR="005F762A" w:rsidRDefault="005F762A">
      <w:pPr>
        <w:ind w:firstLine="540"/>
        <w:jc w:val="both"/>
      </w:pPr>
    </w:p>
    <w:p w14:paraId="7268F00D" w14:textId="77777777" w:rsidR="005F762A" w:rsidRDefault="00D74111">
      <w:pPr>
        <w:ind w:firstLine="540"/>
      </w:pPr>
      <w:r>
        <w:rPr>
          <w:rFonts w:ascii="Arial" w:eastAsia="宋体" w:hAnsi="Arial" w:cs="Arial"/>
          <w:color w:val="000000"/>
          <w:sz w:val="20"/>
          <w:szCs w:val="20"/>
        </w:rPr>
        <w:t>The following tables present a reconciliation of the opening to closing balance of assets measured using significant unobservable inputs (Level 3) (in millions):</w:t>
      </w:r>
    </w:p>
    <w:p w14:paraId="7268F00E" w14:textId="77777777" w:rsidR="005F762A" w:rsidRDefault="005F762A">
      <w:pPr>
        <w:ind w:firstLine="540"/>
      </w:pPr>
    </w:p>
    <w:tbl>
      <w:tblPr>
        <w:tblW w:w="4949" w:type="pct"/>
        <w:jc w:val="center"/>
        <w:tblCellMar>
          <w:top w:w="15" w:type="dxa"/>
          <w:left w:w="15" w:type="dxa"/>
          <w:bottom w:w="15" w:type="dxa"/>
          <w:right w:w="15" w:type="dxa"/>
        </w:tblCellMar>
        <w:tblLook w:val="04A0" w:firstRow="1" w:lastRow="0" w:firstColumn="1" w:lastColumn="0" w:noHBand="0" w:noVBand="1"/>
      </w:tblPr>
      <w:tblGrid>
        <w:gridCol w:w="39"/>
        <w:gridCol w:w="5620"/>
        <w:gridCol w:w="37"/>
        <w:gridCol w:w="121"/>
        <w:gridCol w:w="1084"/>
        <w:gridCol w:w="36"/>
        <w:gridCol w:w="36"/>
        <w:gridCol w:w="36"/>
        <w:gridCol w:w="36"/>
        <w:gridCol w:w="122"/>
        <w:gridCol w:w="1048"/>
        <w:gridCol w:w="36"/>
      </w:tblGrid>
      <w:tr w:rsidR="005F762A" w14:paraId="7268F01B" w14:textId="77777777">
        <w:trPr>
          <w:jc w:val="center"/>
        </w:trPr>
        <w:tc>
          <w:tcPr>
            <w:tcW w:w="50" w:type="pct"/>
            <w:shd w:val="clear" w:color="auto" w:fill="auto"/>
          </w:tcPr>
          <w:p w14:paraId="7268F00F" w14:textId="77777777" w:rsidR="005F762A" w:rsidRDefault="005F762A">
            <w:pPr>
              <w:rPr>
                <w:rFonts w:ascii="宋体"/>
              </w:rPr>
            </w:pPr>
          </w:p>
        </w:tc>
        <w:tc>
          <w:tcPr>
            <w:tcW w:w="3430" w:type="pct"/>
            <w:shd w:val="clear" w:color="auto" w:fill="auto"/>
          </w:tcPr>
          <w:p w14:paraId="7268F010" w14:textId="77777777" w:rsidR="005F762A" w:rsidRDefault="005F762A">
            <w:pPr>
              <w:rPr>
                <w:rFonts w:ascii="宋体"/>
              </w:rPr>
            </w:pPr>
          </w:p>
        </w:tc>
        <w:tc>
          <w:tcPr>
            <w:tcW w:w="5" w:type="pct"/>
            <w:shd w:val="clear" w:color="auto" w:fill="auto"/>
          </w:tcPr>
          <w:p w14:paraId="7268F011" w14:textId="77777777" w:rsidR="005F762A" w:rsidRDefault="005F762A">
            <w:pPr>
              <w:rPr>
                <w:rFonts w:ascii="宋体"/>
              </w:rPr>
            </w:pPr>
          </w:p>
        </w:tc>
        <w:tc>
          <w:tcPr>
            <w:tcW w:w="50" w:type="pct"/>
            <w:shd w:val="clear" w:color="auto" w:fill="auto"/>
          </w:tcPr>
          <w:p w14:paraId="7268F012" w14:textId="77777777" w:rsidR="005F762A" w:rsidRDefault="005F762A">
            <w:pPr>
              <w:rPr>
                <w:rFonts w:ascii="宋体"/>
              </w:rPr>
            </w:pPr>
          </w:p>
        </w:tc>
        <w:tc>
          <w:tcPr>
            <w:tcW w:w="683" w:type="pct"/>
            <w:shd w:val="clear" w:color="auto" w:fill="auto"/>
          </w:tcPr>
          <w:p w14:paraId="7268F013" w14:textId="77777777" w:rsidR="005F762A" w:rsidRDefault="005F762A">
            <w:pPr>
              <w:rPr>
                <w:rFonts w:ascii="宋体"/>
              </w:rPr>
            </w:pPr>
          </w:p>
        </w:tc>
        <w:tc>
          <w:tcPr>
            <w:tcW w:w="5" w:type="pct"/>
            <w:shd w:val="clear" w:color="auto" w:fill="auto"/>
          </w:tcPr>
          <w:p w14:paraId="7268F014" w14:textId="77777777" w:rsidR="005F762A" w:rsidRDefault="005F762A">
            <w:pPr>
              <w:rPr>
                <w:rFonts w:ascii="宋体"/>
              </w:rPr>
            </w:pPr>
          </w:p>
        </w:tc>
        <w:tc>
          <w:tcPr>
            <w:tcW w:w="5" w:type="pct"/>
            <w:shd w:val="clear" w:color="auto" w:fill="auto"/>
          </w:tcPr>
          <w:p w14:paraId="7268F015" w14:textId="77777777" w:rsidR="005F762A" w:rsidRDefault="005F762A">
            <w:pPr>
              <w:rPr>
                <w:rFonts w:ascii="宋体"/>
              </w:rPr>
            </w:pPr>
          </w:p>
        </w:tc>
        <w:tc>
          <w:tcPr>
            <w:tcW w:w="26" w:type="pct"/>
            <w:shd w:val="clear" w:color="auto" w:fill="auto"/>
          </w:tcPr>
          <w:p w14:paraId="7268F016" w14:textId="77777777" w:rsidR="005F762A" w:rsidRDefault="005F762A">
            <w:pPr>
              <w:rPr>
                <w:rFonts w:ascii="宋体"/>
              </w:rPr>
            </w:pPr>
          </w:p>
        </w:tc>
        <w:tc>
          <w:tcPr>
            <w:tcW w:w="5" w:type="pct"/>
            <w:shd w:val="clear" w:color="auto" w:fill="auto"/>
          </w:tcPr>
          <w:p w14:paraId="7268F017" w14:textId="77777777" w:rsidR="005F762A" w:rsidRDefault="005F762A">
            <w:pPr>
              <w:rPr>
                <w:rFonts w:ascii="宋体"/>
              </w:rPr>
            </w:pPr>
          </w:p>
        </w:tc>
        <w:tc>
          <w:tcPr>
            <w:tcW w:w="50" w:type="pct"/>
            <w:shd w:val="clear" w:color="auto" w:fill="auto"/>
          </w:tcPr>
          <w:p w14:paraId="7268F018" w14:textId="77777777" w:rsidR="005F762A" w:rsidRDefault="005F762A">
            <w:pPr>
              <w:rPr>
                <w:rFonts w:ascii="宋体"/>
              </w:rPr>
            </w:pPr>
          </w:p>
        </w:tc>
        <w:tc>
          <w:tcPr>
            <w:tcW w:w="683" w:type="pct"/>
            <w:shd w:val="clear" w:color="auto" w:fill="auto"/>
          </w:tcPr>
          <w:p w14:paraId="7268F019" w14:textId="77777777" w:rsidR="005F762A" w:rsidRDefault="005F762A">
            <w:pPr>
              <w:rPr>
                <w:rFonts w:ascii="宋体"/>
              </w:rPr>
            </w:pPr>
          </w:p>
        </w:tc>
        <w:tc>
          <w:tcPr>
            <w:tcW w:w="5" w:type="pct"/>
            <w:shd w:val="clear" w:color="auto" w:fill="auto"/>
          </w:tcPr>
          <w:p w14:paraId="7268F01A" w14:textId="77777777" w:rsidR="005F762A" w:rsidRDefault="005F762A">
            <w:pPr>
              <w:rPr>
                <w:rFonts w:ascii="宋体"/>
              </w:rPr>
            </w:pPr>
          </w:p>
        </w:tc>
      </w:tr>
      <w:tr w:rsidR="005F762A" w14:paraId="7268F020" w14:textId="77777777">
        <w:trPr>
          <w:jc w:val="center"/>
        </w:trPr>
        <w:tc>
          <w:tcPr>
            <w:tcW w:w="0" w:type="auto"/>
            <w:gridSpan w:val="3"/>
            <w:shd w:val="clear" w:color="auto" w:fill="auto"/>
            <w:tcMar>
              <w:top w:w="0" w:type="dxa"/>
              <w:left w:w="20" w:type="dxa"/>
              <w:bottom w:w="0" w:type="dxa"/>
              <w:right w:w="20" w:type="dxa"/>
            </w:tcMar>
          </w:tcPr>
          <w:p w14:paraId="7268F01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1D" w14:textId="77777777" w:rsidR="005F762A" w:rsidRDefault="00D74111">
            <w:pPr>
              <w:jc w:val="center"/>
              <w:textAlignment w:val="bottom"/>
            </w:pPr>
            <w:r>
              <w:rPr>
                <w:rFonts w:ascii="Arial" w:eastAsia="宋体" w:hAnsi="Arial" w:cs="Arial"/>
                <w:b/>
                <w:bCs/>
                <w:color w:val="000000"/>
                <w:sz w:val="16"/>
                <w:szCs w:val="16"/>
              </w:rPr>
              <w:t>March 31,</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tcPr>
          <w:p w14:paraId="7268F01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1F" w14:textId="77777777" w:rsidR="005F762A" w:rsidRDefault="00D74111">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r>
            <w:r>
              <w:rPr>
                <w:rFonts w:ascii="Arial" w:eastAsia="宋体" w:hAnsi="Arial" w:cs="Arial"/>
                <w:b/>
                <w:bCs/>
                <w:color w:val="000000"/>
                <w:sz w:val="16"/>
                <w:szCs w:val="16"/>
              </w:rPr>
              <w:t>2020</w:t>
            </w:r>
          </w:p>
        </w:tc>
      </w:tr>
      <w:tr w:rsidR="005F762A" w14:paraId="7268F029" w14:textId="77777777">
        <w:trPr>
          <w:jc w:val="center"/>
        </w:trPr>
        <w:tc>
          <w:tcPr>
            <w:tcW w:w="0" w:type="auto"/>
            <w:gridSpan w:val="3"/>
            <w:shd w:val="clear" w:color="auto" w:fill="E2E2E2"/>
            <w:tcMar>
              <w:top w:w="40" w:type="dxa"/>
              <w:left w:w="20" w:type="dxa"/>
              <w:bottom w:w="40" w:type="dxa"/>
              <w:right w:w="20" w:type="dxa"/>
            </w:tcMar>
            <w:vAlign w:val="bottom"/>
          </w:tcPr>
          <w:p w14:paraId="7268F021" w14:textId="77777777" w:rsidR="005F762A" w:rsidRDefault="00D74111">
            <w:pPr>
              <w:textAlignment w:val="bottom"/>
            </w:pPr>
            <w:r>
              <w:rPr>
                <w:rFonts w:ascii="Arial" w:eastAsia="宋体" w:hAnsi="Arial" w:cs="Arial"/>
                <w:color w:val="000000"/>
                <w:sz w:val="18"/>
                <w:szCs w:val="18"/>
              </w:rPr>
              <w:t>Opening balance at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F02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023" w14:textId="77777777" w:rsidR="005F762A" w:rsidRDefault="00D74111">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02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025"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02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027" w14:textId="77777777" w:rsidR="005F762A" w:rsidRDefault="00D74111">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028" w14:textId="77777777" w:rsidR="005F762A" w:rsidRDefault="005F762A">
            <w:pPr>
              <w:jc w:val="right"/>
              <w:rPr>
                <w:rFonts w:ascii="宋体"/>
              </w:rPr>
            </w:pPr>
          </w:p>
        </w:tc>
      </w:tr>
      <w:tr w:rsidR="005F762A" w14:paraId="7268F02E" w14:textId="77777777">
        <w:trPr>
          <w:jc w:val="center"/>
          <w:hidden/>
        </w:trPr>
        <w:tc>
          <w:tcPr>
            <w:tcW w:w="0" w:type="auto"/>
            <w:gridSpan w:val="3"/>
            <w:shd w:val="clear" w:color="auto" w:fill="auto"/>
          </w:tcPr>
          <w:p w14:paraId="7268F02A" w14:textId="77777777" w:rsidR="005F762A" w:rsidRDefault="005F762A">
            <w:pPr>
              <w:rPr>
                <w:rFonts w:ascii="宋体"/>
                <w:vanish/>
              </w:rPr>
            </w:pPr>
          </w:p>
        </w:tc>
        <w:tc>
          <w:tcPr>
            <w:tcW w:w="0" w:type="auto"/>
            <w:gridSpan w:val="3"/>
            <w:shd w:val="clear" w:color="auto" w:fill="auto"/>
          </w:tcPr>
          <w:p w14:paraId="7268F02B" w14:textId="77777777" w:rsidR="005F762A" w:rsidRDefault="005F762A">
            <w:pPr>
              <w:rPr>
                <w:rFonts w:ascii="宋体"/>
                <w:vanish/>
              </w:rPr>
            </w:pPr>
          </w:p>
        </w:tc>
        <w:tc>
          <w:tcPr>
            <w:tcW w:w="0" w:type="auto"/>
            <w:gridSpan w:val="3"/>
            <w:shd w:val="clear" w:color="auto" w:fill="auto"/>
          </w:tcPr>
          <w:p w14:paraId="7268F02C" w14:textId="77777777" w:rsidR="005F762A" w:rsidRDefault="005F762A">
            <w:pPr>
              <w:rPr>
                <w:rFonts w:ascii="宋体"/>
                <w:vanish/>
              </w:rPr>
            </w:pPr>
          </w:p>
        </w:tc>
        <w:tc>
          <w:tcPr>
            <w:tcW w:w="0" w:type="auto"/>
            <w:gridSpan w:val="3"/>
            <w:shd w:val="clear" w:color="auto" w:fill="auto"/>
          </w:tcPr>
          <w:p w14:paraId="7268F02D" w14:textId="77777777" w:rsidR="005F762A" w:rsidRDefault="005F762A">
            <w:pPr>
              <w:rPr>
                <w:rFonts w:ascii="宋体"/>
                <w:vanish/>
              </w:rPr>
            </w:pPr>
          </w:p>
        </w:tc>
      </w:tr>
      <w:tr w:rsidR="005F762A" w14:paraId="7268F035" w14:textId="77777777">
        <w:trPr>
          <w:jc w:val="center"/>
        </w:trPr>
        <w:tc>
          <w:tcPr>
            <w:tcW w:w="0" w:type="auto"/>
            <w:gridSpan w:val="3"/>
            <w:shd w:val="clear" w:color="auto" w:fill="FFFFFF"/>
            <w:tcMar>
              <w:top w:w="40" w:type="dxa"/>
              <w:left w:w="245" w:type="dxa"/>
              <w:bottom w:w="40" w:type="dxa"/>
              <w:right w:w="20" w:type="dxa"/>
            </w:tcMar>
            <w:vAlign w:val="bottom"/>
          </w:tcPr>
          <w:p w14:paraId="7268F02F" w14:textId="77777777" w:rsidR="005F762A" w:rsidRDefault="00D74111">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7268F030" w14:textId="77777777" w:rsidR="005F762A" w:rsidRDefault="00D74111">
            <w:pPr>
              <w:jc w:val="right"/>
              <w:textAlignment w:val="bottom"/>
            </w:pPr>
            <w:r>
              <w:rPr>
                <w:rFonts w:ascii="Arial" w:eastAsia="宋体" w:hAnsi="Arial" w:cs="Arial"/>
                <w:color w:val="000000"/>
                <w:sz w:val="18"/>
                <w:szCs w:val="18"/>
              </w:rPr>
              <w:t>(36)</w:t>
            </w:r>
          </w:p>
        </w:tc>
        <w:tc>
          <w:tcPr>
            <w:tcW w:w="0" w:type="auto"/>
            <w:shd w:val="clear" w:color="auto" w:fill="FFFFFF"/>
            <w:tcMar>
              <w:top w:w="40" w:type="dxa"/>
              <w:left w:w="0" w:type="dxa"/>
              <w:bottom w:w="40" w:type="dxa"/>
              <w:right w:w="20" w:type="dxa"/>
            </w:tcMar>
            <w:vAlign w:val="bottom"/>
          </w:tcPr>
          <w:p w14:paraId="7268F03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03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033" w14:textId="77777777" w:rsidR="005F762A" w:rsidRDefault="00D74111">
            <w:pPr>
              <w:jc w:val="right"/>
              <w:textAlignment w:val="bottom"/>
            </w:pPr>
            <w:r>
              <w:rPr>
                <w:rFonts w:ascii="Arial" w:eastAsia="宋体" w:hAnsi="Arial" w:cs="Arial"/>
                <w:color w:val="000000"/>
                <w:sz w:val="18"/>
                <w:szCs w:val="18"/>
              </w:rPr>
              <w:t>770 </w:t>
            </w:r>
          </w:p>
        </w:tc>
        <w:tc>
          <w:tcPr>
            <w:tcW w:w="0" w:type="auto"/>
            <w:shd w:val="clear" w:color="auto" w:fill="FFFFFF"/>
            <w:tcMar>
              <w:top w:w="40" w:type="dxa"/>
              <w:left w:w="0" w:type="dxa"/>
              <w:bottom w:w="40" w:type="dxa"/>
              <w:right w:w="20" w:type="dxa"/>
            </w:tcMar>
            <w:vAlign w:val="bottom"/>
          </w:tcPr>
          <w:p w14:paraId="7268F034" w14:textId="77777777" w:rsidR="005F762A" w:rsidRDefault="005F762A">
            <w:pPr>
              <w:jc w:val="right"/>
              <w:rPr>
                <w:rFonts w:ascii="宋体"/>
              </w:rPr>
            </w:pPr>
          </w:p>
        </w:tc>
      </w:tr>
      <w:tr w:rsidR="005F762A" w14:paraId="7268F03E" w14:textId="77777777">
        <w:trPr>
          <w:jc w:val="center"/>
        </w:trPr>
        <w:tc>
          <w:tcPr>
            <w:tcW w:w="0" w:type="auto"/>
            <w:gridSpan w:val="3"/>
            <w:shd w:val="clear" w:color="auto" w:fill="E2E2E2"/>
            <w:tcMar>
              <w:top w:w="40" w:type="dxa"/>
              <w:left w:w="20" w:type="dxa"/>
              <w:bottom w:w="40" w:type="dxa"/>
              <w:right w:w="20" w:type="dxa"/>
            </w:tcMar>
            <w:vAlign w:val="bottom"/>
          </w:tcPr>
          <w:p w14:paraId="7268F036" w14:textId="77777777" w:rsidR="005F762A" w:rsidRDefault="00D74111">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03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038" w14:textId="77777777" w:rsidR="005F762A" w:rsidRDefault="00D74111">
            <w:pPr>
              <w:jc w:val="right"/>
              <w:textAlignment w:val="bottom"/>
            </w:pPr>
            <w:r>
              <w:rPr>
                <w:rFonts w:ascii="Arial" w:eastAsia="宋体" w:hAnsi="Arial" w:cs="Arial"/>
                <w:color w:val="000000"/>
                <w:sz w:val="18"/>
                <w:szCs w:val="18"/>
              </w:rPr>
              <w:t>1,015 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03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03A"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03B"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03C" w14:textId="77777777" w:rsidR="005F762A" w:rsidRDefault="00D74111">
            <w:pPr>
              <w:jc w:val="right"/>
              <w:textAlignment w:val="bottom"/>
            </w:pPr>
            <w:r>
              <w:rPr>
                <w:rFonts w:ascii="Arial" w:eastAsia="宋体" w:hAnsi="Arial" w:cs="Arial"/>
                <w:color w:val="000000"/>
                <w:sz w:val="18"/>
                <w:szCs w:val="18"/>
              </w:rPr>
              <w:t>1,051 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03D" w14:textId="77777777" w:rsidR="005F762A" w:rsidRDefault="005F762A">
            <w:pPr>
              <w:jc w:val="right"/>
              <w:rPr>
                <w:rFonts w:ascii="宋体"/>
              </w:rPr>
            </w:pPr>
          </w:p>
        </w:tc>
      </w:tr>
    </w:tbl>
    <w:p w14:paraId="7268F03F" w14:textId="77777777" w:rsidR="005F762A" w:rsidRDefault="005F762A">
      <w:pPr>
        <w:jc w:val="center"/>
      </w:pPr>
    </w:p>
    <w:p w14:paraId="7268F040" w14:textId="77777777" w:rsidR="005F762A" w:rsidRDefault="00D74111">
      <w:pPr>
        <w:jc w:val="center"/>
      </w:pPr>
      <w:r>
        <w:rPr>
          <w:rFonts w:ascii="Arial" w:eastAsia="宋体" w:hAnsi="Arial" w:cs="Arial"/>
          <w:color w:val="000000"/>
          <w:sz w:val="20"/>
          <w:szCs w:val="20"/>
        </w:rPr>
        <w:t>21</w:t>
      </w:r>
    </w:p>
    <w:p w14:paraId="7268F041" w14:textId="77777777" w:rsidR="005F762A" w:rsidRDefault="00D74111">
      <w:r>
        <w:pict w14:anchorId="72690154">
          <v:rect id="_x0000_i1045" style="width:415.3pt;height:1.5pt" o:hralign="center" o:hrstd="t" o:hr="t" fillcolor="#a0a0a0" stroked="f"/>
        </w:pict>
      </w:r>
    </w:p>
    <w:p w14:paraId="7268F042" w14:textId="77777777" w:rsidR="005F762A" w:rsidRDefault="005F762A">
      <w:pPr>
        <w:jc w:val="center"/>
      </w:pPr>
    </w:p>
    <w:p w14:paraId="7268F043" w14:textId="77777777" w:rsidR="005F762A" w:rsidRDefault="00D74111">
      <w:pPr>
        <w:jc w:val="center"/>
      </w:pPr>
      <w:r>
        <w:rPr>
          <w:rFonts w:ascii="Arial" w:eastAsia="宋体" w:hAnsi="Arial" w:cs="Arial"/>
          <w:b/>
          <w:bCs/>
          <w:color w:val="000000"/>
          <w:sz w:val="20"/>
          <w:szCs w:val="20"/>
        </w:rPr>
        <w:t>eBay Inc.</w:t>
      </w:r>
    </w:p>
    <w:p w14:paraId="7268F044" w14:textId="77777777" w:rsidR="005F762A" w:rsidRDefault="00D74111">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7268F045" w14:textId="77777777" w:rsidR="005F762A" w:rsidRDefault="005F762A">
      <w:pPr>
        <w:ind w:firstLine="450"/>
      </w:pPr>
    </w:p>
    <w:p w14:paraId="7268F046" w14:textId="77777777" w:rsidR="005F762A" w:rsidRDefault="00D74111">
      <w:pPr>
        <w:spacing w:after="120"/>
        <w:ind w:firstLine="450"/>
      </w:pPr>
      <w:r>
        <w:rPr>
          <w:rFonts w:ascii="Arial" w:eastAsia="宋体" w:hAnsi="Arial" w:cs="Arial"/>
          <w:color w:val="000000"/>
          <w:sz w:val="20"/>
          <w:szCs w:val="20"/>
        </w:rPr>
        <w:t xml:space="preserve">The following table presents quantitative information about Level 3 significant unobservable inputs used in the fair value measurement of the warrant as of March 31, 2021 (in millions): </w:t>
      </w:r>
    </w:p>
    <w:tbl>
      <w:tblPr>
        <w:tblW w:w="4978" w:type="pct"/>
        <w:tblCellMar>
          <w:top w:w="15" w:type="dxa"/>
          <w:left w:w="15" w:type="dxa"/>
          <w:bottom w:w="15" w:type="dxa"/>
          <w:right w:w="15" w:type="dxa"/>
        </w:tblCellMar>
        <w:tblLook w:val="04A0" w:firstRow="1" w:lastRow="0" w:firstColumn="1" w:lastColumn="0" w:noHBand="0" w:noVBand="1"/>
      </w:tblPr>
      <w:tblGrid>
        <w:gridCol w:w="52"/>
        <w:gridCol w:w="1499"/>
        <w:gridCol w:w="36"/>
        <w:gridCol w:w="36"/>
        <w:gridCol w:w="36"/>
        <w:gridCol w:w="36"/>
        <w:gridCol w:w="121"/>
        <w:gridCol w:w="1450"/>
        <w:gridCol w:w="36"/>
        <w:gridCol w:w="36"/>
        <w:gridCol w:w="36"/>
        <w:gridCol w:w="36"/>
        <w:gridCol w:w="62"/>
        <w:gridCol w:w="1442"/>
        <w:gridCol w:w="37"/>
        <w:gridCol w:w="36"/>
        <w:gridCol w:w="36"/>
        <w:gridCol w:w="36"/>
        <w:gridCol w:w="59"/>
        <w:gridCol w:w="1471"/>
        <w:gridCol w:w="36"/>
        <w:gridCol w:w="36"/>
        <w:gridCol w:w="36"/>
        <w:gridCol w:w="36"/>
        <w:gridCol w:w="46"/>
        <w:gridCol w:w="1484"/>
        <w:gridCol w:w="36"/>
      </w:tblGrid>
      <w:tr w:rsidR="005F762A" w14:paraId="7268F062" w14:textId="77777777">
        <w:tc>
          <w:tcPr>
            <w:tcW w:w="50" w:type="pct"/>
            <w:shd w:val="clear" w:color="auto" w:fill="auto"/>
          </w:tcPr>
          <w:p w14:paraId="7268F047" w14:textId="77777777" w:rsidR="005F762A" w:rsidRDefault="005F762A">
            <w:pPr>
              <w:rPr>
                <w:rFonts w:ascii="宋体"/>
              </w:rPr>
            </w:pPr>
          </w:p>
        </w:tc>
        <w:tc>
          <w:tcPr>
            <w:tcW w:w="921" w:type="pct"/>
            <w:shd w:val="clear" w:color="auto" w:fill="auto"/>
          </w:tcPr>
          <w:p w14:paraId="7268F048" w14:textId="77777777" w:rsidR="005F762A" w:rsidRDefault="005F762A">
            <w:pPr>
              <w:rPr>
                <w:rFonts w:ascii="宋体"/>
              </w:rPr>
            </w:pPr>
          </w:p>
        </w:tc>
        <w:tc>
          <w:tcPr>
            <w:tcW w:w="5" w:type="pct"/>
            <w:shd w:val="clear" w:color="auto" w:fill="auto"/>
          </w:tcPr>
          <w:p w14:paraId="7268F049" w14:textId="77777777" w:rsidR="005F762A" w:rsidRDefault="005F762A">
            <w:pPr>
              <w:rPr>
                <w:rFonts w:ascii="宋体"/>
              </w:rPr>
            </w:pPr>
          </w:p>
        </w:tc>
        <w:tc>
          <w:tcPr>
            <w:tcW w:w="5" w:type="pct"/>
            <w:shd w:val="clear" w:color="auto" w:fill="auto"/>
          </w:tcPr>
          <w:p w14:paraId="7268F04A" w14:textId="77777777" w:rsidR="005F762A" w:rsidRDefault="005F762A">
            <w:pPr>
              <w:rPr>
                <w:rFonts w:ascii="宋体"/>
              </w:rPr>
            </w:pPr>
          </w:p>
        </w:tc>
        <w:tc>
          <w:tcPr>
            <w:tcW w:w="26" w:type="pct"/>
            <w:shd w:val="clear" w:color="auto" w:fill="auto"/>
          </w:tcPr>
          <w:p w14:paraId="7268F04B" w14:textId="77777777" w:rsidR="005F762A" w:rsidRDefault="005F762A">
            <w:pPr>
              <w:rPr>
                <w:rFonts w:ascii="宋体"/>
              </w:rPr>
            </w:pPr>
          </w:p>
        </w:tc>
        <w:tc>
          <w:tcPr>
            <w:tcW w:w="5" w:type="pct"/>
            <w:shd w:val="clear" w:color="auto" w:fill="auto"/>
          </w:tcPr>
          <w:p w14:paraId="7268F04C" w14:textId="77777777" w:rsidR="005F762A" w:rsidRDefault="005F762A">
            <w:pPr>
              <w:rPr>
                <w:rFonts w:ascii="宋体"/>
              </w:rPr>
            </w:pPr>
          </w:p>
        </w:tc>
        <w:tc>
          <w:tcPr>
            <w:tcW w:w="50" w:type="pct"/>
            <w:shd w:val="clear" w:color="auto" w:fill="auto"/>
          </w:tcPr>
          <w:p w14:paraId="7268F04D" w14:textId="77777777" w:rsidR="005F762A" w:rsidRDefault="005F762A">
            <w:pPr>
              <w:rPr>
                <w:rFonts w:ascii="宋体"/>
              </w:rPr>
            </w:pPr>
          </w:p>
        </w:tc>
        <w:tc>
          <w:tcPr>
            <w:tcW w:w="906" w:type="pct"/>
            <w:shd w:val="clear" w:color="auto" w:fill="auto"/>
          </w:tcPr>
          <w:p w14:paraId="7268F04E" w14:textId="77777777" w:rsidR="005F762A" w:rsidRDefault="005F762A">
            <w:pPr>
              <w:rPr>
                <w:rFonts w:ascii="宋体"/>
              </w:rPr>
            </w:pPr>
          </w:p>
        </w:tc>
        <w:tc>
          <w:tcPr>
            <w:tcW w:w="5" w:type="pct"/>
            <w:shd w:val="clear" w:color="auto" w:fill="auto"/>
          </w:tcPr>
          <w:p w14:paraId="7268F04F" w14:textId="77777777" w:rsidR="005F762A" w:rsidRDefault="005F762A">
            <w:pPr>
              <w:rPr>
                <w:rFonts w:ascii="宋体"/>
              </w:rPr>
            </w:pPr>
          </w:p>
        </w:tc>
        <w:tc>
          <w:tcPr>
            <w:tcW w:w="5" w:type="pct"/>
            <w:shd w:val="clear" w:color="auto" w:fill="auto"/>
          </w:tcPr>
          <w:p w14:paraId="7268F050" w14:textId="77777777" w:rsidR="005F762A" w:rsidRDefault="005F762A">
            <w:pPr>
              <w:rPr>
                <w:rFonts w:ascii="宋体"/>
              </w:rPr>
            </w:pPr>
          </w:p>
        </w:tc>
        <w:tc>
          <w:tcPr>
            <w:tcW w:w="26" w:type="pct"/>
            <w:shd w:val="clear" w:color="auto" w:fill="auto"/>
          </w:tcPr>
          <w:p w14:paraId="7268F051" w14:textId="77777777" w:rsidR="005F762A" w:rsidRDefault="005F762A">
            <w:pPr>
              <w:rPr>
                <w:rFonts w:ascii="宋体"/>
              </w:rPr>
            </w:pPr>
          </w:p>
        </w:tc>
        <w:tc>
          <w:tcPr>
            <w:tcW w:w="5" w:type="pct"/>
            <w:shd w:val="clear" w:color="auto" w:fill="auto"/>
          </w:tcPr>
          <w:p w14:paraId="7268F052" w14:textId="77777777" w:rsidR="005F762A" w:rsidRDefault="005F762A">
            <w:pPr>
              <w:rPr>
                <w:rFonts w:ascii="宋体"/>
              </w:rPr>
            </w:pPr>
          </w:p>
        </w:tc>
        <w:tc>
          <w:tcPr>
            <w:tcW w:w="50" w:type="pct"/>
            <w:shd w:val="clear" w:color="auto" w:fill="auto"/>
          </w:tcPr>
          <w:p w14:paraId="7268F053" w14:textId="77777777" w:rsidR="005F762A" w:rsidRDefault="005F762A">
            <w:pPr>
              <w:rPr>
                <w:rFonts w:ascii="宋体"/>
              </w:rPr>
            </w:pPr>
          </w:p>
        </w:tc>
        <w:tc>
          <w:tcPr>
            <w:tcW w:w="906" w:type="pct"/>
            <w:shd w:val="clear" w:color="auto" w:fill="auto"/>
          </w:tcPr>
          <w:p w14:paraId="7268F054" w14:textId="77777777" w:rsidR="005F762A" w:rsidRDefault="005F762A">
            <w:pPr>
              <w:rPr>
                <w:rFonts w:ascii="宋体"/>
              </w:rPr>
            </w:pPr>
          </w:p>
        </w:tc>
        <w:tc>
          <w:tcPr>
            <w:tcW w:w="5" w:type="pct"/>
            <w:shd w:val="clear" w:color="auto" w:fill="auto"/>
          </w:tcPr>
          <w:p w14:paraId="7268F055" w14:textId="77777777" w:rsidR="005F762A" w:rsidRDefault="005F762A">
            <w:pPr>
              <w:rPr>
                <w:rFonts w:ascii="宋体"/>
              </w:rPr>
            </w:pPr>
          </w:p>
        </w:tc>
        <w:tc>
          <w:tcPr>
            <w:tcW w:w="5" w:type="pct"/>
            <w:shd w:val="clear" w:color="auto" w:fill="auto"/>
          </w:tcPr>
          <w:p w14:paraId="7268F056" w14:textId="77777777" w:rsidR="005F762A" w:rsidRDefault="005F762A">
            <w:pPr>
              <w:rPr>
                <w:rFonts w:ascii="宋体"/>
              </w:rPr>
            </w:pPr>
          </w:p>
        </w:tc>
        <w:tc>
          <w:tcPr>
            <w:tcW w:w="26" w:type="pct"/>
            <w:shd w:val="clear" w:color="auto" w:fill="auto"/>
          </w:tcPr>
          <w:p w14:paraId="7268F057" w14:textId="77777777" w:rsidR="005F762A" w:rsidRDefault="005F762A">
            <w:pPr>
              <w:rPr>
                <w:rFonts w:ascii="宋体"/>
              </w:rPr>
            </w:pPr>
          </w:p>
        </w:tc>
        <w:tc>
          <w:tcPr>
            <w:tcW w:w="5" w:type="pct"/>
            <w:shd w:val="clear" w:color="auto" w:fill="auto"/>
          </w:tcPr>
          <w:p w14:paraId="7268F058" w14:textId="77777777" w:rsidR="005F762A" w:rsidRDefault="005F762A">
            <w:pPr>
              <w:rPr>
                <w:rFonts w:ascii="宋体"/>
              </w:rPr>
            </w:pPr>
          </w:p>
        </w:tc>
        <w:tc>
          <w:tcPr>
            <w:tcW w:w="50" w:type="pct"/>
            <w:shd w:val="clear" w:color="auto" w:fill="auto"/>
          </w:tcPr>
          <w:p w14:paraId="7268F059" w14:textId="77777777" w:rsidR="005F762A" w:rsidRDefault="005F762A">
            <w:pPr>
              <w:rPr>
                <w:rFonts w:ascii="宋体"/>
              </w:rPr>
            </w:pPr>
          </w:p>
        </w:tc>
        <w:tc>
          <w:tcPr>
            <w:tcW w:w="921" w:type="pct"/>
            <w:shd w:val="clear" w:color="auto" w:fill="auto"/>
          </w:tcPr>
          <w:p w14:paraId="7268F05A" w14:textId="77777777" w:rsidR="005F762A" w:rsidRDefault="005F762A">
            <w:pPr>
              <w:rPr>
                <w:rFonts w:ascii="宋体"/>
              </w:rPr>
            </w:pPr>
          </w:p>
        </w:tc>
        <w:tc>
          <w:tcPr>
            <w:tcW w:w="5" w:type="pct"/>
            <w:shd w:val="clear" w:color="auto" w:fill="auto"/>
          </w:tcPr>
          <w:p w14:paraId="7268F05B" w14:textId="77777777" w:rsidR="005F762A" w:rsidRDefault="005F762A">
            <w:pPr>
              <w:rPr>
                <w:rFonts w:ascii="宋体"/>
              </w:rPr>
            </w:pPr>
          </w:p>
        </w:tc>
        <w:tc>
          <w:tcPr>
            <w:tcW w:w="5" w:type="pct"/>
            <w:shd w:val="clear" w:color="auto" w:fill="auto"/>
          </w:tcPr>
          <w:p w14:paraId="7268F05C" w14:textId="77777777" w:rsidR="005F762A" w:rsidRDefault="005F762A">
            <w:pPr>
              <w:rPr>
                <w:rFonts w:ascii="宋体"/>
              </w:rPr>
            </w:pPr>
          </w:p>
        </w:tc>
        <w:tc>
          <w:tcPr>
            <w:tcW w:w="26" w:type="pct"/>
            <w:shd w:val="clear" w:color="auto" w:fill="auto"/>
          </w:tcPr>
          <w:p w14:paraId="7268F05D" w14:textId="77777777" w:rsidR="005F762A" w:rsidRDefault="005F762A">
            <w:pPr>
              <w:rPr>
                <w:rFonts w:ascii="宋体"/>
              </w:rPr>
            </w:pPr>
          </w:p>
        </w:tc>
        <w:tc>
          <w:tcPr>
            <w:tcW w:w="5" w:type="pct"/>
            <w:shd w:val="clear" w:color="auto" w:fill="auto"/>
          </w:tcPr>
          <w:p w14:paraId="7268F05E" w14:textId="77777777" w:rsidR="005F762A" w:rsidRDefault="005F762A">
            <w:pPr>
              <w:rPr>
                <w:rFonts w:ascii="宋体"/>
              </w:rPr>
            </w:pPr>
          </w:p>
        </w:tc>
        <w:tc>
          <w:tcPr>
            <w:tcW w:w="50" w:type="pct"/>
            <w:shd w:val="clear" w:color="auto" w:fill="auto"/>
          </w:tcPr>
          <w:p w14:paraId="7268F05F" w14:textId="77777777" w:rsidR="005F762A" w:rsidRDefault="005F762A">
            <w:pPr>
              <w:rPr>
                <w:rFonts w:ascii="宋体"/>
              </w:rPr>
            </w:pPr>
          </w:p>
        </w:tc>
        <w:tc>
          <w:tcPr>
            <w:tcW w:w="921" w:type="pct"/>
            <w:shd w:val="clear" w:color="auto" w:fill="auto"/>
          </w:tcPr>
          <w:p w14:paraId="7268F060" w14:textId="77777777" w:rsidR="005F762A" w:rsidRDefault="005F762A">
            <w:pPr>
              <w:rPr>
                <w:rFonts w:ascii="宋体"/>
              </w:rPr>
            </w:pPr>
          </w:p>
        </w:tc>
        <w:tc>
          <w:tcPr>
            <w:tcW w:w="5" w:type="pct"/>
            <w:shd w:val="clear" w:color="auto" w:fill="auto"/>
          </w:tcPr>
          <w:p w14:paraId="7268F061" w14:textId="77777777" w:rsidR="005F762A" w:rsidRDefault="005F762A">
            <w:pPr>
              <w:rPr>
                <w:rFonts w:ascii="宋体"/>
              </w:rPr>
            </w:pPr>
          </w:p>
        </w:tc>
      </w:tr>
      <w:tr w:rsidR="005F762A" w14:paraId="7268F06C" w14:textId="77777777">
        <w:tc>
          <w:tcPr>
            <w:tcW w:w="0" w:type="auto"/>
            <w:gridSpan w:val="3"/>
            <w:shd w:val="clear" w:color="auto" w:fill="auto"/>
            <w:tcMar>
              <w:top w:w="0" w:type="dxa"/>
              <w:left w:w="20" w:type="dxa"/>
              <w:bottom w:w="0" w:type="dxa"/>
              <w:right w:w="20" w:type="dxa"/>
            </w:tcMar>
          </w:tcPr>
          <w:p w14:paraId="7268F06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64"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65" w14:textId="77777777" w:rsidR="005F762A" w:rsidRDefault="00D74111">
            <w:pPr>
              <w:jc w:val="center"/>
              <w:textAlignment w:val="bottom"/>
            </w:pPr>
            <w:r>
              <w:rPr>
                <w:rFonts w:ascii="Arial" w:eastAsia="宋体" w:hAnsi="Arial" w:cs="Arial"/>
                <w:color w:val="000000"/>
                <w:sz w:val="18"/>
                <w:szCs w:val="18"/>
              </w:rPr>
              <w:t xml:space="preserve">Fair value </w:t>
            </w:r>
          </w:p>
        </w:tc>
        <w:tc>
          <w:tcPr>
            <w:tcW w:w="0" w:type="auto"/>
            <w:gridSpan w:val="3"/>
            <w:shd w:val="clear" w:color="auto" w:fill="auto"/>
            <w:tcMar>
              <w:top w:w="0" w:type="dxa"/>
              <w:left w:w="20" w:type="dxa"/>
              <w:bottom w:w="0" w:type="dxa"/>
              <w:right w:w="20" w:type="dxa"/>
            </w:tcMar>
          </w:tcPr>
          <w:p w14:paraId="7268F06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67" w14:textId="77777777" w:rsidR="005F762A" w:rsidRDefault="00D74111">
            <w:pPr>
              <w:jc w:val="center"/>
              <w:textAlignment w:val="bottom"/>
            </w:pPr>
            <w:r>
              <w:rPr>
                <w:rFonts w:ascii="Arial" w:eastAsia="宋体" w:hAnsi="Arial" w:cs="Arial"/>
                <w:color w:val="000000"/>
                <w:sz w:val="18"/>
                <w:szCs w:val="18"/>
              </w:rPr>
              <w:t>Valuation technique</w:t>
            </w:r>
          </w:p>
        </w:tc>
        <w:tc>
          <w:tcPr>
            <w:tcW w:w="0" w:type="auto"/>
            <w:gridSpan w:val="3"/>
            <w:shd w:val="clear" w:color="auto" w:fill="auto"/>
            <w:tcMar>
              <w:top w:w="0" w:type="dxa"/>
              <w:left w:w="20" w:type="dxa"/>
              <w:bottom w:w="0" w:type="dxa"/>
              <w:right w:w="20" w:type="dxa"/>
            </w:tcMar>
          </w:tcPr>
          <w:p w14:paraId="7268F068"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69" w14:textId="77777777" w:rsidR="005F762A" w:rsidRDefault="00D74111">
            <w:pPr>
              <w:jc w:val="center"/>
              <w:textAlignment w:val="bottom"/>
            </w:pPr>
            <w:r>
              <w:rPr>
                <w:rFonts w:ascii="Arial" w:eastAsia="宋体" w:hAnsi="Arial" w:cs="Arial"/>
                <w:color w:val="000000"/>
                <w:sz w:val="18"/>
                <w:szCs w:val="18"/>
              </w:rPr>
              <w:t>Unobservable Input</w:t>
            </w:r>
          </w:p>
        </w:tc>
        <w:tc>
          <w:tcPr>
            <w:tcW w:w="0" w:type="auto"/>
            <w:gridSpan w:val="3"/>
            <w:shd w:val="clear" w:color="auto" w:fill="auto"/>
            <w:tcMar>
              <w:top w:w="0" w:type="dxa"/>
              <w:left w:w="20" w:type="dxa"/>
              <w:bottom w:w="0" w:type="dxa"/>
              <w:right w:w="20" w:type="dxa"/>
            </w:tcMar>
          </w:tcPr>
          <w:p w14:paraId="7268F06A"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6B" w14:textId="77777777" w:rsidR="005F762A" w:rsidRDefault="00D74111">
            <w:pPr>
              <w:jc w:val="center"/>
              <w:textAlignment w:val="bottom"/>
            </w:pPr>
            <w:r>
              <w:rPr>
                <w:rFonts w:ascii="Arial" w:eastAsia="宋体" w:hAnsi="Arial" w:cs="Arial"/>
                <w:color w:val="000000"/>
                <w:sz w:val="18"/>
                <w:szCs w:val="18"/>
              </w:rPr>
              <w:t>Range (weighted average)</w:t>
            </w:r>
            <w:r>
              <w:rPr>
                <w:rFonts w:ascii="Arial" w:eastAsia="宋体" w:hAnsi="Arial" w:cs="Arial"/>
                <w:color w:val="000000"/>
                <w:sz w:val="11"/>
                <w:szCs w:val="11"/>
              </w:rPr>
              <w:t>(1)</w:t>
            </w:r>
          </w:p>
        </w:tc>
      </w:tr>
      <w:tr w:rsidR="005F762A" w14:paraId="7268F076" w14:textId="77777777">
        <w:trPr>
          <w:trHeight w:val="60"/>
        </w:trPr>
        <w:tc>
          <w:tcPr>
            <w:tcW w:w="0" w:type="auto"/>
            <w:gridSpan w:val="3"/>
            <w:shd w:val="clear" w:color="auto" w:fill="auto"/>
            <w:tcMar>
              <w:top w:w="0" w:type="dxa"/>
              <w:left w:w="20" w:type="dxa"/>
              <w:bottom w:w="0" w:type="dxa"/>
              <w:right w:w="20" w:type="dxa"/>
            </w:tcMar>
          </w:tcPr>
          <w:p w14:paraId="7268F06D"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6E"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06F"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70"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071"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72"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07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74"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075" w14:textId="77777777" w:rsidR="005F762A" w:rsidRDefault="005F762A">
            <w:pPr>
              <w:rPr>
                <w:rFonts w:ascii="宋体"/>
              </w:rPr>
            </w:pPr>
          </w:p>
        </w:tc>
      </w:tr>
      <w:tr w:rsidR="005F762A" w14:paraId="7268F082" w14:textId="77777777">
        <w:tc>
          <w:tcPr>
            <w:tcW w:w="0" w:type="auto"/>
            <w:gridSpan w:val="3"/>
            <w:shd w:val="clear" w:color="auto" w:fill="E1E1E1"/>
            <w:tcMar>
              <w:top w:w="40" w:type="dxa"/>
              <w:left w:w="20" w:type="dxa"/>
              <w:bottom w:w="40" w:type="dxa"/>
              <w:right w:w="20" w:type="dxa"/>
            </w:tcMar>
            <w:vAlign w:val="bottom"/>
          </w:tcPr>
          <w:p w14:paraId="7268F077" w14:textId="77777777" w:rsidR="005F762A" w:rsidRDefault="00D74111">
            <w:pPr>
              <w:textAlignment w:val="bottom"/>
            </w:pPr>
            <w:r>
              <w:rPr>
                <w:rFonts w:ascii="Arial" w:eastAsia="宋体" w:hAnsi="Arial" w:cs="Arial"/>
                <w:color w:val="000000"/>
                <w:sz w:val="18"/>
                <w:szCs w:val="18"/>
              </w:rPr>
              <w:t>Warrant</w:t>
            </w:r>
          </w:p>
        </w:tc>
        <w:tc>
          <w:tcPr>
            <w:tcW w:w="0" w:type="auto"/>
            <w:gridSpan w:val="3"/>
            <w:shd w:val="clear" w:color="auto" w:fill="E1E1E1"/>
            <w:tcMar>
              <w:top w:w="0" w:type="dxa"/>
              <w:left w:w="20" w:type="dxa"/>
              <w:bottom w:w="0" w:type="dxa"/>
              <w:right w:w="20" w:type="dxa"/>
            </w:tcMar>
          </w:tcPr>
          <w:p w14:paraId="7268F078"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079"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7268F07A" w14:textId="77777777" w:rsidR="005F762A" w:rsidRDefault="00D74111">
            <w:pPr>
              <w:jc w:val="right"/>
              <w:textAlignment w:val="bottom"/>
            </w:pPr>
            <w:r>
              <w:rPr>
                <w:rFonts w:ascii="Arial" w:eastAsia="宋体" w:hAnsi="Arial" w:cs="Arial"/>
                <w:color w:val="000000"/>
                <w:sz w:val="18"/>
                <w:szCs w:val="18"/>
              </w:rPr>
              <w:t>1,015 </w:t>
            </w:r>
          </w:p>
        </w:tc>
        <w:tc>
          <w:tcPr>
            <w:tcW w:w="0" w:type="auto"/>
            <w:shd w:val="clear" w:color="auto" w:fill="E1E1E1"/>
            <w:tcMar>
              <w:top w:w="40" w:type="dxa"/>
              <w:left w:w="0" w:type="dxa"/>
              <w:bottom w:w="40" w:type="dxa"/>
              <w:right w:w="20" w:type="dxa"/>
            </w:tcMar>
            <w:vAlign w:val="bottom"/>
          </w:tcPr>
          <w:p w14:paraId="7268F07B"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07C"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07D" w14:textId="77777777" w:rsidR="005F762A" w:rsidRDefault="00D74111">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1E1E1"/>
            <w:tcMar>
              <w:top w:w="0" w:type="dxa"/>
              <w:left w:w="20" w:type="dxa"/>
              <w:bottom w:w="0" w:type="dxa"/>
              <w:right w:w="20" w:type="dxa"/>
            </w:tcMar>
          </w:tcPr>
          <w:p w14:paraId="7268F07E"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07F" w14:textId="77777777" w:rsidR="005F762A" w:rsidRDefault="00D74111">
            <w:pPr>
              <w:jc w:val="center"/>
              <w:textAlignment w:val="bottom"/>
            </w:pPr>
            <w:r>
              <w:rPr>
                <w:rFonts w:ascii="Arial" w:eastAsia="宋体" w:hAnsi="Arial" w:cs="Arial"/>
                <w:color w:val="000000"/>
                <w:sz w:val="18"/>
                <w:szCs w:val="18"/>
              </w:rPr>
              <w:t>Probability of vesting</w:t>
            </w:r>
          </w:p>
        </w:tc>
        <w:tc>
          <w:tcPr>
            <w:tcW w:w="0" w:type="auto"/>
            <w:gridSpan w:val="3"/>
            <w:shd w:val="clear" w:color="auto" w:fill="E1E1E1"/>
            <w:tcMar>
              <w:top w:w="0" w:type="dxa"/>
              <w:left w:w="20" w:type="dxa"/>
              <w:bottom w:w="0" w:type="dxa"/>
              <w:right w:w="20" w:type="dxa"/>
            </w:tcMar>
          </w:tcPr>
          <w:p w14:paraId="7268F080"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081" w14:textId="77777777" w:rsidR="005F762A" w:rsidRDefault="00D74111">
            <w:pPr>
              <w:jc w:val="center"/>
              <w:textAlignment w:val="bottom"/>
            </w:pPr>
            <w:r>
              <w:rPr>
                <w:rFonts w:ascii="Arial" w:eastAsia="宋体" w:hAnsi="Arial" w:cs="Arial"/>
                <w:color w:val="000000"/>
                <w:sz w:val="18"/>
                <w:szCs w:val="18"/>
              </w:rPr>
              <w:t>0.0% - 95.0% (71%)</w:t>
            </w:r>
          </w:p>
        </w:tc>
      </w:tr>
      <w:tr w:rsidR="005F762A" w14:paraId="7268F08C" w14:textId="77777777">
        <w:tc>
          <w:tcPr>
            <w:tcW w:w="0" w:type="auto"/>
            <w:gridSpan w:val="3"/>
            <w:shd w:val="clear" w:color="auto" w:fill="FFFFFF"/>
            <w:tcMar>
              <w:top w:w="0" w:type="dxa"/>
              <w:left w:w="20" w:type="dxa"/>
              <w:bottom w:w="0" w:type="dxa"/>
              <w:right w:w="20" w:type="dxa"/>
            </w:tcMar>
          </w:tcPr>
          <w:p w14:paraId="7268F08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8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8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8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8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88"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089" w14:textId="77777777" w:rsidR="005F762A" w:rsidRDefault="00D74111">
            <w:pPr>
              <w:jc w:val="center"/>
              <w:textAlignment w:val="bottom"/>
            </w:pPr>
            <w:r>
              <w:rPr>
                <w:rFonts w:ascii="Arial" w:eastAsia="宋体" w:hAnsi="Arial" w:cs="Arial"/>
                <w:color w:val="000000"/>
                <w:sz w:val="18"/>
                <w:szCs w:val="18"/>
              </w:rPr>
              <w:t>Equit</w:t>
            </w:r>
            <w:r>
              <w:rPr>
                <w:rFonts w:ascii="Arial" w:eastAsia="宋体" w:hAnsi="Arial" w:cs="Arial"/>
                <w:color w:val="000000"/>
                <w:sz w:val="18"/>
                <w:szCs w:val="18"/>
              </w:rPr>
              <w:t>y volatility</w:t>
            </w:r>
          </w:p>
        </w:tc>
        <w:tc>
          <w:tcPr>
            <w:tcW w:w="0" w:type="auto"/>
            <w:gridSpan w:val="3"/>
            <w:shd w:val="clear" w:color="auto" w:fill="FFFFFF"/>
            <w:tcMar>
              <w:top w:w="0" w:type="dxa"/>
              <w:left w:w="20" w:type="dxa"/>
              <w:bottom w:w="0" w:type="dxa"/>
              <w:right w:w="20" w:type="dxa"/>
            </w:tcMar>
          </w:tcPr>
          <w:p w14:paraId="7268F08A"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08B" w14:textId="77777777" w:rsidR="005F762A" w:rsidRDefault="00D74111">
            <w:pPr>
              <w:jc w:val="center"/>
              <w:textAlignment w:val="bottom"/>
            </w:pPr>
            <w:r>
              <w:rPr>
                <w:rFonts w:ascii="Arial" w:eastAsia="宋体" w:hAnsi="Arial" w:cs="Arial"/>
                <w:color w:val="000000"/>
                <w:sz w:val="18"/>
                <w:szCs w:val="18"/>
              </w:rPr>
              <w:t>23.6% - 60.3% (40%)</w:t>
            </w:r>
          </w:p>
        </w:tc>
      </w:tr>
    </w:tbl>
    <w:p w14:paraId="7268F08D" w14:textId="77777777" w:rsidR="005F762A" w:rsidRDefault="00D74111">
      <w:pPr>
        <w:spacing w:after="120"/>
        <w:ind w:hanging="180"/>
      </w:pPr>
      <w:r>
        <w:rPr>
          <w:rFonts w:ascii="Arial" w:eastAsia="宋体" w:hAnsi="Arial" w:cs="Arial"/>
          <w:color w:val="000000"/>
          <w:sz w:val="10"/>
          <w:szCs w:val="10"/>
        </w:rPr>
        <w:t>(1)</w:t>
      </w:r>
      <w:r>
        <w:rPr>
          <w:rFonts w:ascii="Arial" w:eastAsia="宋体" w:hAnsi="Arial" w:cs="Arial"/>
          <w:color w:val="000000"/>
          <w:sz w:val="16"/>
          <w:szCs w:val="16"/>
        </w:rPr>
        <w:t xml:space="preserve"> Probability of vesting were weighted by the unadjusted value of the tranches. For volatility, the average represents the arithmetic average of the points within the range and is not weighted by the relative fair value or notional amount.</w:t>
      </w:r>
    </w:p>
    <w:p w14:paraId="7268F08E" w14:textId="77777777" w:rsidR="005F762A" w:rsidRDefault="005F762A"/>
    <w:p w14:paraId="7268F08F" w14:textId="77777777" w:rsidR="005F762A" w:rsidRDefault="00D74111">
      <w:r>
        <w:rPr>
          <w:rFonts w:ascii="Arial" w:eastAsia="宋体" w:hAnsi="Arial" w:cs="Arial"/>
          <w:b/>
          <w:bCs/>
          <w:color w:val="000000"/>
          <w:sz w:val="20"/>
          <w:szCs w:val="20"/>
        </w:rPr>
        <w:t>Note 9 — Debt</w:t>
      </w:r>
    </w:p>
    <w:p w14:paraId="7268F090" w14:textId="77777777" w:rsidR="005F762A" w:rsidRDefault="005F762A">
      <w:pPr>
        <w:ind w:firstLine="540"/>
      </w:pPr>
    </w:p>
    <w:p w14:paraId="7268F091" w14:textId="77777777" w:rsidR="005F762A" w:rsidRDefault="00D74111">
      <w:pPr>
        <w:ind w:firstLine="540"/>
      </w:pPr>
      <w:r>
        <w:rPr>
          <w:rFonts w:ascii="Arial" w:eastAsia="宋体" w:hAnsi="Arial" w:cs="Arial"/>
          <w:color w:val="000000"/>
          <w:sz w:val="20"/>
          <w:szCs w:val="20"/>
        </w:rPr>
        <w:t>T</w:t>
      </w:r>
      <w:r>
        <w:rPr>
          <w:rFonts w:ascii="Arial" w:eastAsia="宋体" w:hAnsi="Arial" w:cs="Arial"/>
          <w:color w:val="000000"/>
          <w:sz w:val="20"/>
          <w:szCs w:val="20"/>
        </w:rPr>
        <w:t>he following table summarizes the carrying value of our outstanding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50"/>
        <w:gridCol w:w="2219"/>
        <w:gridCol w:w="37"/>
        <w:gridCol w:w="36"/>
        <w:gridCol w:w="36"/>
        <w:gridCol w:w="36"/>
        <w:gridCol w:w="39"/>
        <w:gridCol w:w="1030"/>
        <w:gridCol w:w="36"/>
        <w:gridCol w:w="36"/>
        <w:gridCol w:w="36"/>
        <w:gridCol w:w="36"/>
        <w:gridCol w:w="109"/>
        <w:gridCol w:w="1047"/>
        <w:gridCol w:w="36"/>
        <w:gridCol w:w="36"/>
        <w:gridCol w:w="36"/>
        <w:gridCol w:w="36"/>
        <w:gridCol w:w="53"/>
        <w:gridCol w:w="783"/>
        <w:gridCol w:w="163"/>
        <w:gridCol w:w="36"/>
        <w:gridCol w:w="36"/>
        <w:gridCol w:w="36"/>
        <w:gridCol w:w="110"/>
        <w:gridCol w:w="1022"/>
        <w:gridCol w:w="36"/>
        <w:gridCol w:w="36"/>
        <w:gridCol w:w="36"/>
        <w:gridCol w:w="36"/>
        <w:gridCol w:w="53"/>
        <w:gridCol w:w="785"/>
        <w:gridCol w:w="163"/>
      </w:tblGrid>
      <w:tr w:rsidR="005F762A" w14:paraId="7268F0B3" w14:textId="77777777">
        <w:trPr>
          <w:jc w:val="center"/>
        </w:trPr>
        <w:tc>
          <w:tcPr>
            <w:tcW w:w="50" w:type="pct"/>
            <w:shd w:val="clear" w:color="auto" w:fill="auto"/>
          </w:tcPr>
          <w:p w14:paraId="7268F092" w14:textId="77777777" w:rsidR="005F762A" w:rsidRDefault="005F762A">
            <w:pPr>
              <w:rPr>
                <w:rFonts w:ascii="宋体"/>
              </w:rPr>
            </w:pPr>
          </w:p>
        </w:tc>
        <w:tc>
          <w:tcPr>
            <w:tcW w:w="1374" w:type="pct"/>
            <w:shd w:val="clear" w:color="auto" w:fill="auto"/>
          </w:tcPr>
          <w:p w14:paraId="7268F093" w14:textId="77777777" w:rsidR="005F762A" w:rsidRDefault="005F762A">
            <w:pPr>
              <w:rPr>
                <w:rFonts w:ascii="宋体"/>
              </w:rPr>
            </w:pPr>
          </w:p>
        </w:tc>
        <w:tc>
          <w:tcPr>
            <w:tcW w:w="5" w:type="pct"/>
            <w:shd w:val="clear" w:color="auto" w:fill="auto"/>
          </w:tcPr>
          <w:p w14:paraId="7268F094" w14:textId="77777777" w:rsidR="005F762A" w:rsidRDefault="005F762A">
            <w:pPr>
              <w:rPr>
                <w:rFonts w:ascii="宋体"/>
              </w:rPr>
            </w:pPr>
          </w:p>
        </w:tc>
        <w:tc>
          <w:tcPr>
            <w:tcW w:w="5" w:type="pct"/>
            <w:shd w:val="clear" w:color="auto" w:fill="auto"/>
          </w:tcPr>
          <w:p w14:paraId="7268F095" w14:textId="77777777" w:rsidR="005F762A" w:rsidRDefault="005F762A">
            <w:pPr>
              <w:rPr>
                <w:rFonts w:ascii="宋体"/>
              </w:rPr>
            </w:pPr>
          </w:p>
        </w:tc>
        <w:tc>
          <w:tcPr>
            <w:tcW w:w="26" w:type="pct"/>
            <w:shd w:val="clear" w:color="auto" w:fill="auto"/>
          </w:tcPr>
          <w:p w14:paraId="7268F096" w14:textId="77777777" w:rsidR="005F762A" w:rsidRDefault="005F762A">
            <w:pPr>
              <w:rPr>
                <w:rFonts w:ascii="宋体"/>
              </w:rPr>
            </w:pPr>
          </w:p>
        </w:tc>
        <w:tc>
          <w:tcPr>
            <w:tcW w:w="5" w:type="pct"/>
            <w:shd w:val="clear" w:color="auto" w:fill="auto"/>
          </w:tcPr>
          <w:p w14:paraId="7268F097" w14:textId="77777777" w:rsidR="005F762A" w:rsidRDefault="005F762A">
            <w:pPr>
              <w:rPr>
                <w:rFonts w:ascii="宋体"/>
              </w:rPr>
            </w:pPr>
          </w:p>
        </w:tc>
        <w:tc>
          <w:tcPr>
            <w:tcW w:w="50" w:type="pct"/>
            <w:shd w:val="clear" w:color="auto" w:fill="auto"/>
          </w:tcPr>
          <w:p w14:paraId="7268F098" w14:textId="77777777" w:rsidR="005F762A" w:rsidRDefault="005F762A">
            <w:pPr>
              <w:rPr>
                <w:rFonts w:ascii="宋体"/>
              </w:rPr>
            </w:pPr>
          </w:p>
        </w:tc>
        <w:tc>
          <w:tcPr>
            <w:tcW w:w="678" w:type="pct"/>
            <w:shd w:val="clear" w:color="auto" w:fill="auto"/>
          </w:tcPr>
          <w:p w14:paraId="7268F099" w14:textId="77777777" w:rsidR="005F762A" w:rsidRDefault="005F762A">
            <w:pPr>
              <w:rPr>
                <w:rFonts w:ascii="宋体"/>
              </w:rPr>
            </w:pPr>
          </w:p>
        </w:tc>
        <w:tc>
          <w:tcPr>
            <w:tcW w:w="5" w:type="pct"/>
            <w:shd w:val="clear" w:color="auto" w:fill="auto"/>
          </w:tcPr>
          <w:p w14:paraId="7268F09A" w14:textId="77777777" w:rsidR="005F762A" w:rsidRDefault="005F762A">
            <w:pPr>
              <w:rPr>
                <w:rFonts w:ascii="宋体"/>
              </w:rPr>
            </w:pPr>
          </w:p>
        </w:tc>
        <w:tc>
          <w:tcPr>
            <w:tcW w:w="5" w:type="pct"/>
            <w:shd w:val="clear" w:color="auto" w:fill="auto"/>
          </w:tcPr>
          <w:p w14:paraId="7268F09B" w14:textId="77777777" w:rsidR="005F762A" w:rsidRDefault="005F762A">
            <w:pPr>
              <w:rPr>
                <w:rFonts w:ascii="宋体"/>
              </w:rPr>
            </w:pPr>
          </w:p>
        </w:tc>
        <w:tc>
          <w:tcPr>
            <w:tcW w:w="26" w:type="pct"/>
            <w:shd w:val="clear" w:color="auto" w:fill="auto"/>
          </w:tcPr>
          <w:p w14:paraId="7268F09C" w14:textId="77777777" w:rsidR="005F762A" w:rsidRDefault="005F762A">
            <w:pPr>
              <w:rPr>
                <w:rFonts w:ascii="宋体"/>
              </w:rPr>
            </w:pPr>
          </w:p>
        </w:tc>
        <w:tc>
          <w:tcPr>
            <w:tcW w:w="5" w:type="pct"/>
            <w:shd w:val="clear" w:color="auto" w:fill="auto"/>
          </w:tcPr>
          <w:p w14:paraId="7268F09D" w14:textId="77777777" w:rsidR="005F762A" w:rsidRDefault="005F762A">
            <w:pPr>
              <w:rPr>
                <w:rFonts w:ascii="宋体"/>
              </w:rPr>
            </w:pPr>
          </w:p>
        </w:tc>
        <w:tc>
          <w:tcPr>
            <w:tcW w:w="50" w:type="pct"/>
            <w:shd w:val="clear" w:color="auto" w:fill="auto"/>
          </w:tcPr>
          <w:p w14:paraId="7268F09E" w14:textId="77777777" w:rsidR="005F762A" w:rsidRDefault="005F762A">
            <w:pPr>
              <w:rPr>
                <w:rFonts w:ascii="宋体"/>
              </w:rPr>
            </w:pPr>
          </w:p>
        </w:tc>
        <w:tc>
          <w:tcPr>
            <w:tcW w:w="685" w:type="pct"/>
            <w:shd w:val="clear" w:color="auto" w:fill="auto"/>
          </w:tcPr>
          <w:p w14:paraId="7268F09F" w14:textId="77777777" w:rsidR="005F762A" w:rsidRDefault="005F762A">
            <w:pPr>
              <w:rPr>
                <w:rFonts w:ascii="宋体"/>
              </w:rPr>
            </w:pPr>
          </w:p>
        </w:tc>
        <w:tc>
          <w:tcPr>
            <w:tcW w:w="5" w:type="pct"/>
            <w:shd w:val="clear" w:color="auto" w:fill="auto"/>
          </w:tcPr>
          <w:p w14:paraId="7268F0A0" w14:textId="77777777" w:rsidR="005F762A" w:rsidRDefault="005F762A">
            <w:pPr>
              <w:rPr>
                <w:rFonts w:ascii="宋体"/>
              </w:rPr>
            </w:pPr>
          </w:p>
        </w:tc>
        <w:tc>
          <w:tcPr>
            <w:tcW w:w="5" w:type="pct"/>
            <w:shd w:val="clear" w:color="auto" w:fill="auto"/>
          </w:tcPr>
          <w:p w14:paraId="7268F0A1" w14:textId="77777777" w:rsidR="005F762A" w:rsidRDefault="005F762A">
            <w:pPr>
              <w:rPr>
                <w:rFonts w:ascii="宋体"/>
              </w:rPr>
            </w:pPr>
          </w:p>
        </w:tc>
        <w:tc>
          <w:tcPr>
            <w:tcW w:w="26" w:type="pct"/>
            <w:shd w:val="clear" w:color="auto" w:fill="auto"/>
          </w:tcPr>
          <w:p w14:paraId="7268F0A2" w14:textId="77777777" w:rsidR="005F762A" w:rsidRDefault="005F762A">
            <w:pPr>
              <w:rPr>
                <w:rFonts w:ascii="宋体"/>
              </w:rPr>
            </w:pPr>
          </w:p>
        </w:tc>
        <w:tc>
          <w:tcPr>
            <w:tcW w:w="5" w:type="pct"/>
            <w:shd w:val="clear" w:color="auto" w:fill="auto"/>
          </w:tcPr>
          <w:p w14:paraId="7268F0A3" w14:textId="77777777" w:rsidR="005F762A" w:rsidRDefault="005F762A">
            <w:pPr>
              <w:rPr>
                <w:rFonts w:ascii="宋体"/>
              </w:rPr>
            </w:pPr>
          </w:p>
        </w:tc>
        <w:tc>
          <w:tcPr>
            <w:tcW w:w="50" w:type="pct"/>
            <w:shd w:val="clear" w:color="auto" w:fill="auto"/>
          </w:tcPr>
          <w:p w14:paraId="7268F0A4" w14:textId="77777777" w:rsidR="005F762A" w:rsidRDefault="005F762A">
            <w:pPr>
              <w:rPr>
                <w:rFonts w:ascii="宋体"/>
              </w:rPr>
            </w:pPr>
          </w:p>
        </w:tc>
        <w:tc>
          <w:tcPr>
            <w:tcW w:w="538" w:type="pct"/>
            <w:shd w:val="clear" w:color="auto" w:fill="auto"/>
          </w:tcPr>
          <w:p w14:paraId="7268F0A5" w14:textId="77777777" w:rsidR="005F762A" w:rsidRDefault="005F762A">
            <w:pPr>
              <w:rPr>
                <w:rFonts w:ascii="宋体"/>
              </w:rPr>
            </w:pPr>
          </w:p>
        </w:tc>
        <w:tc>
          <w:tcPr>
            <w:tcW w:w="5" w:type="pct"/>
            <w:shd w:val="clear" w:color="auto" w:fill="auto"/>
          </w:tcPr>
          <w:p w14:paraId="7268F0A6" w14:textId="77777777" w:rsidR="005F762A" w:rsidRDefault="005F762A">
            <w:pPr>
              <w:rPr>
                <w:rFonts w:ascii="宋体"/>
              </w:rPr>
            </w:pPr>
          </w:p>
        </w:tc>
        <w:tc>
          <w:tcPr>
            <w:tcW w:w="5" w:type="pct"/>
            <w:shd w:val="clear" w:color="auto" w:fill="auto"/>
          </w:tcPr>
          <w:p w14:paraId="7268F0A7" w14:textId="77777777" w:rsidR="005F762A" w:rsidRDefault="005F762A">
            <w:pPr>
              <w:rPr>
                <w:rFonts w:ascii="宋体"/>
              </w:rPr>
            </w:pPr>
          </w:p>
        </w:tc>
        <w:tc>
          <w:tcPr>
            <w:tcW w:w="26" w:type="pct"/>
            <w:shd w:val="clear" w:color="auto" w:fill="auto"/>
          </w:tcPr>
          <w:p w14:paraId="7268F0A8" w14:textId="77777777" w:rsidR="005F762A" w:rsidRDefault="005F762A">
            <w:pPr>
              <w:rPr>
                <w:rFonts w:ascii="宋体"/>
              </w:rPr>
            </w:pPr>
          </w:p>
        </w:tc>
        <w:tc>
          <w:tcPr>
            <w:tcW w:w="5" w:type="pct"/>
            <w:shd w:val="clear" w:color="auto" w:fill="auto"/>
          </w:tcPr>
          <w:p w14:paraId="7268F0A9" w14:textId="77777777" w:rsidR="005F762A" w:rsidRDefault="005F762A">
            <w:pPr>
              <w:rPr>
                <w:rFonts w:ascii="宋体"/>
              </w:rPr>
            </w:pPr>
          </w:p>
        </w:tc>
        <w:tc>
          <w:tcPr>
            <w:tcW w:w="50" w:type="pct"/>
            <w:shd w:val="clear" w:color="auto" w:fill="auto"/>
          </w:tcPr>
          <w:p w14:paraId="7268F0AA" w14:textId="77777777" w:rsidR="005F762A" w:rsidRDefault="005F762A">
            <w:pPr>
              <w:rPr>
                <w:rFonts w:ascii="宋体"/>
              </w:rPr>
            </w:pPr>
          </w:p>
        </w:tc>
        <w:tc>
          <w:tcPr>
            <w:tcW w:w="670" w:type="pct"/>
            <w:shd w:val="clear" w:color="auto" w:fill="auto"/>
          </w:tcPr>
          <w:p w14:paraId="7268F0AB" w14:textId="77777777" w:rsidR="005F762A" w:rsidRDefault="005F762A">
            <w:pPr>
              <w:rPr>
                <w:rFonts w:ascii="宋体"/>
              </w:rPr>
            </w:pPr>
          </w:p>
        </w:tc>
        <w:tc>
          <w:tcPr>
            <w:tcW w:w="5" w:type="pct"/>
            <w:shd w:val="clear" w:color="auto" w:fill="auto"/>
          </w:tcPr>
          <w:p w14:paraId="7268F0AC" w14:textId="77777777" w:rsidR="005F762A" w:rsidRDefault="005F762A">
            <w:pPr>
              <w:rPr>
                <w:rFonts w:ascii="宋体"/>
              </w:rPr>
            </w:pPr>
          </w:p>
        </w:tc>
        <w:tc>
          <w:tcPr>
            <w:tcW w:w="5" w:type="pct"/>
            <w:shd w:val="clear" w:color="auto" w:fill="auto"/>
          </w:tcPr>
          <w:p w14:paraId="7268F0AD" w14:textId="77777777" w:rsidR="005F762A" w:rsidRDefault="005F762A">
            <w:pPr>
              <w:rPr>
                <w:rFonts w:ascii="宋体"/>
              </w:rPr>
            </w:pPr>
          </w:p>
        </w:tc>
        <w:tc>
          <w:tcPr>
            <w:tcW w:w="26" w:type="pct"/>
            <w:shd w:val="clear" w:color="auto" w:fill="auto"/>
          </w:tcPr>
          <w:p w14:paraId="7268F0AE" w14:textId="77777777" w:rsidR="005F762A" w:rsidRDefault="005F762A">
            <w:pPr>
              <w:rPr>
                <w:rFonts w:ascii="宋体"/>
              </w:rPr>
            </w:pPr>
          </w:p>
        </w:tc>
        <w:tc>
          <w:tcPr>
            <w:tcW w:w="5" w:type="pct"/>
            <w:shd w:val="clear" w:color="auto" w:fill="auto"/>
          </w:tcPr>
          <w:p w14:paraId="7268F0AF" w14:textId="77777777" w:rsidR="005F762A" w:rsidRDefault="005F762A">
            <w:pPr>
              <w:rPr>
                <w:rFonts w:ascii="宋体"/>
              </w:rPr>
            </w:pPr>
          </w:p>
        </w:tc>
        <w:tc>
          <w:tcPr>
            <w:tcW w:w="50" w:type="pct"/>
            <w:shd w:val="clear" w:color="auto" w:fill="auto"/>
          </w:tcPr>
          <w:p w14:paraId="7268F0B0" w14:textId="77777777" w:rsidR="005F762A" w:rsidRDefault="005F762A">
            <w:pPr>
              <w:rPr>
                <w:rFonts w:ascii="宋体"/>
              </w:rPr>
            </w:pPr>
          </w:p>
        </w:tc>
        <w:tc>
          <w:tcPr>
            <w:tcW w:w="539" w:type="pct"/>
            <w:shd w:val="clear" w:color="auto" w:fill="auto"/>
          </w:tcPr>
          <w:p w14:paraId="7268F0B1" w14:textId="77777777" w:rsidR="005F762A" w:rsidRDefault="005F762A">
            <w:pPr>
              <w:rPr>
                <w:rFonts w:ascii="宋体"/>
              </w:rPr>
            </w:pPr>
          </w:p>
        </w:tc>
        <w:tc>
          <w:tcPr>
            <w:tcW w:w="5" w:type="pct"/>
            <w:shd w:val="clear" w:color="auto" w:fill="auto"/>
          </w:tcPr>
          <w:p w14:paraId="7268F0B2" w14:textId="77777777" w:rsidR="005F762A" w:rsidRDefault="005F762A">
            <w:pPr>
              <w:rPr>
                <w:rFonts w:ascii="宋体"/>
              </w:rPr>
            </w:pPr>
          </w:p>
        </w:tc>
      </w:tr>
      <w:tr w:rsidR="005F762A" w14:paraId="7268F0BF" w14:textId="77777777">
        <w:trPr>
          <w:jc w:val="center"/>
        </w:trPr>
        <w:tc>
          <w:tcPr>
            <w:tcW w:w="0" w:type="auto"/>
            <w:gridSpan w:val="3"/>
            <w:shd w:val="clear" w:color="auto" w:fill="auto"/>
            <w:tcMar>
              <w:top w:w="0" w:type="dxa"/>
              <w:left w:w="20" w:type="dxa"/>
              <w:bottom w:w="0" w:type="dxa"/>
              <w:right w:w="20" w:type="dxa"/>
            </w:tcMar>
          </w:tcPr>
          <w:p w14:paraId="7268F0B4"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B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B6" w14:textId="77777777" w:rsidR="005F762A" w:rsidRDefault="00D74111">
            <w:pPr>
              <w:jc w:val="center"/>
              <w:textAlignment w:val="bottom"/>
            </w:pPr>
            <w:r>
              <w:rPr>
                <w:rFonts w:ascii="Arial" w:eastAsia="宋体" w:hAnsi="Arial" w:cs="Arial"/>
                <w:b/>
                <w:bCs/>
                <w:color w:val="000000"/>
                <w:sz w:val="14"/>
                <w:szCs w:val="14"/>
              </w:rPr>
              <w:t>Coupon</w:t>
            </w:r>
          </w:p>
        </w:tc>
        <w:tc>
          <w:tcPr>
            <w:tcW w:w="0" w:type="auto"/>
            <w:gridSpan w:val="3"/>
            <w:shd w:val="clear" w:color="auto" w:fill="auto"/>
            <w:tcMar>
              <w:top w:w="0" w:type="dxa"/>
              <w:left w:w="20" w:type="dxa"/>
              <w:bottom w:w="0" w:type="dxa"/>
              <w:right w:w="20" w:type="dxa"/>
            </w:tcMar>
          </w:tcPr>
          <w:p w14:paraId="7268F0B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B8" w14:textId="77777777" w:rsidR="005F762A" w:rsidRDefault="00D74111">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tcPr>
          <w:p w14:paraId="7268F0B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BA" w14:textId="77777777" w:rsidR="005F762A" w:rsidRDefault="00D74111">
            <w:pPr>
              <w:jc w:val="center"/>
              <w:textAlignment w:val="bottom"/>
            </w:pPr>
            <w:r>
              <w:rPr>
                <w:rFonts w:ascii="Arial" w:eastAsia="宋体" w:hAnsi="Arial" w:cs="Arial"/>
                <w:b/>
                <w:bCs/>
                <w:color w:val="000000"/>
                <w:sz w:val="14"/>
                <w:szCs w:val="14"/>
              </w:rPr>
              <w:t>Effective</w:t>
            </w:r>
          </w:p>
        </w:tc>
        <w:tc>
          <w:tcPr>
            <w:tcW w:w="0" w:type="auto"/>
            <w:gridSpan w:val="3"/>
            <w:shd w:val="clear" w:color="auto" w:fill="auto"/>
            <w:tcMar>
              <w:top w:w="0" w:type="dxa"/>
              <w:left w:w="20" w:type="dxa"/>
              <w:bottom w:w="0" w:type="dxa"/>
              <w:right w:w="20" w:type="dxa"/>
            </w:tcMar>
          </w:tcPr>
          <w:p w14:paraId="7268F0B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BC" w14:textId="77777777" w:rsidR="005F762A" w:rsidRDefault="00D74111">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tcPr>
          <w:p w14:paraId="7268F0B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BE" w14:textId="77777777" w:rsidR="005F762A" w:rsidRDefault="00D74111">
            <w:pPr>
              <w:jc w:val="center"/>
              <w:textAlignment w:val="bottom"/>
            </w:pPr>
            <w:r>
              <w:rPr>
                <w:rFonts w:ascii="Arial" w:eastAsia="宋体" w:hAnsi="Arial" w:cs="Arial"/>
                <w:b/>
                <w:bCs/>
                <w:color w:val="000000"/>
                <w:sz w:val="14"/>
                <w:szCs w:val="14"/>
              </w:rPr>
              <w:t>Effective</w:t>
            </w:r>
          </w:p>
        </w:tc>
      </w:tr>
      <w:tr w:rsidR="005F762A" w14:paraId="7268F0CB" w14:textId="77777777">
        <w:trPr>
          <w:jc w:val="center"/>
        </w:trPr>
        <w:tc>
          <w:tcPr>
            <w:tcW w:w="0" w:type="auto"/>
            <w:gridSpan w:val="3"/>
            <w:shd w:val="clear" w:color="auto" w:fill="auto"/>
            <w:tcMar>
              <w:top w:w="0" w:type="dxa"/>
              <w:left w:w="20" w:type="dxa"/>
              <w:bottom w:w="0" w:type="dxa"/>
              <w:right w:w="20" w:type="dxa"/>
            </w:tcMar>
          </w:tcPr>
          <w:p w14:paraId="7268F0C0"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0C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C2" w14:textId="77777777" w:rsidR="005F762A" w:rsidRDefault="00D74111">
            <w:pPr>
              <w:jc w:val="center"/>
              <w:textAlignment w:val="bottom"/>
            </w:pPr>
            <w:r>
              <w:rPr>
                <w:rFonts w:ascii="Arial" w:eastAsia="宋体" w:hAnsi="Arial" w:cs="Arial"/>
                <w:b/>
                <w:bCs/>
                <w:color w:val="000000"/>
                <w:sz w:val="14"/>
                <w:szCs w:val="14"/>
              </w:rPr>
              <w:t> Rate</w:t>
            </w:r>
          </w:p>
        </w:tc>
        <w:tc>
          <w:tcPr>
            <w:tcW w:w="0" w:type="auto"/>
            <w:gridSpan w:val="3"/>
            <w:shd w:val="clear" w:color="auto" w:fill="auto"/>
            <w:tcMar>
              <w:top w:w="0" w:type="dxa"/>
              <w:left w:w="20" w:type="dxa"/>
              <w:bottom w:w="0" w:type="dxa"/>
              <w:right w:w="20" w:type="dxa"/>
            </w:tcMar>
          </w:tcPr>
          <w:p w14:paraId="7268F0C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C4" w14:textId="77777777" w:rsidR="005F762A" w:rsidRDefault="00D74111">
            <w:pPr>
              <w:jc w:val="center"/>
              <w:textAlignment w:val="bottom"/>
            </w:pPr>
            <w:r>
              <w:rPr>
                <w:rFonts w:ascii="Arial" w:eastAsia="宋体" w:hAnsi="Arial" w:cs="Arial"/>
                <w:b/>
                <w:bCs/>
                <w:color w:val="000000"/>
                <w:sz w:val="14"/>
                <w:szCs w:val="14"/>
              </w:rPr>
              <w:t>March 31, 2021</w:t>
            </w:r>
          </w:p>
        </w:tc>
        <w:tc>
          <w:tcPr>
            <w:tcW w:w="0" w:type="auto"/>
            <w:gridSpan w:val="3"/>
            <w:shd w:val="clear" w:color="auto" w:fill="auto"/>
            <w:tcMar>
              <w:top w:w="0" w:type="dxa"/>
              <w:left w:w="20" w:type="dxa"/>
              <w:bottom w:w="0" w:type="dxa"/>
              <w:right w:w="20" w:type="dxa"/>
            </w:tcMar>
          </w:tcPr>
          <w:p w14:paraId="7268F0C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C6" w14:textId="77777777" w:rsidR="005F762A" w:rsidRDefault="00D74111">
            <w:pPr>
              <w:jc w:val="center"/>
              <w:textAlignment w:val="bottom"/>
            </w:pPr>
            <w:r>
              <w:rPr>
                <w:rFonts w:ascii="Arial" w:eastAsia="宋体" w:hAnsi="Arial" w:cs="Arial"/>
                <w:b/>
                <w:bCs/>
                <w:color w:val="000000"/>
                <w:sz w:val="14"/>
                <w:szCs w:val="14"/>
              </w:rPr>
              <w:t> Interest Rate</w:t>
            </w:r>
          </w:p>
        </w:tc>
        <w:tc>
          <w:tcPr>
            <w:tcW w:w="0" w:type="auto"/>
            <w:gridSpan w:val="3"/>
            <w:shd w:val="clear" w:color="auto" w:fill="auto"/>
            <w:tcMar>
              <w:top w:w="0" w:type="dxa"/>
              <w:left w:w="20" w:type="dxa"/>
              <w:bottom w:w="0" w:type="dxa"/>
              <w:right w:w="20" w:type="dxa"/>
            </w:tcMar>
          </w:tcPr>
          <w:p w14:paraId="7268F0C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C8" w14:textId="77777777" w:rsidR="005F762A" w:rsidRDefault="00D74111">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tcPr>
          <w:p w14:paraId="7268F0C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0CA" w14:textId="77777777" w:rsidR="005F762A" w:rsidRDefault="00D74111">
            <w:pPr>
              <w:jc w:val="center"/>
              <w:textAlignment w:val="bottom"/>
            </w:pPr>
            <w:r>
              <w:rPr>
                <w:rFonts w:ascii="Arial" w:eastAsia="宋体" w:hAnsi="Arial" w:cs="Arial"/>
                <w:b/>
                <w:bCs/>
                <w:color w:val="000000"/>
                <w:sz w:val="14"/>
                <w:szCs w:val="14"/>
              </w:rPr>
              <w:t> Interest Rate</w:t>
            </w:r>
          </w:p>
        </w:tc>
      </w:tr>
      <w:tr w:rsidR="005F762A" w14:paraId="7268F0D7"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268F0CC" w14:textId="77777777" w:rsidR="005F762A" w:rsidRDefault="00D74111">
            <w:pPr>
              <w:textAlignment w:val="bottom"/>
            </w:pPr>
            <w:r>
              <w:rPr>
                <w:rFonts w:ascii="Arial" w:eastAsia="宋体" w:hAnsi="Arial" w:cs="Arial"/>
                <w:b/>
                <w:bCs/>
                <w:color w:val="000000"/>
                <w:sz w:val="16"/>
                <w:szCs w:val="16"/>
              </w:rPr>
              <w:t>Long-Term Debt</w:t>
            </w:r>
          </w:p>
        </w:tc>
        <w:tc>
          <w:tcPr>
            <w:tcW w:w="0" w:type="auto"/>
            <w:gridSpan w:val="3"/>
            <w:shd w:val="clear" w:color="auto" w:fill="FFFFFF"/>
            <w:tcMar>
              <w:top w:w="0" w:type="dxa"/>
              <w:left w:w="20" w:type="dxa"/>
              <w:bottom w:w="0" w:type="dxa"/>
              <w:right w:w="20" w:type="dxa"/>
            </w:tcMar>
          </w:tcPr>
          <w:p w14:paraId="7268F0CD"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C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CF"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0"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1"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0D3"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4"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5"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0D6" w14:textId="77777777" w:rsidR="005F762A" w:rsidRDefault="005F762A">
            <w:pPr>
              <w:rPr>
                <w:rFonts w:ascii="宋体"/>
              </w:rPr>
            </w:pPr>
          </w:p>
        </w:tc>
      </w:tr>
      <w:tr w:rsidR="005F762A" w14:paraId="7268F0E3" w14:textId="77777777">
        <w:trPr>
          <w:jc w:val="center"/>
        </w:trPr>
        <w:tc>
          <w:tcPr>
            <w:tcW w:w="0" w:type="auto"/>
            <w:gridSpan w:val="3"/>
            <w:shd w:val="clear" w:color="auto" w:fill="E2E2E2"/>
            <w:tcMar>
              <w:top w:w="40" w:type="dxa"/>
              <w:left w:w="20" w:type="dxa"/>
              <w:bottom w:w="40" w:type="dxa"/>
              <w:right w:w="20" w:type="dxa"/>
            </w:tcMar>
            <w:vAlign w:val="bottom"/>
          </w:tcPr>
          <w:p w14:paraId="7268F0D8" w14:textId="77777777" w:rsidR="005F762A" w:rsidRDefault="00D74111">
            <w:pPr>
              <w:textAlignment w:val="bottom"/>
            </w:pPr>
            <w:r>
              <w:rPr>
                <w:rFonts w:ascii="Arial" w:eastAsia="宋体" w:hAnsi="Arial" w:cs="Arial"/>
                <w:color w:val="000000"/>
                <w:sz w:val="16"/>
                <w:szCs w:val="16"/>
              </w:rPr>
              <w:t>Floating Rate Notes:</w:t>
            </w:r>
          </w:p>
        </w:tc>
        <w:tc>
          <w:tcPr>
            <w:tcW w:w="0" w:type="auto"/>
            <w:gridSpan w:val="3"/>
            <w:shd w:val="clear" w:color="auto" w:fill="E2E2E2"/>
            <w:tcMar>
              <w:top w:w="0" w:type="dxa"/>
              <w:left w:w="20" w:type="dxa"/>
              <w:bottom w:w="0" w:type="dxa"/>
              <w:right w:w="20" w:type="dxa"/>
            </w:tcMar>
          </w:tcPr>
          <w:p w14:paraId="7268F0D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D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E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E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E2" w14:textId="77777777" w:rsidR="005F762A" w:rsidRDefault="005F762A">
            <w:pPr>
              <w:rPr>
                <w:rFonts w:ascii="宋体"/>
              </w:rPr>
            </w:pPr>
          </w:p>
        </w:tc>
      </w:tr>
      <w:tr w:rsidR="005F762A" w14:paraId="7268F0F5" w14:textId="77777777">
        <w:trPr>
          <w:jc w:val="center"/>
        </w:trPr>
        <w:tc>
          <w:tcPr>
            <w:tcW w:w="0" w:type="auto"/>
            <w:gridSpan w:val="3"/>
            <w:shd w:val="clear" w:color="auto" w:fill="FFFFFF"/>
            <w:tcMar>
              <w:top w:w="40" w:type="dxa"/>
              <w:left w:w="155" w:type="dxa"/>
              <w:bottom w:w="40" w:type="dxa"/>
              <w:right w:w="20" w:type="dxa"/>
            </w:tcMar>
            <w:vAlign w:val="bottom"/>
          </w:tcPr>
          <w:p w14:paraId="7268F0E4" w14:textId="77777777" w:rsidR="005F762A" w:rsidRDefault="00D74111">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tcPr>
          <w:p w14:paraId="7268F0E5"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0E6" w14:textId="77777777" w:rsidR="005F762A" w:rsidRDefault="00D74111">
            <w:pPr>
              <w:textAlignment w:val="bottom"/>
            </w:pPr>
            <w:r>
              <w:rPr>
                <w:rFonts w:ascii="Arial" w:eastAsia="宋体" w:hAnsi="Arial" w:cs="Arial"/>
                <w:color w:val="000000"/>
                <w:sz w:val="16"/>
                <w:szCs w:val="16"/>
              </w:rPr>
              <w:t>LIBOR plus 0.87%</w:t>
            </w:r>
          </w:p>
        </w:tc>
        <w:tc>
          <w:tcPr>
            <w:tcW w:w="0" w:type="auto"/>
            <w:gridSpan w:val="3"/>
            <w:shd w:val="clear" w:color="auto" w:fill="FFFFFF"/>
            <w:tcMar>
              <w:top w:w="0" w:type="dxa"/>
              <w:left w:w="20" w:type="dxa"/>
              <w:bottom w:w="0" w:type="dxa"/>
              <w:right w:w="20" w:type="dxa"/>
            </w:tcMar>
          </w:tcPr>
          <w:p w14:paraId="7268F0E7"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0E8"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0E9" w14:textId="77777777" w:rsidR="005F762A" w:rsidRDefault="00D74111">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7268F0E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0E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0EC" w14:textId="77777777" w:rsidR="005F762A" w:rsidRDefault="00D74111">
            <w:pPr>
              <w:jc w:val="right"/>
              <w:textAlignment w:val="bottom"/>
            </w:pPr>
            <w:r>
              <w:rPr>
                <w:rFonts w:ascii="Arial" w:eastAsia="宋体" w:hAnsi="Arial" w:cs="Arial"/>
                <w:color w:val="000000"/>
                <w:sz w:val="16"/>
                <w:szCs w:val="16"/>
              </w:rPr>
              <w:t>1.184 </w:t>
            </w:r>
          </w:p>
        </w:tc>
        <w:tc>
          <w:tcPr>
            <w:tcW w:w="0" w:type="auto"/>
            <w:shd w:val="clear" w:color="auto" w:fill="FFFFFF"/>
            <w:tcMar>
              <w:top w:w="40" w:type="dxa"/>
              <w:left w:w="0" w:type="dxa"/>
              <w:bottom w:w="40" w:type="dxa"/>
              <w:right w:w="20" w:type="dxa"/>
            </w:tcMar>
            <w:vAlign w:val="bottom"/>
          </w:tcPr>
          <w:p w14:paraId="7268F0ED"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0EE"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0EF"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0F0" w14:textId="77777777" w:rsidR="005F762A" w:rsidRDefault="00D74111">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7268F0F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0F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0F3" w14:textId="77777777" w:rsidR="005F762A" w:rsidRDefault="00D74111">
            <w:pPr>
              <w:jc w:val="right"/>
              <w:textAlignment w:val="bottom"/>
            </w:pPr>
            <w:r>
              <w:rPr>
                <w:rFonts w:ascii="Arial" w:eastAsia="宋体" w:hAnsi="Arial" w:cs="Arial"/>
                <w:color w:val="000000"/>
                <w:sz w:val="16"/>
                <w:szCs w:val="16"/>
              </w:rPr>
              <w:t>1.187 </w:t>
            </w:r>
          </w:p>
        </w:tc>
        <w:tc>
          <w:tcPr>
            <w:tcW w:w="0" w:type="auto"/>
            <w:shd w:val="clear" w:color="auto" w:fill="FFFFFF"/>
            <w:tcMar>
              <w:top w:w="40" w:type="dxa"/>
              <w:left w:w="0" w:type="dxa"/>
              <w:bottom w:w="40" w:type="dxa"/>
              <w:right w:w="20" w:type="dxa"/>
            </w:tcMar>
            <w:vAlign w:val="bottom"/>
          </w:tcPr>
          <w:p w14:paraId="7268F0F4" w14:textId="77777777" w:rsidR="005F762A" w:rsidRDefault="00D74111">
            <w:pPr>
              <w:jc w:val="right"/>
              <w:textAlignment w:val="bottom"/>
            </w:pPr>
            <w:r>
              <w:rPr>
                <w:rFonts w:ascii="Arial" w:eastAsia="宋体" w:hAnsi="Arial" w:cs="Arial"/>
                <w:color w:val="000000"/>
                <w:sz w:val="16"/>
                <w:szCs w:val="16"/>
              </w:rPr>
              <w:t>%</w:t>
            </w:r>
          </w:p>
        </w:tc>
      </w:tr>
      <w:tr w:rsidR="005F762A" w14:paraId="7268F101" w14:textId="77777777">
        <w:trPr>
          <w:trHeight w:val="240"/>
          <w:jc w:val="center"/>
        </w:trPr>
        <w:tc>
          <w:tcPr>
            <w:tcW w:w="0" w:type="auto"/>
            <w:gridSpan w:val="3"/>
            <w:shd w:val="clear" w:color="auto" w:fill="E2E2E2"/>
            <w:tcMar>
              <w:top w:w="0" w:type="dxa"/>
              <w:left w:w="20" w:type="dxa"/>
              <w:bottom w:w="0" w:type="dxa"/>
              <w:right w:w="20" w:type="dxa"/>
            </w:tcMar>
          </w:tcPr>
          <w:p w14:paraId="7268F0F6"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0F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00" w14:textId="77777777" w:rsidR="005F762A" w:rsidRDefault="005F762A">
            <w:pPr>
              <w:rPr>
                <w:rFonts w:ascii="宋体"/>
              </w:rPr>
            </w:pPr>
          </w:p>
        </w:tc>
      </w:tr>
      <w:tr w:rsidR="005F762A" w14:paraId="7268F10D" w14:textId="77777777">
        <w:trPr>
          <w:jc w:val="center"/>
          <w:hidden/>
        </w:trPr>
        <w:tc>
          <w:tcPr>
            <w:tcW w:w="0" w:type="auto"/>
            <w:gridSpan w:val="3"/>
            <w:shd w:val="clear" w:color="auto" w:fill="auto"/>
          </w:tcPr>
          <w:p w14:paraId="7268F102" w14:textId="77777777" w:rsidR="005F762A" w:rsidRDefault="005F762A">
            <w:pPr>
              <w:rPr>
                <w:rFonts w:ascii="宋体"/>
                <w:vanish/>
              </w:rPr>
            </w:pPr>
          </w:p>
        </w:tc>
        <w:tc>
          <w:tcPr>
            <w:tcW w:w="0" w:type="auto"/>
            <w:gridSpan w:val="3"/>
            <w:shd w:val="clear" w:color="auto" w:fill="auto"/>
          </w:tcPr>
          <w:p w14:paraId="7268F103" w14:textId="77777777" w:rsidR="005F762A" w:rsidRDefault="005F762A">
            <w:pPr>
              <w:rPr>
                <w:rFonts w:ascii="宋体"/>
                <w:vanish/>
              </w:rPr>
            </w:pPr>
          </w:p>
        </w:tc>
        <w:tc>
          <w:tcPr>
            <w:tcW w:w="0" w:type="auto"/>
            <w:gridSpan w:val="3"/>
            <w:shd w:val="clear" w:color="auto" w:fill="auto"/>
          </w:tcPr>
          <w:p w14:paraId="7268F104" w14:textId="77777777" w:rsidR="005F762A" w:rsidRDefault="005F762A">
            <w:pPr>
              <w:rPr>
                <w:rFonts w:ascii="宋体"/>
                <w:vanish/>
              </w:rPr>
            </w:pPr>
          </w:p>
        </w:tc>
        <w:tc>
          <w:tcPr>
            <w:tcW w:w="0" w:type="auto"/>
            <w:gridSpan w:val="3"/>
            <w:shd w:val="clear" w:color="auto" w:fill="auto"/>
          </w:tcPr>
          <w:p w14:paraId="7268F105" w14:textId="77777777" w:rsidR="005F762A" w:rsidRDefault="005F762A">
            <w:pPr>
              <w:rPr>
                <w:rFonts w:ascii="宋体"/>
                <w:vanish/>
              </w:rPr>
            </w:pPr>
          </w:p>
        </w:tc>
        <w:tc>
          <w:tcPr>
            <w:tcW w:w="0" w:type="auto"/>
            <w:gridSpan w:val="3"/>
            <w:shd w:val="clear" w:color="auto" w:fill="auto"/>
          </w:tcPr>
          <w:p w14:paraId="7268F106" w14:textId="77777777" w:rsidR="005F762A" w:rsidRDefault="005F762A">
            <w:pPr>
              <w:rPr>
                <w:rFonts w:ascii="宋体"/>
                <w:vanish/>
              </w:rPr>
            </w:pPr>
          </w:p>
        </w:tc>
        <w:tc>
          <w:tcPr>
            <w:tcW w:w="0" w:type="auto"/>
            <w:gridSpan w:val="3"/>
            <w:shd w:val="clear" w:color="auto" w:fill="auto"/>
          </w:tcPr>
          <w:p w14:paraId="7268F107" w14:textId="77777777" w:rsidR="005F762A" w:rsidRDefault="005F762A">
            <w:pPr>
              <w:rPr>
                <w:rFonts w:ascii="宋体"/>
                <w:vanish/>
              </w:rPr>
            </w:pPr>
          </w:p>
        </w:tc>
        <w:tc>
          <w:tcPr>
            <w:tcW w:w="0" w:type="auto"/>
            <w:gridSpan w:val="3"/>
            <w:shd w:val="clear" w:color="auto" w:fill="auto"/>
          </w:tcPr>
          <w:p w14:paraId="7268F108" w14:textId="77777777" w:rsidR="005F762A" w:rsidRDefault="005F762A">
            <w:pPr>
              <w:rPr>
                <w:rFonts w:ascii="宋体"/>
                <w:vanish/>
              </w:rPr>
            </w:pPr>
          </w:p>
        </w:tc>
        <w:tc>
          <w:tcPr>
            <w:tcW w:w="0" w:type="auto"/>
            <w:gridSpan w:val="3"/>
            <w:shd w:val="clear" w:color="auto" w:fill="auto"/>
          </w:tcPr>
          <w:p w14:paraId="7268F109" w14:textId="77777777" w:rsidR="005F762A" w:rsidRDefault="005F762A">
            <w:pPr>
              <w:rPr>
                <w:rFonts w:ascii="宋体"/>
                <w:vanish/>
              </w:rPr>
            </w:pPr>
          </w:p>
        </w:tc>
        <w:tc>
          <w:tcPr>
            <w:tcW w:w="0" w:type="auto"/>
            <w:gridSpan w:val="3"/>
            <w:shd w:val="clear" w:color="auto" w:fill="auto"/>
          </w:tcPr>
          <w:p w14:paraId="7268F10A" w14:textId="77777777" w:rsidR="005F762A" w:rsidRDefault="005F762A">
            <w:pPr>
              <w:rPr>
                <w:rFonts w:ascii="宋体"/>
                <w:vanish/>
              </w:rPr>
            </w:pPr>
          </w:p>
        </w:tc>
        <w:tc>
          <w:tcPr>
            <w:tcW w:w="0" w:type="auto"/>
            <w:gridSpan w:val="3"/>
            <w:shd w:val="clear" w:color="auto" w:fill="auto"/>
          </w:tcPr>
          <w:p w14:paraId="7268F10B" w14:textId="77777777" w:rsidR="005F762A" w:rsidRDefault="005F762A">
            <w:pPr>
              <w:rPr>
                <w:rFonts w:ascii="宋体"/>
                <w:vanish/>
              </w:rPr>
            </w:pPr>
          </w:p>
        </w:tc>
        <w:tc>
          <w:tcPr>
            <w:tcW w:w="0" w:type="auto"/>
            <w:gridSpan w:val="3"/>
            <w:shd w:val="clear" w:color="auto" w:fill="auto"/>
          </w:tcPr>
          <w:p w14:paraId="7268F10C" w14:textId="77777777" w:rsidR="005F762A" w:rsidRDefault="005F762A">
            <w:pPr>
              <w:rPr>
                <w:rFonts w:ascii="宋体"/>
                <w:vanish/>
              </w:rPr>
            </w:pPr>
          </w:p>
        </w:tc>
      </w:tr>
      <w:tr w:rsidR="005F762A" w14:paraId="7268F119" w14:textId="77777777">
        <w:trPr>
          <w:jc w:val="center"/>
          <w:hidden/>
        </w:trPr>
        <w:tc>
          <w:tcPr>
            <w:tcW w:w="0" w:type="auto"/>
            <w:gridSpan w:val="3"/>
            <w:shd w:val="clear" w:color="auto" w:fill="auto"/>
          </w:tcPr>
          <w:p w14:paraId="7268F10E" w14:textId="77777777" w:rsidR="005F762A" w:rsidRDefault="005F762A">
            <w:pPr>
              <w:rPr>
                <w:rFonts w:ascii="宋体"/>
                <w:vanish/>
              </w:rPr>
            </w:pPr>
          </w:p>
        </w:tc>
        <w:tc>
          <w:tcPr>
            <w:tcW w:w="0" w:type="auto"/>
            <w:gridSpan w:val="3"/>
            <w:shd w:val="clear" w:color="auto" w:fill="auto"/>
          </w:tcPr>
          <w:p w14:paraId="7268F10F" w14:textId="77777777" w:rsidR="005F762A" w:rsidRDefault="005F762A">
            <w:pPr>
              <w:rPr>
                <w:rFonts w:ascii="宋体"/>
                <w:vanish/>
              </w:rPr>
            </w:pPr>
          </w:p>
        </w:tc>
        <w:tc>
          <w:tcPr>
            <w:tcW w:w="0" w:type="auto"/>
            <w:gridSpan w:val="3"/>
            <w:shd w:val="clear" w:color="auto" w:fill="auto"/>
          </w:tcPr>
          <w:p w14:paraId="7268F110" w14:textId="77777777" w:rsidR="005F762A" w:rsidRDefault="005F762A">
            <w:pPr>
              <w:rPr>
                <w:rFonts w:ascii="宋体"/>
                <w:vanish/>
              </w:rPr>
            </w:pPr>
          </w:p>
        </w:tc>
        <w:tc>
          <w:tcPr>
            <w:tcW w:w="0" w:type="auto"/>
            <w:gridSpan w:val="3"/>
            <w:shd w:val="clear" w:color="auto" w:fill="auto"/>
          </w:tcPr>
          <w:p w14:paraId="7268F111" w14:textId="77777777" w:rsidR="005F762A" w:rsidRDefault="005F762A">
            <w:pPr>
              <w:rPr>
                <w:rFonts w:ascii="宋体"/>
                <w:vanish/>
              </w:rPr>
            </w:pPr>
          </w:p>
        </w:tc>
        <w:tc>
          <w:tcPr>
            <w:tcW w:w="0" w:type="auto"/>
            <w:gridSpan w:val="3"/>
            <w:shd w:val="clear" w:color="auto" w:fill="auto"/>
          </w:tcPr>
          <w:p w14:paraId="7268F112" w14:textId="77777777" w:rsidR="005F762A" w:rsidRDefault="005F762A">
            <w:pPr>
              <w:rPr>
                <w:rFonts w:ascii="宋体"/>
                <w:vanish/>
              </w:rPr>
            </w:pPr>
          </w:p>
        </w:tc>
        <w:tc>
          <w:tcPr>
            <w:tcW w:w="0" w:type="auto"/>
            <w:gridSpan w:val="3"/>
            <w:shd w:val="clear" w:color="auto" w:fill="auto"/>
          </w:tcPr>
          <w:p w14:paraId="7268F113" w14:textId="77777777" w:rsidR="005F762A" w:rsidRDefault="005F762A">
            <w:pPr>
              <w:rPr>
                <w:rFonts w:ascii="宋体"/>
                <w:vanish/>
              </w:rPr>
            </w:pPr>
          </w:p>
        </w:tc>
        <w:tc>
          <w:tcPr>
            <w:tcW w:w="0" w:type="auto"/>
            <w:gridSpan w:val="3"/>
            <w:shd w:val="clear" w:color="auto" w:fill="auto"/>
          </w:tcPr>
          <w:p w14:paraId="7268F114" w14:textId="77777777" w:rsidR="005F762A" w:rsidRDefault="005F762A">
            <w:pPr>
              <w:rPr>
                <w:rFonts w:ascii="宋体"/>
                <w:vanish/>
              </w:rPr>
            </w:pPr>
          </w:p>
        </w:tc>
        <w:tc>
          <w:tcPr>
            <w:tcW w:w="0" w:type="auto"/>
            <w:gridSpan w:val="3"/>
            <w:shd w:val="clear" w:color="auto" w:fill="auto"/>
          </w:tcPr>
          <w:p w14:paraId="7268F115" w14:textId="77777777" w:rsidR="005F762A" w:rsidRDefault="005F762A">
            <w:pPr>
              <w:rPr>
                <w:rFonts w:ascii="宋体"/>
                <w:vanish/>
              </w:rPr>
            </w:pPr>
          </w:p>
        </w:tc>
        <w:tc>
          <w:tcPr>
            <w:tcW w:w="0" w:type="auto"/>
            <w:gridSpan w:val="3"/>
            <w:shd w:val="clear" w:color="auto" w:fill="auto"/>
          </w:tcPr>
          <w:p w14:paraId="7268F116" w14:textId="77777777" w:rsidR="005F762A" w:rsidRDefault="005F762A">
            <w:pPr>
              <w:rPr>
                <w:rFonts w:ascii="宋体"/>
                <w:vanish/>
              </w:rPr>
            </w:pPr>
          </w:p>
        </w:tc>
        <w:tc>
          <w:tcPr>
            <w:tcW w:w="0" w:type="auto"/>
            <w:gridSpan w:val="3"/>
            <w:shd w:val="clear" w:color="auto" w:fill="auto"/>
          </w:tcPr>
          <w:p w14:paraId="7268F117" w14:textId="77777777" w:rsidR="005F762A" w:rsidRDefault="005F762A">
            <w:pPr>
              <w:rPr>
                <w:rFonts w:ascii="宋体"/>
                <w:vanish/>
              </w:rPr>
            </w:pPr>
          </w:p>
        </w:tc>
        <w:tc>
          <w:tcPr>
            <w:tcW w:w="0" w:type="auto"/>
            <w:gridSpan w:val="3"/>
            <w:shd w:val="clear" w:color="auto" w:fill="auto"/>
          </w:tcPr>
          <w:p w14:paraId="7268F118" w14:textId="77777777" w:rsidR="005F762A" w:rsidRDefault="005F762A">
            <w:pPr>
              <w:rPr>
                <w:rFonts w:ascii="宋体"/>
                <w:vanish/>
              </w:rPr>
            </w:pPr>
          </w:p>
        </w:tc>
      </w:tr>
      <w:tr w:rsidR="005F762A" w14:paraId="7268F125" w14:textId="77777777">
        <w:trPr>
          <w:jc w:val="center"/>
          <w:hidden/>
        </w:trPr>
        <w:tc>
          <w:tcPr>
            <w:tcW w:w="0" w:type="auto"/>
            <w:gridSpan w:val="3"/>
            <w:shd w:val="clear" w:color="auto" w:fill="auto"/>
          </w:tcPr>
          <w:p w14:paraId="7268F11A" w14:textId="77777777" w:rsidR="005F762A" w:rsidRDefault="005F762A">
            <w:pPr>
              <w:rPr>
                <w:rFonts w:ascii="宋体"/>
                <w:vanish/>
              </w:rPr>
            </w:pPr>
          </w:p>
        </w:tc>
        <w:tc>
          <w:tcPr>
            <w:tcW w:w="0" w:type="auto"/>
            <w:gridSpan w:val="3"/>
            <w:shd w:val="clear" w:color="auto" w:fill="auto"/>
          </w:tcPr>
          <w:p w14:paraId="7268F11B" w14:textId="77777777" w:rsidR="005F762A" w:rsidRDefault="005F762A">
            <w:pPr>
              <w:rPr>
                <w:rFonts w:ascii="宋体"/>
                <w:vanish/>
              </w:rPr>
            </w:pPr>
          </w:p>
        </w:tc>
        <w:tc>
          <w:tcPr>
            <w:tcW w:w="0" w:type="auto"/>
            <w:gridSpan w:val="3"/>
            <w:shd w:val="clear" w:color="auto" w:fill="auto"/>
          </w:tcPr>
          <w:p w14:paraId="7268F11C" w14:textId="77777777" w:rsidR="005F762A" w:rsidRDefault="005F762A">
            <w:pPr>
              <w:rPr>
                <w:rFonts w:ascii="宋体"/>
                <w:vanish/>
              </w:rPr>
            </w:pPr>
          </w:p>
        </w:tc>
        <w:tc>
          <w:tcPr>
            <w:tcW w:w="0" w:type="auto"/>
            <w:gridSpan w:val="3"/>
            <w:shd w:val="clear" w:color="auto" w:fill="auto"/>
          </w:tcPr>
          <w:p w14:paraId="7268F11D" w14:textId="77777777" w:rsidR="005F762A" w:rsidRDefault="005F762A">
            <w:pPr>
              <w:rPr>
                <w:rFonts w:ascii="宋体"/>
                <w:vanish/>
              </w:rPr>
            </w:pPr>
          </w:p>
        </w:tc>
        <w:tc>
          <w:tcPr>
            <w:tcW w:w="0" w:type="auto"/>
            <w:gridSpan w:val="3"/>
            <w:shd w:val="clear" w:color="auto" w:fill="auto"/>
          </w:tcPr>
          <w:p w14:paraId="7268F11E" w14:textId="77777777" w:rsidR="005F762A" w:rsidRDefault="005F762A">
            <w:pPr>
              <w:rPr>
                <w:rFonts w:ascii="宋体"/>
                <w:vanish/>
              </w:rPr>
            </w:pPr>
          </w:p>
        </w:tc>
        <w:tc>
          <w:tcPr>
            <w:tcW w:w="0" w:type="auto"/>
            <w:gridSpan w:val="3"/>
            <w:shd w:val="clear" w:color="auto" w:fill="auto"/>
          </w:tcPr>
          <w:p w14:paraId="7268F11F" w14:textId="77777777" w:rsidR="005F762A" w:rsidRDefault="005F762A">
            <w:pPr>
              <w:rPr>
                <w:rFonts w:ascii="宋体"/>
                <w:vanish/>
              </w:rPr>
            </w:pPr>
          </w:p>
        </w:tc>
        <w:tc>
          <w:tcPr>
            <w:tcW w:w="0" w:type="auto"/>
            <w:gridSpan w:val="3"/>
            <w:shd w:val="clear" w:color="auto" w:fill="auto"/>
          </w:tcPr>
          <w:p w14:paraId="7268F120" w14:textId="77777777" w:rsidR="005F762A" w:rsidRDefault="005F762A">
            <w:pPr>
              <w:rPr>
                <w:rFonts w:ascii="宋体"/>
                <w:vanish/>
              </w:rPr>
            </w:pPr>
          </w:p>
        </w:tc>
        <w:tc>
          <w:tcPr>
            <w:tcW w:w="0" w:type="auto"/>
            <w:gridSpan w:val="3"/>
            <w:shd w:val="clear" w:color="auto" w:fill="auto"/>
          </w:tcPr>
          <w:p w14:paraId="7268F121" w14:textId="77777777" w:rsidR="005F762A" w:rsidRDefault="005F762A">
            <w:pPr>
              <w:rPr>
                <w:rFonts w:ascii="宋体"/>
                <w:vanish/>
              </w:rPr>
            </w:pPr>
          </w:p>
        </w:tc>
        <w:tc>
          <w:tcPr>
            <w:tcW w:w="0" w:type="auto"/>
            <w:gridSpan w:val="3"/>
            <w:shd w:val="clear" w:color="auto" w:fill="auto"/>
          </w:tcPr>
          <w:p w14:paraId="7268F122" w14:textId="77777777" w:rsidR="005F762A" w:rsidRDefault="005F762A">
            <w:pPr>
              <w:rPr>
                <w:rFonts w:ascii="宋体"/>
                <w:vanish/>
              </w:rPr>
            </w:pPr>
          </w:p>
        </w:tc>
        <w:tc>
          <w:tcPr>
            <w:tcW w:w="0" w:type="auto"/>
            <w:gridSpan w:val="3"/>
            <w:shd w:val="clear" w:color="auto" w:fill="auto"/>
          </w:tcPr>
          <w:p w14:paraId="7268F123" w14:textId="77777777" w:rsidR="005F762A" w:rsidRDefault="005F762A">
            <w:pPr>
              <w:rPr>
                <w:rFonts w:ascii="宋体"/>
                <w:vanish/>
              </w:rPr>
            </w:pPr>
          </w:p>
        </w:tc>
        <w:tc>
          <w:tcPr>
            <w:tcW w:w="0" w:type="auto"/>
            <w:gridSpan w:val="3"/>
            <w:shd w:val="clear" w:color="auto" w:fill="auto"/>
          </w:tcPr>
          <w:p w14:paraId="7268F124" w14:textId="77777777" w:rsidR="005F762A" w:rsidRDefault="005F762A">
            <w:pPr>
              <w:rPr>
                <w:rFonts w:ascii="宋体"/>
                <w:vanish/>
              </w:rPr>
            </w:pPr>
          </w:p>
        </w:tc>
      </w:tr>
      <w:tr w:rsidR="005F762A" w14:paraId="7268F131" w14:textId="77777777">
        <w:trPr>
          <w:jc w:val="center"/>
          <w:hidden/>
        </w:trPr>
        <w:tc>
          <w:tcPr>
            <w:tcW w:w="0" w:type="auto"/>
            <w:gridSpan w:val="3"/>
            <w:shd w:val="clear" w:color="auto" w:fill="auto"/>
          </w:tcPr>
          <w:p w14:paraId="7268F126" w14:textId="77777777" w:rsidR="005F762A" w:rsidRDefault="005F762A">
            <w:pPr>
              <w:rPr>
                <w:rFonts w:ascii="宋体"/>
                <w:vanish/>
              </w:rPr>
            </w:pPr>
          </w:p>
        </w:tc>
        <w:tc>
          <w:tcPr>
            <w:tcW w:w="0" w:type="auto"/>
            <w:gridSpan w:val="3"/>
            <w:shd w:val="clear" w:color="auto" w:fill="auto"/>
          </w:tcPr>
          <w:p w14:paraId="7268F127" w14:textId="77777777" w:rsidR="005F762A" w:rsidRDefault="005F762A">
            <w:pPr>
              <w:rPr>
                <w:rFonts w:ascii="宋体"/>
                <w:vanish/>
              </w:rPr>
            </w:pPr>
          </w:p>
        </w:tc>
        <w:tc>
          <w:tcPr>
            <w:tcW w:w="0" w:type="auto"/>
            <w:gridSpan w:val="3"/>
            <w:shd w:val="clear" w:color="auto" w:fill="auto"/>
          </w:tcPr>
          <w:p w14:paraId="7268F128" w14:textId="77777777" w:rsidR="005F762A" w:rsidRDefault="005F762A">
            <w:pPr>
              <w:rPr>
                <w:rFonts w:ascii="宋体"/>
                <w:vanish/>
              </w:rPr>
            </w:pPr>
          </w:p>
        </w:tc>
        <w:tc>
          <w:tcPr>
            <w:tcW w:w="0" w:type="auto"/>
            <w:gridSpan w:val="3"/>
            <w:shd w:val="clear" w:color="auto" w:fill="auto"/>
          </w:tcPr>
          <w:p w14:paraId="7268F129" w14:textId="77777777" w:rsidR="005F762A" w:rsidRDefault="005F762A">
            <w:pPr>
              <w:rPr>
                <w:rFonts w:ascii="宋体"/>
                <w:vanish/>
              </w:rPr>
            </w:pPr>
          </w:p>
        </w:tc>
        <w:tc>
          <w:tcPr>
            <w:tcW w:w="0" w:type="auto"/>
            <w:gridSpan w:val="3"/>
            <w:shd w:val="clear" w:color="auto" w:fill="auto"/>
          </w:tcPr>
          <w:p w14:paraId="7268F12A" w14:textId="77777777" w:rsidR="005F762A" w:rsidRDefault="005F762A">
            <w:pPr>
              <w:rPr>
                <w:rFonts w:ascii="宋体"/>
                <w:vanish/>
              </w:rPr>
            </w:pPr>
          </w:p>
        </w:tc>
        <w:tc>
          <w:tcPr>
            <w:tcW w:w="0" w:type="auto"/>
            <w:gridSpan w:val="3"/>
            <w:shd w:val="clear" w:color="auto" w:fill="auto"/>
          </w:tcPr>
          <w:p w14:paraId="7268F12B" w14:textId="77777777" w:rsidR="005F762A" w:rsidRDefault="005F762A">
            <w:pPr>
              <w:rPr>
                <w:rFonts w:ascii="宋体"/>
                <w:vanish/>
              </w:rPr>
            </w:pPr>
          </w:p>
        </w:tc>
        <w:tc>
          <w:tcPr>
            <w:tcW w:w="0" w:type="auto"/>
            <w:gridSpan w:val="3"/>
            <w:shd w:val="clear" w:color="auto" w:fill="auto"/>
          </w:tcPr>
          <w:p w14:paraId="7268F12C" w14:textId="77777777" w:rsidR="005F762A" w:rsidRDefault="005F762A">
            <w:pPr>
              <w:rPr>
                <w:rFonts w:ascii="宋体"/>
                <w:vanish/>
              </w:rPr>
            </w:pPr>
          </w:p>
        </w:tc>
        <w:tc>
          <w:tcPr>
            <w:tcW w:w="0" w:type="auto"/>
            <w:gridSpan w:val="3"/>
            <w:shd w:val="clear" w:color="auto" w:fill="auto"/>
          </w:tcPr>
          <w:p w14:paraId="7268F12D" w14:textId="77777777" w:rsidR="005F762A" w:rsidRDefault="005F762A">
            <w:pPr>
              <w:rPr>
                <w:rFonts w:ascii="宋体"/>
                <w:vanish/>
              </w:rPr>
            </w:pPr>
          </w:p>
        </w:tc>
        <w:tc>
          <w:tcPr>
            <w:tcW w:w="0" w:type="auto"/>
            <w:gridSpan w:val="3"/>
            <w:shd w:val="clear" w:color="auto" w:fill="auto"/>
          </w:tcPr>
          <w:p w14:paraId="7268F12E" w14:textId="77777777" w:rsidR="005F762A" w:rsidRDefault="005F762A">
            <w:pPr>
              <w:rPr>
                <w:rFonts w:ascii="宋体"/>
                <w:vanish/>
              </w:rPr>
            </w:pPr>
          </w:p>
        </w:tc>
        <w:tc>
          <w:tcPr>
            <w:tcW w:w="0" w:type="auto"/>
            <w:gridSpan w:val="3"/>
            <w:shd w:val="clear" w:color="auto" w:fill="auto"/>
          </w:tcPr>
          <w:p w14:paraId="7268F12F" w14:textId="77777777" w:rsidR="005F762A" w:rsidRDefault="005F762A">
            <w:pPr>
              <w:rPr>
                <w:rFonts w:ascii="宋体"/>
                <w:vanish/>
              </w:rPr>
            </w:pPr>
          </w:p>
        </w:tc>
        <w:tc>
          <w:tcPr>
            <w:tcW w:w="0" w:type="auto"/>
            <w:gridSpan w:val="3"/>
            <w:shd w:val="clear" w:color="auto" w:fill="auto"/>
          </w:tcPr>
          <w:p w14:paraId="7268F130" w14:textId="77777777" w:rsidR="005F762A" w:rsidRDefault="005F762A">
            <w:pPr>
              <w:rPr>
                <w:rFonts w:ascii="宋体"/>
                <w:vanish/>
              </w:rPr>
            </w:pPr>
          </w:p>
        </w:tc>
      </w:tr>
      <w:tr w:rsidR="005F762A" w14:paraId="7268F13D" w14:textId="77777777">
        <w:trPr>
          <w:jc w:val="center"/>
          <w:hidden/>
        </w:trPr>
        <w:tc>
          <w:tcPr>
            <w:tcW w:w="0" w:type="auto"/>
            <w:gridSpan w:val="3"/>
            <w:shd w:val="clear" w:color="auto" w:fill="auto"/>
          </w:tcPr>
          <w:p w14:paraId="7268F132" w14:textId="77777777" w:rsidR="005F762A" w:rsidRDefault="005F762A">
            <w:pPr>
              <w:rPr>
                <w:rFonts w:ascii="宋体"/>
                <w:vanish/>
              </w:rPr>
            </w:pPr>
          </w:p>
        </w:tc>
        <w:tc>
          <w:tcPr>
            <w:tcW w:w="0" w:type="auto"/>
            <w:gridSpan w:val="3"/>
            <w:shd w:val="clear" w:color="auto" w:fill="auto"/>
          </w:tcPr>
          <w:p w14:paraId="7268F133" w14:textId="77777777" w:rsidR="005F762A" w:rsidRDefault="005F762A">
            <w:pPr>
              <w:rPr>
                <w:rFonts w:ascii="宋体"/>
                <w:vanish/>
              </w:rPr>
            </w:pPr>
          </w:p>
        </w:tc>
        <w:tc>
          <w:tcPr>
            <w:tcW w:w="0" w:type="auto"/>
            <w:gridSpan w:val="3"/>
            <w:shd w:val="clear" w:color="auto" w:fill="auto"/>
          </w:tcPr>
          <w:p w14:paraId="7268F134" w14:textId="77777777" w:rsidR="005F762A" w:rsidRDefault="005F762A">
            <w:pPr>
              <w:rPr>
                <w:rFonts w:ascii="宋体"/>
                <w:vanish/>
              </w:rPr>
            </w:pPr>
          </w:p>
        </w:tc>
        <w:tc>
          <w:tcPr>
            <w:tcW w:w="0" w:type="auto"/>
            <w:gridSpan w:val="3"/>
            <w:shd w:val="clear" w:color="auto" w:fill="auto"/>
          </w:tcPr>
          <w:p w14:paraId="7268F135" w14:textId="77777777" w:rsidR="005F762A" w:rsidRDefault="005F762A">
            <w:pPr>
              <w:rPr>
                <w:rFonts w:ascii="宋体"/>
                <w:vanish/>
              </w:rPr>
            </w:pPr>
          </w:p>
        </w:tc>
        <w:tc>
          <w:tcPr>
            <w:tcW w:w="0" w:type="auto"/>
            <w:gridSpan w:val="3"/>
            <w:shd w:val="clear" w:color="auto" w:fill="auto"/>
          </w:tcPr>
          <w:p w14:paraId="7268F136" w14:textId="77777777" w:rsidR="005F762A" w:rsidRDefault="005F762A">
            <w:pPr>
              <w:rPr>
                <w:rFonts w:ascii="宋体"/>
                <w:vanish/>
              </w:rPr>
            </w:pPr>
          </w:p>
        </w:tc>
        <w:tc>
          <w:tcPr>
            <w:tcW w:w="0" w:type="auto"/>
            <w:gridSpan w:val="3"/>
            <w:shd w:val="clear" w:color="auto" w:fill="auto"/>
          </w:tcPr>
          <w:p w14:paraId="7268F137" w14:textId="77777777" w:rsidR="005F762A" w:rsidRDefault="005F762A">
            <w:pPr>
              <w:rPr>
                <w:rFonts w:ascii="宋体"/>
                <w:vanish/>
              </w:rPr>
            </w:pPr>
          </w:p>
        </w:tc>
        <w:tc>
          <w:tcPr>
            <w:tcW w:w="0" w:type="auto"/>
            <w:gridSpan w:val="3"/>
            <w:shd w:val="clear" w:color="auto" w:fill="auto"/>
          </w:tcPr>
          <w:p w14:paraId="7268F138" w14:textId="77777777" w:rsidR="005F762A" w:rsidRDefault="005F762A">
            <w:pPr>
              <w:rPr>
                <w:rFonts w:ascii="宋体"/>
                <w:vanish/>
              </w:rPr>
            </w:pPr>
          </w:p>
        </w:tc>
        <w:tc>
          <w:tcPr>
            <w:tcW w:w="0" w:type="auto"/>
            <w:gridSpan w:val="3"/>
            <w:shd w:val="clear" w:color="auto" w:fill="auto"/>
          </w:tcPr>
          <w:p w14:paraId="7268F139" w14:textId="77777777" w:rsidR="005F762A" w:rsidRDefault="005F762A">
            <w:pPr>
              <w:rPr>
                <w:rFonts w:ascii="宋体"/>
                <w:vanish/>
              </w:rPr>
            </w:pPr>
          </w:p>
        </w:tc>
        <w:tc>
          <w:tcPr>
            <w:tcW w:w="0" w:type="auto"/>
            <w:gridSpan w:val="3"/>
            <w:shd w:val="clear" w:color="auto" w:fill="auto"/>
          </w:tcPr>
          <w:p w14:paraId="7268F13A" w14:textId="77777777" w:rsidR="005F762A" w:rsidRDefault="005F762A">
            <w:pPr>
              <w:rPr>
                <w:rFonts w:ascii="宋体"/>
                <w:vanish/>
              </w:rPr>
            </w:pPr>
          </w:p>
        </w:tc>
        <w:tc>
          <w:tcPr>
            <w:tcW w:w="0" w:type="auto"/>
            <w:gridSpan w:val="3"/>
            <w:shd w:val="clear" w:color="auto" w:fill="auto"/>
          </w:tcPr>
          <w:p w14:paraId="7268F13B" w14:textId="77777777" w:rsidR="005F762A" w:rsidRDefault="005F762A">
            <w:pPr>
              <w:rPr>
                <w:rFonts w:ascii="宋体"/>
                <w:vanish/>
              </w:rPr>
            </w:pPr>
          </w:p>
        </w:tc>
        <w:tc>
          <w:tcPr>
            <w:tcW w:w="0" w:type="auto"/>
            <w:gridSpan w:val="3"/>
            <w:shd w:val="clear" w:color="auto" w:fill="auto"/>
          </w:tcPr>
          <w:p w14:paraId="7268F13C" w14:textId="77777777" w:rsidR="005F762A" w:rsidRDefault="005F762A">
            <w:pPr>
              <w:rPr>
                <w:rFonts w:ascii="宋体"/>
                <w:vanish/>
              </w:rPr>
            </w:pPr>
          </w:p>
        </w:tc>
      </w:tr>
      <w:tr w:rsidR="005F762A" w14:paraId="7268F14D" w14:textId="77777777">
        <w:trPr>
          <w:jc w:val="center"/>
        </w:trPr>
        <w:tc>
          <w:tcPr>
            <w:tcW w:w="0" w:type="auto"/>
            <w:gridSpan w:val="3"/>
            <w:shd w:val="clear" w:color="auto" w:fill="FFFFFF"/>
            <w:tcMar>
              <w:top w:w="40" w:type="dxa"/>
              <w:left w:w="155" w:type="dxa"/>
              <w:bottom w:w="40" w:type="dxa"/>
              <w:right w:w="20" w:type="dxa"/>
            </w:tcMar>
            <w:vAlign w:val="bottom"/>
          </w:tcPr>
          <w:p w14:paraId="7268F13E" w14:textId="77777777" w:rsidR="005F762A" w:rsidRDefault="00D74111">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tcPr>
          <w:p w14:paraId="7268F13F"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140" w14:textId="77777777" w:rsidR="005F762A" w:rsidRDefault="00D74111">
            <w:pPr>
              <w:textAlignment w:val="bottom"/>
            </w:pPr>
            <w:r>
              <w:rPr>
                <w:rFonts w:ascii="Arial" w:eastAsia="宋体" w:hAnsi="Arial" w:cs="Arial"/>
                <w:color w:val="000000"/>
                <w:sz w:val="16"/>
                <w:szCs w:val="16"/>
              </w:rPr>
              <w:t>3.800%</w:t>
            </w:r>
          </w:p>
        </w:tc>
        <w:tc>
          <w:tcPr>
            <w:tcW w:w="0" w:type="auto"/>
            <w:gridSpan w:val="3"/>
            <w:shd w:val="clear" w:color="auto" w:fill="FFFFFF"/>
            <w:tcMar>
              <w:top w:w="0" w:type="dxa"/>
              <w:left w:w="20" w:type="dxa"/>
              <w:bottom w:w="0" w:type="dxa"/>
              <w:right w:w="20" w:type="dxa"/>
            </w:tcMar>
          </w:tcPr>
          <w:p w14:paraId="7268F14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42"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7268F14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4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45" w14:textId="77777777" w:rsidR="005F762A" w:rsidRDefault="00D74111">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7268F14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14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48"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7268F14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4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4B" w14:textId="77777777" w:rsidR="005F762A" w:rsidRDefault="00D74111">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7268F14C" w14:textId="77777777" w:rsidR="005F762A" w:rsidRDefault="00D74111">
            <w:pPr>
              <w:jc w:val="right"/>
              <w:textAlignment w:val="bottom"/>
            </w:pPr>
            <w:r>
              <w:rPr>
                <w:rFonts w:ascii="Arial" w:eastAsia="宋体" w:hAnsi="Arial" w:cs="Arial"/>
                <w:color w:val="000000"/>
                <w:sz w:val="16"/>
                <w:szCs w:val="16"/>
              </w:rPr>
              <w:t>%</w:t>
            </w:r>
          </w:p>
        </w:tc>
      </w:tr>
      <w:tr w:rsidR="005F762A" w14:paraId="7268F15D" w14:textId="77777777">
        <w:trPr>
          <w:jc w:val="center"/>
        </w:trPr>
        <w:tc>
          <w:tcPr>
            <w:tcW w:w="0" w:type="auto"/>
            <w:gridSpan w:val="3"/>
            <w:shd w:val="clear" w:color="auto" w:fill="E2E2E2"/>
            <w:tcMar>
              <w:top w:w="40" w:type="dxa"/>
              <w:left w:w="155" w:type="dxa"/>
              <w:bottom w:w="40" w:type="dxa"/>
              <w:right w:w="20" w:type="dxa"/>
            </w:tcMar>
            <w:vAlign w:val="bottom"/>
          </w:tcPr>
          <w:p w14:paraId="7268F14E" w14:textId="77777777" w:rsidR="005F762A" w:rsidRDefault="00D74111">
            <w:pPr>
              <w:textAlignment w:val="bottom"/>
            </w:pPr>
            <w:r>
              <w:rPr>
                <w:rFonts w:ascii="Arial" w:eastAsia="宋体" w:hAnsi="Arial" w:cs="Arial"/>
                <w:color w:val="000000"/>
                <w:sz w:val="16"/>
                <w:szCs w:val="16"/>
              </w:rPr>
              <w:t>Senior notes due 2022</w:t>
            </w:r>
          </w:p>
        </w:tc>
        <w:tc>
          <w:tcPr>
            <w:tcW w:w="0" w:type="auto"/>
            <w:gridSpan w:val="3"/>
            <w:shd w:val="clear" w:color="auto" w:fill="E2E2E2"/>
            <w:tcMar>
              <w:top w:w="0" w:type="dxa"/>
              <w:left w:w="20" w:type="dxa"/>
              <w:bottom w:w="0" w:type="dxa"/>
              <w:right w:w="20" w:type="dxa"/>
            </w:tcMar>
          </w:tcPr>
          <w:p w14:paraId="7268F14F"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F150" w14:textId="77777777" w:rsidR="005F762A" w:rsidRDefault="00D74111">
            <w:pPr>
              <w:textAlignment w:val="bottom"/>
            </w:pPr>
            <w:r>
              <w:rPr>
                <w:rFonts w:ascii="Arial" w:eastAsia="宋体" w:hAnsi="Arial" w:cs="Arial"/>
                <w:color w:val="000000"/>
                <w:sz w:val="16"/>
                <w:szCs w:val="16"/>
              </w:rPr>
              <w:t>2.600%</w:t>
            </w:r>
          </w:p>
        </w:tc>
        <w:tc>
          <w:tcPr>
            <w:tcW w:w="0" w:type="auto"/>
            <w:gridSpan w:val="3"/>
            <w:shd w:val="clear" w:color="auto" w:fill="E2E2E2"/>
            <w:tcMar>
              <w:top w:w="0" w:type="dxa"/>
              <w:left w:w="20" w:type="dxa"/>
              <w:bottom w:w="0" w:type="dxa"/>
              <w:right w:w="20" w:type="dxa"/>
            </w:tcMar>
          </w:tcPr>
          <w:p w14:paraId="7268F15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52" w14:textId="77777777" w:rsidR="005F762A" w:rsidRDefault="00D74111">
            <w:pPr>
              <w:jc w:val="right"/>
              <w:textAlignment w:val="bottom"/>
            </w:pPr>
            <w:r>
              <w:rPr>
                <w:rFonts w:ascii="Arial" w:eastAsia="宋体" w:hAnsi="Arial" w:cs="Arial"/>
                <w:color w:val="000000"/>
                <w:sz w:val="16"/>
                <w:szCs w:val="16"/>
              </w:rPr>
              <w:t>605 </w:t>
            </w:r>
          </w:p>
        </w:tc>
        <w:tc>
          <w:tcPr>
            <w:tcW w:w="0" w:type="auto"/>
            <w:shd w:val="clear" w:color="auto" w:fill="E2E2E2"/>
            <w:tcMar>
              <w:top w:w="40" w:type="dxa"/>
              <w:left w:w="0" w:type="dxa"/>
              <w:bottom w:w="40" w:type="dxa"/>
              <w:right w:w="20" w:type="dxa"/>
            </w:tcMar>
            <w:vAlign w:val="bottom"/>
          </w:tcPr>
          <w:p w14:paraId="7268F15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5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55" w14:textId="77777777" w:rsidR="005F762A" w:rsidRDefault="00D74111">
            <w:pPr>
              <w:jc w:val="right"/>
              <w:textAlignment w:val="bottom"/>
            </w:pPr>
            <w:r>
              <w:rPr>
                <w:rFonts w:ascii="Arial" w:eastAsia="宋体" w:hAnsi="Arial" w:cs="Arial"/>
                <w:color w:val="000000"/>
                <w:sz w:val="16"/>
                <w:szCs w:val="16"/>
              </w:rPr>
              <w:t>2.678 </w:t>
            </w:r>
          </w:p>
        </w:tc>
        <w:tc>
          <w:tcPr>
            <w:tcW w:w="0" w:type="auto"/>
            <w:shd w:val="clear" w:color="auto" w:fill="E2E2E2"/>
            <w:tcMar>
              <w:top w:w="40" w:type="dxa"/>
              <w:left w:w="0" w:type="dxa"/>
              <w:bottom w:w="40" w:type="dxa"/>
              <w:right w:w="20" w:type="dxa"/>
            </w:tcMar>
            <w:vAlign w:val="bottom"/>
          </w:tcPr>
          <w:p w14:paraId="7268F15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15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58" w14:textId="77777777" w:rsidR="005F762A" w:rsidRDefault="00D74111">
            <w:pPr>
              <w:jc w:val="right"/>
              <w:textAlignment w:val="bottom"/>
            </w:pPr>
            <w:r>
              <w:rPr>
                <w:rFonts w:ascii="Arial" w:eastAsia="宋体" w:hAnsi="Arial" w:cs="Arial"/>
                <w:color w:val="000000"/>
                <w:sz w:val="16"/>
                <w:szCs w:val="16"/>
              </w:rPr>
              <w:t>1,000 </w:t>
            </w:r>
          </w:p>
        </w:tc>
        <w:tc>
          <w:tcPr>
            <w:tcW w:w="0" w:type="auto"/>
            <w:shd w:val="clear" w:color="auto" w:fill="E2E2E2"/>
            <w:tcMar>
              <w:top w:w="40" w:type="dxa"/>
              <w:left w:w="0" w:type="dxa"/>
              <w:bottom w:w="40" w:type="dxa"/>
              <w:right w:w="20" w:type="dxa"/>
            </w:tcMar>
            <w:vAlign w:val="bottom"/>
          </w:tcPr>
          <w:p w14:paraId="7268F15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5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5B" w14:textId="77777777" w:rsidR="005F762A" w:rsidRDefault="00D74111">
            <w:pPr>
              <w:jc w:val="right"/>
              <w:textAlignment w:val="bottom"/>
            </w:pPr>
            <w:r>
              <w:rPr>
                <w:rFonts w:ascii="Arial" w:eastAsia="宋体" w:hAnsi="Arial" w:cs="Arial"/>
                <w:color w:val="000000"/>
                <w:sz w:val="16"/>
                <w:szCs w:val="16"/>
              </w:rPr>
              <w:t>2.678 </w:t>
            </w:r>
          </w:p>
        </w:tc>
        <w:tc>
          <w:tcPr>
            <w:tcW w:w="0" w:type="auto"/>
            <w:shd w:val="clear" w:color="auto" w:fill="E2E2E2"/>
            <w:tcMar>
              <w:top w:w="40" w:type="dxa"/>
              <w:left w:w="0" w:type="dxa"/>
              <w:bottom w:w="40" w:type="dxa"/>
              <w:right w:w="20" w:type="dxa"/>
            </w:tcMar>
            <w:vAlign w:val="bottom"/>
          </w:tcPr>
          <w:p w14:paraId="7268F15C" w14:textId="77777777" w:rsidR="005F762A" w:rsidRDefault="00D74111">
            <w:pPr>
              <w:jc w:val="right"/>
              <w:textAlignment w:val="bottom"/>
            </w:pPr>
            <w:r>
              <w:rPr>
                <w:rFonts w:ascii="Arial" w:eastAsia="宋体" w:hAnsi="Arial" w:cs="Arial"/>
                <w:color w:val="000000"/>
                <w:sz w:val="16"/>
                <w:szCs w:val="16"/>
              </w:rPr>
              <w:t>%</w:t>
            </w:r>
          </w:p>
        </w:tc>
      </w:tr>
      <w:tr w:rsidR="005F762A" w14:paraId="7268F16D" w14:textId="77777777">
        <w:trPr>
          <w:jc w:val="center"/>
        </w:trPr>
        <w:tc>
          <w:tcPr>
            <w:tcW w:w="0" w:type="auto"/>
            <w:gridSpan w:val="3"/>
            <w:shd w:val="clear" w:color="auto" w:fill="FFFFFF"/>
            <w:tcMar>
              <w:top w:w="40" w:type="dxa"/>
              <w:left w:w="155" w:type="dxa"/>
              <w:bottom w:w="40" w:type="dxa"/>
              <w:right w:w="20" w:type="dxa"/>
            </w:tcMar>
            <w:vAlign w:val="bottom"/>
          </w:tcPr>
          <w:p w14:paraId="7268F15E" w14:textId="77777777" w:rsidR="005F762A" w:rsidRDefault="00D74111">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tcPr>
          <w:p w14:paraId="7268F15F"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160" w14:textId="77777777" w:rsidR="005F762A" w:rsidRDefault="00D74111">
            <w:pPr>
              <w:textAlignment w:val="bottom"/>
            </w:pPr>
            <w:r>
              <w:rPr>
                <w:rFonts w:ascii="Arial" w:eastAsia="宋体" w:hAnsi="Arial" w:cs="Arial"/>
                <w:color w:val="000000"/>
                <w:sz w:val="16"/>
                <w:szCs w:val="16"/>
              </w:rPr>
              <w:t>2.750%</w:t>
            </w:r>
          </w:p>
        </w:tc>
        <w:tc>
          <w:tcPr>
            <w:tcW w:w="0" w:type="auto"/>
            <w:gridSpan w:val="3"/>
            <w:shd w:val="clear" w:color="auto" w:fill="FFFFFF"/>
            <w:tcMar>
              <w:top w:w="0" w:type="dxa"/>
              <w:left w:w="20" w:type="dxa"/>
              <w:bottom w:w="0" w:type="dxa"/>
              <w:right w:w="20" w:type="dxa"/>
            </w:tcMar>
          </w:tcPr>
          <w:p w14:paraId="7268F16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62"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7268F16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6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65" w14:textId="77777777" w:rsidR="005F762A" w:rsidRDefault="00D74111">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7268F16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16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68"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7268F16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6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6B" w14:textId="77777777" w:rsidR="005F762A" w:rsidRDefault="00D74111">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7268F16C" w14:textId="77777777" w:rsidR="005F762A" w:rsidRDefault="00D74111">
            <w:pPr>
              <w:jc w:val="right"/>
              <w:textAlignment w:val="bottom"/>
            </w:pPr>
            <w:r>
              <w:rPr>
                <w:rFonts w:ascii="Arial" w:eastAsia="宋体" w:hAnsi="Arial" w:cs="Arial"/>
                <w:color w:val="000000"/>
                <w:sz w:val="16"/>
                <w:szCs w:val="16"/>
              </w:rPr>
              <w:t>%</w:t>
            </w:r>
          </w:p>
        </w:tc>
      </w:tr>
      <w:tr w:rsidR="005F762A" w14:paraId="7268F17D" w14:textId="77777777">
        <w:trPr>
          <w:jc w:val="center"/>
        </w:trPr>
        <w:tc>
          <w:tcPr>
            <w:tcW w:w="0" w:type="auto"/>
            <w:gridSpan w:val="3"/>
            <w:shd w:val="clear" w:color="auto" w:fill="E2E2E2"/>
            <w:tcMar>
              <w:top w:w="40" w:type="dxa"/>
              <w:left w:w="155" w:type="dxa"/>
              <w:bottom w:w="40" w:type="dxa"/>
              <w:right w:w="20" w:type="dxa"/>
            </w:tcMar>
            <w:vAlign w:val="bottom"/>
          </w:tcPr>
          <w:p w14:paraId="7268F16E" w14:textId="77777777" w:rsidR="005F762A" w:rsidRDefault="00D74111">
            <w:pPr>
              <w:textAlignment w:val="bottom"/>
            </w:pPr>
            <w:r>
              <w:rPr>
                <w:rFonts w:ascii="Arial" w:eastAsia="宋体" w:hAnsi="Arial" w:cs="Arial"/>
                <w:color w:val="000000"/>
                <w:sz w:val="16"/>
                <w:szCs w:val="16"/>
              </w:rPr>
              <w:t>Seni</w:t>
            </w:r>
            <w:r>
              <w:rPr>
                <w:rFonts w:ascii="Arial" w:eastAsia="宋体" w:hAnsi="Arial" w:cs="Arial"/>
                <w:color w:val="000000"/>
                <w:sz w:val="16"/>
                <w:szCs w:val="16"/>
              </w:rPr>
              <w:t>or notes due 2024</w:t>
            </w:r>
          </w:p>
        </w:tc>
        <w:tc>
          <w:tcPr>
            <w:tcW w:w="0" w:type="auto"/>
            <w:gridSpan w:val="3"/>
            <w:shd w:val="clear" w:color="auto" w:fill="E2E2E2"/>
            <w:tcMar>
              <w:top w:w="0" w:type="dxa"/>
              <w:left w:w="20" w:type="dxa"/>
              <w:bottom w:w="0" w:type="dxa"/>
              <w:right w:w="20" w:type="dxa"/>
            </w:tcMar>
          </w:tcPr>
          <w:p w14:paraId="7268F16F"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F170" w14:textId="77777777" w:rsidR="005F762A" w:rsidRDefault="00D74111">
            <w:pPr>
              <w:textAlignment w:val="bottom"/>
            </w:pPr>
            <w:r>
              <w:rPr>
                <w:rFonts w:ascii="Arial" w:eastAsia="宋体" w:hAnsi="Arial" w:cs="Arial"/>
                <w:color w:val="000000"/>
                <w:sz w:val="16"/>
                <w:szCs w:val="16"/>
              </w:rPr>
              <w:t>3.450%</w:t>
            </w:r>
          </w:p>
        </w:tc>
        <w:tc>
          <w:tcPr>
            <w:tcW w:w="0" w:type="auto"/>
            <w:gridSpan w:val="3"/>
            <w:shd w:val="clear" w:color="auto" w:fill="E2E2E2"/>
            <w:tcMar>
              <w:top w:w="0" w:type="dxa"/>
              <w:left w:w="20" w:type="dxa"/>
              <w:bottom w:w="0" w:type="dxa"/>
              <w:right w:w="20" w:type="dxa"/>
            </w:tcMar>
          </w:tcPr>
          <w:p w14:paraId="7268F17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72"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7268F17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7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75" w14:textId="77777777" w:rsidR="005F762A" w:rsidRDefault="00D74111">
            <w:pPr>
              <w:jc w:val="right"/>
              <w:textAlignment w:val="bottom"/>
            </w:pPr>
            <w:r>
              <w:rPr>
                <w:rFonts w:ascii="Arial" w:eastAsia="宋体" w:hAnsi="Arial" w:cs="Arial"/>
                <w:color w:val="000000"/>
                <w:sz w:val="16"/>
                <w:szCs w:val="16"/>
              </w:rPr>
              <w:t>3.531 </w:t>
            </w:r>
          </w:p>
        </w:tc>
        <w:tc>
          <w:tcPr>
            <w:tcW w:w="0" w:type="auto"/>
            <w:shd w:val="clear" w:color="auto" w:fill="E2E2E2"/>
            <w:tcMar>
              <w:top w:w="40" w:type="dxa"/>
              <w:left w:w="0" w:type="dxa"/>
              <w:bottom w:w="40" w:type="dxa"/>
              <w:right w:w="20" w:type="dxa"/>
            </w:tcMar>
            <w:vAlign w:val="bottom"/>
          </w:tcPr>
          <w:p w14:paraId="7268F17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17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78"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7268F17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7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7B" w14:textId="77777777" w:rsidR="005F762A" w:rsidRDefault="00D74111">
            <w:pPr>
              <w:jc w:val="right"/>
              <w:textAlignment w:val="bottom"/>
            </w:pPr>
            <w:r>
              <w:rPr>
                <w:rFonts w:ascii="Arial" w:eastAsia="宋体" w:hAnsi="Arial" w:cs="Arial"/>
                <w:color w:val="000000"/>
                <w:sz w:val="16"/>
                <w:szCs w:val="16"/>
              </w:rPr>
              <w:t>3.531 </w:t>
            </w:r>
          </w:p>
        </w:tc>
        <w:tc>
          <w:tcPr>
            <w:tcW w:w="0" w:type="auto"/>
            <w:shd w:val="clear" w:color="auto" w:fill="E2E2E2"/>
            <w:tcMar>
              <w:top w:w="40" w:type="dxa"/>
              <w:left w:w="0" w:type="dxa"/>
              <w:bottom w:w="40" w:type="dxa"/>
              <w:right w:w="20" w:type="dxa"/>
            </w:tcMar>
            <w:vAlign w:val="bottom"/>
          </w:tcPr>
          <w:p w14:paraId="7268F17C" w14:textId="77777777" w:rsidR="005F762A" w:rsidRDefault="00D74111">
            <w:pPr>
              <w:jc w:val="right"/>
              <w:textAlignment w:val="bottom"/>
            </w:pPr>
            <w:r>
              <w:rPr>
                <w:rFonts w:ascii="Arial" w:eastAsia="宋体" w:hAnsi="Arial" w:cs="Arial"/>
                <w:color w:val="000000"/>
                <w:sz w:val="16"/>
                <w:szCs w:val="16"/>
              </w:rPr>
              <w:t>%</w:t>
            </w:r>
          </w:p>
        </w:tc>
      </w:tr>
      <w:tr w:rsidR="005F762A" w14:paraId="7268F18D" w14:textId="77777777">
        <w:trPr>
          <w:jc w:val="center"/>
        </w:trPr>
        <w:tc>
          <w:tcPr>
            <w:tcW w:w="0" w:type="auto"/>
            <w:gridSpan w:val="3"/>
            <w:shd w:val="clear" w:color="auto" w:fill="FFFFFF"/>
            <w:tcMar>
              <w:top w:w="40" w:type="dxa"/>
              <w:left w:w="155" w:type="dxa"/>
              <w:bottom w:w="40" w:type="dxa"/>
              <w:right w:w="20" w:type="dxa"/>
            </w:tcMar>
            <w:vAlign w:val="bottom"/>
          </w:tcPr>
          <w:p w14:paraId="7268F17E" w14:textId="77777777" w:rsidR="005F762A" w:rsidRDefault="00D74111">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tcPr>
          <w:p w14:paraId="7268F17F"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180" w14:textId="77777777" w:rsidR="005F762A" w:rsidRDefault="00D74111">
            <w:pPr>
              <w:textAlignment w:val="bottom"/>
            </w:pPr>
            <w:r>
              <w:rPr>
                <w:rFonts w:ascii="Arial" w:eastAsia="宋体" w:hAnsi="Arial" w:cs="Arial"/>
                <w:color w:val="000000"/>
                <w:sz w:val="16"/>
                <w:szCs w:val="16"/>
              </w:rPr>
              <w:t>1.900%</w:t>
            </w:r>
          </w:p>
        </w:tc>
        <w:tc>
          <w:tcPr>
            <w:tcW w:w="0" w:type="auto"/>
            <w:gridSpan w:val="3"/>
            <w:shd w:val="clear" w:color="auto" w:fill="FFFFFF"/>
            <w:tcMar>
              <w:top w:w="0" w:type="dxa"/>
              <w:left w:w="20" w:type="dxa"/>
              <w:bottom w:w="0" w:type="dxa"/>
              <w:right w:w="20" w:type="dxa"/>
            </w:tcMar>
          </w:tcPr>
          <w:p w14:paraId="7268F18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82" w14:textId="77777777" w:rsidR="005F762A" w:rsidRDefault="00D74111">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7268F18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8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85" w14:textId="77777777" w:rsidR="005F762A" w:rsidRDefault="00D74111">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7268F18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18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88" w14:textId="77777777" w:rsidR="005F762A" w:rsidRDefault="00D74111">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7268F18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8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8B" w14:textId="77777777" w:rsidR="005F762A" w:rsidRDefault="00D74111">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7268F18C" w14:textId="77777777" w:rsidR="005F762A" w:rsidRDefault="00D74111">
            <w:pPr>
              <w:jc w:val="right"/>
              <w:textAlignment w:val="bottom"/>
            </w:pPr>
            <w:r>
              <w:rPr>
                <w:rFonts w:ascii="Arial" w:eastAsia="宋体" w:hAnsi="Arial" w:cs="Arial"/>
                <w:color w:val="000000"/>
                <w:sz w:val="16"/>
                <w:szCs w:val="16"/>
              </w:rPr>
              <w:t>%</w:t>
            </w:r>
          </w:p>
        </w:tc>
      </w:tr>
      <w:tr w:rsidR="005F762A" w14:paraId="7268F19D" w14:textId="77777777">
        <w:trPr>
          <w:jc w:val="center"/>
        </w:trPr>
        <w:tc>
          <w:tcPr>
            <w:tcW w:w="0" w:type="auto"/>
            <w:gridSpan w:val="3"/>
            <w:shd w:val="clear" w:color="auto" w:fill="E2E2E2"/>
            <w:tcMar>
              <w:top w:w="40" w:type="dxa"/>
              <w:left w:w="155" w:type="dxa"/>
              <w:bottom w:w="40" w:type="dxa"/>
              <w:right w:w="20" w:type="dxa"/>
            </w:tcMar>
            <w:vAlign w:val="bottom"/>
          </w:tcPr>
          <w:p w14:paraId="7268F18E" w14:textId="77777777" w:rsidR="005F762A" w:rsidRDefault="00D74111">
            <w:pPr>
              <w:textAlignment w:val="bottom"/>
            </w:pPr>
            <w:r>
              <w:rPr>
                <w:rFonts w:ascii="Arial" w:eastAsia="宋体" w:hAnsi="Arial" w:cs="Arial"/>
                <w:color w:val="000000"/>
                <w:sz w:val="16"/>
                <w:szCs w:val="16"/>
              </w:rPr>
              <w:t>Senior notes due 2027</w:t>
            </w:r>
          </w:p>
        </w:tc>
        <w:tc>
          <w:tcPr>
            <w:tcW w:w="0" w:type="auto"/>
            <w:gridSpan w:val="3"/>
            <w:shd w:val="clear" w:color="auto" w:fill="E2E2E2"/>
            <w:tcMar>
              <w:top w:w="0" w:type="dxa"/>
              <w:left w:w="20" w:type="dxa"/>
              <w:bottom w:w="0" w:type="dxa"/>
              <w:right w:w="20" w:type="dxa"/>
            </w:tcMar>
          </w:tcPr>
          <w:p w14:paraId="7268F18F"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F190" w14:textId="77777777" w:rsidR="005F762A" w:rsidRDefault="00D74111">
            <w:pPr>
              <w:textAlignment w:val="bottom"/>
            </w:pPr>
            <w:r>
              <w:rPr>
                <w:rFonts w:ascii="Arial" w:eastAsia="宋体" w:hAnsi="Arial" w:cs="Arial"/>
                <w:color w:val="000000"/>
                <w:sz w:val="16"/>
                <w:szCs w:val="16"/>
              </w:rPr>
              <w:t>3.600%</w:t>
            </w:r>
          </w:p>
        </w:tc>
        <w:tc>
          <w:tcPr>
            <w:tcW w:w="0" w:type="auto"/>
            <w:gridSpan w:val="3"/>
            <w:shd w:val="clear" w:color="auto" w:fill="E2E2E2"/>
            <w:tcMar>
              <w:top w:w="0" w:type="dxa"/>
              <w:left w:w="20" w:type="dxa"/>
              <w:bottom w:w="0" w:type="dxa"/>
              <w:right w:w="20" w:type="dxa"/>
            </w:tcMar>
          </w:tcPr>
          <w:p w14:paraId="7268F19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92" w14:textId="77777777" w:rsidR="005F762A" w:rsidRDefault="00D74111">
            <w:pPr>
              <w:jc w:val="right"/>
              <w:textAlignment w:val="bottom"/>
            </w:pPr>
            <w:r>
              <w:rPr>
                <w:rFonts w:ascii="Arial" w:eastAsia="宋体" w:hAnsi="Arial" w:cs="Arial"/>
                <w:color w:val="000000"/>
                <w:sz w:val="16"/>
                <w:szCs w:val="16"/>
              </w:rPr>
              <w:t>850 </w:t>
            </w:r>
          </w:p>
        </w:tc>
        <w:tc>
          <w:tcPr>
            <w:tcW w:w="0" w:type="auto"/>
            <w:shd w:val="clear" w:color="auto" w:fill="E2E2E2"/>
            <w:tcMar>
              <w:top w:w="40" w:type="dxa"/>
              <w:left w:w="0" w:type="dxa"/>
              <w:bottom w:w="40" w:type="dxa"/>
              <w:right w:w="20" w:type="dxa"/>
            </w:tcMar>
            <w:vAlign w:val="bottom"/>
          </w:tcPr>
          <w:p w14:paraId="7268F19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9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95" w14:textId="77777777" w:rsidR="005F762A" w:rsidRDefault="00D74111">
            <w:pPr>
              <w:jc w:val="right"/>
              <w:textAlignment w:val="bottom"/>
            </w:pPr>
            <w:r>
              <w:rPr>
                <w:rFonts w:ascii="Arial" w:eastAsia="宋体" w:hAnsi="Arial" w:cs="Arial"/>
                <w:color w:val="000000"/>
                <w:sz w:val="16"/>
                <w:szCs w:val="16"/>
              </w:rPr>
              <w:t>3.689 </w:t>
            </w:r>
          </w:p>
        </w:tc>
        <w:tc>
          <w:tcPr>
            <w:tcW w:w="0" w:type="auto"/>
            <w:shd w:val="clear" w:color="auto" w:fill="E2E2E2"/>
            <w:tcMar>
              <w:top w:w="40" w:type="dxa"/>
              <w:left w:w="0" w:type="dxa"/>
              <w:bottom w:w="40" w:type="dxa"/>
              <w:right w:w="20" w:type="dxa"/>
            </w:tcMar>
            <w:vAlign w:val="bottom"/>
          </w:tcPr>
          <w:p w14:paraId="7268F19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19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98" w14:textId="77777777" w:rsidR="005F762A" w:rsidRDefault="00D74111">
            <w:pPr>
              <w:jc w:val="right"/>
              <w:textAlignment w:val="bottom"/>
            </w:pPr>
            <w:r>
              <w:rPr>
                <w:rFonts w:ascii="Arial" w:eastAsia="宋体" w:hAnsi="Arial" w:cs="Arial"/>
                <w:color w:val="000000"/>
                <w:sz w:val="16"/>
                <w:szCs w:val="16"/>
              </w:rPr>
              <w:t>850 </w:t>
            </w:r>
          </w:p>
        </w:tc>
        <w:tc>
          <w:tcPr>
            <w:tcW w:w="0" w:type="auto"/>
            <w:shd w:val="clear" w:color="auto" w:fill="E2E2E2"/>
            <w:tcMar>
              <w:top w:w="40" w:type="dxa"/>
              <w:left w:w="0" w:type="dxa"/>
              <w:bottom w:w="40" w:type="dxa"/>
              <w:right w:w="20" w:type="dxa"/>
            </w:tcMar>
            <w:vAlign w:val="bottom"/>
          </w:tcPr>
          <w:p w14:paraId="7268F19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9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9B" w14:textId="77777777" w:rsidR="005F762A" w:rsidRDefault="00D74111">
            <w:pPr>
              <w:jc w:val="right"/>
              <w:textAlignment w:val="bottom"/>
            </w:pPr>
            <w:r>
              <w:rPr>
                <w:rFonts w:ascii="Arial" w:eastAsia="宋体" w:hAnsi="Arial" w:cs="Arial"/>
                <w:color w:val="000000"/>
                <w:sz w:val="16"/>
                <w:szCs w:val="16"/>
              </w:rPr>
              <w:t>3.689 </w:t>
            </w:r>
          </w:p>
        </w:tc>
        <w:tc>
          <w:tcPr>
            <w:tcW w:w="0" w:type="auto"/>
            <w:shd w:val="clear" w:color="auto" w:fill="E2E2E2"/>
            <w:tcMar>
              <w:top w:w="40" w:type="dxa"/>
              <w:left w:w="0" w:type="dxa"/>
              <w:bottom w:w="40" w:type="dxa"/>
              <w:right w:w="20" w:type="dxa"/>
            </w:tcMar>
            <w:vAlign w:val="bottom"/>
          </w:tcPr>
          <w:p w14:paraId="7268F19C" w14:textId="77777777" w:rsidR="005F762A" w:rsidRDefault="00D74111">
            <w:pPr>
              <w:jc w:val="right"/>
              <w:textAlignment w:val="bottom"/>
            </w:pPr>
            <w:r>
              <w:rPr>
                <w:rFonts w:ascii="Arial" w:eastAsia="宋体" w:hAnsi="Arial" w:cs="Arial"/>
                <w:color w:val="000000"/>
                <w:sz w:val="16"/>
                <w:szCs w:val="16"/>
              </w:rPr>
              <w:t>%</w:t>
            </w:r>
          </w:p>
        </w:tc>
      </w:tr>
      <w:tr w:rsidR="005F762A" w14:paraId="7268F1AD" w14:textId="77777777">
        <w:trPr>
          <w:jc w:val="center"/>
        </w:trPr>
        <w:tc>
          <w:tcPr>
            <w:tcW w:w="0" w:type="auto"/>
            <w:gridSpan w:val="3"/>
            <w:shd w:val="clear" w:color="auto" w:fill="FFFFFF"/>
            <w:tcMar>
              <w:top w:w="40" w:type="dxa"/>
              <w:left w:w="155" w:type="dxa"/>
              <w:bottom w:w="40" w:type="dxa"/>
              <w:right w:w="20" w:type="dxa"/>
            </w:tcMar>
            <w:vAlign w:val="bottom"/>
          </w:tcPr>
          <w:p w14:paraId="7268F19E" w14:textId="77777777" w:rsidR="005F762A" w:rsidRDefault="00D74111">
            <w:pPr>
              <w:textAlignment w:val="bottom"/>
            </w:pPr>
            <w:r>
              <w:rPr>
                <w:rFonts w:ascii="Arial" w:eastAsia="宋体" w:hAnsi="Arial" w:cs="Arial"/>
                <w:color w:val="000000"/>
                <w:sz w:val="16"/>
                <w:szCs w:val="16"/>
              </w:rPr>
              <w:t>Senior notes due 2030</w:t>
            </w:r>
          </w:p>
        </w:tc>
        <w:tc>
          <w:tcPr>
            <w:tcW w:w="0" w:type="auto"/>
            <w:gridSpan w:val="3"/>
            <w:shd w:val="clear" w:color="auto" w:fill="FFFFFF"/>
            <w:tcMar>
              <w:top w:w="0" w:type="dxa"/>
              <w:left w:w="20" w:type="dxa"/>
              <w:bottom w:w="0" w:type="dxa"/>
              <w:right w:w="20" w:type="dxa"/>
            </w:tcMar>
          </w:tcPr>
          <w:p w14:paraId="7268F19F"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1A0" w14:textId="77777777" w:rsidR="005F762A" w:rsidRDefault="00D74111">
            <w:pPr>
              <w:textAlignment w:val="bottom"/>
            </w:pPr>
            <w:r>
              <w:rPr>
                <w:rFonts w:ascii="Arial" w:eastAsia="宋体" w:hAnsi="Arial" w:cs="Arial"/>
                <w:color w:val="000000"/>
                <w:sz w:val="16"/>
                <w:szCs w:val="16"/>
              </w:rPr>
              <w:t>2.700%</w:t>
            </w:r>
          </w:p>
        </w:tc>
        <w:tc>
          <w:tcPr>
            <w:tcW w:w="0" w:type="auto"/>
            <w:gridSpan w:val="3"/>
            <w:shd w:val="clear" w:color="auto" w:fill="FFFFFF"/>
            <w:tcMar>
              <w:top w:w="0" w:type="dxa"/>
              <w:left w:w="20" w:type="dxa"/>
              <w:bottom w:w="0" w:type="dxa"/>
              <w:right w:w="20" w:type="dxa"/>
            </w:tcMar>
          </w:tcPr>
          <w:p w14:paraId="7268F1A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A2" w14:textId="77777777" w:rsidR="005F762A" w:rsidRDefault="00D74111">
            <w:pPr>
              <w:jc w:val="right"/>
              <w:textAlignment w:val="bottom"/>
            </w:pPr>
            <w:r>
              <w:rPr>
                <w:rFonts w:ascii="Arial" w:eastAsia="宋体" w:hAnsi="Arial" w:cs="Arial"/>
                <w:color w:val="000000"/>
                <w:sz w:val="16"/>
                <w:szCs w:val="16"/>
              </w:rPr>
              <w:t>950 </w:t>
            </w:r>
          </w:p>
        </w:tc>
        <w:tc>
          <w:tcPr>
            <w:tcW w:w="0" w:type="auto"/>
            <w:shd w:val="clear" w:color="auto" w:fill="FFFFFF"/>
            <w:tcMar>
              <w:top w:w="40" w:type="dxa"/>
              <w:left w:w="0" w:type="dxa"/>
              <w:bottom w:w="40" w:type="dxa"/>
              <w:right w:w="20" w:type="dxa"/>
            </w:tcMar>
            <w:vAlign w:val="bottom"/>
          </w:tcPr>
          <w:p w14:paraId="7268F1A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A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A5" w14:textId="77777777" w:rsidR="005F762A" w:rsidRDefault="00D74111">
            <w:pPr>
              <w:jc w:val="right"/>
              <w:textAlignment w:val="bottom"/>
            </w:pPr>
            <w:r>
              <w:rPr>
                <w:rFonts w:ascii="Arial" w:eastAsia="宋体" w:hAnsi="Arial" w:cs="Arial"/>
                <w:color w:val="000000"/>
                <w:sz w:val="16"/>
                <w:szCs w:val="16"/>
              </w:rPr>
              <w:t>2.623 </w:t>
            </w:r>
          </w:p>
        </w:tc>
        <w:tc>
          <w:tcPr>
            <w:tcW w:w="0" w:type="auto"/>
            <w:shd w:val="clear" w:color="auto" w:fill="FFFFFF"/>
            <w:tcMar>
              <w:top w:w="40" w:type="dxa"/>
              <w:left w:w="0" w:type="dxa"/>
              <w:bottom w:w="40" w:type="dxa"/>
              <w:right w:w="20" w:type="dxa"/>
            </w:tcMar>
            <w:vAlign w:val="bottom"/>
          </w:tcPr>
          <w:p w14:paraId="7268F1A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1A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A8" w14:textId="77777777" w:rsidR="005F762A" w:rsidRDefault="00D74111">
            <w:pPr>
              <w:jc w:val="right"/>
              <w:textAlignment w:val="bottom"/>
            </w:pPr>
            <w:r>
              <w:rPr>
                <w:rFonts w:ascii="Arial" w:eastAsia="宋体" w:hAnsi="Arial" w:cs="Arial"/>
                <w:color w:val="000000"/>
                <w:sz w:val="16"/>
                <w:szCs w:val="16"/>
              </w:rPr>
              <w:t>950 </w:t>
            </w:r>
          </w:p>
        </w:tc>
        <w:tc>
          <w:tcPr>
            <w:tcW w:w="0" w:type="auto"/>
            <w:shd w:val="clear" w:color="auto" w:fill="FFFFFF"/>
            <w:tcMar>
              <w:top w:w="40" w:type="dxa"/>
              <w:left w:w="0" w:type="dxa"/>
              <w:bottom w:w="40" w:type="dxa"/>
              <w:right w:w="20" w:type="dxa"/>
            </w:tcMar>
            <w:vAlign w:val="bottom"/>
          </w:tcPr>
          <w:p w14:paraId="7268F1A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A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AB" w14:textId="77777777" w:rsidR="005F762A" w:rsidRDefault="00D74111">
            <w:pPr>
              <w:jc w:val="right"/>
              <w:textAlignment w:val="bottom"/>
            </w:pPr>
            <w:r>
              <w:rPr>
                <w:rFonts w:ascii="Arial" w:eastAsia="宋体" w:hAnsi="Arial" w:cs="Arial"/>
                <w:color w:val="000000"/>
                <w:sz w:val="16"/>
                <w:szCs w:val="16"/>
              </w:rPr>
              <w:t>2.623 </w:t>
            </w:r>
          </w:p>
        </w:tc>
        <w:tc>
          <w:tcPr>
            <w:tcW w:w="0" w:type="auto"/>
            <w:shd w:val="clear" w:color="auto" w:fill="FFFFFF"/>
            <w:tcMar>
              <w:top w:w="40" w:type="dxa"/>
              <w:left w:w="0" w:type="dxa"/>
              <w:bottom w:w="40" w:type="dxa"/>
              <w:right w:w="20" w:type="dxa"/>
            </w:tcMar>
            <w:vAlign w:val="bottom"/>
          </w:tcPr>
          <w:p w14:paraId="7268F1AC" w14:textId="77777777" w:rsidR="005F762A" w:rsidRDefault="00D74111">
            <w:pPr>
              <w:jc w:val="right"/>
              <w:textAlignment w:val="bottom"/>
            </w:pPr>
            <w:r>
              <w:rPr>
                <w:rFonts w:ascii="Arial" w:eastAsia="宋体" w:hAnsi="Arial" w:cs="Arial"/>
                <w:color w:val="000000"/>
                <w:sz w:val="16"/>
                <w:szCs w:val="16"/>
              </w:rPr>
              <w:t>%</w:t>
            </w:r>
          </w:p>
        </w:tc>
      </w:tr>
      <w:tr w:rsidR="005F762A" w14:paraId="7268F1BD" w14:textId="77777777">
        <w:trPr>
          <w:jc w:val="center"/>
        </w:trPr>
        <w:tc>
          <w:tcPr>
            <w:tcW w:w="0" w:type="auto"/>
            <w:gridSpan w:val="3"/>
            <w:shd w:val="clear" w:color="auto" w:fill="E2E2E2"/>
            <w:tcMar>
              <w:top w:w="40" w:type="dxa"/>
              <w:left w:w="155" w:type="dxa"/>
              <w:bottom w:w="40" w:type="dxa"/>
              <w:right w:w="20" w:type="dxa"/>
            </w:tcMar>
            <w:vAlign w:val="bottom"/>
          </w:tcPr>
          <w:p w14:paraId="7268F1AE" w14:textId="77777777" w:rsidR="005F762A" w:rsidRDefault="00D74111">
            <w:pPr>
              <w:textAlignment w:val="bottom"/>
            </w:pPr>
            <w:r>
              <w:rPr>
                <w:rFonts w:ascii="Arial" w:eastAsia="宋体" w:hAnsi="Arial" w:cs="Arial"/>
                <w:color w:val="000000"/>
                <w:sz w:val="16"/>
                <w:szCs w:val="16"/>
              </w:rPr>
              <w:t>Seni</w:t>
            </w:r>
            <w:r>
              <w:rPr>
                <w:rFonts w:ascii="Arial" w:eastAsia="宋体" w:hAnsi="Arial" w:cs="Arial"/>
                <w:color w:val="000000"/>
                <w:sz w:val="16"/>
                <w:szCs w:val="16"/>
              </w:rPr>
              <w:t>or notes due 2042</w:t>
            </w:r>
          </w:p>
        </w:tc>
        <w:tc>
          <w:tcPr>
            <w:tcW w:w="0" w:type="auto"/>
            <w:gridSpan w:val="3"/>
            <w:shd w:val="clear" w:color="auto" w:fill="E2E2E2"/>
            <w:tcMar>
              <w:top w:w="0" w:type="dxa"/>
              <w:left w:w="20" w:type="dxa"/>
              <w:bottom w:w="0" w:type="dxa"/>
              <w:right w:w="20" w:type="dxa"/>
            </w:tcMar>
          </w:tcPr>
          <w:p w14:paraId="7268F1AF"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F1B0" w14:textId="77777777" w:rsidR="005F762A" w:rsidRDefault="00D74111">
            <w:pPr>
              <w:textAlignment w:val="bottom"/>
            </w:pPr>
            <w:r>
              <w:rPr>
                <w:rFonts w:ascii="Arial" w:eastAsia="宋体" w:hAnsi="Arial" w:cs="Arial"/>
                <w:color w:val="000000"/>
                <w:sz w:val="16"/>
                <w:szCs w:val="16"/>
              </w:rPr>
              <w:t>4.000%</w:t>
            </w:r>
          </w:p>
        </w:tc>
        <w:tc>
          <w:tcPr>
            <w:tcW w:w="0" w:type="auto"/>
            <w:gridSpan w:val="3"/>
            <w:shd w:val="clear" w:color="auto" w:fill="E2E2E2"/>
            <w:tcMar>
              <w:top w:w="0" w:type="dxa"/>
              <w:left w:w="20" w:type="dxa"/>
              <w:bottom w:w="0" w:type="dxa"/>
              <w:right w:w="20" w:type="dxa"/>
            </w:tcMar>
          </w:tcPr>
          <w:p w14:paraId="7268F1B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B2"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7268F1B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B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B5" w14:textId="77777777" w:rsidR="005F762A" w:rsidRDefault="00D74111">
            <w:pPr>
              <w:jc w:val="right"/>
              <w:textAlignment w:val="bottom"/>
            </w:pPr>
            <w:r>
              <w:rPr>
                <w:rFonts w:ascii="Arial" w:eastAsia="宋体" w:hAnsi="Arial" w:cs="Arial"/>
                <w:color w:val="000000"/>
                <w:sz w:val="16"/>
                <w:szCs w:val="16"/>
              </w:rPr>
              <w:t>4.114 </w:t>
            </w:r>
          </w:p>
        </w:tc>
        <w:tc>
          <w:tcPr>
            <w:tcW w:w="0" w:type="auto"/>
            <w:shd w:val="clear" w:color="auto" w:fill="E2E2E2"/>
            <w:tcMar>
              <w:top w:w="40" w:type="dxa"/>
              <w:left w:w="0" w:type="dxa"/>
              <w:bottom w:w="40" w:type="dxa"/>
              <w:right w:w="20" w:type="dxa"/>
            </w:tcMar>
            <w:vAlign w:val="bottom"/>
          </w:tcPr>
          <w:p w14:paraId="7268F1B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1B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B8"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7268F1B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B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BB" w14:textId="77777777" w:rsidR="005F762A" w:rsidRDefault="00D74111">
            <w:pPr>
              <w:jc w:val="right"/>
              <w:textAlignment w:val="bottom"/>
            </w:pPr>
            <w:r>
              <w:rPr>
                <w:rFonts w:ascii="Arial" w:eastAsia="宋体" w:hAnsi="Arial" w:cs="Arial"/>
                <w:color w:val="000000"/>
                <w:sz w:val="16"/>
                <w:szCs w:val="16"/>
              </w:rPr>
              <w:t>4.114 </w:t>
            </w:r>
          </w:p>
        </w:tc>
        <w:tc>
          <w:tcPr>
            <w:tcW w:w="0" w:type="auto"/>
            <w:shd w:val="clear" w:color="auto" w:fill="E2E2E2"/>
            <w:tcMar>
              <w:top w:w="40" w:type="dxa"/>
              <w:left w:w="0" w:type="dxa"/>
              <w:bottom w:w="40" w:type="dxa"/>
              <w:right w:w="20" w:type="dxa"/>
            </w:tcMar>
            <w:vAlign w:val="bottom"/>
          </w:tcPr>
          <w:p w14:paraId="7268F1BC" w14:textId="77777777" w:rsidR="005F762A" w:rsidRDefault="00D74111">
            <w:pPr>
              <w:jc w:val="right"/>
              <w:textAlignment w:val="bottom"/>
            </w:pPr>
            <w:r>
              <w:rPr>
                <w:rFonts w:ascii="Arial" w:eastAsia="宋体" w:hAnsi="Arial" w:cs="Arial"/>
                <w:color w:val="000000"/>
                <w:sz w:val="16"/>
                <w:szCs w:val="16"/>
              </w:rPr>
              <w:t>%</w:t>
            </w:r>
          </w:p>
        </w:tc>
      </w:tr>
      <w:tr w:rsidR="005F762A" w14:paraId="7268F1CD" w14:textId="77777777">
        <w:trPr>
          <w:jc w:val="center"/>
        </w:trPr>
        <w:tc>
          <w:tcPr>
            <w:tcW w:w="0" w:type="auto"/>
            <w:gridSpan w:val="3"/>
            <w:shd w:val="clear" w:color="auto" w:fill="FFFFFF"/>
            <w:tcMar>
              <w:top w:w="40" w:type="dxa"/>
              <w:left w:w="155" w:type="dxa"/>
              <w:bottom w:w="40" w:type="dxa"/>
              <w:right w:w="20" w:type="dxa"/>
            </w:tcMar>
            <w:vAlign w:val="bottom"/>
          </w:tcPr>
          <w:p w14:paraId="7268F1BE" w14:textId="77777777" w:rsidR="005F762A" w:rsidRDefault="00D74111">
            <w:pPr>
              <w:textAlignment w:val="bottom"/>
            </w:pPr>
            <w:r>
              <w:rPr>
                <w:rFonts w:ascii="Arial" w:eastAsia="宋体" w:hAnsi="Arial" w:cs="Arial"/>
                <w:color w:val="000000"/>
                <w:sz w:val="16"/>
                <w:szCs w:val="16"/>
              </w:rPr>
              <w:t>Senior notes due 2056</w:t>
            </w:r>
          </w:p>
        </w:tc>
        <w:tc>
          <w:tcPr>
            <w:tcW w:w="0" w:type="auto"/>
            <w:gridSpan w:val="3"/>
            <w:shd w:val="clear" w:color="auto" w:fill="FFFFFF"/>
            <w:tcMar>
              <w:top w:w="0" w:type="dxa"/>
              <w:left w:w="20" w:type="dxa"/>
              <w:bottom w:w="0" w:type="dxa"/>
              <w:right w:w="20" w:type="dxa"/>
            </w:tcMar>
          </w:tcPr>
          <w:p w14:paraId="7268F1BF"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1C0" w14:textId="77777777" w:rsidR="005F762A" w:rsidRDefault="00D74111">
            <w:pPr>
              <w:textAlignment w:val="bottom"/>
            </w:pPr>
            <w:r>
              <w:rPr>
                <w:rFonts w:ascii="Arial" w:eastAsia="宋体" w:hAnsi="Arial" w:cs="Arial"/>
                <w:color w:val="000000"/>
                <w:sz w:val="16"/>
                <w:szCs w:val="16"/>
              </w:rPr>
              <w:t>6.000%</w:t>
            </w:r>
          </w:p>
        </w:tc>
        <w:tc>
          <w:tcPr>
            <w:tcW w:w="0" w:type="auto"/>
            <w:gridSpan w:val="3"/>
            <w:shd w:val="clear" w:color="auto" w:fill="FFFFFF"/>
            <w:tcMar>
              <w:top w:w="0" w:type="dxa"/>
              <w:left w:w="20" w:type="dxa"/>
              <w:bottom w:w="0" w:type="dxa"/>
              <w:right w:w="20" w:type="dxa"/>
            </w:tcMar>
          </w:tcPr>
          <w:p w14:paraId="7268F1C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C2"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1C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C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C5"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1C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1C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C8"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7268F1C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C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CB" w14:textId="77777777" w:rsidR="005F762A" w:rsidRDefault="00D74111">
            <w:pPr>
              <w:jc w:val="right"/>
              <w:textAlignment w:val="bottom"/>
            </w:pPr>
            <w:r>
              <w:rPr>
                <w:rFonts w:ascii="Arial" w:eastAsia="宋体" w:hAnsi="Arial" w:cs="Arial"/>
                <w:color w:val="000000"/>
                <w:sz w:val="16"/>
                <w:szCs w:val="16"/>
              </w:rPr>
              <w:t>6.547 </w:t>
            </w:r>
          </w:p>
        </w:tc>
        <w:tc>
          <w:tcPr>
            <w:tcW w:w="0" w:type="auto"/>
            <w:shd w:val="clear" w:color="auto" w:fill="FFFFFF"/>
            <w:tcMar>
              <w:top w:w="40" w:type="dxa"/>
              <w:left w:w="0" w:type="dxa"/>
              <w:bottom w:w="40" w:type="dxa"/>
              <w:right w:w="20" w:type="dxa"/>
            </w:tcMar>
            <w:vAlign w:val="bottom"/>
          </w:tcPr>
          <w:p w14:paraId="7268F1CC" w14:textId="77777777" w:rsidR="005F762A" w:rsidRDefault="00D74111">
            <w:pPr>
              <w:jc w:val="right"/>
              <w:textAlignment w:val="bottom"/>
            </w:pPr>
            <w:r>
              <w:rPr>
                <w:rFonts w:ascii="Arial" w:eastAsia="宋体" w:hAnsi="Arial" w:cs="Arial"/>
                <w:color w:val="000000"/>
                <w:sz w:val="16"/>
                <w:szCs w:val="16"/>
              </w:rPr>
              <w:t>%</w:t>
            </w:r>
          </w:p>
        </w:tc>
      </w:tr>
      <w:tr w:rsidR="005F762A" w14:paraId="7268F1DB" w14:textId="77777777">
        <w:trPr>
          <w:jc w:val="center"/>
        </w:trPr>
        <w:tc>
          <w:tcPr>
            <w:tcW w:w="0" w:type="auto"/>
            <w:gridSpan w:val="3"/>
            <w:shd w:val="clear" w:color="auto" w:fill="E2E2E2"/>
            <w:tcMar>
              <w:top w:w="40" w:type="dxa"/>
              <w:left w:w="380" w:type="dxa"/>
              <w:bottom w:w="40" w:type="dxa"/>
              <w:right w:w="20" w:type="dxa"/>
            </w:tcMar>
            <w:vAlign w:val="bottom"/>
          </w:tcPr>
          <w:p w14:paraId="7268F1CE" w14:textId="77777777" w:rsidR="005F762A" w:rsidRDefault="00D74111">
            <w:pPr>
              <w:textAlignment w:val="bottom"/>
            </w:pPr>
            <w:r>
              <w:rPr>
                <w:rFonts w:ascii="Arial" w:eastAsia="宋体" w:hAnsi="Arial" w:cs="Arial"/>
                <w:color w:val="000000"/>
                <w:sz w:val="16"/>
                <w:szCs w:val="16"/>
              </w:rPr>
              <w:t>Total senior notes</w:t>
            </w:r>
          </w:p>
        </w:tc>
        <w:tc>
          <w:tcPr>
            <w:tcW w:w="0" w:type="auto"/>
            <w:gridSpan w:val="3"/>
            <w:shd w:val="clear" w:color="auto" w:fill="E2E2E2"/>
            <w:tcMar>
              <w:top w:w="0" w:type="dxa"/>
              <w:left w:w="20" w:type="dxa"/>
              <w:bottom w:w="0" w:type="dxa"/>
              <w:right w:w="20" w:type="dxa"/>
            </w:tcMar>
          </w:tcPr>
          <w:p w14:paraId="7268F1C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D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D1"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1D2" w14:textId="77777777" w:rsidR="005F762A" w:rsidRDefault="00D74111">
            <w:pPr>
              <w:jc w:val="right"/>
              <w:textAlignment w:val="bottom"/>
            </w:pPr>
            <w:r>
              <w:rPr>
                <w:rFonts w:ascii="Arial" w:eastAsia="宋体" w:hAnsi="Arial" w:cs="Arial"/>
                <w:color w:val="000000"/>
                <w:sz w:val="16"/>
                <w:szCs w:val="16"/>
              </w:rPr>
              <w:t>6,605 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1D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D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D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D6"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1D7" w14:textId="77777777" w:rsidR="005F762A" w:rsidRDefault="00D74111">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1D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D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DA" w14:textId="77777777" w:rsidR="005F762A" w:rsidRDefault="005F762A">
            <w:pPr>
              <w:rPr>
                <w:rFonts w:ascii="宋体"/>
              </w:rPr>
            </w:pPr>
          </w:p>
        </w:tc>
      </w:tr>
      <w:tr w:rsidR="005F762A" w14:paraId="7268F1E9" w14:textId="77777777">
        <w:trPr>
          <w:jc w:val="center"/>
        </w:trPr>
        <w:tc>
          <w:tcPr>
            <w:tcW w:w="0" w:type="auto"/>
            <w:gridSpan w:val="3"/>
            <w:shd w:val="clear" w:color="auto" w:fill="FFFFFF"/>
            <w:tcMar>
              <w:top w:w="40" w:type="dxa"/>
              <w:left w:w="20" w:type="dxa"/>
              <w:bottom w:w="40" w:type="dxa"/>
              <w:right w:w="20" w:type="dxa"/>
            </w:tcMar>
            <w:vAlign w:val="bottom"/>
          </w:tcPr>
          <w:p w14:paraId="7268F1DC" w14:textId="77777777" w:rsidR="005F762A" w:rsidRDefault="00D74111">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FFFFFF"/>
            <w:tcMar>
              <w:top w:w="0" w:type="dxa"/>
              <w:left w:w="20" w:type="dxa"/>
              <w:bottom w:w="0" w:type="dxa"/>
              <w:right w:w="20" w:type="dxa"/>
            </w:tcMar>
          </w:tcPr>
          <w:p w14:paraId="7268F1D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D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D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E0" w14:textId="77777777" w:rsidR="005F762A" w:rsidRDefault="00D74111">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7268F1E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E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E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E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E5" w14:textId="77777777" w:rsidR="005F762A" w:rsidRDefault="00D74111">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7268F1E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E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E8" w14:textId="77777777" w:rsidR="005F762A" w:rsidRDefault="005F762A">
            <w:pPr>
              <w:rPr>
                <w:rFonts w:ascii="宋体"/>
              </w:rPr>
            </w:pPr>
          </w:p>
        </w:tc>
      </w:tr>
      <w:tr w:rsidR="005F762A" w14:paraId="7268F1F7" w14:textId="77777777">
        <w:trPr>
          <w:jc w:val="center"/>
        </w:trPr>
        <w:tc>
          <w:tcPr>
            <w:tcW w:w="0" w:type="auto"/>
            <w:gridSpan w:val="3"/>
            <w:shd w:val="clear" w:color="auto" w:fill="E2E2E2"/>
            <w:tcMar>
              <w:top w:w="40" w:type="dxa"/>
              <w:left w:w="20" w:type="dxa"/>
              <w:bottom w:w="40" w:type="dxa"/>
              <w:right w:w="20" w:type="dxa"/>
            </w:tcMar>
            <w:vAlign w:val="bottom"/>
          </w:tcPr>
          <w:p w14:paraId="7268F1EA" w14:textId="77777777" w:rsidR="005F762A" w:rsidRDefault="00D74111">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E2E2E2"/>
            <w:tcMar>
              <w:top w:w="0" w:type="dxa"/>
              <w:left w:w="20" w:type="dxa"/>
              <w:bottom w:w="0" w:type="dxa"/>
              <w:right w:w="20" w:type="dxa"/>
            </w:tcMar>
          </w:tcPr>
          <w:p w14:paraId="7268F1E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E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E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EE" w14:textId="77777777" w:rsidR="005F762A" w:rsidRDefault="00D74111">
            <w:pPr>
              <w:jc w:val="right"/>
              <w:textAlignment w:val="bottom"/>
            </w:pPr>
            <w:r>
              <w:rPr>
                <w:rFonts w:ascii="Arial" w:eastAsia="宋体" w:hAnsi="Arial" w:cs="Arial"/>
                <w:color w:val="000000"/>
                <w:sz w:val="16"/>
                <w:szCs w:val="16"/>
              </w:rPr>
              <w:t>(12)</w:t>
            </w:r>
          </w:p>
        </w:tc>
        <w:tc>
          <w:tcPr>
            <w:tcW w:w="0" w:type="auto"/>
            <w:shd w:val="clear" w:color="auto" w:fill="E2E2E2"/>
            <w:tcMar>
              <w:top w:w="40" w:type="dxa"/>
              <w:left w:w="0" w:type="dxa"/>
              <w:bottom w:w="40" w:type="dxa"/>
              <w:right w:w="20" w:type="dxa"/>
            </w:tcMar>
            <w:vAlign w:val="bottom"/>
          </w:tcPr>
          <w:p w14:paraId="7268F1E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F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F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F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1F3" w14:textId="77777777" w:rsidR="005F762A" w:rsidRDefault="00D74111">
            <w:pPr>
              <w:jc w:val="right"/>
              <w:textAlignment w:val="bottom"/>
            </w:pPr>
            <w:r>
              <w:rPr>
                <w:rFonts w:ascii="Arial" w:eastAsia="宋体" w:hAnsi="Arial" w:cs="Arial"/>
                <w:color w:val="000000"/>
                <w:sz w:val="16"/>
                <w:szCs w:val="16"/>
              </w:rPr>
              <w:t>(20)</w:t>
            </w:r>
          </w:p>
        </w:tc>
        <w:tc>
          <w:tcPr>
            <w:tcW w:w="0" w:type="auto"/>
            <w:shd w:val="clear" w:color="auto" w:fill="E2E2E2"/>
            <w:tcMar>
              <w:top w:w="40" w:type="dxa"/>
              <w:left w:w="0" w:type="dxa"/>
              <w:bottom w:w="40" w:type="dxa"/>
              <w:right w:w="20" w:type="dxa"/>
            </w:tcMar>
            <w:vAlign w:val="bottom"/>
          </w:tcPr>
          <w:p w14:paraId="7268F1F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1F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1F6" w14:textId="77777777" w:rsidR="005F762A" w:rsidRDefault="005F762A">
            <w:pPr>
              <w:rPr>
                <w:rFonts w:ascii="宋体"/>
              </w:rPr>
            </w:pPr>
          </w:p>
        </w:tc>
      </w:tr>
      <w:tr w:rsidR="005F762A" w14:paraId="7268F205" w14:textId="77777777">
        <w:trPr>
          <w:jc w:val="center"/>
        </w:trPr>
        <w:tc>
          <w:tcPr>
            <w:tcW w:w="0" w:type="auto"/>
            <w:gridSpan w:val="3"/>
            <w:shd w:val="clear" w:color="auto" w:fill="FFFFFF"/>
            <w:tcMar>
              <w:top w:w="40" w:type="dxa"/>
              <w:left w:w="20" w:type="dxa"/>
              <w:bottom w:w="40" w:type="dxa"/>
              <w:right w:w="20" w:type="dxa"/>
            </w:tcMar>
            <w:vAlign w:val="bottom"/>
          </w:tcPr>
          <w:p w14:paraId="7268F1F8" w14:textId="77777777" w:rsidR="005F762A" w:rsidRDefault="00D74111">
            <w:pPr>
              <w:textAlignment w:val="bottom"/>
            </w:pPr>
            <w:r>
              <w:rPr>
                <w:rFonts w:ascii="Arial" w:eastAsia="宋体" w:hAnsi="Arial" w:cs="Arial"/>
                <w:color w:val="000000"/>
                <w:sz w:val="16"/>
                <w:szCs w:val="16"/>
              </w:rPr>
              <w:t>Other long-term borrowings</w:t>
            </w:r>
          </w:p>
        </w:tc>
        <w:tc>
          <w:tcPr>
            <w:tcW w:w="0" w:type="auto"/>
            <w:gridSpan w:val="3"/>
            <w:shd w:val="clear" w:color="auto" w:fill="FFFFFF"/>
            <w:tcMar>
              <w:top w:w="0" w:type="dxa"/>
              <w:left w:w="20" w:type="dxa"/>
              <w:bottom w:w="0" w:type="dxa"/>
              <w:right w:w="20" w:type="dxa"/>
            </w:tcMar>
          </w:tcPr>
          <w:p w14:paraId="7268F1F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F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F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1FC" w14:textId="77777777" w:rsidR="005F762A" w:rsidRDefault="00D74111">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7268F1F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1F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1F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00" w14:textId="77777777" w:rsidR="005F762A" w:rsidRDefault="005F762A">
            <w:pPr>
              <w:rPr>
                <w:rFonts w:ascii="宋体"/>
              </w:rPr>
            </w:pPr>
          </w:p>
        </w:tc>
        <w:tc>
          <w:tcPr>
            <w:tcW w:w="0" w:type="auto"/>
            <w:gridSpan w:val="2"/>
            <w:shd w:val="clear" w:color="auto" w:fill="auto"/>
            <w:tcMar>
              <w:top w:w="40" w:type="dxa"/>
              <w:left w:w="20" w:type="dxa"/>
              <w:bottom w:w="40" w:type="dxa"/>
              <w:right w:w="0" w:type="dxa"/>
            </w:tcMar>
            <w:vAlign w:val="bottom"/>
          </w:tcPr>
          <w:p w14:paraId="7268F201" w14:textId="77777777" w:rsidR="005F762A" w:rsidRDefault="00D74111">
            <w:pPr>
              <w:jc w:val="right"/>
              <w:textAlignment w:val="bottom"/>
            </w:pPr>
            <w:r>
              <w:rPr>
                <w:rFonts w:ascii="Arial" w:eastAsia="宋体" w:hAnsi="Arial" w:cs="Arial"/>
                <w:color w:val="000000"/>
                <w:sz w:val="16"/>
                <w:szCs w:val="16"/>
              </w:rPr>
              <w:t>5 </w:t>
            </w:r>
          </w:p>
        </w:tc>
        <w:tc>
          <w:tcPr>
            <w:tcW w:w="0" w:type="auto"/>
            <w:shd w:val="clear" w:color="auto" w:fill="auto"/>
            <w:tcMar>
              <w:top w:w="40" w:type="dxa"/>
              <w:left w:w="0" w:type="dxa"/>
              <w:bottom w:w="40" w:type="dxa"/>
              <w:right w:w="20" w:type="dxa"/>
            </w:tcMar>
            <w:vAlign w:val="bottom"/>
          </w:tcPr>
          <w:p w14:paraId="7268F20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0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04" w14:textId="77777777" w:rsidR="005F762A" w:rsidRDefault="005F762A">
            <w:pPr>
              <w:rPr>
                <w:rFonts w:ascii="宋体"/>
              </w:rPr>
            </w:pPr>
          </w:p>
        </w:tc>
      </w:tr>
      <w:tr w:rsidR="005F762A" w14:paraId="7268F213" w14:textId="77777777">
        <w:trPr>
          <w:jc w:val="center"/>
        </w:trPr>
        <w:tc>
          <w:tcPr>
            <w:tcW w:w="0" w:type="auto"/>
            <w:gridSpan w:val="3"/>
            <w:shd w:val="clear" w:color="auto" w:fill="E2E2E2"/>
            <w:tcMar>
              <w:top w:w="40" w:type="dxa"/>
              <w:left w:w="20" w:type="dxa"/>
              <w:bottom w:w="40" w:type="dxa"/>
              <w:right w:w="20" w:type="dxa"/>
            </w:tcMar>
            <w:vAlign w:val="bottom"/>
          </w:tcPr>
          <w:p w14:paraId="7268F206" w14:textId="77777777" w:rsidR="005F762A" w:rsidRDefault="00D74111">
            <w:pPr>
              <w:textAlignment w:val="bottom"/>
            </w:pPr>
            <w:r>
              <w:rPr>
                <w:rFonts w:ascii="Arial" w:eastAsia="宋体" w:hAnsi="Arial" w:cs="Arial"/>
                <w:color w:val="000000"/>
                <w:sz w:val="16"/>
                <w:szCs w:val="16"/>
              </w:rPr>
              <w:t>Less: Current portion of long-term debt</w:t>
            </w:r>
          </w:p>
        </w:tc>
        <w:tc>
          <w:tcPr>
            <w:tcW w:w="0" w:type="auto"/>
            <w:gridSpan w:val="3"/>
            <w:shd w:val="clear" w:color="auto" w:fill="E2E2E2"/>
            <w:tcMar>
              <w:top w:w="0" w:type="dxa"/>
              <w:left w:w="20" w:type="dxa"/>
              <w:bottom w:w="0" w:type="dxa"/>
              <w:right w:w="20" w:type="dxa"/>
            </w:tcMar>
          </w:tcPr>
          <w:p w14:paraId="7268F20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0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09"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0A" w14:textId="77777777" w:rsidR="005F762A" w:rsidRDefault="00D74111">
            <w:pPr>
              <w:jc w:val="right"/>
              <w:textAlignment w:val="bottom"/>
            </w:pPr>
            <w:r>
              <w:rPr>
                <w:rFonts w:ascii="Arial" w:eastAsia="宋体" w:hAnsi="Arial" w:cs="Arial"/>
                <w:color w:val="000000"/>
                <w:sz w:val="16"/>
                <w:szCs w:val="16"/>
              </w:rPr>
              <w:t>(750)</w:t>
            </w:r>
          </w:p>
        </w:tc>
        <w:tc>
          <w:tcPr>
            <w:tcW w:w="0" w:type="auto"/>
            <w:shd w:val="clear" w:color="auto" w:fill="E2E2E2"/>
            <w:tcMar>
              <w:top w:w="40" w:type="dxa"/>
              <w:left w:w="0" w:type="dxa"/>
              <w:bottom w:w="40" w:type="dxa"/>
              <w:right w:w="20" w:type="dxa"/>
            </w:tcMar>
            <w:vAlign w:val="bottom"/>
          </w:tcPr>
          <w:p w14:paraId="7268F20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0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0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0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0F"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7268F21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1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12" w14:textId="77777777" w:rsidR="005F762A" w:rsidRDefault="005F762A">
            <w:pPr>
              <w:rPr>
                <w:rFonts w:ascii="宋体"/>
              </w:rPr>
            </w:pPr>
          </w:p>
        </w:tc>
      </w:tr>
      <w:tr w:rsidR="005F762A" w14:paraId="7268F221" w14:textId="77777777">
        <w:trPr>
          <w:jc w:val="center"/>
        </w:trPr>
        <w:tc>
          <w:tcPr>
            <w:tcW w:w="0" w:type="auto"/>
            <w:gridSpan w:val="3"/>
            <w:shd w:val="clear" w:color="auto" w:fill="FFFFFF"/>
            <w:tcMar>
              <w:top w:w="40" w:type="dxa"/>
              <w:left w:w="380" w:type="dxa"/>
              <w:bottom w:w="40" w:type="dxa"/>
              <w:right w:w="20" w:type="dxa"/>
            </w:tcMar>
            <w:vAlign w:val="bottom"/>
          </w:tcPr>
          <w:p w14:paraId="7268F214" w14:textId="77777777" w:rsidR="005F762A" w:rsidRDefault="00D74111">
            <w:pPr>
              <w:textAlignment w:val="bottom"/>
            </w:pPr>
            <w:r>
              <w:rPr>
                <w:rFonts w:ascii="Arial" w:eastAsia="宋体" w:hAnsi="Arial" w:cs="Arial"/>
                <w:color w:val="000000"/>
                <w:sz w:val="16"/>
                <w:szCs w:val="16"/>
              </w:rPr>
              <w:t xml:space="preserve">Total </w:t>
            </w:r>
            <w:r>
              <w:rPr>
                <w:rFonts w:ascii="Arial" w:eastAsia="宋体" w:hAnsi="Arial" w:cs="Arial"/>
                <w:color w:val="000000"/>
                <w:sz w:val="16"/>
                <w:szCs w:val="16"/>
              </w:rPr>
              <w:t>long-term debt</w:t>
            </w:r>
          </w:p>
        </w:tc>
        <w:tc>
          <w:tcPr>
            <w:tcW w:w="0" w:type="auto"/>
            <w:gridSpan w:val="3"/>
            <w:shd w:val="clear" w:color="auto" w:fill="FFFFFF"/>
            <w:tcMar>
              <w:top w:w="0" w:type="dxa"/>
              <w:left w:w="20" w:type="dxa"/>
              <w:bottom w:w="0" w:type="dxa"/>
              <w:right w:w="20" w:type="dxa"/>
            </w:tcMar>
          </w:tcPr>
          <w:p w14:paraId="7268F21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1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17"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218" w14:textId="77777777" w:rsidR="005F762A" w:rsidRDefault="00D74111">
            <w:pPr>
              <w:jc w:val="right"/>
              <w:textAlignment w:val="bottom"/>
            </w:pPr>
            <w:r>
              <w:rPr>
                <w:rFonts w:ascii="Arial" w:eastAsia="宋体" w:hAnsi="Arial" w:cs="Arial"/>
                <w:color w:val="000000"/>
                <w:sz w:val="16"/>
                <w:szCs w:val="16"/>
              </w:rPr>
              <w:t>5,855 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21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1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1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1C"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21D" w14:textId="77777777" w:rsidR="005F762A" w:rsidRDefault="00D74111">
            <w:pPr>
              <w:jc w:val="right"/>
              <w:textAlignment w:val="bottom"/>
            </w:pPr>
            <w:r>
              <w:rPr>
                <w:rFonts w:ascii="Arial" w:eastAsia="宋体" w:hAnsi="Arial" w:cs="Arial"/>
                <w:color w:val="000000"/>
                <w:sz w:val="16"/>
                <w:szCs w:val="16"/>
              </w:rPr>
              <w:t>7,745 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21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1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20" w14:textId="77777777" w:rsidR="005F762A" w:rsidRDefault="005F762A">
            <w:pPr>
              <w:rPr>
                <w:rFonts w:ascii="宋体"/>
              </w:rPr>
            </w:pPr>
          </w:p>
        </w:tc>
      </w:tr>
      <w:tr w:rsidR="005F762A" w14:paraId="7268F22D" w14:textId="77777777">
        <w:trPr>
          <w:trHeight w:val="240"/>
          <w:jc w:val="center"/>
        </w:trPr>
        <w:tc>
          <w:tcPr>
            <w:tcW w:w="0" w:type="auto"/>
            <w:gridSpan w:val="3"/>
            <w:shd w:val="clear" w:color="auto" w:fill="E2E2E2"/>
            <w:tcMar>
              <w:top w:w="0" w:type="dxa"/>
              <w:left w:w="20" w:type="dxa"/>
              <w:bottom w:w="0" w:type="dxa"/>
              <w:right w:w="20" w:type="dxa"/>
            </w:tcMar>
          </w:tcPr>
          <w:p w14:paraId="7268F22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5"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226"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8"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9"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22A"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2C" w14:textId="77777777" w:rsidR="005F762A" w:rsidRDefault="005F762A">
            <w:pPr>
              <w:rPr>
                <w:rFonts w:ascii="宋体"/>
              </w:rPr>
            </w:pPr>
          </w:p>
        </w:tc>
      </w:tr>
      <w:tr w:rsidR="005F762A" w14:paraId="7268F239" w14:textId="77777777">
        <w:trPr>
          <w:jc w:val="center"/>
        </w:trPr>
        <w:tc>
          <w:tcPr>
            <w:tcW w:w="0" w:type="auto"/>
            <w:gridSpan w:val="3"/>
            <w:shd w:val="clear" w:color="auto" w:fill="FFFFFF"/>
            <w:tcMar>
              <w:top w:w="40" w:type="dxa"/>
              <w:left w:w="20" w:type="dxa"/>
              <w:bottom w:w="40" w:type="dxa"/>
              <w:right w:w="20" w:type="dxa"/>
            </w:tcMar>
            <w:vAlign w:val="bottom"/>
          </w:tcPr>
          <w:p w14:paraId="7268F22E" w14:textId="77777777" w:rsidR="005F762A" w:rsidRDefault="00D74111">
            <w:pPr>
              <w:textAlignment w:val="bottom"/>
            </w:pPr>
            <w:r>
              <w:rPr>
                <w:rFonts w:ascii="Arial" w:eastAsia="宋体" w:hAnsi="Arial" w:cs="Arial"/>
                <w:b/>
                <w:bCs/>
                <w:color w:val="000000"/>
                <w:sz w:val="16"/>
                <w:szCs w:val="16"/>
              </w:rPr>
              <w:t>Short-Term Debt</w:t>
            </w:r>
          </w:p>
        </w:tc>
        <w:tc>
          <w:tcPr>
            <w:tcW w:w="0" w:type="auto"/>
            <w:gridSpan w:val="3"/>
            <w:shd w:val="clear" w:color="auto" w:fill="FFFFFF"/>
            <w:tcMar>
              <w:top w:w="0" w:type="dxa"/>
              <w:left w:w="20" w:type="dxa"/>
              <w:bottom w:w="0" w:type="dxa"/>
              <w:right w:w="20" w:type="dxa"/>
            </w:tcMar>
          </w:tcPr>
          <w:p w14:paraId="7268F22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38" w14:textId="77777777" w:rsidR="005F762A" w:rsidRDefault="005F762A">
            <w:pPr>
              <w:rPr>
                <w:rFonts w:ascii="宋体"/>
              </w:rPr>
            </w:pPr>
          </w:p>
        </w:tc>
      </w:tr>
      <w:tr w:rsidR="005F762A" w14:paraId="7268F247" w14:textId="77777777">
        <w:trPr>
          <w:jc w:val="center"/>
        </w:trPr>
        <w:tc>
          <w:tcPr>
            <w:tcW w:w="0" w:type="auto"/>
            <w:gridSpan w:val="3"/>
            <w:shd w:val="clear" w:color="auto" w:fill="E2E2E2"/>
            <w:tcMar>
              <w:top w:w="40" w:type="dxa"/>
              <w:left w:w="155" w:type="dxa"/>
              <w:bottom w:w="40" w:type="dxa"/>
              <w:right w:w="20" w:type="dxa"/>
            </w:tcMar>
            <w:vAlign w:val="bottom"/>
          </w:tcPr>
          <w:p w14:paraId="7268F23A" w14:textId="77777777" w:rsidR="005F762A" w:rsidRDefault="00D74111">
            <w:pPr>
              <w:textAlignment w:val="bottom"/>
            </w:pPr>
            <w:r>
              <w:rPr>
                <w:rFonts w:ascii="Arial" w:eastAsia="宋体" w:hAnsi="Arial" w:cs="Arial"/>
                <w:color w:val="000000"/>
                <w:sz w:val="16"/>
                <w:szCs w:val="16"/>
              </w:rPr>
              <w:t>Current portion of long-term debt</w:t>
            </w:r>
          </w:p>
        </w:tc>
        <w:tc>
          <w:tcPr>
            <w:tcW w:w="0" w:type="auto"/>
            <w:gridSpan w:val="3"/>
            <w:shd w:val="clear" w:color="auto" w:fill="E2E2E2"/>
            <w:tcMar>
              <w:top w:w="0" w:type="dxa"/>
              <w:left w:w="20" w:type="dxa"/>
              <w:bottom w:w="0" w:type="dxa"/>
              <w:right w:w="20" w:type="dxa"/>
            </w:tcMar>
          </w:tcPr>
          <w:p w14:paraId="7268F23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3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3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3E" w14:textId="77777777" w:rsidR="005F762A" w:rsidRDefault="00D74111">
            <w:pPr>
              <w:jc w:val="right"/>
              <w:textAlignment w:val="bottom"/>
            </w:pPr>
            <w:r>
              <w:rPr>
                <w:rFonts w:ascii="Arial" w:eastAsia="宋体" w:hAnsi="Arial" w:cs="Arial"/>
                <w:color w:val="000000"/>
                <w:sz w:val="16"/>
                <w:szCs w:val="16"/>
              </w:rPr>
              <w:t>750 </w:t>
            </w:r>
          </w:p>
        </w:tc>
        <w:tc>
          <w:tcPr>
            <w:tcW w:w="0" w:type="auto"/>
            <w:shd w:val="clear" w:color="auto" w:fill="E2E2E2"/>
            <w:tcMar>
              <w:top w:w="40" w:type="dxa"/>
              <w:left w:w="0" w:type="dxa"/>
              <w:bottom w:w="40" w:type="dxa"/>
              <w:right w:w="20" w:type="dxa"/>
            </w:tcMar>
            <w:vAlign w:val="bottom"/>
          </w:tcPr>
          <w:p w14:paraId="7268F23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4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4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4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43"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7268F24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4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46" w14:textId="77777777" w:rsidR="005F762A" w:rsidRDefault="005F762A">
            <w:pPr>
              <w:rPr>
                <w:rFonts w:ascii="宋体"/>
              </w:rPr>
            </w:pPr>
          </w:p>
        </w:tc>
      </w:tr>
      <w:tr w:rsidR="005F762A" w14:paraId="7268F253" w14:textId="77777777">
        <w:trPr>
          <w:jc w:val="center"/>
          <w:hidden/>
        </w:trPr>
        <w:tc>
          <w:tcPr>
            <w:tcW w:w="0" w:type="auto"/>
            <w:gridSpan w:val="3"/>
            <w:shd w:val="clear" w:color="auto" w:fill="auto"/>
          </w:tcPr>
          <w:p w14:paraId="7268F248" w14:textId="77777777" w:rsidR="005F762A" w:rsidRDefault="005F762A">
            <w:pPr>
              <w:rPr>
                <w:rFonts w:ascii="宋体"/>
                <w:vanish/>
              </w:rPr>
            </w:pPr>
          </w:p>
        </w:tc>
        <w:tc>
          <w:tcPr>
            <w:tcW w:w="0" w:type="auto"/>
            <w:gridSpan w:val="3"/>
            <w:shd w:val="clear" w:color="auto" w:fill="auto"/>
          </w:tcPr>
          <w:p w14:paraId="7268F249" w14:textId="77777777" w:rsidR="005F762A" w:rsidRDefault="005F762A">
            <w:pPr>
              <w:rPr>
                <w:rFonts w:ascii="宋体"/>
                <w:vanish/>
              </w:rPr>
            </w:pPr>
          </w:p>
        </w:tc>
        <w:tc>
          <w:tcPr>
            <w:tcW w:w="0" w:type="auto"/>
            <w:gridSpan w:val="3"/>
            <w:shd w:val="clear" w:color="auto" w:fill="auto"/>
          </w:tcPr>
          <w:p w14:paraId="7268F24A" w14:textId="77777777" w:rsidR="005F762A" w:rsidRDefault="005F762A">
            <w:pPr>
              <w:rPr>
                <w:rFonts w:ascii="宋体"/>
                <w:vanish/>
              </w:rPr>
            </w:pPr>
          </w:p>
        </w:tc>
        <w:tc>
          <w:tcPr>
            <w:tcW w:w="0" w:type="auto"/>
            <w:gridSpan w:val="3"/>
            <w:shd w:val="clear" w:color="auto" w:fill="auto"/>
          </w:tcPr>
          <w:p w14:paraId="7268F24B" w14:textId="77777777" w:rsidR="005F762A" w:rsidRDefault="005F762A">
            <w:pPr>
              <w:rPr>
                <w:rFonts w:ascii="宋体"/>
                <w:vanish/>
              </w:rPr>
            </w:pPr>
          </w:p>
        </w:tc>
        <w:tc>
          <w:tcPr>
            <w:tcW w:w="0" w:type="auto"/>
            <w:gridSpan w:val="3"/>
            <w:shd w:val="clear" w:color="auto" w:fill="auto"/>
          </w:tcPr>
          <w:p w14:paraId="7268F24C" w14:textId="77777777" w:rsidR="005F762A" w:rsidRDefault="005F762A">
            <w:pPr>
              <w:rPr>
                <w:rFonts w:ascii="宋体"/>
                <w:vanish/>
              </w:rPr>
            </w:pPr>
          </w:p>
        </w:tc>
        <w:tc>
          <w:tcPr>
            <w:tcW w:w="0" w:type="auto"/>
            <w:gridSpan w:val="3"/>
            <w:shd w:val="clear" w:color="auto" w:fill="auto"/>
          </w:tcPr>
          <w:p w14:paraId="7268F24D" w14:textId="77777777" w:rsidR="005F762A" w:rsidRDefault="005F762A">
            <w:pPr>
              <w:rPr>
                <w:rFonts w:ascii="宋体"/>
                <w:vanish/>
              </w:rPr>
            </w:pPr>
          </w:p>
        </w:tc>
        <w:tc>
          <w:tcPr>
            <w:tcW w:w="0" w:type="auto"/>
            <w:gridSpan w:val="3"/>
            <w:shd w:val="clear" w:color="auto" w:fill="auto"/>
          </w:tcPr>
          <w:p w14:paraId="7268F24E" w14:textId="77777777" w:rsidR="005F762A" w:rsidRDefault="005F762A">
            <w:pPr>
              <w:rPr>
                <w:rFonts w:ascii="宋体"/>
                <w:vanish/>
              </w:rPr>
            </w:pPr>
          </w:p>
        </w:tc>
        <w:tc>
          <w:tcPr>
            <w:tcW w:w="0" w:type="auto"/>
            <w:gridSpan w:val="3"/>
            <w:shd w:val="clear" w:color="auto" w:fill="auto"/>
          </w:tcPr>
          <w:p w14:paraId="7268F24F" w14:textId="77777777" w:rsidR="005F762A" w:rsidRDefault="005F762A">
            <w:pPr>
              <w:rPr>
                <w:rFonts w:ascii="宋体"/>
                <w:vanish/>
              </w:rPr>
            </w:pPr>
          </w:p>
        </w:tc>
        <w:tc>
          <w:tcPr>
            <w:tcW w:w="0" w:type="auto"/>
            <w:gridSpan w:val="3"/>
            <w:shd w:val="clear" w:color="auto" w:fill="auto"/>
          </w:tcPr>
          <w:p w14:paraId="7268F250" w14:textId="77777777" w:rsidR="005F762A" w:rsidRDefault="005F762A">
            <w:pPr>
              <w:rPr>
                <w:rFonts w:ascii="宋体"/>
                <w:vanish/>
              </w:rPr>
            </w:pPr>
          </w:p>
        </w:tc>
        <w:tc>
          <w:tcPr>
            <w:tcW w:w="0" w:type="auto"/>
            <w:gridSpan w:val="3"/>
            <w:shd w:val="clear" w:color="auto" w:fill="auto"/>
          </w:tcPr>
          <w:p w14:paraId="7268F251" w14:textId="77777777" w:rsidR="005F762A" w:rsidRDefault="005F762A">
            <w:pPr>
              <w:rPr>
                <w:rFonts w:ascii="宋体"/>
                <w:vanish/>
              </w:rPr>
            </w:pPr>
          </w:p>
        </w:tc>
        <w:tc>
          <w:tcPr>
            <w:tcW w:w="0" w:type="auto"/>
            <w:gridSpan w:val="3"/>
            <w:shd w:val="clear" w:color="auto" w:fill="auto"/>
          </w:tcPr>
          <w:p w14:paraId="7268F252" w14:textId="77777777" w:rsidR="005F762A" w:rsidRDefault="005F762A">
            <w:pPr>
              <w:rPr>
                <w:rFonts w:ascii="宋体"/>
                <w:vanish/>
              </w:rPr>
            </w:pPr>
          </w:p>
        </w:tc>
      </w:tr>
      <w:tr w:rsidR="005F762A" w14:paraId="7268F261" w14:textId="77777777">
        <w:trPr>
          <w:jc w:val="center"/>
        </w:trPr>
        <w:tc>
          <w:tcPr>
            <w:tcW w:w="0" w:type="auto"/>
            <w:gridSpan w:val="3"/>
            <w:shd w:val="clear" w:color="auto" w:fill="FFFFFF"/>
            <w:tcMar>
              <w:top w:w="40" w:type="dxa"/>
              <w:left w:w="155" w:type="dxa"/>
              <w:bottom w:w="40" w:type="dxa"/>
              <w:right w:w="20" w:type="dxa"/>
            </w:tcMar>
            <w:vAlign w:val="bottom"/>
          </w:tcPr>
          <w:p w14:paraId="7268F254" w14:textId="77777777" w:rsidR="005F762A" w:rsidRDefault="00D74111">
            <w:pPr>
              <w:textAlignment w:val="bottom"/>
            </w:pPr>
            <w:r>
              <w:rPr>
                <w:rFonts w:ascii="Arial" w:eastAsia="宋体" w:hAnsi="Arial" w:cs="Arial"/>
                <w:color w:val="000000"/>
                <w:sz w:val="16"/>
                <w:szCs w:val="16"/>
              </w:rPr>
              <w:t>Commercial paper</w:t>
            </w:r>
          </w:p>
        </w:tc>
        <w:tc>
          <w:tcPr>
            <w:tcW w:w="0" w:type="auto"/>
            <w:gridSpan w:val="3"/>
            <w:shd w:val="clear" w:color="auto" w:fill="FFFFFF"/>
            <w:tcMar>
              <w:top w:w="0" w:type="dxa"/>
              <w:left w:w="20" w:type="dxa"/>
              <w:bottom w:w="0" w:type="dxa"/>
              <w:right w:w="20" w:type="dxa"/>
            </w:tcMar>
          </w:tcPr>
          <w:p w14:paraId="7268F25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5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5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258" w14:textId="77777777" w:rsidR="005F762A" w:rsidRDefault="00D74111">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7268F25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5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5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5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25D"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25E"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5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60" w14:textId="77777777" w:rsidR="005F762A" w:rsidRDefault="005F762A">
            <w:pPr>
              <w:rPr>
                <w:rFonts w:ascii="宋体"/>
              </w:rPr>
            </w:pPr>
          </w:p>
        </w:tc>
      </w:tr>
      <w:tr w:rsidR="005F762A" w14:paraId="7268F26D" w14:textId="77777777">
        <w:trPr>
          <w:jc w:val="center"/>
          <w:hidden/>
        </w:trPr>
        <w:tc>
          <w:tcPr>
            <w:tcW w:w="0" w:type="auto"/>
            <w:gridSpan w:val="3"/>
            <w:shd w:val="clear" w:color="auto" w:fill="auto"/>
          </w:tcPr>
          <w:p w14:paraId="7268F262" w14:textId="77777777" w:rsidR="005F762A" w:rsidRDefault="005F762A">
            <w:pPr>
              <w:rPr>
                <w:rFonts w:ascii="宋体"/>
                <w:vanish/>
              </w:rPr>
            </w:pPr>
          </w:p>
        </w:tc>
        <w:tc>
          <w:tcPr>
            <w:tcW w:w="0" w:type="auto"/>
            <w:gridSpan w:val="3"/>
            <w:shd w:val="clear" w:color="auto" w:fill="auto"/>
          </w:tcPr>
          <w:p w14:paraId="7268F263" w14:textId="77777777" w:rsidR="005F762A" w:rsidRDefault="005F762A">
            <w:pPr>
              <w:rPr>
                <w:rFonts w:ascii="宋体"/>
                <w:vanish/>
              </w:rPr>
            </w:pPr>
          </w:p>
        </w:tc>
        <w:tc>
          <w:tcPr>
            <w:tcW w:w="0" w:type="auto"/>
            <w:gridSpan w:val="3"/>
            <w:shd w:val="clear" w:color="auto" w:fill="auto"/>
          </w:tcPr>
          <w:p w14:paraId="7268F264" w14:textId="77777777" w:rsidR="005F762A" w:rsidRDefault="005F762A">
            <w:pPr>
              <w:rPr>
                <w:rFonts w:ascii="宋体"/>
                <w:vanish/>
              </w:rPr>
            </w:pPr>
          </w:p>
        </w:tc>
        <w:tc>
          <w:tcPr>
            <w:tcW w:w="0" w:type="auto"/>
            <w:gridSpan w:val="3"/>
            <w:shd w:val="clear" w:color="auto" w:fill="auto"/>
          </w:tcPr>
          <w:p w14:paraId="7268F265" w14:textId="77777777" w:rsidR="005F762A" w:rsidRDefault="005F762A">
            <w:pPr>
              <w:rPr>
                <w:rFonts w:ascii="宋体"/>
                <w:vanish/>
              </w:rPr>
            </w:pPr>
          </w:p>
        </w:tc>
        <w:tc>
          <w:tcPr>
            <w:tcW w:w="0" w:type="auto"/>
            <w:gridSpan w:val="3"/>
            <w:shd w:val="clear" w:color="auto" w:fill="auto"/>
          </w:tcPr>
          <w:p w14:paraId="7268F266" w14:textId="77777777" w:rsidR="005F762A" w:rsidRDefault="005F762A">
            <w:pPr>
              <w:rPr>
                <w:rFonts w:ascii="宋体"/>
                <w:vanish/>
              </w:rPr>
            </w:pPr>
          </w:p>
        </w:tc>
        <w:tc>
          <w:tcPr>
            <w:tcW w:w="0" w:type="auto"/>
            <w:gridSpan w:val="3"/>
            <w:shd w:val="clear" w:color="auto" w:fill="auto"/>
          </w:tcPr>
          <w:p w14:paraId="7268F267" w14:textId="77777777" w:rsidR="005F762A" w:rsidRDefault="005F762A">
            <w:pPr>
              <w:rPr>
                <w:rFonts w:ascii="宋体"/>
                <w:vanish/>
              </w:rPr>
            </w:pPr>
          </w:p>
        </w:tc>
        <w:tc>
          <w:tcPr>
            <w:tcW w:w="0" w:type="auto"/>
            <w:gridSpan w:val="3"/>
            <w:shd w:val="clear" w:color="auto" w:fill="auto"/>
          </w:tcPr>
          <w:p w14:paraId="7268F268" w14:textId="77777777" w:rsidR="005F762A" w:rsidRDefault="005F762A">
            <w:pPr>
              <w:rPr>
                <w:rFonts w:ascii="宋体"/>
                <w:vanish/>
              </w:rPr>
            </w:pPr>
          </w:p>
        </w:tc>
        <w:tc>
          <w:tcPr>
            <w:tcW w:w="0" w:type="auto"/>
            <w:gridSpan w:val="3"/>
            <w:shd w:val="clear" w:color="auto" w:fill="auto"/>
          </w:tcPr>
          <w:p w14:paraId="7268F269" w14:textId="77777777" w:rsidR="005F762A" w:rsidRDefault="005F762A">
            <w:pPr>
              <w:rPr>
                <w:rFonts w:ascii="宋体"/>
                <w:vanish/>
              </w:rPr>
            </w:pPr>
          </w:p>
        </w:tc>
        <w:tc>
          <w:tcPr>
            <w:tcW w:w="0" w:type="auto"/>
            <w:gridSpan w:val="3"/>
            <w:shd w:val="clear" w:color="auto" w:fill="auto"/>
          </w:tcPr>
          <w:p w14:paraId="7268F26A" w14:textId="77777777" w:rsidR="005F762A" w:rsidRDefault="005F762A">
            <w:pPr>
              <w:rPr>
                <w:rFonts w:ascii="宋体"/>
                <w:vanish/>
              </w:rPr>
            </w:pPr>
          </w:p>
        </w:tc>
        <w:tc>
          <w:tcPr>
            <w:tcW w:w="0" w:type="auto"/>
            <w:gridSpan w:val="3"/>
            <w:shd w:val="clear" w:color="auto" w:fill="auto"/>
          </w:tcPr>
          <w:p w14:paraId="7268F26B" w14:textId="77777777" w:rsidR="005F762A" w:rsidRDefault="005F762A">
            <w:pPr>
              <w:rPr>
                <w:rFonts w:ascii="宋体"/>
                <w:vanish/>
              </w:rPr>
            </w:pPr>
          </w:p>
        </w:tc>
        <w:tc>
          <w:tcPr>
            <w:tcW w:w="0" w:type="auto"/>
            <w:gridSpan w:val="3"/>
            <w:shd w:val="clear" w:color="auto" w:fill="auto"/>
          </w:tcPr>
          <w:p w14:paraId="7268F26C" w14:textId="77777777" w:rsidR="005F762A" w:rsidRDefault="005F762A">
            <w:pPr>
              <w:rPr>
                <w:rFonts w:ascii="宋体"/>
                <w:vanish/>
              </w:rPr>
            </w:pPr>
          </w:p>
        </w:tc>
      </w:tr>
      <w:tr w:rsidR="005F762A" w14:paraId="7268F27B" w14:textId="77777777">
        <w:trPr>
          <w:jc w:val="center"/>
        </w:trPr>
        <w:tc>
          <w:tcPr>
            <w:tcW w:w="0" w:type="auto"/>
            <w:gridSpan w:val="3"/>
            <w:shd w:val="clear" w:color="auto" w:fill="E2E2E2"/>
            <w:tcMar>
              <w:top w:w="40" w:type="dxa"/>
              <w:left w:w="155" w:type="dxa"/>
              <w:bottom w:w="40" w:type="dxa"/>
              <w:right w:w="20" w:type="dxa"/>
            </w:tcMar>
            <w:vAlign w:val="bottom"/>
          </w:tcPr>
          <w:p w14:paraId="7268F26E" w14:textId="77777777" w:rsidR="005F762A" w:rsidRDefault="00D74111">
            <w:pPr>
              <w:textAlignment w:val="bottom"/>
            </w:pPr>
            <w:r>
              <w:rPr>
                <w:rFonts w:ascii="Arial" w:eastAsia="宋体" w:hAnsi="Arial" w:cs="Arial"/>
                <w:color w:val="000000"/>
                <w:sz w:val="16"/>
                <w:szCs w:val="16"/>
              </w:rPr>
              <w:t>Other short-term borrowings</w:t>
            </w:r>
          </w:p>
        </w:tc>
        <w:tc>
          <w:tcPr>
            <w:tcW w:w="0" w:type="auto"/>
            <w:gridSpan w:val="3"/>
            <w:shd w:val="clear" w:color="auto" w:fill="E2E2E2"/>
            <w:tcMar>
              <w:top w:w="0" w:type="dxa"/>
              <w:left w:w="20" w:type="dxa"/>
              <w:bottom w:w="0" w:type="dxa"/>
              <w:right w:w="20" w:type="dxa"/>
            </w:tcMar>
          </w:tcPr>
          <w:p w14:paraId="7268F26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7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7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72" w14:textId="77777777" w:rsidR="005F762A" w:rsidRDefault="00D74111">
            <w:pPr>
              <w:jc w:val="right"/>
              <w:textAlignment w:val="bottom"/>
            </w:pPr>
            <w:r>
              <w:rPr>
                <w:rFonts w:ascii="Arial" w:eastAsia="宋体" w:hAnsi="Arial" w:cs="Arial"/>
                <w:color w:val="000000"/>
                <w:sz w:val="16"/>
                <w:szCs w:val="16"/>
              </w:rPr>
              <w:t>22 </w:t>
            </w:r>
          </w:p>
        </w:tc>
        <w:tc>
          <w:tcPr>
            <w:tcW w:w="0" w:type="auto"/>
            <w:shd w:val="clear" w:color="auto" w:fill="E2E2E2"/>
            <w:tcMar>
              <w:top w:w="40" w:type="dxa"/>
              <w:left w:w="0" w:type="dxa"/>
              <w:bottom w:w="40" w:type="dxa"/>
              <w:right w:w="20" w:type="dxa"/>
            </w:tcMar>
            <w:vAlign w:val="bottom"/>
          </w:tcPr>
          <w:p w14:paraId="7268F27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74"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75"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7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277" w14:textId="77777777" w:rsidR="005F762A" w:rsidRDefault="00D74111">
            <w:pPr>
              <w:jc w:val="right"/>
              <w:textAlignment w:val="bottom"/>
            </w:pPr>
            <w:r>
              <w:rPr>
                <w:rFonts w:ascii="Arial" w:eastAsia="宋体" w:hAnsi="Arial" w:cs="Arial"/>
                <w:color w:val="000000"/>
                <w:sz w:val="16"/>
                <w:szCs w:val="16"/>
              </w:rPr>
              <w:t>18 </w:t>
            </w:r>
          </w:p>
        </w:tc>
        <w:tc>
          <w:tcPr>
            <w:tcW w:w="0" w:type="auto"/>
            <w:shd w:val="clear" w:color="auto" w:fill="E2E2E2"/>
            <w:tcMar>
              <w:top w:w="40" w:type="dxa"/>
              <w:left w:w="0" w:type="dxa"/>
              <w:bottom w:w="40" w:type="dxa"/>
              <w:right w:w="20" w:type="dxa"/>
            </w:tcMar>
            <w:vAlign w:val="bottom"/>
          </w:tcPr>
          <w:p w14:paraId="7268F27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79"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7A" w14:textId="77777777" w:rsidR="005F762A" w:rsidRDefault="005F762A">
            <w:pPr>
              <w:rPr>
                <w:rFonts w:ascii="宋体"/>
              </w:rPr>
            </w:pPr>
          </w:p>
        </w:tc>
      </w:tr>
      <w:tr w:rsidR="005F762A" w14:paraId="7268F289" w14:textId="77777777">
        <w:trPr>
          <w:jc w:val="center"/>
        </w:trPr>
        <w:tc>
          <w:tcPr>
            <w:tcW w:w="0" w:type="auto"/>
            <w:gridSpan w:val="3"/>
            <w:shd w:val="clear" w:color="auto" w:fill="FFFFFF"/>
            <w:tcMar>
              <w:top w:w="40" w:type="dxa"/>
              <w:left w:w="380" w:type="dxa"/>
              <w:bottom w:w="40" w:type="dxa"/>
              <w:right w:w="20" w:type="dxa"/>
            </w:tcMar>
            <w:vAlign w:val="bottom"/>
          </w:tcPr>
          <w:p w14:paraId="7268F27C" w14:textId="77777777" w:rsidR="005F762A" w:rsidRDefault="00D74111">
            <w:pPr>
              <w:textAlignment w:val="bottom"/>
            </w:pPr>
            <w:r>
              <w:rPr>
                <w:rFonts w:ascii="Arial" w:eastAsia="宋体" w:hAnsi="Arial" w:cs="Arial"/>
                <w:color w:val="000000"/>
                <w:sz w:val="16"/>
                <w:szCs w:val="16"/>
              </w:rPr>
              <w:t xml:space="preserve">Total </w:t>
            </w:r>
            <w:r>
              <w:rPr>
                <w:rFonts w:ascii="Arial" w:eastAsia="宋体" w:hAnsi="Arial" w:cs="Arial"/>
                <w:color w:val="000000"/>
                <w:sz w:val="16"/>
                <w:szCs w:val="16"/>
              </w:rPr>
              <w:t>short-term debt</w:t>
            </w:r>
          </w:p>
        </w:tc>
        <w:tc>
          <w:tcPr>
            <w:tcW w:w="0" w:type="auto"/>
            <w:gridSpan w:val="3"/>
            <w:shd w:val="clear" w:color="auto" w:fill="FFFFFF"/>
            <w:tcMar>
              <w:top w:w="0" w:type="dxa"/>
              <w:left w:w="20" w:type="dxa"/>
              <w:bottom w:w="0" w:type="dxa"/>
              <w:right w:w="20" w:type="dxa"/>
            </w:tcMar>
          </w:tcPr>
          <w:p w14:paraId="7268F27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7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7F"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280" w14:textId="77777777" w:rsidR="005F762A" w:rsidRDefault="00D74111">
            <w:pPr>
              <w:jc w:val="right"/>
              <w:textAlignment w:val="bottom"/>
            </w:pPr>
            <w:r>
              <w:rPr>
                <w:rFonts w:ascii="Arial" w:eastAsia="宋体" w:hAnsi="Arial" w:cs="Arial"/>
                <w:color w:val="000000"/>
                <w:sz w:val="16"/>
                <w:szCs w:val="16"/>
              </w:rPr>
              <w:t>1,172 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28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8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8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84"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285" w14:textId="77777777" w:rsidR="005F762A" w:rsidRDefault="00D74111">
            <w:pPr>
              <w:jc w:val="right"/>
              <w:textAlignment w:val="bottom"/>
            </w:pPr>
            <w:r>
              <w:rPr>
                <w:rFonts w:ascii="Arial" w:eastAsia="宋体" w:hAnsi="Arial" w:cs="Arial"/>
                <w:color w:val="000000"/>
                <w:sz w:val="16"/>
                <w:szCs w:val="16"/>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28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8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288" w14:textId="77777777" w:rsidR="005F762A" w:rsidRDefault="005F762A">
            <w:pPr>
              <w:rPr>
                <w:rFonts w:ascii="宋体"/>
              </w:rPr>
            </w:pPr>
          </w:p>
        </w:tc>
      </w:tr>
      <w:tr w:rsidR="005F762A" w14:paraId="7268F299" w14:textId="77777777">
        <w:trPr>
          <w:jc w:val="center"/>
        </w:trPr>
        <w:tc>
          <w:tcPr>
            <w:tcW w:w="0" w:type="auto"/>
            <w:gridSpan w:val="3"/>
            <w:shd w:val="clear" w:color="auto" w:fill="E2E2E2"/>
            <w:tcMar>
              <w:top w:w="40" w:type="dxa"/>
              <w:left w:w="155" w:type="dxa"/>
              <w:bottom w:w="40" w:type="dxa"/>
              <w:right w:w="20" w:type="dxa"/>
            </w:tcMar>
            <w:vAlign w:val="bottom"/>
          </w:tcPr>
          <w:p w14:paraId="7268F28A" w14:textId="77777777" w:rsidR="005F762A" w:rsidRDefault="00D74111">
            <w:pPr>
              <w:textAlignment w:val="bottom"/>
            </w:pPr>
            <w:r>
              <w:rPr>
                <w:rFonts w:ascii="Arial" w:eastAsia="宋体" w:hAnsi="Arial" w:cs="Arial"/>
                <w:b/>
                <w:bCs/>
                <w:color w:val="000000"/>
                <w:sz w:val="16"/>
                <w:szCs w:val="16"/>
              </w:rPr>
              <w:t>Total Debt</w:t>
            </w:r>
          </w:p>
        </w:tc>
        <w:tc>
          <w:tcPr>
            <w:tcW w:w="0" w:type="auto"/>
            <w:gridSpan w:val="3"/>
            <w:shd w:val="clear" w:color="auto" w:fill="E2E2E2"/>
            <w:tcMar>
              <w:top w:w="0" w:type="dxa"/>
              <w:left w:w="20" w:type="dxa"/>
              <w:bottom w:w="0" w:type="dxa"/>
              <w:right w:w="20" w:type="dxa"/>
            </w:tcMar>
          </w:tcPr>
          <w:p w14:paraId="7268F28B"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8C"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8D"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28E"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28F" w14:textId="77777777" w:rsidR="005F762A" w:rsidRDefault="00D74111">
            <w:pPr>
              <w:jc w:val="right"/>
              <w:textAlignment w:val="bottom"/>
            </w:pPr>
            <w:r>
              <w:rPr>
                <w:rFonts w:ascii="Arial" w:eastAsia="宋体" w:hAnsi="Arial" w:cs="Arial"/>
                <w:color w:val="000000"/>
                <w:sz w:val="16"/>
                <w:szCs w:val="16"/>
              </w:rPr>
              <w:t>7,027 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29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9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9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93"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294"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295" w14:textId="77777777" w:rsidR="005F762A" w:rsidRDefault="00D74111">
            <w:pPr>
              <w:jc w:val="right"/>
              <w:textAlignment w:val="bottom"/>
            </w:pPr>
            <w:r>
              <w:rPr>
                <w:rFonts w:ascii="Arial" w:eastAsia="宋体" w:hAnsi="Arial" w:cs="Arial"/>
                <w:color w:val="000000"/>
                <w:sz w:val="16"/>
                <w:szCs w:val="16"/>
              </w:rPr>
              <w:t>7,763 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29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297"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298" w14:textId="77777777" w:rsidR="005F762A" w:rsidRDefault="005F762A">
            <w:pPr>
              <w:rPr>
                <w:rFonts w:ascii="宋体"/>
              </w:rPr>
            </w:pPr>
          </w:p>
        </w:tc>
      </w:tr>
    </w:tbl>
    <w:p w14:paraId="7268F29A" w14:textId="77777777" w:rsidR="005F762A" w:rsidRDefault="00D74111">
      <w:pPr>
        <w:spacing w:before="80"/>
        <w:ind w:hanging="270"/>
      </w:pPr>
      <w:r>
        <w:rPr>
          <w:rFonts w:ascii="Arial" w:eastAsia="宋体" w:hAnsi="Arial" w:cs="Arial"/>
          <w:color w:val="000000"/>
          <w:sz w:val="16"/>
          <w:szCs w:val="16"/>
        </w:rPr>
        <w:t>(1)    Includes the fair value adjustments to debt associated with terminated interest rate swaps which are being recorded as a reduction to interest expense over the remaining term of the related notes.</w:t>
      </w:r>
    </w:p>
    <w:p w14:paraId="7268F29B" w14:textId="77777777" w:rsidR="005F762A" w:rsidRDefault="005F762A">
      <w:pPr>
        <w:ind w:hanging="270"/>
      </w:pPr>
    </w:p>
    <w:p w14:paraId="7268F29C" w14:textId="77777777" w:rsidR="005F762A" w:rsidRDefault="00D74111">
      <w:pPr>
        <w:ind w:firstLine="270"/>
      </w:pPr>
      <w:r>
        <w:rPr>
          <w:rFonts w:ascii="Arial" w:eastAsia="宋体" w:hAnsi="Arial" w:cs="Arial"/>
          <w:b/>
          <w:bCs/>
          <w:i/>
          <w:iCs/>
          <w:color w:val="000000"/>
          <w:sz w:val="20"/>
          <w:szCs w:val="20"/>
        </w:rPr>
        <w:t>S</w:t>
      </w:r>
      <w:r>
        <w:rPr>
          <w:rFonts w:ascii="Arial" w:eastAsia="宋体" w:hAnsi="Arial" w:cs="Arial"/>
          <w:b/>
          <w:bCs/>
          <w:i/>
          <w:iCs/>
          <w:color w:val="000000"/>
          <w:sz w:val="20"/>
          <w:szCs w:val="20"/>
        </w:rPr>
        <w:t xml:space="preserve">enior Notes </w:t>
      </w:r>
    </w:p>
    <w:p w14:paraId="7268F29D" w14:textId="77777777" w:rsidR="005F762A" w:rsidRDefault="005F762A">
      <w:pPr>
        <w:ind w:firstLine="270"/>
      </w:pPr>
    </w:p>
    <w:p w14:paraId="7268F29E" w14:textId="77777777" w:rsidR="005F762A" w:rsidRDefault="00D74111">
      <w:pPr>
        <w:ind w:firstLine="540"/>
        <w:jc w:val="both"/>
      </w:pPr>
      <w:r>
        <w:rPr>
          <w:rFonts w:ascii="Arial" w:eastAsia="宋体" w:hAnsi="Arial" w:cs="Arial"/>
          <w:color w:val="000000"/>
          <w:sz w:val="20"/>
          <w:szCs w:val="20"/>
        </w:rPr>
        <w:t>On January 29, 2021, the company announced that it issued a notice of redemption for the $750 million aggregate principal amount of the 6.000% senior notes due 2056. The effective date of this redemption was March 1, 2021. Total cash consider</w:t>
      </w:r>
      <w:r>
        <w:rPr>
          <w:rFonts w:ascii="Arial" w:eastAsia="宋体" w:hAnsi="Arial" w:cs="Arial"/>
          <w:color w:val="000000"/>
          <w:sz w:val="20"/>
          <w:szCs w:val="20"/>
        </w:rPr>
        <w:t>ation paid was $750 million, as the redemption price was equal to 100% of the principal amount. In addition, we paid accrued and unpaid interest on the principal amount.</w:t>
      </w:r>
    </w:p>
    <w:p w14:paraId="7268F29F" w14:textId="77777777" w:rsidR="005F762A" w:rsidRDefault="005F762A">
      <w:pPr>
        <w:ind w:firstLine="540"/>
        <w:jc w:val="both"/>
      </w:pPr>
    </w:p>
    <w:p w14:paraId="7268F2A0" w14:textId="77777777" w:rsidR="005F762A" w:rsidRDefault="005F762A">
      <w:pPr>
        <w:jc w:val="center"/>
      </w:pPr>
    </w:p>
    <w:p w14:paraId="7268F2A1" w14:textId="77777777" w:rsidR="005F762A" w:rsidRDefault="00D74111">
      <w:pPr>
        <w:jc w:val="center"/>
      </w:pPr>
      <w:r>
        <w:rPr>
          <w:rFonts w:ascii="Arial" w:eastAsia="宋体" w:hAnsi="Arial" w:cs="Arial"/>
          <w:color w:val="000000"/>
          <w:sz w:val="20"/>
          <w:szCs w:val="20"/>
        </w:rPr>
        <w:t>22</w:t>
      </w:r>
    </w:p>
    <w:p w14:paraId="7268F2A2" w14:textId="77777777" w:rsidR="005F762A" w:rsidRDefault="00D74111">
      <w:r>
        <w:pict w14:anchorId="72690155">
          <v:rect id="_x0000_i1046" style="width:415.3pt;height:1.5pt" o:hralign="center" o:hrstd="t" o:hr="t" fillcolor="#a0a0a0" stroked="f"/>
        </w:pict>
      </w:r>
    </w:p>
    <w:p w14:paraId="7268F2A3" w14:textId="77777777" w:rsidR="005F762A" w:rsidRDefault="005F762A">
      <w:pPr>
        <w:jc w:val="center"/>
      </w:pPr>
    </w:p>
    <w:p w14:paraId="7268F2A4" w14:textId="77777777" w:rsidR="005F762A" w:rsidRDefault="00D74111">
      <w:pPr>
        <w:jc w:val="center"/>
      </w:pPr>
      <w:r>
        <w:rPr>
          <w:rFonts w:ascii="Arial" w:eastAsia="宋体" w:hAnsi="Arial" w:cs="Arial"/>
          <w:b/>
          <w:bCs/>
          <w:color w:val="000000"/>
          <w:sz w:val="20"/>
          <w:szCs w:val="20"/>
        </w:rPr>
        <w:t>eBay Inc.</w:t>
      </w:r>
    </w:p>
    <w:p w14:paraId="7268F2A5" w14:textId="77777777" w:rsidR="005F762A" w:rsidRDefault="00D74111">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7268F2A6" w14:textId="77777777" w:rsidR="005F762A" w:rsidRDefault="00D74111">
      <w:pPr>
        <w:ind w:firstLine="540"/>
      </w:pPr>
      <w:r>
        <w:rPr>
          <w:rFonts w:ascii="Arial" w:eastAsia="宋体" w:hAnsi="Arial" w:cs="Arial"/>
          <w:color w:val="000000"/>
          <w:sz w:val="20"/>
          <w:szCs w:val="20"/>
        </w:rPr>
        <w:t>In March 2021, we settled cash tender offers with holders of approximately 39% of the total outstanding $1 billion aggregate principal amount of the 2.600% senior fixed rate notes due 2022. Total cash consideration paid for these pur</w:t>
      </w:r>
      <w:r>
        <w:rPr>
          <w:rFonts w:ascii="Arial" w:eastAsia="宋体" w:hAnsi="Arial" w:cs="Arial"/>
          <w:color w:val="000000"/>
          <w:sz w:val="20"/>
          <w:szCs w:val="20"/>
        </w:rPr>
        <w:t>chases was $405 million and the carrying amount of the notes was $395 million, resulting in a loss on extinguishment of $10 million (including immaterial fees and other costs associated with the tender), which was recorded in interest and other, net in our</w:t>
      </w:r>
      <w:r>
        <w:rPr>
          <w:rFonts w:ascii="Arial" w:eastAsia="宋体" w:hAnsi="Arial" w:cs="Arial"/>
          <w:color w:val="000000"/>
          <w:sz w:val="20"/>
          <w:szCs w:val="20"/>
        </w:rPr>
        <w:t xml:space="preserve"> condensed consolidated statement of income. In addition, we paid any accrued interest on the tendered notes up to, but not including the date of settlement.</w:t>
      </w:r>
    </w:p>
    <w:p w14:paraId="7268F2A7" w14:textId="77777777" w:rsidR="005F762A" w:rsidRDefault="005F762A">
      <w:pPr>
        <w:jc w:val="both"/>
      </w:pPr>
    </w:p>
    <w:p w14:paraId="7268F2A8" w14:textId="77777777" w:rsidR="005F762A" w:rsidRDefault="00D74111">
      <w:pPr>
        <w:ind w:firstLine="540"/>
        <w:jc w:val="both"/>
      </w:pPr>
      <w:r>
        <w:rPr>
          <w:rFonts w:ascii="Arial" w:eastAsia="宋体" w:hAnsi="Arial" w:cs="Arial"/>
          <w:color w:val="000000"/>
          <w:sz w:val="20"/>
          <w:szCs w:val="20"/>
        </w:rPr>
        <w:t>None of the floating rate notes are redeemable prior to maturity. We may redeem some or all of th</w:t>
      </w:r>
      <w:r>
        <w:rPr>
          <w:rFonts w:ascii="Arial" w:eastAsia="宋体" w:hAnsi="Arial" w:cs="Arial"/>
          <w:color w:val="000000"/>
          <w:sz w:val="20"/>
          <w:szCs w:val="20"/>
        </w:rPr>
        <w:t xml:space="preserve">e other fixed rate notes of each series at any time and from time to time prior to their maturity, generally at a make-whole redemption price, plus accrued and unpaid interest. </w:t>
      </w:r>
    </w:p>
    <w:p w14:paraId="7268F2A9" w14:textId="77777777" w:rsidR="005F762A" w:rsidRDefault="005F762A">
      <w:pPr>
        <w:ind w:firstLine="540"/>
        <w:jc w:val="both"/>
      </w:pPr>
    </w:p>
    <w:p w14:paraId="7268F2AA" w14:textId="77777777" w:rsidR="005F762A" w:rsidRDefault="00D74111">
      <w:pPr>
        <w:ind w:firstLine="540"/>
        <w:jc w:val="both"/>
      </w:pPr>
      <w:r>
        <w:rPr>
          <w:rFonts w:ascii="Arial" w:eastAsia="宋体" w:hAnsi="Arial" w:cs="Arial"/>
          <w:color w:val="000000"/>
          <w:sz w:val="20"/>
          <w:szCs w:val="20"/>
        </w:rPr>
        <w:t xml:space="preserve">If a change of control triggering event (as defined in the applicable senior </w:t>
      </w:r>
      <w:r>
        <w:rPr>
          <w:rFonts w:ascii="Arial" w:eastAsia="宋体" w:hAnsi="Arial" w:cs="Arial"/>
          <w:color w:val="000000"/>
          <w:sz w:val="20"/>
          <w:szCs w:val="20"/>
        </w:rPr>
        <w:t xml:space="preserve">notes) occurs with respect to the 3.800% fixed rate notes due 2022, the floating rate notes due 2023, the 2.750% fixed rate notes due 2023, the 1.900% fixed rate notes due 2025, the 3.600% fixed rate notes due 2027 or the 2.700% fixed rate notes due 2030, </w:t>
      </w:r>
      <w:r>
        <w:rPr>
          <w:rFonts w:ascii="Arial" w:eastAsia="宋体" w:hAnsi="Arial" w:cs="Arial"/>
          <w:color w:val="000000"/>
          <w:sz w:val="20"/>
          <w:szCs w:val="20"/>
        </w:rPr>
        <w:t>we must, subject to certain exceptions, offer to repurchase all of the notes of the applicable series at a price equal to 101% of the principal amount, plus accrued and unpaid interest.</w:t>
      </w:r>
    </w:p>
    <w:p w14:paraId="7268F2AB" w14:textId="77777777" w:rsidR="005F762A" w:rsidRDefault="005F762A">
      <w:pPr>
        <w:ind w:firstLine="540"/>
        <w:jc w:val="both"/>
      </w:pPr>
    </w:p>
    <w:p w14:paraId="7268F2AC" w14:textId="77777777" w:rsidR="005F762A" w:rsidRDefault="00D74111">
      <w:pPr>
        <w:ind w:firstLine="540"/>
        <w:jc w:val="both"/>
      </w:pPr>
      <w:r>
        <w:rPr>
          <w:rFonts w:ascii="Arial" w:eastAsia="宋体" w:hAnsi="Arial" w:cs="Arial"/>
          <w:color w:val="000000"/>
          <w:sz w:val="20"/>
          <w:szCs w:val="20"/>
        </w:rPr>
        <w:t>The indenture pursuant to which the senior notes were issued includes</w:t>
      </w:r>
      <w:r>
        <w:rPr>
          <w:rFonts w:ascii="Arial" w:eastAsia="宋体" w:hAnsi="Arial" w:cs="Arial"/>
          <w:color w:val="000000"/>
          <w:sz w:val="20"/>
          <w:szCs w:val="20"/>
        </w:rPr>
        <w:t xml:space="preserve"> customary covenants that, among other things and subject to exceptions, limit our ability to incur, assume or guarantee debt secured by liens on specified assets or enter into sale and lease-back transactions with respect to specified properties, and also</w:t>
      </w:r>
      <w:r>
        <w:rPr>
          <w:rFonts w:ascii="Arial" w:eastAsia="宋体" w:hAnsi="Arial" w:cs="Arial"/>
          <w:color w:val="000000"/>
          <w:sz w:val="20"/>
          <w:szCs w:val="20"/>
        </w:rPr>
        <w:t xml:space="preserve"> includes customary events of default with customary grace periods in certain circumstances, including payment defaults and bankruptcy-related defaults. </w:t>
      </w:r>
    </w:p>
    <w:p w14:paraId="7268F2AD" w14:textId="77777777" w:rsidR="005F762A" w:rsidRDefault="005F762A">
      <w:pPr>
        <w:ind w:firstLine="540"/>
        <w:jc w:val="both"/>
      </w:pPr>
    </w:p>
    <w:p w14:paraId="7268F2AE" w14:textId="77777777" w:rsidR="005F762A" w:rsidRDefault="00D74111">
      <w:pPr>
        <w:ind w:firstLine="540"/>
        <w:jc w:val="both"/>
      </w:pPr>
      <w:r>
        <w:rPr>
          <w:rFonts w:ascii="Arial" w:eastAsia="宋体" w:hAnsi="Arial" w:cs="Arial"/>
          <w:color w:val="000000"/>
          <w:sz w:val="20"/>
          <w:szCs w:val="20"/>
        </w:rPr>
        <w:t>To help achieve our interest rate risk management objectives, during the second quarter of 2020, we e</w:t>
      </w:r>
      <w:r>
        <w:rPr>
          <w:rFonts w:ascii="Arial" w:eastAsia="宋体" w:hAnsi="Arial" w:cs="Arial"/>
          <w:color w:val="000000"/>
          <w:sz w:val="20"/>
          <w:szCs w:val="20"/>
        </w:rPr>
        <w:t>ntered into interest rate swap agreements that effectively converted $400 million of our LIBOR-based floating-rate debt to a fixed-rate basis. These swaps were designated as cash flow hedges and have maturity dates in 2023.</w:t>
      </w:r>
    </w:p>
    <w:p w14:paraId="7268F2AF" w14:textId="77777777" w:rsidR="005F762A" w:rsidRDefault="005F762A">
      <w:pPr>
        <w:ind w:firstLine="540"/>
        <w:jc w:val="both"/>
      </w:pPr>
    </w:p>
    <w:p w14:paraId="7268F2B0" w14:textId="77777777" w:rsidR="005F762A" w:rsidRDefault="00D74111">
      <w:pPr>
        <w:ind w:firstLine="540"/>
        <w:jc w:val="both"/>
      </w:pPr>
      <w:r>
        <w:rPr>
          <w:rFonts w:ascii="Arial" w:eastAsia="宋体" w:hAnsi="Arial" w:cs="Arial"/>
          <w:color w:val="000000"/>
          <w:sz w:val="20"/>
          <w:szCs w:val="20"/>
        </w:rPr>
        <w:t>The effective interest rates fo</w:t>
      </w:r>
      <w:r>
        <w:rPr>
          <w:rFonts w:ascii="Arial" w:eastAsia="宋体" w:hAnsi="Arial" w:cs="Arial"/>
          <w:color w:val="000000"/>
          <w:sz w:val="20"/>
          <w:szCs w:val="20"/>
        </w:rPr>
        <w:t>r our senior notes include the interest payable, the amortization of debt issuance costs and the amortization of any original issue discount and premium on these senior notes. Interest on these senior notes is payable either quarterly or semiannually. Inte</w:t>
      </w:r>
      <w:r>
        <w:rPr>
          <w:rFonts w:ascii="Arial" w:eastAsia="宋体" w:hAnsi="Arial" w:cs="Arial"/>
          <w:color w:val="000000"/>
          <w:sz w:val="20"/>
          <w:szCs w:val="20"/>
        </w:rPr>
        <w:t xml:space="preserve">rest expense associated with these senior notes, including amortization of debt issuance costs, was approximately $66 million and $70 million during the three months ended March 31, 2021 and 2020, respectively. </w:t>
      </w:r>
    </w:p>
    <w:p w14:paraId="7268F2B1" w14:textId="77777777" w:rsidR="005F762A" w:rsidRDefault="005F762A">
      <w:pPr>
        <w:ind w:firstLine="540"/>
        <w:jc w:val="both"/>
      </w:pPr>
    </w:p>
    <w:p w14:paraId="7268F2B2" w14:textId="77777777" w:rsidR="005F762A" w:rsidRDefault="00D74111">
      <w:pPr>
        <w:ind w:firstLine="540"/>
        <w:jc w:val="both"/>
      </w:pPr>
      <w:r>
        <w:rPr>
          <w:rFonts w:ascii="Arial" w:eastAsia="宋体" w:hAnsi="Arial" w:cs="Arial"/>
          <w:color w:val="000000"/>
          <w:sz w:val="20"/>
          <w:szCs w:val="20"/>
        </w:rPr>
        <w:t>As of March 31, 2021 and December 31, 2020,</w:t>
      </w:r>
      <w:r>
        <w:rPr>
          <w:rFonts w:ascii="Arial" w:eastAsia="宋体" w:hAnsi="Arial" w:cs="Arial"/>
          <w:color w:val="000000"/>
          <w:sz w:val="20"/>
          <w:szCs w:val="20"/>
        </w:rPr>
        <w:t xml:space="preserve"> the estimated fair value of these senior notes, using Level 2 inputs, was approximately $6.9 billion and $8.3 billion, respectively.</w:t>
      </w:r>
    </w:p>
    <w:p w14:paraId="7268F2B3" w14:textId="77777777" w:rsidR="005F762A" w:rsidRDefault="005F762A">
      <w:pPr>
        <w:ind w:firstLine="360"/>
      </w:pPr>
    </w:p>
    <w:p w14:paraId="7268F2B4" w14:textId="77777777" w:rsidR="005F762A" w:rsidRDefault="00D74111">
      <w:pPr>
        <w:ind w:firstLine="270"/>
      </w:pPr>
      <w:r>
        <w:rPr>
          <w:rFonts w:ascii="Arial" w:eastAsia="宋体" w:hAnsi="Arial" w:cs="Arial"/>
          <w:b/>
          <w:bCs/>
          <w:i/>
          <w:iCs/>
          <w:color w:val="000000"/>
          <w:sz w:val="20"/>
          <w:szCs w:val="20"/>
        </w:rPr>
        <w:t>Commercial Paper</w:t>
      </w:r>
    </w:p>
    <w:p w14:paraId="7268F2B5" w14:textId="77777777" w:rsidR="005F762A" w:rsidRDefault="005F762A">
      <w:pPr>
        <w:ind w:firstLine="360"/>
      </w:pPr>
    </w:p>
    <w:p w14:paraId="7268F2B6" w14:textId="77777777" w:rsidR="005F762A" w:rsidRDefault="00D74111">
      <w:pPr>
        <w:ind w:firstLine="540"/>
        <w:jc w:val="both"/>
      </w:pPr>
      <w:r>
        <w:rPr>
          <w:rFonts w:ascii="Arial" w:eastAsia="宋体" w:hAnsi="Arial" w:cs="Arial"/>
          <w:color w:val="000000"/>
          <w:sz w:val="20"/>
          <w:szCs w:val="20"/>
        </w:rPr>
        <w:t>We have a commercial paper program pursuant to which we may issue commercial paper notes in an aggregat</w:t>
      </w:r>
      <w:r>
        <w:rPr>
          <w:rFonts w:ascii="Arial" w:eastAsia="宋体" w:hAnsi="Arial" w:cs="Arial"/>
          <w:color w:val="000000"/>
          <w:sz w:val="20"/>
          <w:szCs w:val="20"/>
        </w:rPr>
        <w:t>e principal amount at maturity of up to $1.5 billion outstanding at any time with maturities of up to 397 days from the date of issue. As of March 31, 2021, there were $400 million of commercial paper notes outstanding with a weighted average interest rate</w:t>
      </w:r>
      <w:r>
        <w:rPr>
          <w:rFonts w:ascii="Arial" w:eastAsia="宋体" w:hAnsi="Arial" w:cs="Arial"/>
          <w:color w:val="000000"/>
          <w:sz w:val="20"/>
          <w:szCs w:val="20"/>
        </w:rPr>
        <w:t xml:space="preserve"> of 0.20% per annum, and a weighted average remaining term of 25 days. </w:t>
      </w:r>
    </w:p>
    <w:p w14:paraId="7268F2B7" w14:textId="77777777" w:rsidR="005F762A" w:rsidRDefault="005F762A">
      <w:pPr>
        <w:ind w:firstLine="360"/>
      </w:pPr>
    </w:p>
    <w:p w14:paraId="7268F2B8" w14:textId="77777777" w:rsidR="005F762A" w:rsidRDefault="00D74111">
      <w:pPr>
        <w:ind w:firstLine="270"/>
      </w:pPr>
      <w:r>
        <w:rPr>
          <w:rFonts w:ascii="Arial" w:eastAsia="宋体" w:hAnsi="Arial" w:cs="Arial"/>
          <w:b/>
          <w:bCs/>
          <w:i/>
          <w:iCs/>
          <w:color w:val="000000"/>
          <w:sz w:val="20"/>
          <w:szCs w:val="20"/>
        </w:rPr>
        <w:t xml:space="preserve">Credit Agreement </w:t>
      </w:r>
    </w:p>
    <w:p w14:paraId="7268F2B9" w14:textId="77777777" w:rsidR="005F762A" w:rsidRDefault="005F762A">
      <w:pPr>
        <w:ind w:firstLine="360"/>
      </w:pPr>
    </w:p>
    <w:p w14:paraId="7268F2BA" w14:textId="77777777" w:rsidR="005F762A" w:rsidRDefault="00D74111">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facility. We may also, subject to the agreement of the </w:t>
      </w:r>
      <w:r>
        <w:rPr>
          <w:rFonts w:ascii="Arial" w:eastAsia="宋体" w:hAnsi="Arial" w:cs="Arial"/>
          <w:color w:val="000000"/>
          <w:sz w:val="20"/>
          <w:szCs w:val="20"/>
        </w:rPr>
        <w:t>applicable lenders, increase commitments under the revolving credit facility by up to $1 billion. Funds borrowed under the credit agreement may be used for working capital, capital expenditures, acquisitions and other general corporate purposes. The credit</w:t>
      </w:r>
      <w:r>
        <w:rPr>
          <w:rFonts w:ascii="Arial" w:eastAsia="宋体" w:hAnsi="Arial" w:cs="Arial"/>
          <w:color w:val="000000"/>
          <w:sz w:val="20"/>
          <w:szCs w:val="20"/>
        </w:rPr>
        <w:t xml:space="preserve"> agreement replaced our prior $2 billion unsecured revolving credit agreement dated November 2015, which was terminated effective March 2020.</w:t>
      </w:r>
    </w:p>
    <w:p w14:paraId="7268F2BB" w14:textId="77777777" w:rsidR="005F762A" w:rsidRDefault="005F762A">
      <w:pPr>
        <w:ind w:firstLine="540"/>
        <w:jc w:val="both"/>
      </w:pPr>
    </w:p>
    <w:p w14:paraId="7268F2BC" w14:textId="77777777" w:rsidR="005F762A" w:rsidRDefault="00D74111">
      <w:pPr>
        <w:ind w:firstLine="540"/>
        <w:jc w:val="both"/>
      </w:pPr>
      <w:r>
        <w:rPr>
          <w:rFonts w:ascii="Arial" w:eastAsia="宋体" w:hAnsi="Arial" w:cs="Arial"/>
          <w:color w:val="000000"/>
          <w:sz w:val="20"/>
          <w:szCs w:val="20"/>
        </w:rPr>
        <w:t>As of March 31, 2021, no borrowings were outstanding under our $2 billion credit agreement. However, as described above, we have an up to $1.5 billion commercial paper program and are required to maintain available borrowing capacity under our credit agree</w:t>
      </w:r>
      <w:r>
        <w:rPr>
          <w:rFonts w:ascii="Arial" w:eastAsia="宋体" w:hAnsi="Arial" w:cs="Arial"/>
          <w:color w:val="000000"/>
          <w:sz w:val="20"/>
          <w:szCs w:val="20"/>
        </w:rPr>
        <w:t>ment in order to repay commercial paper borrowings in the event we are unable to repay those borrowings from other sources when they become due, in an aggregate amount of $1.5 billion. As of March 31, 2021, $400 million borrowings were outstanding under ou</w:t>
      </w:r>
      <w:r>
        <w:rPr>
          <w:rFonts w:ascii="Arial" w:eastAsia="宋体" w:hAnsi="Arial" w:cs="Arial"/>
          <w:color w:val="000000"/>
          <w:sz w:val="20"/>
          <w:szCs w:val="20"/>
        </w:rPr>
        <w:t xml:space="preserve">r commercial paper program; therefore, $1.6 billion of borrowing capacity was available for other purposes permitted by the credit agreement, subject to customary conditions to borrowing. The credit agreement includes a covenant limiting our consolidated </w:t>
      </w:r>
    </w:p>
    <w:p w14:paraId="7268F2BD" w14:textId="77777777" w:rsidR="005F762A" w:rsidRDefault="005F762A">
      <w:pPr>
        <w:jc w:val="center"/>
      </w:pPr>
    </w:p>
    <w:p w14:paraId="7268F2BE" w14:textId="77777777" w:rsidR="005F762A" w:rsidRDefault="00D74111">
      <w:pPr>
        <w:jc w:val="center"/>
      </w:pPr>
      <w:r>
        <w:rPr>
          <w:rFonts w:ascii="Arial" w:eastAsia="宋体" w:hAnsi="Arial" w:cs="Arial"/>
          <w:color w:val="000000"/>
          <w:sz w:val="20"/>
          <w:szCs w:val="20"/>
        </w:rPr>
        <w:t>23</w:t>
      </w:r>
    </w:p>
    <w:p w14:paraId="7268F2BF" w14:textId="77777777" w:rsidR="005F762A" w:rsidRDefault="00D74111">
      <w:r>
        <w:pict w14:anchorId="72690156">
          <v:rect id="_x0000_i1047" style="width:415.3pt;height:1.5pt" o:hralign="center" o:hrstd="t" o:hr="t" fillcolor="#a0a0a0" stroked="f"/>
        </w:pict>
      </w:r>
    </w:p>
    <w:p w14:paraId="7268F2C0" w14:textId="77777777" w:rsidR="005F762A" w:rsidRDefault="005F762A">
      <w:pPr>
        <w:jc w:val="center"/>
      </w:pPr>
    </w:p>
    <w:p w14:paraId="7268F2C1" w14:textId="77777777" w:rsidR="005F762A" w:rsidRDefault="00D74111">
      <w:pPr>
        <w:jc w:val="center"/>
      </w:pPr>
      <w:r>
        <w:rPr>
          <w:rFonts w:ascii="Arial" w:eastAsia="宋体" w:hAnsi="Arial" w:cs="Arial"/>
          <w:b/>
          <w:bCs/>
          <w:color w:val="000000"/>
          <w:sz w:val="20"/>
          <w:szCs w:val="20"/>
        </w:rPr>
        <w:t>eBay Inc.</w:t>
      </w:r>
    </w:p>
    <w:p w14:paraId="7268F2C2"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F2C3" w14:textId="77777777" w:rsidR="005F762A" w:rsidRDefault="00D74111">
      <w:pPr>
        <w:jc w:val="both"/>
      </w:pPr>
      <w:r>
        <w:rPr>
          <w:rFonts w:ascii="Arial" w:eastAsia="宋体" w:hAnsi="Arial" w:cs="Arial"/>
          <w:color w:val="000000"/>
          <w:sz w:val="20"/>
          <w:szCs w:val="20"/>
        </w:rPr>
        <w:t>leverage ratio to no more than 4.0:1.0, subject to, upon the occurrence of a qualified material acquisition, if so elected by us, a step-up to 4.5:1.0 for the four fiscal qua</w:t>
      </w:r>
      <w:r>
        <w:rPr>
          <w:rFonts w:ascii="Arial" w:eastAsia="宋体" w:hAnsi="Arial" w:cs="Arial"/>
          <w:color w:val="000000"/>
          <w:sz w:val="20"/>
          <w:szCs w:val="20"/>
        </w:rPr>
        <w:t>rters completed following such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subject to customary exceptions. The credit agreement also contain</w:t>
      </w:r>
      <w:r>
        <w:rPr>
          <w:rFonts w:ascii="Arial" w:eastAsia="宋体" w:hAnsi="Arial" w:cs="Arial"/>
          <w:color w:val="000000"/>
          <w:sz w:val="20"/>
          <w:szCs w:val="20"/>
        </w:rPr>
        <w:t>s customary representations and warranties.</w:t>
      </w:r>
    </w:p>
    <w:p w14:paraId="7268F2C4" w14:textId="77777777" w:rsidR="005F762A" w:rsidRDefault="005F762A">
      <w:pPr>
        <w:ind w:firstLine="360"/>
        <w:jc w:val="both"/>
      </w:pPr>
    </w:p>
    <w:p w14:paraId="7268F2C5" w14:textId="77777777" w:rsidR="005F762A" w:rsidRDefault="00D74111">
      <w:pPr>
        <w:ind w:firstLine="540"/>
        <w:jc w:val="both"/>
      </w:pPr>
      <w:r>
        <w:rPr>
          <w:rFonts w:ascii="Arial" w:eastAsia="宋体" w:hAnsi="Arial" w:cs="Arial"/>
          <w:color w:val="000000"/>
          <w:sz w:val="20"/>
          <w:szCs w:val="20"/>
        </w:rPr>
        <w:t>We were in compliance with all financial covenants in our outstanding debt instruments during the three months ended March 31, 2021.</w:t>
      </w:r>
    </w:p>
    <w:p w14:paraId="7268F2C6" w14:textId="77777777" w:rsidR="005F762A" w:rsidRDefault="005F762A">
      <w:pPr>
        <w:jc w:val="both"/>
      </w:pPr>
    </w:p>
    <w:p w14:paraId="7268F2C7" w14:textId="77777777" w:rsidR="005F762A" w:rsidRDefault="00D74111">
      <w:pPr>
        <w:jc w:val="both"/>
      </w:pPr>
      <w:r>
        <w:rPr>
          <w:rFonts w:ascii="Arial" w:eastAsia="宋体" w:hAnsi="Arial" w:cs="Arial"/>
          <w:b/>
          <w:bCs/>
          <w:color w:val="000000"/>
          <w:sz w:val="20"/>
          <w:szCs w:val="20"/>
        </w:rPr>
        <w:t>Note 10 — Balance Sheet Components</w:t>
      </w:r>
    </w:p>
    <w:p w14:paraId="7268F2C8" w14:textId="77777777" w:rsidR="005F762A" w:rsidRDefault="005F762A"/>
    <w:p w14:paraId="7268F2C9" w14:textId="77777777" w:rsidR="005F762A" w:rsidRDefault="00D74111">
      <w:pPr>
        <w:ind w:firstLine="270"/>
        <w:jc w:val="both"/>
      </w:pPr>
      <w:r>
        <w:rPr>
          <w:rFonts w:ascii="Arial" w:eastAsia="宋体" w:hAnsi="Arial" w:cs="Arial"/>
          <w:b/>
          <w:bCs/>
          <w:i/>
          <w:iCs/>
          <w:color w:val="000000"/>
          <w:sz w:val="20"/>
          <w:szCs w:val="20"/>
        </w:rPr>
        <w:t>Contract Balances</w:t>
      </w:r>
    </w:p>
    <w:p w14:paraId="7268F2CA" w14:textId="77777777" w:rsidR="005F762A" w:rsidRDefault="005F762A">
      <w:pPr>
        <w:ind w:firstLine="720"/>
        <w:jc w:val="both"/>
      </w:pPr>
    </w:p>
    <w:p w14:paraId="7268F2CB" w14:textId="77777777" w:rsidR="005F762A" w:rsidRDefault="00D74111">
      <w:pPr>
        <w:ind w:firstLine="540"/>
        <w:jc w:val="both"/>
      </w:pPr>
      <w:r>
        <w:rPr>
          <w:rFonts w:ascii="Arial" w:eastAsia="宋体" w:hAnsi="Arial" w:cs="Arial"/>
          <w:color w:val="000000"/>
          <w:sz w:val="20"/>
          <w:szCs w:val="20"/>
        </w:rPr>
        <w:t>Timing of revenue reco</w:t>
      </w:r>
      <w:r>
        <w:rPr>
          <w:rFonts w:ascii="Arial" w:eastAsia="宋体" w:hAnsi="Arial" w:cs="Arial"/>
          <w:color w:val="000000"/>
          <w:sz w:val="20"/>
          <w:szCs w:val="20"/>
        </w:rPr>
        <w:t>gnition may differ from the timing of invoicing to customers. Accounts receivable represents amounts invoiced and revenue recognized prior to invoicing when we have satisfied our performance obligation and have the unconditional right to payment. The allow</w:t>
      </w:r>
      <w:r>
        <w:rPr>
          <w:rFonts w:ascii="Arial" w:eastAsia="宋体" w:hAnsi="Arial" w:cs="Arial"/>
          <w:color w:val="000000"/>
          <w:sz w:val="20"/>
          <w:szCs w:val="20"/>
        </w:rPr>
        <w:t>ance for doubtful accounts and authorized credits is estimated based upon our assessment of various factors including historical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w:t>
      </w:r>
      <w:r>
        <w:rPr>
          <w:rFonts w:ascii="Arial" w:eastAsia="宋体" w:hAnsi="Arial" w:cs="Arial"/>
          <w:color w:val="000000"/>
          <w:sz w:val="20"/>
          <w:szCs w:val="20"/>
        </w:rPr>
        <w:t>other factors that may affect our customers’ ability to pay. The allowance for doubtful accounts and authorized credits was $129 million and $136 million as of March 31, 2021 and December 31, 2020, respectively. As of March 31, 2021, we reported allowances</w:t>
      </w:r>
      <w:r>
        <w:rPr>
          <w:rFonts w:ascii="Arial" w:eastAsia="宋体" w:hAnsi="Arial" w:cs="Arial"/>
          <w:color w:val="000000"/>
          <w:sz w:val="20"/>
          <w:szCs w:val="20"/>
        </w:rPr>
        <w:t xml:space="preserve"> for doubtful accounts of $86 million reflecting a decrease of $11 million, net of write-offs of $38 million for the three months ended March 31, 2021.</w:t>
      </w:r>
    </w:p>
    <w:p w14:paraId="7268F2CC" w14:textId="77777777" w:rsidR="005F762A" w:rsidRDefault="00D74111">
      <w:pPr>
        <w:spacing w:before="180"/>
        <w:ind w:firstLine="540"/>
        <w:jc w:val="both"/>
      </w:pPr>
      <w:r>
        <w:rPr>
          <w:rFonts w:ascii="Arial" w:eastAsia="宋体" w:hAnsi="Arial" w:cs="Arial"/>
          <w:color w:val="000000"/>
          <w:sz w:val="20"/>
          <w:szCs w:val="20"/>
        </w:rPr>
        <w:t xml:space="preserve">Deferred revenue consists of fees received related to unsatisfied performance obligations at the end </w:t>
      </w:r>
      <w:r>
        <w:rPr>
          <w:rFonts w:ascii="Arial" w:eastAsia="宋体" w:hAnsi="Arial" w:cs="Arial"/>
          <w:color w:val="000000"/>
          <w:sz w:val="20"/>
          <w:szCs w:val="20"/>
        </w:rPr>
        <w:t>of the period. Due to the generally short-term duration of contracts, the majority of the performance obligations are satisfied in the following reporting period. The amount of revenue recognized for the three month period ended March 31, 2021 that was inc</w:t>
      </w:r>
      <w:r>
        <w:rPr>
          <w:rFonts w:ascii="Arial" w:eastAsia="宋体" w:hAnsi="Arial" w:cs="Arial"/>
          <w:color w:val="000000"/>
          <w:sz w:val="20"/>
          <w:szCs w:val="20"/>
        </w:rPr>
        <w:t xml:space="preserve">luded in the deferred revenue balance at the beginning of the period was $55 million. The amount of revenue recognized for the three month period ended March 31, 2020 that was included in the deferred revenue balance at the beginning of the period was $75 </w:t>
      </w:r>
      <w:r>
        <w:rPr>
          <w:rFonts w:ascii="Arial" w:eastAsia="宋体" w:hAnsi="Arial" w:cs="Arial"/>
          <w:color w:val="000000"/>
          <w:sz w:val="20"/>
          <w:szCs w:val="20"/>
        </w:rPr>
        <w:t>million.</w:t>
      </w:r>
    </w:p>
    <w:p w14:paraId="7268F2CD" w14:textId="77777777" w:rsidR="005F762A" w:rsidRDefault="005F762A"/>
    <w:p w14:paraId="7268F2CE" w14:textId="77777777" w:rsidR="005F762A" w:rsidRDefault="00D74111">
      <w:pPr>
        <w:ind w:firstLine="270"/>
        <w:jc w:val="both"/>
      </w:pPr>
      <w:r>
        <w:rPr>
          <w:rFonts w:ascii="Arial" w:eastAsia="宋体" w:hAnsi="Arial" w:cs="Arial"/>
          <w:b/>
          <w:bCs/>
          <w:i/>
          <w:iCs/>
          <w:color w:val="000000"/>
          <w:sz w:val="20"/>
          <w:szCs w:val="20"/>
        </w:rPr>
        <w:t>Cash, cash equivalents and restricted cash</w:t>
      </w:r>
    </w:p>
    <w:p w14:paraId="7268F2CF" w14:textId="77777777" w:rsidR="005F762A" w:rsidRDefault="005F762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5911"/>
        <w:gridCol w:w="36"/>
        <w:gridCol w:w="121"/>
        <w:gridCol w:w="974"/>
        <w:gridCol w:w="36"/>
        <w:gridCol w:w="36"/>
        <w:gridCol w:w="36"/>
        <w:gridCol w:w="36"/>
        <w:gridCol w:w="122"/>
        <w:gridCol w:w="952"/>
        <w:gridCol w:w="36"/>
      </w:tblGrid>
      <w:tr w:rsidR="005F762A" w14:paraId="7268F2DC" w14:textId="77777777">
        <w:tc>
          <w:tcPr>
            <w:tcW w:w="50" w:type="pct"/>
            <w:shd w:val="clear" w:color="auto" w:fill="auto"/>
          </w:tcPr>
          <w:p w14:paraId="7268F2D0" w14:textId="77777777" w:rsidR="005F762A" w:rsidRDefault="005F762A">
            <w:pPr>
              <w:rPr>
                <w:rFonts w:ascii="宋体"/>
              </w:rPr>
            </w:pPr>
          </w:p>
        </w:tc>
        <w:tc>
          <w:tcPr>
            <w:tcW w:w="3570" w:type="pct"/>
            <w:shd w:val="clear" w:color="auto" w:fill="auto"/>
          </w:tcPr>
          <w:p w14:paraId="7268F2D1" w14:textId="77777777" w:rsidR="005F762A" w:rsidRDefault="005F762A">
            <w:pPr>
              <w:rPr>
                <w:rFonts w:ascii="宋体"/>
              </w:rPr>
            </w:pPr>
          </w:p>
        </w:tc>
        <w:tc>
          <w:tcPr>
            <w:tcW w:w="5" w:type="pct"/>
            <w:shd w:val="clear" w:color="auto" w:fill="auto"/>
          </w:tcPr>
          <w:p w14:paraId="7268F2D2" w14:textId="77777777" w:rsidR="005F762A" w:rsidRDefault="005F762A">
            <w:pPr>
              <w:rPr>
                <w:rFonts w:ascii="宋体"/>
              </w:rPr>
            </w:pPr>
          </w:p>
        </w:tc>
        <w:tc>
          <w:tcPr>
            <w:tcW w:w="50" w:type="pct"/>
            <w:shd w:val="clear" w:color="auto" w:fill="auto"/>
          </w:tcPr>
          <w:p w14:paraId="7268F2D3" w14:textId="77777777" w:rsidR="005F762A" w:rsidRDefault="005F762A">
            <w:pPr>
              <w:rPr>
                <w:rFonts w:ascii="宋体"/>
              </w:rPr>
            </w:pPr>
          </w:p>
        </w:tc>
        <w:tc>
          <w:tcPr>
            <w:tcW w:w="610" w:type="pct"/>
            <w:shd w:val="clear" w:color="auto" w:fill="auto"/>
          </w:tcPr>
          <w:p w14:paraId="7268F2D4" w14:textId="77777777" w:rsidR="005F762A" w:rsidRDefault="005F762A">
            <w:pPr>
              <w:rPr>
                <w:rFonts w:ascii="宋体"/>
              </w:rPr>
            </w:pPr>
          </w:p>
        </w:tc>
        <w:tc>
          <w:tcPr>
            <w:tcW w:w="5" w:type="pct"/>
            <w:shd w:val="clear" w:color="auto" w:fill="auto"/>
          </w:tcPr>
          <w:p w14:paraId="7268F2D5" w14:textId="77777777" w:rsidR="005F762A" w:rsidRDefault="005F762A">
            <w:pPr>
              <w:rPr>
                <w:rFonts w:ascii="宋体"/>
              </w:rPr>
            </w:pPr>
          </w:p>
        </w:tc>
        <w:tc>
          <w:tcPr>
            <w:tcW w:w="5" w:type="pct"/>
            <w:shd w:val="clear" w:color="auto" w:fill="auto"/>
          </w:tcPr>
          <w:p w14:paraId="7268F2D6" w14:textId="77777777" w:rsidR="005F762A" w:rsidRDefault="005F762A">
            <w:pPr>
              <w:rPr>
                <w:rFonts w:ascii="宋体"/>
              </w:rPr>
            </w:pPr>
          </w:p>
        </w:tc>
        <w:tc>
          <w:tcPr>
            <w:tcW w:w="26" w:type="pct"/>
            <w:shd w:val="clear" w:color="auto" w:fill="auto"/>
          </w:tcPr>
          <w:p w14:paraId="7268F2D7" w14:textId="77777777" w:rsidR="005F762A" w:rsidRDefault="005F762A">
            <w:pPr>
              <w:rPr>
                <w:rFonts w:ascii="宋体"/>
              </w:rPr>
            </w:pPr>
          </w:p>
        </w:tc>
        <w:tc>
          <w:tcPr>
            <w:tcW w:w="5" w:type="pct"/>
            <w:shd w:val="clear" w:color="auto" w:fill="auto"/>
          </w:tcPr>
          <w:p w14:paraId="7268F2D8" w14:textId="77777777" w:rsidR="005F762A" w:rsidRDefault="005F762A">
            <w:pPr>
              <w:rPr>
                <w:rFonts w:ascii="宋体"/>
              </w:rPr>
            </w:pPr>
          </w:p>
        </w:tc>
        <w:tc>
          <w:tcPr>
            <w:tcW w:w="50" w:type="pct"/>
            <w:shd w:val="clear" w:color="auto" w:fill="auto"/>
          </w:tcPr>
          <w:p w14:paraId="7268F2D9" w14:textId="77777777" w:rsidR="005F762A" w:rsidRDefault="005F762A">
            <w:pPr>
              <w:rPr>
                <w:rFonts w:ascii="宋体"/>
              </w:rPr>
            </w:pPr>
          </w:p>
        </w:tc>
        <w:tc>
          <w:tcPr>
            <w:tcW w:w="617" w:type="pct"/>
            <w:shd w:val="clear" w:color="auto" w:fill="auto"/>
          </w:tcPr>
          <w:p w14:paraId="7268F2DA" w14:textId="77777777" w:rsidR="005F762A" w:rsidRDefault="005F762A">
            <w:pPr>
              <w:rPr>
                <w:rFonts w:ascii="宋体"/>
              </w:rPr>
            </w:pPr>
          </w:p>
        </w:tc>
        <w:tc>
          <w:tcPr>
            <w:tcW w:w="5" w:type="pct"/>
            <w:shd w:val="clear" w:color="auto" w:fill="auto"/>
          </w:tcPr>
          <w:p w14:paraId="7268F2DB" w14:textId="77777777" w:rsidR="005F762A" w:rsidRDefault="005F762A">
            <w:pPr>
              <w:rPr>
                <w:rFonts w:ascii="宋体"/>
              </w:rPr>
            </w:pPr>
          </w:p>
        </w:tc>
      </w:tr>
      <w:tr w:rsidR="005F762A" w14:paraId="7268F2E1" w14:textId="77777777">
        <w:tc>
          <w:tcPr>
            <w:tcW w:w="0" w:type="auto"/>
            <w:gridSpan w:val="3"/>
            <w:shd w:val="clear" w:color="auto" w:fill="auto"/>
            <w:tcMar>
              <w:top w:w="0" w:type="dxa"/>
              <w:left w:w="20" w:type="dxa"/>
              <w:bottom w:w="0" w:type="dxa"/>
              <w:right w:w="20" w:type="dxa"/>
            </w:tcMar>
          </w:tcPr>
          <w:p w14:paraId="7268F2D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2DE" w14:textId="77777777" w:rsidR="005F762A" w:rsidRDefault="00D74111">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Mar>
              <w:top w:w="0" w:type="dxa"/>
              <w:left w:w="20" w:type="dxa"/>
              <w:bottom w:w="0" w:type="dxa"/>
              <w:right w:w="20" w:type="dxa"/>
            </w:tcMar>
          </w:tcPr>
          <w:p w14:paraId="7268F2DF"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2E0" w14:textId="77777777" w:rsidR="005F762A" w:rsidRDefault="00D74111">
            <w:pPr>
              <w:jc w:val="center"/>
              <w:textAlignment w:val="bottom"/>
            </w:pPr>
            <w:r>
              <w:rPr>
                <w:rFonts w:ascii="Arial" w:eastAsia="宋体" w:hAnsi="Arial" w:cs="Arial"/>
                <w:b/>
                <w:bCs/>
                <w:color w:val="000000"/>
                <w:sz w:val="16"/>
                <w:szCs w:val="16"/>
              </w:rPr>
              <w:t>December 31, 2020</w:t>
            </w:r>
          </w:p>
        </w:tc>
      </w:tr>
      <w:tr w:rsidR="005F762A" w14:paraId="7268F2EA" w14:textId="77777777">
        <w:tc>
          <w:tcPr>
            <w:tcW w:w="0" w:type="auto"/>
            <w:gridSpan w:val="3"/>
            <w:shd w:val="clear" w:color="auto" w:fill="DDDDDD"/>
            <w:tcMar>
              <w:top w:w="40" w:type="dxa"/>
              <w:left w:w="20" w:type="dxa"/>
              <w:bottom w:w="40" w:type="dxa"/>
              <w:right w:w="20" w:type="dxa"/>
            </w:tcMar>
            <w:vAlign w:val="bottom"/>
          </w:tcPr>
          <w:p w14:paraId="7268F2E2" w14:textId="77777777" w:rsidR="005F762A" w:rsidRDefault="00D74111">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7268F2E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7268F2E4" w14:textId="77777777" w:rsidR="005F762A" w:rsidRDefault="00D74111">
            <w:pPr>
              <w:jc w:val="right"/>
              <w:textAlignment w:val="bottom"/>
            </w:pPr>
            <w:r>
              <w:rPr>
                <w:rFonts w:ascii="Arial" w:eastAsia="宋体" w:hAnsi="Arial" w:cs="Arial"/>
                <w:color w:val="000000"/>
                <w:sz w:val="18"/>
                <w:szCs w:val="18"/>
              </w:rPr>
              <w:t>1,667 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F2E5"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F2E6" w14:textId="77777777" w:rsidR="005F762A" w:rsidRDefault="005F762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7268F2E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7268F2E8" w14:textId="77777777" w:rsidR="005F762A" w:rsidRDefault="00D74111">
            <w:pPr>
              <w:jc w:val="right"/>
              <w:textAlignment w:val="bottom"/>
            </w:pPr>
            <w:r>
              <w:rPr>
                <w:rFonts w:ascii="Arial" w:eastAsia="宋体" w:hAnsi="Arial" w:cs="Arial"/>
                <w:color w:val="000000"/>
                <w:sz w:val="18"/>
                <w:szCs w:val="18"/>
              </w:rPr>
              <w:t>1,428 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F2E9" w14:textId="77777777" w:rsidR="005F762A" w:rsidRDefault="005F762A">
            <w:pPr>
              <w:jc w:val="right"/>
              <w:rPr>
                <w:rFonts w:ascii="宋体"/>
              </w:rPr>
            </w:pPr>
          </w:p>
        </w:tc>
      </w:tr>
      <w:tr w:rsidR="005F762A" w14:paraId="7268F2F1" w14:textId="77777777">
        <w:tc>
          <w:tcPr>
            <w:tcW w:w="0" w:type="auto"/>
            <w:gridSpan w:val="3"/>
            <w:shd w:val="clear" w:color="auto" w:fill="FFFFFF"/>
            <w:tcMar>
              <w:top w:w="40" w:type="dxa"/>
              <w:left w:w="20" w:type="dxa"/>
              <w:bottom w:w="40" w:type="dxa"/>
              <w:right w:w="20" w:type="dxa"/>
            </w:tcMar>
            <w:vAlign w:val="bottom"/>
          </w:tcPr>
          <w:p w14:paraId="7268F2EB" w14:textId="77777777" w:rsidR="005F762A" w:rsidRDefault="00D74111">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7268F2EC"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F2E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E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2EF"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268F2F0" w14:textId="77777777" w:rsidR="005F762A" w:rsidRDefault="005F762A">
            <w:pPr>
              <w:jc w:val="right"/>
              <w:rPr>
                <w:rFonts w:ascii="宋体"/>
              </w:rPr>
            </w:pPr>
          </w:p>
        </w:tc>
      </w:tr>
      <w:tr w:rsidR="005F762A" w14:paraId="7268F2F8" w14:textId="77777777">
        <w:tc>
          <w:tcPr>
            <w:tcW w:w="0" w:type="auto"/>
            <w:gridSpan w:val="3"/>
            <w:shd w:val="clear" w:color="auto" w:fill="DDDDDD"/>
            <w:tcMar>
              <w:top w:w="40" w:type="dxa"/>
              <w:left w:w="20" w:type="dxa"/>
              <w:bottom w:w="40" w:type="dxa"/>
              <w:right w:w="20" w:type="dxa"/>
            </w:tcMar>
            <w:vAlign w:val="bottom"/>
          </w:tcPr>
          <w:p w14:paraId="7268F2F2" w14:textId="77777777" w:rsidR="005F762A" w:rsidRDefault="00D74111">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DDDDDD"/>
            <w:tcMar>
              <w:top w:w="40" w:type="dxa"/>
              <w:left w:w="20" w:type="dxa"/>
              <w:bottom w:w="40" w:type="dxa"/>
              <w:right w:w="0" w:type="dxa"/>
            </w:tcMar>
            <w:vAlign w:val="bottom"/>
          </w:tcPr>
          <w:p w14:paraId="7268F2F3" w14:textId="77777777" w:rsidR="005F762A" w:rsidRDefault="00D74111">
            <w:pPr>
              <w:jc w:val="right"/>
              <w:textAlignment w:val="bottom"/>
            </w:pPr>
            <w:r>
              <w:rPr>
                <w:rFonts w:ascii="Arial" w:eastAsia="宋体" w:hAnsi="Arial" w:cs="Arial"/>
                <w:color w:val="000000"/>
                <w:sz w:val="18"/>
                <w:szCs w:val="18"/>
              </w:rPr>
              <w:t>23 </w:t>
            </w:r>
          </w:p>
        </w:tc>
        <w:tc>
          <w:tcPr>
            <w:tcW w:w="0" w:type="auto"/>
            <w:shd w:val="clear" w:color="auto" w:fill="DDDDDD"/>
            <w:tcMar>
              <w:top w:w="40" w:type="dxa"/>
              <w:left w:w="0" w:type="dxa"/>
              <w:bottom w:w="40" w:type="dxa"/>
              <w:right w:w="20" w:type="dxa"/>
            </w:tcMar>
            <w:vAlign w:val="bottom"/>
          </w:tcPr>
          <w:p w14:paraId="7268F2F4"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F2F5" w14:textId="77777777" w:rsidR="005F762A" w:rsidRDefault="005F762A">
            <w:pPr>
              <w:rPr>
                <w:rFonts w:ascii="宋体"/>
              </w:rPr>
            </w:pPr>
          </w:p>
        </w:tc>
        <w:tc>
          <w:tcPr>
            <w:tcW w:w="0" w:type="auto"/>
            <w:gridSpan w:val="2"/>
            <w:shd w:val="clear" w:color="auto" w:fill="DDDDDD"/>
            <w:tcMar>
              <w:top w:w="40" w:type="dxa"/>
              <w:left w:w="20" w:type="dxa"/>
              <w:bottom w:w="40" w:type="dxa"/>
              <w:right w:w="0" w:type="dxa"/>
            </w:tcMar>
            <w:vAlign w:val="bottom"/>
          </w:tcPr>
          <w:p w14:paraId="7268F2F6" w14:textId="77777777" w:rsidR="005F762A" w:rsidRDefault="00D74111">
            <w:pPr>
              <w:jc w:val="right"/>
              <w:textAlignment w:val="bottom"/>
            </w:pPr>
            <w:r>
              <w:rPr>
                <w:rFonts w:ascii="Arial" w:eastAsia="宋体" w:hAnsi="Arial" w:cs="Arial"/>
                <w:color w:val="000000"/>
                <w:sz w:val="18"/>
                <w:szCs w:val="18"/>
              </w:rPr>
              <w:t>143 </w:t>
            </w:r>
          </w:p>
        </w:tc>
        <w:tc>
          <w:tcPr>
            <w:tcW w:w="0" w:type="auto"/>
            <w:shd w:val="clear" w:color="auto" w:fill="DDDDDD"/>
            <w:tcMar>
              <w:top w:w="40" w:type="dxa"/>
              <w:left w:w="0" w:type="dxa"/>
              <w:bottom w:w="40" w:type="dxa"/>
              <w:right w:w="20" w:type="dxa"/>
            </w:tcMar>
            <w:vAlign w:val="bottom"/>
          </w:tcPr>
          <w:p w14:paraId="7268F2F7" w14:textId="77777777" w:rsidR="005F762A" w:rsidRDefault="005F762A">
            <w:pPr>
              <w:jc w:val="right"/>
              <w:rPr>
                <w:rFonts w:ascii="宋体"/>
              </w:rPr>
            </w:pPr>
          </w:p>
        </w:tc>
      </w:tr>
      <w:tr w:rsidR="005F762A" w14:paraId="7268F301" w14:textId="77777777">
        <w:tc>
          <w:tcPr>
            <w:tcW w:w="0" w:type="auto"/>
            <w:gridSpan w:val="3"/>
            <w:shd w:val="clear" w:color="auto" w:fill="FFFFFF"/>
            <w:tcMar>
              <w:top w:w="40" w:type="dxa"/>
              <w:left w:w="20" w:type="dxa"/>
              <w:bottom w:w="40" w:type="dxa"/>
              <w:right w:w="20" w:type="dxa"/>
            </w:tcMar>
            <w:vAlign w:val="bottom"/>
          </w:tcPr>
          <w:p w14:paraId="7268F2F9" w14:textId="77777777" w:rsidR="005F762A" w:rsidRDefault="00D74111">
            <w:pPr>
              <w:textAlignment w:val="bottom"/>
            </w:pPr>
            <w:r>
              <w:rPr>
                <w:rFonts w:ascii="Arial" w:eastAsia="宋体" w:hAnsi="Arial" w:cs="Arial"/>
                <w:color w:val="000000"/>
                <w:sz w:val="18"/>
                <w:szCs w:val="18"/>
              </w:rPr>
              <w:t xml:space="preserve">Cash, </w:t>
            </w:r>
            <w:r>
              <w:rPr>
                <w:rFonts w:ascii="Arial" w:eastAsia="宋体" w:hAnsi="Arial" w:cs="Arial"/>
                <w:color w:val="000000"/>
                <w:sz w:val="18"/>
                <w:szCs w:val="18"/>
              </w:rPr>
              <w:t>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2F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2FB" w14:textId="77777777" w:rsidR="005F762A" w:rsidRDefault="00D74111">
            <w:pPr>
              <w:jc w:val="right"/>
              <w:textAlignment w:val="bottom"/>
            </w:pPr>
            <w:r>
              <w:rPr>
                <w:rFonts w:ascii="Arial" w:eastAsia="宋体" w:hAnsi="Arial" w:cs="Arial"/>
                <w:color w:val="000000"/>
                <w:sz w:val="18"/>
                <w:szCs w:val="18"/>
              </w:rPr>
              <w:t>1,690 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2F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2FD"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2F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2FF" w14:textId="77777777" w:rsidR="005F762A" w:rsidRDefault="00D74111">
            <w:pPr>
              <w:jc w:val="right"/>
              <w:textAlignment w:val="bottom"/>
            </w:pPr>
            <w:r>
              <w:rPr>
                <w:rFonts w:ascii="Arial" w:eastAsia="宋体" w:hAnsi="Arial" w:cs="Arial"/>
                <w:color w:val="000000"/>
                <w:sz w:val="18"/>
                <w:szCs w:val="18"/>
              </w:rPr>
              <w:t>1,571 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300" w14:textId="77777777" w:rsidR="005F762A" w:rsidRDefault="005F762A">
            <w:pPr>
              <w:jc w:val="right"/>
              <w:rPr>
                <w:rFonts w:ascii="宋体"/>
              </w:rPr>
            </w:pPr>
          </w:p>
        </w:tc>
      </w:tr>
      <w:tr w:rsidR="005F762A" w14:paraId="7268F306" w14:textId="77777777">
        <w:trPr>
          <w:hidden/>
        </w:trPr>
        <w:tc>
          <w:tcPr>
            <w:tcW w:w="0" w:type="auto"/>
            <w:gridSpan w:val="3"/>
            <w:shd w:val="clear" w:color="auto" w:fill="auto"/>
          </w:tcPr>
          <w:p w14:paraId="7268F302" w14:textId="77777777" w:rsidR="005F762A" w:rsidRDefault="005F762A">
            <w:pPr>
              <w:rPr>
                <w:rFonts w:ascii="宋体"/>
                <w:vanish/>
              </w:rPr>
            </w:pPr>
          </w:p>
        </w:tc>
        <w:tc>
          <w:tcPr>
            <w:tcW w:w="0" w:type="auto"/>
            <w:gridSpan w:val="3"/>
            <w:shd w:val="clear" w:color="auto" w:fill="auto"/>
          </w:tcPr>
          <w:p w14:paraId="7268F303" w14:textId="77777777" w:rsidR="005F762A" w:rsidRDefault="005F762A">
            <w:pPr>
              <w:rPr>
                <w:rFonts w:ascii="宋体"/>
                <w:vanish/>
              </w:rPr>
            </w:pPr>
          </w:p>
        </w:tc>
        <w:tc>
          <w:tcPr>
            <w:tcW w:w="0" w:type="auto"/>
            <w:gridSpan w:val="3"/>
            <w:shd w:val="clear" w:color="auto" w:fill="auto"/>
          </w:tcPr>
          <w:p w14:paraId="7268F304" w14:textId="77777777" w:rsidR="005F762A" w:rsidRDefault="005F762A">
            <w:pPr>
              <w:rPr>
                <w:rFonts w:ascii="宋体"/>
                <w:vanish/>
              </w:rPr>
            </w:pPr>
          </w:p>
        </w:tc>
        <w:tc>
          <w:tcPr>
            <w:tcW w:w="0" w:type="auto"/>
            <w:gridSpan w:val="3"/>
            <w:shd w:val="clear" w:color="auto" w:fill="auto"/>
          </w:tcPr>
          <w:p w14:paraId="7268F305" w14:textId="77777777" w:rsidR="005F762A" w:rsidRDefault="005F762A">
            <w:pPr>
              <w:rPr>
                <w:rFonts w:ascii="宋体"/>
                <w:vanish/>
              </w:rPr>
            </w:pPr>
          </w:p>
        </w:tc>
      </w:tr>
    </w:tbl>
    <w:p w14:paraId="7268F307" w14:textId="77777777" w:rsidR="005F762A" w:rsidRDefault="005F762A">
      <w:pPr>
        <w:ind w:firstLine="270"/>
        <w:jc w:val="both"/>
      </w:pPr>
    </w:p>
    <w:p w14:paraId="7268F308" w14:textId="77777777" w:rsidR="005F762A" w:rsidRDefault="00D74111">
      <w:pPr>
        <w:ind w:firstLine="270"/>
        <w:jc w:val="both"/>
      </w:pPr>
      <w:r>
        <w:rPr>
          <w:rFonts w:ascii="Arial" w:eastAsia="宋体" w:hAnsi="Arial" w:cs="Arial"/>
          <w:b/>
          <w:bCs/>
          <w:i/>
          <w:iCs/>
          <w:color w:val="000000"/>
          <w:sz w:val="20"/>
          <w:szCs w:val="20"/>
        </w:rPr>
        <w:t>Customer accounts and funds receivable</w:t>
      </w:r>
    </w:p>
    <w:p w14:paraId="7268F309" w14:textId="77777777" w:rsidR="005F762A" w:rsidRDefault="005F762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0"/>
        <w:gridCol w:w="5911"/>
        <w:gridCol w:w="36"/>
        <w:gridCol w:w="121"/>
        <w:gridCol w:w="974"/>
        <w:gridCol w:w="36"/>
        <w:gridCol w:w="36"/>
        <w:gridCol w:w="36"/>
        <w:gridCol w:w="36"/>
        <w:gridCol w:w="122"/>
        <w:gridCol w:w="952"/>
        <w:gridCol w:w="36"/>
      </w:tblGrid>
      <w:tr w:rsidR="005F762A" w14:paraId="7268F316" w14:textId="77777777">
        <w:tc>
          <w:tcPr>
            <w:tcW w:w="50" w:type="pct"/>
            <w:shd w:val="clear" w:color="auto" w:fill="auto"/>
          </w:tcPr>
          <w:p w14:paraId="7268F30A" w14:textId="77777777" w:rsidR="005F762A" w:rsidRDefault="005F762A">
            <w:pPr>
              <w:rPr>
                <w:rFonts w:ascii="宋体"/>
              </w:rPr>
            </w:pPr>
          </w:p>
        </w:tc>
        <w:tc>
          <w:tcPr>
            <w:tcW w:w="3570" w:type="pct"/>
            <w:shd w:val="clear" w:color="auto" w:fill="auto"/>
          </w:tcPr>
          <w:p w14:paraId="7268F30B" w14:textId="77777777" w:rsidR="005F762A" w:rsidRDefault="005F762A">
            <w:pPr>
              <w:rPr>
                <w:rFonts w:ascii="宋体"/>
              </w:rPr>
            </w:pPr>
          </w:p>
        </w:tc>
        <w:tc>
          <w:tcPr>
            <w:tcW w:w="5" w:type="pct"/>
            <w:shd w:val="clear" w:color="auto" w:fill="auto"/>
          </w:tcPr>
          <w:p w14:paraId="7268F30C" w14:textId="77777777" w:rsidR="005F762A" w:rsidRDefault="005F762A">
            <w:pPr>
              <w:rPr>
                <w:rFonts w:ascii="宋体"/>
              </w:rPr>
            </w:pPr>
          </w:p>
        </w:tc>
        <w:tc>
          <w:tcPr>
            <w:tcW w:w="50" w:type="pct"/>
            <w:shd w:val="clear" w:color="auto" w:fill="auto"/>
          </w:tcPr>
          <w:p w14:paraId="7268F30D" w14:textId="77777777" w:rsidR="005F762A" w:rsidRDefault="005F762A">
            <w:pPr>
              <w:rPr>
                <w:rFonts w:ascii="宋体"/>
              </w:rPr>
            </w:pPr>
          </w:p>
        </w:tc>
        <w:tc>
          <w:tcPr>
            <w:tcW w:w="610" w:type="pct"/>
            <w:shd w:val="clear" w:color="auto" w:fill="auto"/>
          </w:tcPr>
          <w:p w14:paraId="7268F30E" w14:textId="77777777" w:rsidR="005F762A" w:rsidRDefault="005F762A">
            <w:pPr>
              <w:rPr>
                <w:rFonts w:ascii="宋体"/>
              </w:rPr>
            </w:pPr>
          </w:p>
        </w:tc>
        <w:tc>
          <w:tcPr>
            <w:tcW w:w="5" w:type="pct"/>
            <w:shd w:val="clear" w:color="auto" w:fill="auto"/>
          </w:tcPr>
          <w:p w14:paraId="7268F30F" w14:textId="77777777" w:rsidR="005F762A" w:rsidRDefault="005F762A">
            <w:pPr>
              <w:rPr>
                <w:rFonts w:ascii="宋体"/>
              </w:rPr>
            </w:pPr>
          </w:p>
        </w:tc>
        <w:tc>
          <w:tcPr>
            <w:tcW w:w="5" w:type="pct"/>
            <w:shd w:val="clear" w:color="auto" w:fill="auto"/>
          </w:tcPr>
          <w:p w14:paraId="7268F310" w14:textId="77777777" w:rsidR="005F762A" w:rsidRDefault="005F762A">
            <w:pPr>
              <w:rPr>
                <w:rFonts w:ascii="宋体"/>
              </w:rPr>
            </w:pPr>
          </w:p>
        </w:tc>
        <w:tc>
          <w:tcPr>
            <w:tcW w:w="26" w:type="pct"/>
            <w:shd w:val="clear" w:color="auto" w:fill="auto"/>
          </w:tcPr>
          <w:p w14:paraId="7268F311" w14:textId="77777777" w:rsidR="005F762A" w:rsidRDefault="005F762A">
            <w:pPr>
              <w:rPr>
                <w:rFonts w:ascii="宋体"/>
              </w:rPr>
            </w:pPr>
          </w:p>
        </w:tc>
        <w:tc>
          <w:tcPr>
            <w:tcW w:w="5" w:type="pct"/>
            <w:shd w:val="clear" w:color="auto" w:fill="auto"/>
          </w:tcPr>
          <w:p w14:paraId="7268F312" w14:textId="77777777" w:rsidR="005F762A" w:rsidRDefault="005F762A">
            <w:pPr>
              <w:rPr>
                <w:rFonts w:ascii="宋体"/>
              </w:rPr>
            </w:pPr>
          </w:p>
        </w:tc>
        <w:tc>
          <w:tcPr>
            <w:tcW w:w="50" w:type="pct"/>
            <w:shd w:val="clear" w:color="auto" w:fill="auto"/>
          </w:tcPr>
          <w:p w14:paraId="7268F313" w14:textId="77777777" w:rsidR="005F762A" w:rsidRDefault="005F762A">
            <w:pPr>
              <w:rPr>
                <w:rFonts w:ascii="宋体"/>
              </w:rPr>
            </w:pPr>
          </w:p>
        </w:tc>
        <w:tc>
          <w:tcPr>
            <w:tcW w:w="617" w:type="pct"/>
            <w:shd w:val="clear" w:color="auto" w:fill="auto"/>
          </w:tcPr>
          <w:p w14:paraId="7268F314" w14:textId="77777777" w:rsidR="005F762A" w:rsidRDefault="005F762A">
            <w:pPr>
              <w:rPr>
                <w:rFonts w:ascii="宋体"/>
              </w:rPr>
            </w:pPr>
          </w:p>
        </w:tc>
        <w:tc>
          <w:tcPr>
            <w:tcW w:w="5" w:type="pct"/>
            <w:shd w:val="clear" w:color="auto" w:fill="auto"/>
          </w:tcPr>
          <w:p w14:paraId="7268F315" w14:textId="77777777" w:rsidR="005F762A" w:rsidRDefault="005F762A">
            <w:pPr>
              <w:rPr>
                <w:rFonts w:ascii="宋体"/>
              </w:rPr>
            </w:pPr>
          </w:p>
        </w:tc>
      </w:tr>
      <w:tr w:rsidR="005F762A" w14:paraId="7268F31B" w14:textId="77777777">
        <w:tc>
          <w:tcPr>
            <w:tcW w:w="0" w:type="auto"/>
            <w:gridSpan w:val="3"/>
            <w:shd w:val="clear" w:color="auto" w:fill="auto"/>
            <w:tcMar>
              <w:top w:w="0" w:type="dxa"/>
              <w:left w:w="20" w:type="dxa"/>
              <w:bottom w:w="0" w:type="dxa"/>
              <w:right w:w="20" w:type="dxa"/>
            </w:tcMar>
          </w:tcPr>
          <w:p w14:paraId="7268F31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18" w14:textId="77777777" w:rsidR="005F762A" w:rsidRDefault="00D74111">
            <w:pPr>
              <w:jc w:val="center"/>
              <w:textAlignment w:val="bottom"/>
            </w:pPr>
            <w:r>
              <w:rPr>
                <w:rFonts w:ascii="Arial" w:eastAsia="宋体" w:hAnsi="Arial" w:cs="Arial"/>
                <w:b/>
                <w:bCs/>
                <w:color w:val="000000"/>
                <w:sz w:val="16"/>
                <w:szCs w:val="16"/>
              </w:rPr>
              <w:t>March 31, 2021</w:t>
            </w:r>
          </w:p>
        </w:tc>
        <w:tc>
          <w:tcPr>
            <w:tcW w:w="0" w:type="auto"/>
            <w:gridSpan w:val="3"/>
            <w:shd w:val="clear" w:color="auto" w:fill="auto"/>
            <w:tcMar>
              <w:top w:w="0" w:type="dxa"/>
              <w:left w:w="20" w:type="dxa"/>
              <w:bottom w:w="0" w:type="dxa"/>
              <w:right w:w="20" w:type="dxa"/>
            </w:tcMar>
          </w:tcPr>
          <w:p w14:paraId="7268F31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1A" w14:textId="77777777" w:rsidR="005F762A" w:rsidRDefault="00D74111">
            <w:pPr>
              <w:jc w:val="center"/>
              <w:textAlignment w:val="bottom"/>
            </w:pPr>
            <w:r>
              <w:rPr>
                <w:rFonts w:ascii="Arial" w:eastAsia="宋体" w:hAnsi="Arial" w:cs="Arial"/>
                <w:b/>
                <w:bCs/>
                <w:color w:val="000000"/>
                <w:sz w:val="16"/>
                <w:szCs w:val="16"/>
              </w:rPr>
              <w:t>December 31, 2020</w:t>
            </w:r>
          </w:p>
        </w:tc>
      </w:tr>
      <w:tr w:rsidR="005F762A" w14:paraId="7268F324" w14:textId="77777777">
        <w:tc>
          <w:tcPr>
            <w:tcW w:w="0" w:type="auto"/>
            <w:gridSpan w:val="3"/>
            <w:shd w:val="clear" w:color="auto" w:fill="DDDDDD"/>
            <w:tcMar>
              <w:top w:w="40" w:type="dxa"/>
              <w:left w:w="20" w:type="dxa"/>
              <w:bottom w:w="40" w:type="dxa"/>
              <w:right w:w="20" w:type="dxa"/>
            </w:tcMar>
            <w:vAlign w:val="bottom"/>
          </w:tcPr>
          <w:p w14:paraId="7268F31C" w14:textId="77777777" w:rsidR="005F762A" w:rsidRDefault="00D74111">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7268F31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7268F31E"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F31F"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F320" w14:textId="77777777" w:rsidR="005F762A" w:rsidRDefault="005F762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7268F32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7268F322"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F323" w14:textId="77777777" w:rsidR="005F762A" w:rsidRDefault="005F762A">
            <w:pPr>
              <w:jc w:val="right"/>
              <w:rPr>
                <w:rFonts w:ascii="宋体"/>
              </w:rPr>
            </w:pPr>
          </w:p>
        </w:tc>
      </w:tr>
      <w:tr w:rsidR="005F762A" w14:paraId="7268F32B" w14:textId="77777777">
        <w:tc>
          <w:tcPr>
            <w:tcW w:w="0" w:type="auto"/>
            <w:gridSpan w:val="3"/>
            <w:shd w:val="clear" w:color="auto" w:fill="FFFFFF"/>
            <w:tcMar>
              <w:top w:w="40" w:type="dxa"/>
              <w:left w:w="20" w:type="dxa"/>
              <w:bottom w:w="40" w:type="dxa"/>
              <w:right w:w="20" w:type="dxa"/>
            </w:tcMar>
            <w:vAlign w:val="bottom"/>
          </w:tcPr>
          <w:p w14:paraId="7268F325" w14:textId="77777777" w:rsidR="005F762A" w:rsidRDefault="00D74111">
            <w:pPr>
              <w:textAlignment w:val="bottom"/>
            </w:pPr>
            <w:r>
              <w:rPr>
                <w:rFonts w:ascii="Arial" w:eastAsia="宋体" w:hAnsi="Arial" w:cs="Arial"/>
                <w:color w:val="000000"/>
                <w:sz w:val="18"/>
                <w:szCs w:val="18"/>
              </w:rPr>
              <w:t>Funds receivable</w:t>
            </w:r>
          </w:p>
        </w:tc>
        <w:tc>
          <w:tcPr>
            <w:tcW w:w="0" w:type="auto"/>
            <w:gridSpan w:val="2"/>
            <w:shd w:val="clear" w:color="auto" w:fill="FFFFFF"/>
            <w:tcMar>
              <w:top w:w="40" w:type="dxa"/>
              <w:left w:w="20" w:type="dxa"/>
              <w:bottom w:w="40" w:type="dxa"/>
              <w:right w:w="0" w:type="dxa"/>
            </w:tcMar>
            <w:vAlign w:val="bottom"/>
          </w:tcPr>
          <w:p w14:paraId="7268F326" w14:textId="77777777" w:rsidR="005F762A" w:rsidRDefault="00D74111">
            <w:pPr>
              <w:jc w:val="right"/>
              <w:textAlignment w:val="bottom"/>
            </w:pPr>
            <w:r>
              <w:rPr>
                <w:rFonts w:ascii="Arial" w:eastAsia="宋体" w:hAnsi="Arial" w:cs="Arial"/>
                <w:color w:val="000000"/>
                <w:sz w:val="18"/>
                <w:szCs w:val="18"/>
              </w:rPr>
              <w:t>1,016 </w:t>
            </w:r>
          </w:p>
        </w:tc>
        <w:tc>
          <w:tcPr>
            <w:tcW w:w="0" w:type="auto"/>
            <w:shd w:val="clear" w:color="auto" w:fill="FFFFFF"/>
            <w:tcMar>
              <w:top w:w="40" w:type="dxa"/>
              <w:left w:w="0" w:type="dxa"/>
              <w:bottom w:w="40" w:type="dxa"/>
              <w:right w:w="20" w:type="dxa"/>
            </w:tcMar>
            <w:vAlign w:val="bottom"/>
          </w:tcPr>
          <w:p w14:paraId="7268F32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32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329" w14:textId="77777777" w:rsidR="005F762A" w:rsidRDefault="00D74111">
            <w:pPr>
              <w:jc w:val="right"/>
              <w:textAlignment w:val="bottom"/>
            </w:pPr>
            <w:r>
              <w:rPr>
                <w:rFonts w:ascii="Arial" w:eastAsia="宋体" w:hAnsi="Arial" w:cs="Arial"/>
                <w:color w:val="000000"/>
                <w:sz w:val="18"/>
                <w:szCs w:val="18"/>
              </w:rPr>
              <w:t>939 </w:t>
            </w:r>
          </w:p>
        </w:tc>
        <w:tc>
          <w:tcPr>
            <w:tcW w:w="0" w:type="auto"/>
            <w:shd w:val="clear" w:color="auto" w:fill="FFFFFF"/>
            <w:tcMar>
              <w:top w:w="40" w:type="dxa"/>
              <w:left w:w="0" w:type="dxa"/>
              <w:bottom w:w="40" w:type="dxa"/>
              <w:right w:w="20" w:type="dxa"/>
            </w:tcMar>
            <w:vAlign w:val="bottom"/>
          </w:tcPr>
          <w:p w14:paraId="7268F32A" w14:textId="77777777" w:rsidR="005F762A" w:rsidRDefault="005F762A">
            <w:pPr>
              <w:jc w:val="right"/>
              <w:rPr>
                <w:rFonts w:ascii="宋体"/>
              </w:rPr>
            </w:pPr>
          </w:p>
        </w:tc>
      </w:tr>
      <w:tr w:rsidR="005F762A" w14:paraId="7268F334" w14:textId="77777777">
        <w:tc>
          <w:tcPr>
            <w:tcW w:w="0" w:type="auto"/>
            <w:gridSpan w:val="3"/>
            <w:shd w:val="clear" w:color="auto" w:fill="DDDDDD"/>
            <w:tcMar>
              <w:top w:w="40" w:type="dxa"/>
              <w:left w:w="20" w:type="dxa"/>
              <w:bottom w:w="40" w:type="dxa"/>
              <w:right w:w="20" w:type="dxa"/>
            </w:tcMar>
            <w:vAlign w:val="bottom"/>
          </w:tcPr>
          <w:p w14:paraId="7268F32C" w14:textId="77777777" w:rsidR="005F762A" w:rsidRDefault="00D74111">
            <w:pPr>
              <w:textAlignment w:val="bottom"/>
            </w:pPr>
            <w:r>
              <w:rPr>
                <w:rFonts w:ascii="Arial" w:eastAsia="宋体" w:hAnsi="Arial" w:cs="Arial"/>
                <w:color w:val="000000"/>
                <w:sz w:val="18"/>
                <w:szCs w:val="18"/>
              </w:rPr>
              <w:t xml:space="preserve">Customer accounts and </w:t>
            </w:r>
            <w:r>
              <w:rPr>
                <w:rFonts w:ascii="Arial" w:eastAsia="宋体" w:hAnsi="Arial" w:cs="Arial"/>
                <w:color w:val="000000"/>
                <w:sz w:val="18"/>
                <w:szCs w:val="18"/>
              </w:rPr>
              <w:t>funds receivable</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7268F32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7268F32E" w14:textId="77777777" w:rsidR="005F762A" w:rsidRDefault="00D74111">
            <w:pPr>
              <w:jc w:val="right"/>
              <w:textAlignment w:val="bottom"/>
            </w:pPr>
            <w:r>
              <w:rPr>
                <w:rFonts w:ascii="Arial" w:eastAsia="宋体" w:hAnsi="Arial" w:cs="Arial"/>
                <w:color w:val="000000"/>
                <w:sz w:val="18"/>
                <w:szCs w:val="18"/>
              </w:rPr>
              <w:t>1,016 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7268F32F" w14:textId="77777777" w:rsidR="005F762A" w:rsidRDefault="005F762A">
            <w:pPr>
              <w:jc w:val="right"/>
              <w:rPr>
                <w:rFonts w:ascii="宋体"/>
              </w:rPr>
            </w:pPr>
          </w:p>
        </w:tc>
        <w:tc>
          <w:tcPr>
            <w:tcW w:w="0" w:type="auto"/>
            <w:gridSpan w:val="3"/>
            <w:shd w:val="clear" w:color="auto" w:fill="DDDDDD"/>
            <w:tcMar>
              <w:top w:w="0" w:type="dxa"/>
              <w:left w:w="20" w:type="dxa"/>
              <w:bottom w:w="0" w:type="dxa"/>
              <w:right w:w="20" w:type="dxa"/>
            </w:tcMar>
          </w:tcPr>
          <w:p w14:paraId="7268F330" w14:textId="77777777" w:rsidR="005F762A" w:rsidRDefault="005F762A">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7268F33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7268F332" w14:textId="77777777" w:rsidR="005F762A" w:rsidRDefault="00D74111">
            <w:pPr>
              <w:jc w:val="right"/>
              <w:textAlignment w:val="bottom"/>
            </w:pPr>
            <w:r>
              <w:rPr>
                <w:rFonts w:ascii="Arial" w:eastAsia="宋体" w:hAnsi="Arial" w:cs="Arial"/>
                <w:color w:val="000000"/>
                <w:sz w:val="18"/>
                <w:szCs w:val="18"/>
              </w:rPr>
              <w:t>939 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7268F333" w14:textId="77777777" w:rsidR="005F762A" w:rsidRDefault="005F762A">
            <w:pPr>
              <w:jc w:val="right"/>
              <w:rPr>
                <w:rFonts w:ascii="宋体"/>
              </w:rPr>
            </w:pPr>
          </w:p>
        </w:tc>
      </w:tr>
    </w:tbl>
    <w:p w14:paraId="7268F335" w14:textId="77777777" w:rsidR="005F762A" w:rsidRDefault="005F762A"/>
    <w:p w14:paraId="7268F336" w14:textId="77777777" w:rsidR="005F762A" w:rsidRDefault="00D74111">
      <w:pPr>
        <w:jc w:val="both"/>
      </w:pPr>
      <w:r>
        <w:rPr>
          <w:rFonts w:ascii="Arial" w:eastAsia="宋体" w:hAnsi="Arial" w:cs="Arial"/>
          <w:b/>
          <w:bCs/>
          <w:color w:val="000000"/>
          <w:sz w:val="20"/>
          <w:szCs w:val="20"/>
        </w:rPr>
        <w:t xml:space="preserve">Note 11 — Commitments and Contingencies </w:t>
      </w:r>
    </w:p>
    <w:p w14:paraId="7268F337" w14:textId="77777777" w:rsidR="005F762A" w:rsidRDefault="005F762A">
      <w:pPr>
        <w:ind w:firstLine="450"/>
        <w:jc w:val="both"/>
      </w:pPr>
    </w:p>
    <w:p w14:paraId="7268F338" w14:textId="77777777" w:rsidR="005F762A" w:rsidRDefault="00D74111">
      <w:pPr>
        <w:ind w:firstLine="270"/>
        <w:jc w:val="both"/>
      </w:pPr>
      <w:r>
        <w:rPr>
          <w:rFonts w:ascii="Arial" w:eastAsia="宋体" w:hAnsi="Arial" w:cs="Arial"/>
          <w:b/>
          <w:bCs/>
          <w:i/>
          <w:iCs/>
          <w:color w:val="000000"/>
          <w:sz w:val="20"/>
          <w:szCs w:val="20"/>
        </w:rPr>
        <w:t>Off-Balance Sheet Arrangements</w:t>
      </w:r>
    </w:p>
    <w:p w14:paraId="7268F339" w14:textId="77777777" w:rsidR="005F762A" w:rsidRDefault="005F762A">
      <w:pPr>
        <w:jc w:val="both"/>
      </w:pPr>
    </w:p>
    <w:p w14:paraId="7268F33A" w14:textId="77777777" w:rsidR="005F762A" w:rsidRDefault="00D74111">
      <w:pPr>
        <w:ind w:firstLine="540"/>
        <w:jc w:val="both"/>
      </w:pPr>
      <w:r>
        <w:rPr>
          <w:rFonts w:ascii="Arial" w:eastAsia="宋体" w:hAnsi="Arial" w:cs="Arial"/>
          <w:color w:val="000000"/>
          <w:sz w:val="20"/>
          <w:szCs w:val="20"/>
        </w:rPr>
        <w:t>As of March 31, 2021, we had no off-balance sheet arrangements that have, or are reasonably likely to have, a current or future material effect on our consolidated financial condition, results of operations, liquidity, capital expenditures or capital resou</w:t>
      </w:r>
      <w:r>
        <w:rPr>
          <w:rFonts w:ascii="Arial" w:eastAsia="宋体" w:hAnsi="Arial" w:cs="Arial"/>
          <w:color w:val="000000"/>
          <w:sz w:val="20"/>
          <w:szCs w:val="20"/>
        </w:rPr>
        <w:t xml:space="preserve">rces. </w:t>
      </w:r>
    </w:p>
    <w:p w14:paraId="7268F33B" w14:textId="77777777" w:rsidR="005F762A" w:rsidRDefault="005F762A">
      <w:pPr>
        <w:jc w:val="center"/>
      </w:pPr>
    </w:p>
    <w:p w14:paraId="7268F33C" w14:textId="77777777" w:rsidR="005F762A" w:rsidRDefault="00D74111">
      <w:pPr>
        <w:jc w:val="center"/>
      </w:pPr>
      <w:r>
        <w:rPr>
          <w:rFonts w:ascii="Arial" w:eastAsia="宋体" w:hAnsi="Arial" w:cs="Arial"/>
          <w:color w:val="000000"/>
          <w:sz w:val="20"/>
          <w:szCs w:val="20"/>
        </w:rPr>
        <w:t>24</w:t>
      </w:r>
    </w:p>
    <w:p w14:paraId="7268F33D" w14:textId="77777777" w:rsidR="005F762A" w:rsidRDefault="00D74111">
      <w:r>
        <w:pict w14:anchorId="72690157">
          <v:rect id="_x0000_i1048" style="width:415.3pt;height:1.5pt" o:hralign="center" o:hrstd="t" o:hr="t" fillcolor="#a0a0a0" stroked="f"/>
        </w:pict>
      </w:r>
    </w:p>
    <w:p w14:paraId="7268F33E" w14:textId="77777777" w:rsidR="005F762A" w:rsidRDefault="005F762A">
      <w:pPr>
        <w:jc w:val="center"/>
      </w:pPr>
    </w:p>
    <w:p w14:paraId="7268F33F" w14:textId="77777777" w:rsidR="005F762A" w:rsidRDefault="00D74111">
      <w:pPr>
        <w:jc w:val="center"/>
      </w:pPr>
      <w:r>
        <w:rPr>
          <w:rFonts w:ascii="Arial" w:eastAsia="宋体" w:hAnsi="Arial" w:cs="Arial"/>
          <w:b/>
          <w:bCs/>
          <w:color w:val="000000"/>
          <w:sz w:val="20"/>
          <w:szCs w:val="20"/>
        </w:rPr>
        <w:t>eBay Inc.</w:t>
      </w:r>
    </w:p>
    <w:p w14:paraId="7268F340"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F341" w14:textId="77777777" w:rsidR="005F762A" w:rsidRDefault="005F762A">
      <w:pPr>
        <w:ind w:firstLine="540"/>
        <w:jc w:val="both"/>
      </w:pPr>
    </w:p>
    <w:p w14:paraId="7268F342" w14:textId="77777777" w:rsidR="005F762A" w:rsidRDefault="00D74111">
      <w:pPr>
        <w:ind w:firstLine="540"/>
        <w:jc w:val="both"/>
      </w:pPr>
      <w:r>
        <w:rPr>
          <w:rFonts w:ascii="Arial" w:eastAsia="宋体" w:hAnsi="Arial" w:cs="Arial"/>
          <w:color w:val="000000"/>
          <w:sz w:val="20"/>
          <w:szCs w:val="20"/>
        </w:rPr>
        <w:t xml:space="preserve">We have a cash pooling arrangement with a financial institution for cash management purposes. This arrangement allows for cash withdrawals from the financial </w:t>
      </w:r>
      <w:r>
        <w:rPr>
          <w:rFonts w:ascii="Arial" w:eastAsia="宋体" w:hAnsi="Arial" w:cs="Arial"/>
          <w:color w:val="000000"/>
          <w:sz w:val="20"/>
          <w:szCs w:val="20"/>
        </w:rPr>
        <w:t>institution based upon our aggregate operating cash balances held within the same financial institution (“Aggregate Cash Deposits”). This arrangement also allows us to withdraw amounts exceeding the Aggregate Cash Deposits up to an agreed-upon limit. The n</w:t>
      </w:r>
      <w:r>
        <w:rPr>
          <w:rFonts w:ascii="Arial" w:eastAsia="宋体" w:hAnsi="Arial" w:cs="Arial"/>
          <w:color w:val="000000"/>
          <w:sz w:val="20"/>
          <w:szCs w:val="20"/>
        </w:rPr>
        <w:t xml:space="preserve">et balance of the withdrawals and the Aggregate Cash Deposits are used by the financial institution as a basis for calculating our net interest expense or income under the arrangement. As of March 31, 2021, we had a total of $4.5 billion in aggregate cash </w:t>
      </w:r>
      <w:r>
        <w:rPr>
          <w:rFonts w:ascii="Arial" w:eastAsia="宋体" w:hAnsi="Arial" w:cs="Arial"/>
          <w:color w:val="000000"/>
          <w:sz w:val="20"/>
          <w:szCs w:val="20"/>
        </w:rPr>
        <w:t>deposits, partially offset by $4.2 billion in cash withdrawals, held within the financial institution under the cash pooling arrangement.</w:t>
      </w:r>
    </w:p>
    <w:p w14:paraId="7268F343" w14:textId="77777777" w:rsidR="005F762A" w:rsidRDefault="005F762A">
      <w:pPr>
        <w:jc w:val="both"/>
      </w:pPr>
    </w:p>
    <w:p w14:paraId="7268F344" w14:textId="77777777" w:rsidR="005F762A" w:rsidRDefault="00D74111">
      <w:pPr>
        <w:ind w:firstLine="270"/>
        <w:jc w:val="both"/>
      </w:pPr>
      <w:r>
        <w:rPr>
          <w:rFonts w:ascii="Arial" w:eastAsia="宋体" w:hAnsi="Arial" w:cs="Arial"/>
          <w:b/>
          <w:bCs/>
          <w:i/>
          <w:iCs/>
          <w:color w:val="000000"/>
          <w:sz w:val="20"/>
          <w:szCs w:val="20"/>
        </w:rPr>
        <w:t>Litigation and Other Legal Matters</w:t>
      </w:r>
    </w:p>
    <w:p w14:paraId="7268F345" w14:textId="77777777" w:rsidR="005F762A" w:rsidRDefault="00D74111">
      <w:pPr>
        <w:jc w:val="both"/>
      </w:pPr>
      <w:r>
        <w:rPr>
          <w:rFonts w:ascii="Arial" w:eastAsia="宋体" w:hAnsi="Arial" w:cs="Arial"/>
          <w:color w:val="000000"/>
          <w:sz w:val="20"/>
          <w:szCs w:val="20"/>
        </w:rPr>
        <w:t> </w:t>
      </w:r>
    </w:p>
    <w:p w14:paraId="7268F346" w14:textId="77777777" w:rsidR="005F762A" w:rsidRDefault="00D74111">
      <w:pPr>
        <w:ind w:firstLine="450"/>
        <w:jc w:val="both"/>
      </w:pPr>
      <w:r>
        <w:rPr>
          <w:rFonts w:ascii="Arial" w:eastAsia="宋体" w:hAnsi="Arial" w:cs="Arial"/>
          <w:color w:val="000000"/>
          <w:sz w:val="20"/>
          <w:szCs w:val="20"/>
        </w:rPr>
        <w:t>Overview</w:t>
      </w:r>
    </w:p>
    <w:p w14:paraId="7268F347" w14:textId="77777777" w:rsidR="005F762A" w:rsidRDefault="00D74111">
      <w:pPr>
        <w:spacing w:before="200"/>
        <w:ind w:firstLine="540"/>
        <w:jc w:val="both"/>
      </w:pPr>
      <w:r>
        <w:rPr>
          <w:rFonts w:ascii="Arial" w:eastAsia="宋体" w:hAnsi="Arial" w:cs="Arial"/>
          <w:color w:val="000000"/>
          <w:sz w:val="20"/>
          <w:szCs w:val="20"/>
        </w:rPr>
        <w:t>We are involved in legal and regulatory proceedings on an ongoing basis</w:t>
      </w:r>
      <w:r>
        <w:rPr>
          <w:rFonts w:ascii="Arial" w:eastAsia="宋体" w:hAnsi="Arial" w:cs="Arial"/>
          <w:color w:val="000000"/>
          <w:sz w:val="20"/>
          <w:szCs w:val="20"/>
        </w:rPr>
        <w:t>. Many of these proceedings are in early stages and may seek an indeterminate amount of damages. If we believe that a loss arising from such matters is probable and can be reasonably estimated, we accrue the estimated liability in our financial statements.</w:t>
      </w:r>
      <w:r>
        <w:rPr>
          <w:rFonts w:ascii="Arial" w:eastAsia="宋体" w:hAnsi="Arial" w:cs="Arial"/>
          <w:color w:val="000000"/>
          <w:sz w:val="20"/>
          <w:szCs w:val="20"/>
        </w:rPr>
        <w:t xml:space="preserve"> If only a range of estimated losses can be determined, we accrue an amount within the range that, in our judgment, reflects the most likely outcome; if none of the estimates within that range is a better estimate than any other amount, we accrue the low e</w:t>
      </w:r>
      <w:r>
        <w:rPr>
          <w:rFonts w:ascii="Arial" w:eastAsia="宋体" w:hAnsi="Arial" w:cs="Arial"/>
          <w:color w:val="000000"/>
          <w:sz w:val="20"/>
          <w:szCs w:val="20"/>
        </w:rPr>
        <w:t>nd of the range. For those proceedings in which an unfavorable outcome is reasonably possible but not probable, we have disclosed an estimate of the reasonably possible loss or range of losses or we have concluded that an estimate of the reasonably possibl</w:t>
      </w:r>
      <w:r>
        <w:rPr>
          <w:rFonts w:ascii="Arial" w:eastAsia="宋体" w:hAnsi="Arial" w:cs="Arial"/>
          <w:color w:val="000000"/>
          <w:sz w:val="20"/>
          <w:szCs w:val="20"/>
        </w:rPr>
        <w:t xml:space="preserve">e loss or range of losses arising directly from the proceeding (i.e., monetary damages or amounts paid in judgment or settlement) is not material. If we cannot estimate the probable or reasonably possible loss or range of losses arising from a proceeding, </w:t>
      </w:r>
      <w:r>
        <w:rPr>
          <w:rFonts w:ascii="Arial" w:eastAsia="宋体" w:hAnsi="Arial" w:cs="Arial"/>
          <w:color w:val="000000"/>
          <w:sz w:val="20"/>
          <w:szCs w:val="20"/>
        </w:rPr>
        <w:t>we have disclosed that fact. In assessing the materiality of a proceeding, we evaluate, among other factors, the amount of monetary damages claimed, as well as the potential impact of non-monetary remedies sought by plaintiffs (e.g., injunctive relief) tha</w:t>
      </w:r>
      <w:r>
        <w:rPr>
          <w:rFonts w:ascii="Arial" w:eastAsia="宋体" w:hAnsi="Arial" w:cs="Arial"/>
          <w:color w:val="000000"/>
          <w:sz w:val="20"/>
          <w:szCs w:val="20"/>
        </w:rPr>
        <w:t>t may require us to change our business practices in a manner that could have a material adverse impact on our business. With respect to the matters disclosed in this Note 11, we are unable to estimate the possible loss or range of losses that could potent</w:t>
      </w:r>
      <w:r>
        <w:rPr>
          <w:rFonts w:ascii="Arial" w:eastAsia="宋体" w:hAnsi="Arial" w:cs="Arial"/>
          <w:color w:val="000000"/>
          <w:sz w:val="20"/>
          <w:szCs w:val="20"/>
        </w:rPr>
        <w:t>ially result from the application of such non-monetary remedies.</w:t>
      </w:r>
    </w:p>
    <w:p w14:paraId="7268F348" w14:textId="77777777" w:rsidR="005F762A" w:rsidRDefault="005F762A">
      <w:pPr>
        <w:ind w:firstLine="540"/>
        <w:jc w:val="both"/>
      </w:pPr>
    </w:p>
    <w:p w14:paraId="7268F349" w14:textId="77777777" w:rsidR="005F762A" w:rsidRDefault="00D74111">
      <w:pPr>
        <w:ind w:firstLine="540"/>
        <w:jc w:val="both"/>
      </w:pPr>
      <w:r>
        <w:rPr>
          <w:rFonts w:ascii="Arial" w:eastAsia="宋体" w:hAnsi="Arial" w:cs="Arial"/>
          <w:color w:val="000000"/>
          <w:sz w:val="20"/>
          <w:szCs w:val="20"/>
        </w:rPr>
        <w:t>Amounts accrued for legal and regulatory proceedings for which we believe a loss is probable were not material for the three months ended March 31, 2021. Except as otherwise noted for the pr</w:t>
      </w:r>
      <w:r>
        <w:rPr>
          <w:rFonts w:ascii="Arial" w:eastAsia="宋体" w:hAnsi="Arial" w:cs="Arial"/>
          <w:color w:val="000000"/>
          <w:sz w:val="20"/>
          <w:szCs w:val="20"/>
        </w:rPr>
        <w:t>oceedings described in this Note 11, we have concluded, based on currently available information, that reasonably possible losses arising directly from the proceedings (i.e., monetary damages or amounts paid in judgment or settlement) in excess of our reco</w:t>
      </w:r>
      <w:r>
        <w:rPr>
          <w:rFonts w:ascii="Arial" w:eastAsia="宋体" w:hAnsi="Arial" w:cs="Arial"/>
          <w:color w:val="000000"/>
          <w:sz w:val="20"/>
          <w:szCs w:val="20"/>
        </w:rPr>
        <w:t>rded accruals are also not material. However, legal and regulatory proceedings are inherently unpredictable and subject to significant uncertainties. If one or more matters were resolved against us in a reporting period for amounts in excess of management’</w:t>
      </w:r>
      <w:r>
        <w:rPr>
          <w:rFonts w:ascii="Arial" w:eastAsia="宋体" w:hAnsi="Arial" w:cs="Arial"/>
          <w:color w:val="000000"/>
          <w:sz w:val="20"/>
          <w:szCs w:val="20"/>
        </w:rPr>
        <w:t>s expectations, the impact on our operating results or financial condition for that reporting period could be material. Legal fees are expensed as incurred.</w:t>
      </w:r>
    </w:p>
    <w:p w14:paraId="7268F34A" w14:textId="77777777" w:rsidR="005F762A" w:rsidRDefault="005F762A">
      <w:pPr>
        <w:ind w:firstLine="540"/>
        <w:jc w:val="both"/>
      </w:pPr>
    </w:p>
    <w:p w14:paraId="7268F34B" w14:textId="77777777" w:rsidR="005F762A" w:rsidRDefault="00D74111">
      <w:pPr>
        <w:ind w:firstLine="450"/>
        <w:jc w:val="both"/>
      </w:pPr>
      <w:r>
        <w:rPr>
          <w:rFonts w:ascii="Arial" w:eastAsia="宋体" w:hAnsi="Arial" w:cs="Arial"/>
          <w:color w:val="000000"/>
          <w:sz w:val="20"/>
          <w:szCs w:val="20"/>
        </w:rPr>
        <w:t>General Matters</w:t>
      </w:r>
    </w:p>
    <w:p w14:paraId="7268F34C" w14:textId="77777777" w:rsidR="005F762A" w:rsidRDefault="005F762A">
      <w:pPr>
        <w:ind w:firstLine="540"/>
        <w:jc w:val="both"/>
      </w:pPr>
    </w:p>
    <w:p w14:paraId="7268F34D" w14:textId="77777777" w:rsidR="005F762A" w:rsidRDefault="00D74111">
      <w:pPr>
        <w:ind w:firstLine="540"/>
        <w:jc w:val="both"/>
      </w:pPr>
      <w:r>
        <w:rPr>
          <w:rFonts w:ascii="Arial" w:eastAsia="宋体" w:hAnsi="Arial" w:cs="Arial"/>
          <w:color w:val="000000"/>
          <w:sz w:val="20"/>
          <w:szCs w:val="20"/>
        </w:rPr>
        <w:t xml:space="preserve">Third parties have from time to time claimed, and others may claim in the </w:t>
      </w:r>
      <w:r>
        <w:rPr>
          <w:rFonts w:ascii="Arial" w:eastAsia="宋体" w:hAnsi="Arial" w:cs="Arial"/>
          <w:color w:val="000000"/>
          <w:sz w:val="20"/>
          <w:szCs w:val="20"/>
        </w:rPr>
        <w:t>future, that we have infringed their intellectual property rights. We are subject to patent disputes, and expect that we could be subject to additional patent infringement claims involving various aspects of our business as our products and services contin</w:t>
      </w:r>
      <w:r>
        <w:rPr>
          <w:rFonts w:ascii="Arial" w:eastAsia="宋体" w:hAnsi="Arial" w:cs="Arial"/>
          <w:color w:val="000000"/>
          <w:sz w:val="20"/>
          <w:szCs w:val="20"/>
        </w:rPr>
        <w:t xml:space="preserve">ue to expand in scope and complexity. Such claims may be brought directly or indirectly against us and/or against our customers (who may be entitled to contractual indemnification under their contracts with us), and we are subject to increased exposure to </w:t>
      </w:r>
      <w:r>
        <w:rPr>
          <w:rFonts w:ascii="Arial" w:eastAsia="宋体" w:hAnsi="Arial" w:cs="Arial"/>
          <w:color w:val="000000"/>
          <w:sz w:val="20"/>
          <w:szCs w:val="20"/>
        </w:rPr>
        <w:t>such claims as a result of our acquisitions and divestitures and in cases where we are entering new lines of business. We have in the past been forced to litigate such claims. We may also become more vulnerable to third-party claims as laws such as the Dig</w:t>
      </w:r>
      <w:r>
        <w:rPr>
          <w:rFonts w:ascii="Arial" w:eastAsia="宋体" w:hAnsi="Arial" w:cs="Arial"/>
          <w:color w:val="000000"/>
          <w:sz w:val="20"/>
          <w:szCs w:val="20"/>
        </w:rPr>
        <w:t>ital Millennium Copyright Act, the Lanham Act and the Communications Decency Act are interpreted by the courts, and as we expand the scope of our business (both in terms of the range of products and services that we offer and our geographical operations) a</w:t>
      </w:r>
      <w:r>
        <w:rPr>
          <w:rFonts w:ascii="Arial" w:eastAsia="宋体" w:hAnsi="Arial" w:cs="Arial"/>
          <w:color w:val="000000"/>
          <w:sz w:val="20"/>
          <w:szCs w:val="20"/>
        </w:rPr>
        <w:t>nd become subject to laws in jurisdictions where the underlying laws with respect to the potential liability of online intermediaries like ourselves are either unclear or less favorable. We believe that additional lawsuits alleging that we have violated pa</w:t>
      </w:r>
      <w:r>
        <w:rPr>
          <w:rFonts w:ascii="Arial" w:eastAsia="宋体" w:hAnsi="Arial" w:cs="Arial"/>
          <w:color w:val="000000"/>
          <w:sz w:val="20"/>
          <w:szCs w:val="20"/>
        </w:rPr>
        <w:t xml:space="preserve">tent, copyright or trademark laws will be filed against us. Intellectual property claims, whether meritorious or not, are time consuming and costly to defend and resolve, could require expensive changes in our methods of doing business or could require us </w:t>
      </w:r>
      <w:r>
        <w:rPr>
          <w:rFonts w:ascii="Arial" w:eastAsia="宋体" w:hAnsi="Arial" w:cs="Arial"/>
          <w:color w:val="000000"/>
          <w:sz w:val="20"/>
          <w:szCs w:val="20"/>
        </w:rPr>
        <w:t>to enter into costly royalty or licensing agreements on unfavorable terms.</w:t>
      </w:r>
    </w:p>
    <w:p w14:paraId="7268F34E" w14:textId="77777777" w:rsidR="005F762A" w:rsidRDefault="005F762A">
      <w:pPr>
        <w:ind w:firstLine="540"/>
        <w:jc w:val="both"/>
      </w:pPr>
    </w:p>
    <w:p w14:paraId="7268F34F" w14:textId="77777777" w:rsidR="005F762A" w:rsidRDefault="005F762A">
      <w:pPr>
        <w:jc w:val="center"/>
      </w:pPr>
    </w:p>
    <w:p w14:paraId="7268F350" w14:textId="77777777" w:rsidR="005F762A" w:rsidRDefault="00D74111">
      <w:pPr>
        <w:jc w:val="center"/>
      </w:pPr>
      <w:r>
        <w:rPr>
          <w:rFonts w:ascii="Arial" w:eastAsia="宋体" w:hAnsi="Arial" w:cs="Arial"/>
          <w:color w:val="000000"/>
          <w:sz w:val="20"/>
          <w:szCs w:val="20"/>
        </w:rPr>
        <w:t>25</w:t>
      </w:r>
    </w:p>
    <w:p w14:paraId="7268F351" w14:textId="77777777" w:rsidR="005F762A" w:rsidRDefault="00D74111">
      <w:r>
        <w:pict w14:anchorId="72690158">
          <v:rect id="_x0000_i1049" style="width:415.3pt;height:1.5pt" o:hralign="center" o:hrstd="t" o:hr="t" fillcolor="#a0a0a0" stroked="f"/>
        </w:pict>
      </w:r>
    </w:p>
    <w:p w14:paraId="7268F352" w14:textId="77777777" w:rsidR="005F762A" w:rsidRDefault="005F762A">
      <w:pPr>
        <w:jc w:val="center"/>
      </w:pPr>
    </w:p>
    <w:p w14:paraId="7268F353" w14:textId="77777777" w:rsidR="005F762A" w:rsidRDefault="00D74111">
      <w:pPr>
        <w:jc w:val="center"/>
      </w:pPr>
      <w:r>
        <w:rPr>
          <w:rFonts w:ascii="Arial" w:eastAsia="宋体" w:hAnsi="Arial" w:cs="Arial"/>
          <w:b/>
          <w:bCs/>
          <w:color w:val="000000"/>
          <w:sz w:val="20"/>
          <w:szCs w:val="20"/>
        </w:rPr>
        <w:t>eBay Inc.</w:t>
      </w:r>
    </w:p>
    <w:p w14:paraId="7268F354"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F355" w14:textId="77777777" w:rsidR="005F762A" w:rsidRDefault="00D74111">
      <w:pPr>
        <w:ind w:firstLine="540"/>
        <w:jc w:val="both"/>
      </w:pPr>
      <w:r>
        <w:rPr>
          <w:rFonts w:ascii="Arial" w:eastAsia="宋体" w:hAnsi="Arial" w:cs="Arial"/>
          <w:color w:val="000000"/>
          <w:sz w:val="20"/>
          <w:szCs w:val="20"/>
        </w:rPr>
        <w:t>From time to time, we are involved in other disputes or regulatory inquiries that arise in the ord</w:t>
      </w:r>
      <w:r>
        <w:rPr>
          <w:rFonts w:ascii="Arial" w:eastAsia="宋体" w:hAnsi="Arial" w:cs="Arial"/>
          <w:color w:val="000000"/>
          <w:sz w:val="20"/>
          <w:szCs w:val="20"/>
        </w:rPr>
        <w:t>inary course of business, including suits by our users (individually or as class actions) alleging, among other things, improper disclosure of our prices, rules or policies, that our practices, prices, rules, policies or customer/user agreements violate ap</w:t>
      </w:r>
      <w:r>
        <w:rPr>
          <w:rFonts w:ascii="Arial" w:eastAsia="宋体" w:hAnsi="Arial" w:cs="Arial"/>
          <w:color w:val="000000"/>
          <w:sz w:val="20"/>
          <w:szCs w:val="20"/>
        </w:rPr>
        <w:t>plicable law or that we have acted unfairly and/or not acted in conformity with such practices, prices, rules, policies or agreements. Further, the number and significance of these disputes and inquiries are increasing as the political and regulatory lands</w:t>
      </w:r>
      <w:r>
        <w:rPr>
          <w:rFonts w:ascii="Arial" w:eastAsia="宋体" w:hAnsi="Arial" w:cs="Arial"/>
          <w:color w:val="000000"/>
          <w:sz w:val="20"/>
          <w:szCs w:val="20"/>
        </w:rPr>
        <w:t>cape changes and, as we have grown larger, our businesses have expanded in scope (both in terms of the range of products and services that we offer and our geographical operations) and our products and services have increased in complexity. Any claims or r</w:t>
      </w:r>
      <w:r>
        <w:rPr>
          <w:rFonts w:ascii="Arial" w:eastAsia="宋体" w:hAnsi="Arial" w:cs="Arial"/>
          <w:color w:val="000000"/>
          <w:sz w:val="20"/>
          <w:szCs w:val="20"/>
        </w:rPr>
        <w:t>egulatory actions against us, whether meritorious or not, could be time consuming, result in costly litigation, damage awards (including statutory damages for certain causes of action in certain jurisdictions), injunctive relief or increased costs of doing</w:t>
      </w:r>
      <w:r>
        <w:rPr>
          <w:rFonts w:ascii="Arial" w:eastAsia="宋体" w:hAnsi="Arial" w:cs="Arial"/>
          <w:color w:val="000000"/>
          <w:sz w:val="20"/>
          <w:szCs w:val="20"/>
        </w:rPr>
        <w:t xml:space="preserve"> business through adverse judgment or settlement, require us to change our business practices in expensive ways, require significant amounts of management time, result in the diversion of significant operational resources or otherwise harm our business.</w:t>
      </w:r>
    </w:p>
    <w:p w14:paraId="7268F356" w14:textId="77777777" w:rsidR="005F762A" w:rsidRDefault="005F762A">
      <w:pPr>
        <w:ind w:firstLine="540"/>
        <w:jc w:val="both"/>
      </w:pPr>
    </w:p>
    <w:p w14:paraId="7268F357" w14:textId="77777777" w:rsidR="005F762A" w:rsidRDefault="00D74111">
      <w:pPr>
        <w:ind w:firstLine="270"/>
        <w:jc w:val="both"/>
      </w:pPr>
      <w:r>
        <w:rPr>
          <w:rFonts w:ascii="Arial" w:eastAsia="宋体" w:hAnsi="Arial" w:cs="Arial"/>
          <w:b/>
          <w:bCs/>
          <w:i/>
          <w:iCs/>
          <w:color w:val="000000"/>
          <w:sz w:val="20"/>
          <w:szCs w:val="20"/>
        </w:rPr>
        <w:t>I</w:t>
      </w:r>
      <w:r>
        <w:rPr>
          <w:rFonts w:ascii="Arial" w:eastAsia="宋体" w:hAnsi="Arial" w:cs="Arial"/>
          <w:b/>
          <w:bCs/>
          <w:i/>
          <w:iCs/>
          <w:color w:val="000000"/>
          <w:sz w:val="20"/>
          <w:szCs w:val="20"/>
        </w:rPr>
        <w:t xml:space="preserve">ndemnification Provisions </w:t>
      </w:r>
    </w:p>
    <w:p w14:paraId="7268F358" w14:textId="77777777" w:rsidR="005F762A" w:rsidRDefault="005F762A">
      <w:pPr>
        <w:jc w:val="both"/>
      </w:pPr>
    </w:p>
    <w:p w14:paraId="7268F359" w14:textId="77777777" w:rsidR="005F762A" w:rsidRDefault="00D74111">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companies. These agreements provide for specific indemnity and liability oblig</w:t>
      </w:r>
      <w:r>
        <w:rPr>
          <w:rFonts w:ascii="Arial" w:eastAsia="宋体" w:hAnsi="Arial" w:cs="Arial"/>
          <w:color w:val="000000"/>
          <w:sz w:val="20"/>
          <w:szCs w:val="20"/>
        </w:rPr>
        <w:t>ations and could lead to disputes between us and PayPal, which may be significant. In addition, the indemnity rights we have against PayPal under the agreements may not be sufficient to protect us and our indemnity obligations to PayPal may be significant.</w:t>
      </w:r>
    </w:p>
    <w:p w14:paraId="7268F35A" w14:textId="77777777" w:rsidR="005F762A" w:rsidRDefault="005F762A">
      <w:pPr>
        <w:ind w:firstLine="540"/>
        <w:jc w:val="both"/>
      </w:pPr>
    </w:p>
    <w:p w14:paraId="7268F35B" w14:textId="77777777" w:rsidR="005F762A" w:rsidRDefault="00D74111">
      <w:pPr>
        <w:ind w:firstLine="540"/>
        <w:jc w:val="both"/>
      </w:pPr>
      <w:r>
        <w:rPr>
          <w:rFonts w:ascii="Arial" w:eastAsia="宋体" w:hAnsi="Arial" w:cs="Arial"/>
          <w:color w:val="00000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w:t>
      </w:r>
      <w:r>
        <w:rPr>
          <w:rFonts w:ascii="Arial" w:eastAsia="宋体" w:hAnsi="Arial" w:cs="Arial"/>
          <w:color w:val="000000"/>
          <w:sz w:val="20"/>
          <w:szCs w:val="20"/>
        </w:rPr>
        <w:t xml:space="preserve">n liabilities to which they may become subject as a result of their affiliation with us. </w:t>
      </w:r>
    </w:p>
    <w:p w14:paraId="7268F35C" w14:textId="77777777" w:rsidR="005F762A" w:rsidRDefault="005F762A">
      <w:pPr>
        <w:ind w:firstLine="540"/>
        <w:jc w:val="both"/>
      </w:pPr>
    </w:p>
    <w:p w14:paraId="7268F35D" w14:textId="77777777" w:rsidR="005F762A" w:rsidRDefault="00D74111">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w:t>
      </w:r>
      <w:r>
        <w:rPr>
          <w:rFonts w:ascii="Arial" w:eastAsia="宋体" w:hAnsi="Arial" w:cs="Arial"/>
          <w:color w:val="000000"/>
          <w:sz w:val="20"/>
          <w:szCs w:val="20"/>
        </w:rPr>
        <w:t>ions, including our standard marketing, promotions and application programming interface license agreements. Under these contracts, we generally indemnify, hold harmless and agree to reimburse the indemnified party for losses suffered or incurred by the in</w:t>
      </w:r>
      <w:r>
        <w:rPr>
          <w:rFonts w:ascii="Arial" w:eastAsia="宋体" w:hAnsi="Arial" w:cs="Arial"/>
          <w:color w:val="000000"/>
          <w:sz w:val="20"/>
          <w:szCs w:val="20"/>
        </w:rPr>
        <w:t>demnified party in connection with claims by a third party with respect to our domain names, trademarks, logos and other branding elements to the extent that such marks are applicable to our performance under the subject agreement. In certain cases, we hav</w:t>
      </w:r>
      <w:r>
        <w:rPr>
          <w:rFonts w:ascii="Arial" w:eastAsia="宋体" w:hAnsi="Arial" w:cs="Arial"/>
          <w:color w:val="000000"/>
          <w:sz w:val="20"/>
          <w:szCs w:val="20"/>
        </w:rPr>
        <w:t>e agreed to provide indemnification for intellectual property infringement. It is not possible to determine the maximum potential loss under these indemnification provisions due to our limited history of prior indemnification claims and the unique facts an</w:t>
      </w:r>
      <w:r>
        <w:rPr>
          <w:rFonts w:ascii="Arial" w:eastAsia="宋体" w:hAnsi="Arial" w:cs="Arial"/>
          <w:color w:val="000000"/>
          <w:sz w:val="20"/>
          <w:szCs w:val="20"/>
        </w:rPr>
        <w:t>d circumstances involved in each particular provision. To date, losses recorded in our condensed consolidated statement of income in connection with our indemnification provisions have not been significant, either individually or collectively. </w:t>
      </w:r>
    </w:p>
    <w:p w14:paraId="7268F35E" w14:textId="77777777" w:rsidR="005F762A" w:rsidRDefault="005F762A">
      <w:pPr>
        <w:jc w:val="both"/>
      </w:pPr>
    </w:p>
    <w:p w14:paraId="7268F35F" w14:textId="77777777" w:rsidR="005F762A" w:rsidRDefault="00D74111">
      <w:pPr>
        <w:jc w:val="both"/>
      </w:pPr>
      <w:r>
        <w:rPr>
          <w:rFonts w:ascii="Arial" w:eastAsia="宋体" w:hAnsi="Arial" w:cs="Arial"/>
          <w:b/>
          <w:bCs/>
          <w:color w:val="000000"/>
          <w:sz w:val="20"/>
          <w:szCs w:val="20"/>
        </w:rPr>
        <w:t xml:space="preserve">Note 12 — </w:t>
      </w:r>
      <w:r>
        <w:rPr>
          <w:rFonts w:ascii="Arial" w:eastAsia="宋体" w:hAnsi="Arial" w:cs="Arial"/>
          <w:b/>
          <w:bCs/>
          <w:color w:val="000000"/>
          <w:sz w:val="20"/>
          <w:szCs w:val="20"/>
        </w:rPr>
        <w:t>Stockholders’ Equity</w:t>
      </w:r>
    </w:p>
    <w:p w14:paraId="7268F360" w14:textId="77777777" w:rsidR="005F762A" w:rsidRDefault="005F762A">
      <w:pPr>
        <w:jc w:val="both"/>
      </w:pPr>
    </w:p>
    <w:p w14:paraId="7268F361" w14:textId="77777777" w:rsidR="005F762A" w:rsidRDefault="00D74111">
      <w:pPr>
        <w:ind w:firstLine="180"/>
        <w:jc w:val="both"/>
      </w:pPr>
      <w:r>
        <w:rPr>
          <w:rFonts w:ascii="Arial" w:eastAsia="宋体" w:hAnsi="Arial" w:cs="Arial"/>
          <w:b/>
          <w:bCs/>
          <w:i/>
          <w:iCs/>
          <w:color w:val="000000"/>
          <w:sz w:val="20"/>
          <w:szCs w:val="20"/>
        </w:rPr>
        <w:t xml:space="preserve">Stock Repurchase Program </w:t>
      </w:r>
    </w:p>
    <w:p w14:paraId="7268F362" w14:textId="77777777" w:rsidR="005F762A" w:rsidRDefault="005F762A">
      <w:pPr>
        <w:ind w:firstLine="540"/>
      </w:pPr>
    </w:p>
    <w:p w14:paraId="7268F363" w14:textId="77777777" w:rsidR="005F762A" w:rsidRDefault="00D74111">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opportunistic a</w:t>
      </w:r>
      <w:r>
        <w:rPr>
          <w:rFonts w:ascii="Arial" w:eastAsia="宋体" w:hAnsi="Arial" w:cs="Arial"/>
          <w:color w:val="000000"/>
          <w:sz w:val="20"/>
          <w:szCs w:val="20"/>
        </w:rPr>
        <w:t>nd programmatic repurchases of our common stock to reduce our outstanding share count. Any share repurchases under our stock repurchase programs may be made through open market transactions, block trades, privately negotiated transactions (including accele</w:t>
      </w:r>
      <w:r>
        <w:rPr>
          <w:rFonts w:ascii="Arial" w:eastAsia="宋体" w:hAnsi="Arial" w:cs="Arial"/>
          <w:color w:val="000000"/>
          <w:sz w:val="20"/>
          <w:szCs w:val="20"/>
        </w:rPr>
        <w:t xml:space="preserve">rated share repurchase transactions) or other means at times and in such amounts as management deems appropriate and will be funded from our working capital or other financing alternatives. Our stock repurchase programs may be limited or terminated at any </w:t>
      </w:r>
      <w:r>
        <w:rPr>
          <w:rFonts w:ascii="Arial" w:eastAsia="宋体" w:hAnsi="Arial" w:cs="Arial"/>
          <w:color w:val="000000"/>
          <w:sz w:val="20"/>
          <w:szCs w:val="20"/>
        </w:rPr>
        <w:t>time without prior notice. The timing and actual number of shares repurchased will depend on a variety of factors, including corporate and regulatory requirements, price and other market conditions and management’s determination as to the appropriate use o</w:t>
      </w:r>
      <w:r>
        <w:rPr>
          <w:rFonts w:ascii="Arial" w:eastAsia="宋体" w:hAnsi="Arial" w:cs="Arial"/>
          <w:color w:val="000000"/>
          <w:sz w:val="20"/>
          <w:szCs w:val="20"/>
        </w:rPr>
        <w:t xml:space="preserve">f our cash. </w:t>
      </w:r>
    </w:p>
    <w:p w14:paraId="7268F364" w14:textId="77777777" w:rsidR="005F762A" w:rsidRDefault="005F762A">
      <w:pPr>
        <w:ind w:firstLine="540"/>
        <w:jc w:val="both"/>
      </w:pPr>
    </w:p>
    <w:p w14:paraId="7268F365" w14:textId="77777777" w:rsidR="005F762A" w:rsidRDefault="00D74111">
      <w:pPr>
        <w:ind w:firstLine="540"/>
        <w:jc w:val="both"/>
      </w:pPr>
      <w:r>
        <w:rPr>
          <w:rFonts w:ascii="Arial" w:eastAsia="宋体" w:hAnsi="Arial" w:cs="Arial"/>
          <w:color w:val="000000"/>
          <w:sz w:val="20"/>
          <w:szCs w:val="20"/>
        </w:rPr>
        <w:t>In January 2020, our Board authorized an additional $5.0 billion stock repurchase program and in February 2021, our Board authorized an additional $4.0 billion stock repurchase program. These stock repurchase programs have no expiration from the date of au</w:t>
      </w:r>
      <w:r>
        <w:rPr>
          <w:rFonts w:ascii="Arial" w:eastAsia="宋体" w:hAnsi="Arial" w:cs="Arial"/>
          <w:color w:val="000000"/>
          <w:sz w:val="20"/>
          <w:szCs w:val="20"/>
        </w:rPr>
        <w:t xml:space="preserve">thorization. </w:t>
      </w:r>
    </w:p>
    <w:p w14:paraId="7268F366" w14:textId="77777777" w:rsidR="005F762A" w:rsidRDefault="005F762A">
      <w:pPr>
        <w:ind w:firstLine="540"/>
        <w:jc w:val="both"/>
      </w:pPr>
    </w:p>
    <w:p w14:paraId="7268F367" w14:textId="77777777" w:rsidR="005F762A" w:rsidRDefault="005F762A">
      <w:pPr>
        <w:jc w:val="center"/>
      </w:pPr>
    </w:p>
    <w:p w14:paraId="7268F368" w14:textId="77777777" w:rsidR="005F762A" w:rsidRDefault="00D74111">
      <w:pPr>
        <w:jc w:val="center"/>
      </w:pPr>
      <w:r>
        <w:rPr>
          <w:rFonts w:ascii="Arial" w:eastAsia="宋体" w:hAnsi="Arial" w:cs="Arial"/>
          <w:color w:val="000000"/>
          <w:sz w:val="20"/>
          <w:szCs w:val="20"/>
        </w:rPr>
        <w:t>26</w:t>
      </w:r>
    </w:p>
    <w:p w14:paraId="7268F369" w14:textId="77777777" w:rsidR="005F762A" w:rsidRDefault="00D74111">
      <w:r>
        <w:pict w14:anchorId="72690159">
          <v:rect id="_x0000_i1050" style="width:415.3pt;height:1.5pt" o:hralign="center" o:hrstd="t" o:hr="t" fillcolor="#a0a0a0" stroked="f"/>
        </w:pict>
      </w:r>
    </w:p>
    <w:p w14:paraId="7268F36A" w14:textId="77777777" w:rsidR="005F762A" w:rsidRDefault="005F762A">
      <w:pPr>
        <w:jc w:val="center"/>
      </w:pPr>
    </w:p>
    <w:p w14:paraId="7268F36B" w14:textId="77777777" w:rsidR="005F762A" w:rsidRDefault="00D74111">
      <w:pPr>
        <w:jc w:val="center"/>
      </w:pPr>
      <w:r>
        <w:rPr>
          <w:rFonts w:ascii="Arial" w:eastAsia="宋体" w:hAnsi="Arial" w:cs="Arial"/>
          <w:b/>
          <w:bCs/>
          <w:color w:val="000000"/>
          <w:sz w:val="20"/>
          <w:szCs w:val="20"/>
        </w:rPr>
        <w:t>eBay Inc.</w:t>
      </w:r>
    </w:p>
    <w:p w14:paraId="7268F36C"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F36D" w14:textId="77777777" w:rsidR="005F762A" w:rsidRDefault="00D74111">
      <w:pPr>
        <w:ind w:firstLine="540"/>
        <w:jc w:val="both"/>
      </w:pPr>
      <w:r>
        <w:rPr>
          <w:rFonts w:ascii="Arial" w:eastAsia="宋体" w:hAnsi="Arial" w:cs="Arial"/>
          <w:color w:val="000000"/>
          <w:sz w:val="20"/>
          <w:szCs w:val="20"/>
        </w:rPr>
        <w:t>The stock repurchase activity under our stock repurchase programs during the three months ended March 31, 2021 is summarized as follows (in millions, except pe</w:t>
      </w:r>
      <w:r>
        <w:rPr>
          <w:rFonts w:ascii="Arial" w:eastAsia="宋体" w:hAnsi="Arial" w:cs="Arial"/>
          <w:color w:val="000000"/>
          <w:sz w:val="20"/>
          <w:szCs w:val="20"/>
        </w:rPr>
        <w:t>r share amounts):</w:t>
      </w:r>
    </w:p>
    <w:p w14:paraId="7268F36E" w14:textId="77777777" w:rsidR="005F762A" w:rsidRDefault="005F762A">
      <w:pPr>
        <w:ind w:firstLine="540"/>
        <w:jc w:val="both"/>
      </w:pP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671"/>
        <w:gridCol w:w="37"/>
        <w:gridCol w:w="80"/>
        <w:gridCol w:w="967"/>
        <w:gridCol w:w="36"/>
        <w:gridCol w:w="36"/>
        <w:gridCol w:w="36"/>
        <w:gridCol w:w="36"/>
        <w:gridCol w:w="122"/>
        <w:gridCol w:w="921"/>
        <w:gridCol w:w="36"/>
        <w:gridCol w:w="36"/>
        <w:gridCol w:w="36"/>
        <w:gridCol w:w="36"/>
        <w:gridCol w:w="122"/>
        <w:gridCol w:w="968"/>
        <w:gridCol w:w="36"/>
        <w:gridCol w:w="36"/>
        <w:gridCol w:w="36"/>
        <w:gridCol w:w="36"/>
        <w:gridCol w:w="122"/>
        <w:gridCol w:w="805"/>
        <w:gridCol w:w="36"/>
      </w:tblGrid>
      <w:tr w:rsidR="005F762A" w14:paraId="7268F387" w14:textId="77777777">
        <w:trPr>
          <w:jc w:val="center"/>
        </w:trPr>
        <w:tc>
          <w:tcPr>
            <w:tcW w:w="50" w:type="pct"/>
            <w:shd w:val="clear" w:color="auto" w:fill="auto"/>
          </w:tcPr>
          <w:p w14:paraId="7268F36F" w14:textId="77777777" w:rsidR="005F762A" w:rsidRDefault="005F762A">
            <w:pPr>
              <w:rPr>
                <w:rFonts w:ascii="宋体"/>
              </w:rPr>
            </w:pPr>
          </w:p>
        </w:tc>
        <w:tc>
          <w:tcPr>
            <w:tcW w:w="2229" w:type="pct"/>
            <w:shd w:val="clear" w:color="auto" w:fill="auto"/>
          </w:tcPr>
          <w:p w14:paraId="7268F370" w14:textId="77777777" w:rsidR="005F762A" w:rsidRDefault="005F762A">
            <w:pPr>
              <w:rPr>
                <w:rFonts w:ascii="宋体"/>
              </w:rPr>
            </w:pPr>
          </w:p>
        </w:tc>
        <w:tc>
          <w:tcPr>
            <w:tcW w:w="5" w:type="pct"/>
            <w:shd w:val="clear" w:color="auto" w:fill="auto"/>
          </w:tcPr>
          <w:p w14:paraId="7268F371" w14:textId="77777777" w:rsidR="005F762A" w:rsidRDefault="005F762A">
            <w:pPr>
              <w:rPr>
                <w:rFonts w:ascii="宋体"/>
              </w:rPr>
            </w:pPr>
          </w:p>
        </w:tc>
        <w:tc>
          <w:tcPr>
            <w:tcW w:w="50" w:type="pct"/>
            <w:shd w:val="clear" w:color="auto" w:fill="auto"/>
          </w:tcPr>
          <w:p w14:paraId="7268F372" w14:textId="77777777" w:rsidR="005F762A" w:rsidRDefault="005F762A">
            <w:pPr>
              <w:rPr>
                <w:rFonts w:ascii="宋体"/>
              </w:rPr>
            </w:pPr>
          </w:p>
        </w:tc>
        <w:tc>
          <w:tcPr>
            <w:tcW w:w="611" w:type="pct"/>
            <w:shd w:val="clear" w:color="auto" w:fill="auto"/>
          </w:tcPr>
          <w:p w14:paraId="7268F373" w14:textId="77777777" w:rsidR="005F762A" w:rsidRDefault="005F762A">
            <w:pPr>
              <w:rPr>
                <w:rFonts w:ascii="宋体"/>
              </w:rPr>
            </w:pPr>
          </w:p>
        </w:tc>
        <w:tc>
          <w:tcPr>
            <w:tcW w:w="5" w:type="pct"/>
            <w:shd w:val="clear" w:color="auto" w:fill="auto"/>
          </w:tcPr>
          <w:p w14:paraId="7268F374" w14:textId="77777777" w:rsidR="005F762A" w:rsidRDefault="005F762A">
            <w:pPr>
              <w:rPr>
                <w:rFonts w:ascii="宋体"/>
              </w:rPr>
            </w:pPr>
          </w:p>
        </w:tc>
        <w:tc>
          <w:tcPr>
            <w:tcW w:w="5" w:type="pct"/>
            <w:shd w:val="clear" w:color="auto" w:fill="auto"/>
          </w:tcPr>
          <w:p w14:paraId="7268F375" w14:textId="77777777" w:rsidR="005F762A" w:rsidRDefault="005F762A">
            <w:pPr>
              <w:rPr>
                <w:rFonts w:ascii="宋体"/>
              </w:rPr>
            </w:pPr>
          </w:p>
        </w:tc>
        <w:tc>
          <w:tcPr>
            <w:tcW w:w="26" w:type="pct"/>
            <w:shd w:val="clear" w:color="auto" w:fill="auto"/>
          </w:tcPr>
          <w:p w14:paraId="7268F376" w14:textId="77777777" w:rsidR="005F762A" w:rsidRDefault="005F762A">
            <w:pPr>
              <w:rPr>
                <w:rFonts w:ascii="宋体"/>
              </w:rPr>
            </w:pPr>
          </w:p>
        </w:tc>
        <w:tc>
          <w:tcPr>
            <w:tcW w:w="5" w:type="pct"/>
            <w:shd w:val="clear" w:color="auto" w:fill="auto"/>
          </w:tcPr>
          <w:p w14:paraId="7268F377" w14:textId="77777777" w:rsidR="005F762A" w:rsidRDefault="005F762A">
            <w:pPr>
              <w:rPr>
                <w:rFonts w:ascii="宋体"/>
              </w:rPr>
            </w:pPr>
          </w:p>
        </w:tc>
        <w:tc>
          <w:tcPr>
            <w:tcW w:w="50" w:type="pct"/>
            <w:shd w:val="clear" w:color="auto" w:fill="auto"/>
          </w:tcPr>
          <w:p w14:paraId="7268F378" w14:textId="77777777" w:rsidR="005F762A" w:rsidRDefault="005F762A">
            <w:pPr>
              <w:rPr>
                <w:rFonts w:ascii="宋体"/>
              </w:rPr>
            </w:pPr>
          </w:p>
        </w:tc>
        <w:tc>
          <w:tcPr>
            <w:tcW w:w="618" w:type="pct"/>
            <w:shd w:val="clear" w:color="auto" w:fill="auto"/>
          </w:tcPr>
          <w:p w14:paraId="7268F379" w14:textId="77777777" w:rsidR="005F762A" w:rsidRDefault="005F762A">
            <w:pPr>
              <w:rPr>
                <w:rFonts w:ascii="宋体"/>
              </w:rPr>
            </w:pPr>
          </w:p>
        </w:tc>
        <w:tc>
          <w:tcPr>
            <w:tcW w:w="5" w:type="pct"/>
            <w:shd w:val="clear" w:color="auto" w:fill="auto"/>
          </w:tcPr>
          <w:p w14:paraId="7268F37A" w14:textId="77777777" w:rsidR="005F762A" w:rsidRDefault="005F762A">
            <w:pPr>
              <w:rPr>
                <w:rFonts w:ascii="宋体"/>
              </w:rPr>
            </w:pPr>
          </w:p>
        </w:tc>
        <w:tc>
          <w:tcPr>
            <w:tcW w:w="5" w:type="pct"/>
            <w:shd w:val="clear" w:color="auto" w:fill="auto"/>
          </w:tcPr>
          <w:p w14:paraId="7268F37B" w14:textId="77777777" w:rsidR="005F762A" w:rsidRDefault="005F762A">
            <w:pPr>
              <w:rPr>
                <w:rFonts w:ascii="宋体"/>
              </w:rPr>
            </w:pPr>
          </w:p>
        </w:tc>
        <w:tc>
          <w:tcPr>
            <w:tcW w:w="26" w:type="pct"/>
            <w:shd w:val="clear" w:color="auto" w:fill="auto"/>
          </w:tcPr>
          <w:p w14:paraId="7268F37C" w14:textId="77777777" w:rsidR="005F762A" w:rsidRDefault="005F762A">
            <w:pPr>
              <w:rPr>
                <w:rFonts w:ascii="宋体"/>
              </w:rPr>
            </w:pPr>
          </w:p>
        </w:tc>
        <w:tc>
          <w:tcPr>
            <w:tcW w:w="5" w:type="pct"/>
            <w:shd w:val="clear" w:color="auto" w:fill="auto"/>
          </w:tcPr>
          <w:p w14:paraId="7268F37D" w14:textId="77777777" w:rsidR="005F762A" w:rsidRDefault="005F762A">
            <w:pPr>
              <w:rPr>
                <w:rFonts w:ascii="宋体"/>
              </w:rPr>
            </w:pPr>
          </w:p>
        </w:tc>
        <w:tc>
          <w:tcPr>
            <w:tcW w:w="50" w:type="pct"/>
            <w:shd w:val="clear" w:color="auto" w:fill="auto"/>
          </w:tcPr>
          <w:p w14:paraId="7268F37E" w14:textId="77777777" w:rsidR="005F762A" w:rsidRDefault="005F762A">
            <w:pPr>
              <w:rPr>
                <w:rFonts w:ascii="宋体"/>
              </w:rPr>
            </w:pPr>
          </w:p>
        </w:tc>
        <w:tc>
          <w:tcPr>
            <w:tcW w:w="618" w:type="pct"/>
            <w:shd w:val="clear" w:color="auto" w:fill="auto"/>
          </w:tcPr>
          <w:p w14:paraId="7268F37F" w14:textId="77777777" w:rsidR="005F762A" w:rsidRDefault="005F762A">
            <w:pPr>
              <w:rPr>
                <w:rFonts w:ascii="宋体"/>
              </w:rPr>
            </w:pPr>
          </w:p>
        </w:tc>
        <w:tc>
          <w:tcPr>
            <w:tcW w:w="5" w:type="pct"/>
            <w:shd w:val="clear" w:color="auto" w:fill="auto"/>
          </w:tcPr>
          <w:p w14:paraId="7268F380" w14:textId="77777777" w:rsidR="005F762A" w:rsidRDefault="005F762A">
            <w:pPr>
              <w:rPr>
                <w:rFonts w:ascii="宋体"/>
              </w:rPr>
            </w:pPr>
          </w:p>
        </w:tc>
        <w:tc>
          <w:tcPr>
            <w:tcW w:w="5" w:type="pct"/>
            <w:shd w:val="clear" w:color="auto" w:fill="auto"/>
          </w:tcPr>
          <w:p w14:paraId="7268F381" w14:textId="77777777" w:rsidR="005F762A" w:rsidRDefault="005F762A">
            <w:pPr>
              <w:rPr>
                <w:rFonts w:ascii="宋体"/>
              </w:rPr>
            </w:pPr>
          </w:p>
        </w:tc>
        <w:tc>
          <w:tcPr>
            <w:tcW w:w="26" w:type="pct"/>
            <w:shd w:val="clear" w:color="auto" w:fill="auto"/>
          </w:tcPr>
          <w:p w14:paraId="7268F382" w14:textId="77777777" w:rsidR="005F762A" w:rsidRDefault="005F762A">
            <w:pPr>
              <w:rPr>
                <w:rFonts w:ascii="宋体"/>
              </w:rPr>
            </w:pPr>
          </w:p>
        </w:tc>
        <w:tc>
          <w:tcPr>
            <w:tcW w:w="5" w:type="pct"/>
            <w:shd w:val="clear" w:color="auto" w:fill="auto"/>
          </w:tcPr>
          <w:p w14:paraId="7268F383" w14:textId="77777777" w:rsidR="005F762A" w:rsidRDefault="005F762A">
            <w:pPr>
              <w:rPr>
                <w:rFonts w:ascii="宋体"/>
              </w:rPr>
            </w:pPr>
          </w:p>
        </w:tc>
        <w:tc>
          <w:tcPr>
            <w:tcW w:w="50" w:type="pct"/>
            <w:shd w:val="clear" w:color="auto" w:fill="auto"/>
          </w:tcPr>
          <w:p w14:paraId="7268F384" w14:textId="77777777" w:rsidR="005F762A" w:rsidRDefault="005F762A">
            <w:pPr>
              <w:rPr>
                <w:rFonts w:ascii="宋体"/>
              </w:rPr>
            </w:pPr>
          </w:p>
        </w:tc>
        <w:tc>
          <w:tcPr>
            <w:tcW w:w="538" w:type="pct"/>
            <w:shd w:val="clear" w:color="auto" w:fill="auto"/>
          </w:tcPr>
          <w:p w14:paraId="7268F385" w14:textId="77777777" w:rsidR="005F762A" w:rsidRDefault="005F762A">
            <w:pPr>
              <w:rPr>
                <w:rFonts w:ascii="宋体"/>
              </w:rPr>
            </w:pPr>
          </w:p>
        </w:tc>
        <w:tc>
          <w:tcPr>
            <w:tcW w:w="5" w:type="pct"/>
            <w:shd w:val="clear" w:color="auto" w:fill="auto"/>
          </w:tcPr>
          <w:p w14:paraId="7268F386" w14:textId="77777777" w:rsidR="005F762A" w:rsidRDefault="005F762A">
            <w:pPr>
              <w:rPr>
                <w:rFonts w:ascii="宋体"/>
              </w:rPr>
            </w:pPr>
          </w:p>
        </w:tc>
      </w:tr>
      <w:tr w:rsidR="005F762A" w14:paraId="7268F390" w14:textId="77777777">
        <w:trPr>
          <w:jc w:val="center"/>
        </w:trPr>
        <w:tc>
          <w:tcPr>
            <w:tcW w:w="0" w:type="auto"/>
            <w:gridSpan w:val="3"/>
            <w:shd w:val="clear" w:color="auto" w:fill="auto"/>
            <w:tcMar>
              <w:top w:w="0" w:type="dxa"/>
              <w:left w:w="20" w:type="dxa"/>
              <w:bottom w:w="0" w:type="dxa"/>
              <w:right w:w="20" w:type="dxa"/>
            </w:tcMar>
          </w:tcPr>
          <w:p w14:paraId="7268F388"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89" w14:textId="77777777" w:rsidR="005F762A" w:rsidRDefault="00D74111">
            <w:pPr>
              <w:jc w:val="center"/>
              <w:textAlignment w:val="bottom"/>
            </w:pPr>
            <w:r>
              <w:rPr>
                <w:rFonts w:ascii="Arial" w:eastAsia="宋体" w:hAnsi="Arial" w:cs="Arial"/>
                <w:b/>
                <w:bCs/>
                <w:color w:val="000000"/>
                <w:sz w:val="16"/>
                <w:szCs w:val="16"/>
              </w:rPr>
              <w:t xml:space="preserve">Shares Repurchased </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tcPr>
          <w:p w14:paraId="7268F38A"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8B" w14:textId="77777777" w:rsidR="005F762A" w:rsidRDefault="00D74111">
            <w:pPr>
              <w:jc w:val="center"/>
              <w:textAlignment w:val="bottom"/>
            </w:pPr>
            <w:r>
              <w:rPr>
                <w:rFonts w:ascii="Arial" w:eastAsia="宋体" w:hAnsi="Arial" w:cs="Arial"/>
                <w:b/>
                <w:bCs/>
                <w:color w:val="000000"/>
                <w:sz w:val="16"/>
                <w:szCs w:val="16"/>
              </w:rPr>
              <w:t xml:space="preserve">Average Price per Share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tcPr>
          <w:p w14:paraId="7268F38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8D" w14:textId="77777777" w:rsidR="005F762A" w:rsidRDefault="00D74111">
            <w:pPr>
              <w:jc w:val="center"/>
              <w:textAlignment w:val="bottom"/>
            </w:pPr>
            <w:r>
              <w:rPr>
                <w:rFonts w:ascii="Arial" w:eastAsia="宋体" w:hAnsi="Arial" w:cs="Arial"/>
                <w:b/>
                <w:bCs/>
                <w:color w:val="000000"/>
                <w:sz w:val="16"/>
                <w:szCs w:val="16"/>
              </w:rPr>
              <w:t xml:space="preserve">Value of Shares Repurchased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tcPr>
          <w:p w14:paraId="7268F38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38F" w14:textId="77777777" w:rsidR="005F762A" w:rsidRDefault="00D74111">
            <w:pPr>
              <w:jc w:val="center"/>
              <w:textAlignment w:val="bottom"/>
            </w:pPr>
            <w:r>
              <w:rPr>
                <w:rFonts w:ascii="Arial" w:eastAsia="宋体" w:hAnsi="Arial" w:cs="Arial"/>
                <w:b/>
                <w:bCs/>
                <w:color w:val="000000"/>
                <w:sz w:val="16"/>
                <w:szCs w:val="16"/>
              </w:rPr>
              <w:t>Remaining Amount Authorized</w:t>
            </w:r>
          </w:p>
        </w:tc>
      </w:tr>
      <w:tr w:rsidR="005F762A" w14:paraId="7268F39B" w14:textId="77777777">
        <w:trPr>
          <w:jc w:val="center"/>
        </w:trPr>
        <w:tc>
          <w:tcPr>
            <w:tcW w:w="0" w:type="auto"/>
            <w:gridSpan w:val="3"/>
            <w:shd w:val="clear" w:color="auto" w:fill="DDDDDD"/>
            <w:tcMar>
              <w:top w:w="40" w:type="dxa"/>
              <w:left w:w="20" w:type="dxa"/>
              <w:bottom w:w="40" w:type="dxa"/>
              <w:right w:w="20" w:type="dxa"/>
            </w:tcMar>
            <w:vAlign w:val="bottom"/>
          </w:tcPr>
          <w:p w14:paraId="7268F391" w14:textId="77777777" w:rsidR="005F762A" w:rsidRDefault="00D74111">
            <w:pPr>
              <w:textAlignment w:val="bottom"/>
            </w:pPr>
            <w:r>
              <w:rPr>
                <w:rFonts w:ascii="Arial" w:eastAsia="宋体" w:hAnsi="Arial" w:cs="Arial"/>
                <w:color w:val="000000"/>
                <w:sz w:val="18"/>
                <w:szCs w:val="18"/>
              </w:rPr>
              <w:t>Balance as of January 1, 2021</w:t>
            </w:r>
          </w:p>
        </w:tc>
        <w:tc>
          <w:tcPr>
            <w:tcW w:w="0" w:type="auto"/>
            <w:gridSpan w:val="3"/>
            <w:tcBorders>
              <w:top w:val="single" w:sz="8" w:space="0" w:color="000000"/>
            </w:tcBorders>
            <w:shd w:val="clear" w:color="auto" w:fill="DDDDDD"/>
            <w:tcMar>
              <w:top w:w="0" w:type="dxa"/>
              <w:left w:w="20" w:type="dxa"/>
              <w:bottom w:w="0" w:type="dxa"/>
              <w:right w:w="20" w:type="dxa"/>
            </w:tcMar>
          </w:tcPr>
          <w:p w14:paraId="7268F392"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F393" w14:textId="77777777" w:rsidR="005F762A" w:rsidRDefault="005F762A">
            <w:pPr>
              <w:rPr>
                <w:rFonts w:ascii="宋体"/>
              </w:rPr>
            </w:pPr>
          </w:p>
        </w:tc>
        <w:tc>
          <w:tcPr>
            <w:tcW w:w="0" w:type="auto"/>
            <w:gridSpan w:val="3"/>
            <w:tcBorders>
              <w:top w:val="single" w:sz="8" w:space="0" w:color="000000"/>
            </w:tcBorders>
            <w:shd w:val="clear" w:color="auto" w:fill="DDDDDD"/>
            <w:tcMar>
              <w:top w:w="0" w:type="dxa"/>
              <w:left w:w="20" w:type="dxa"/>
              <w:bottom w:w="0" w:type="dxa"/>
              <w:right w:w="20" w:type="dxa"/>
            </w:tcMar>
          </w:tcPr>
          <w:p w14:paraId="7268F394"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F395" w14:textId="77777777" w:rsidR="005F762A" w:rsidRDefault="005F762A">
            <w:pPr>
              <w:rPr>
                <w:rFonts w:ascii="宋体"/>
              </w:rPr>
            </w:pPr>
          </w:p>
        </w:tc>
        <w:tc>
          <w:tcPr>
            <w:tcW w:w="0" w:type="auto"/>
            <w:gridSpan w:val="3"/>
            <w:tcBorders>
              <w:top w:val="single" w:sz="8" w:space="0" w:color="000000"/>
            </w:tcBorders>
            <w:shd w:val="clear" w:color="auto" w:fill="DDDDDD"/>
            <w:tcMar>
              <w:top w:w="0" w:type="dxa"/>
              <w:left w:w="20" w:type="dxa"/>
              <w:bottom w:w="0" w:type="dxa"/>
              <w:right w:w="20" w:type="dxa"/>
            </w:tcMar>
          </w:tcPr>
          <w:p w14:paraId="7268F396" w14:textId="77777777" w:rsidR="005F762A" w:rsidRDefault="005F762A">
            <w:pPr>
              <w:rPr>
                <w:rFonts w:ascii="宋体"/>
              </w:rPr>
            </w:pPr>
          </w:p>
        </w:tc>
        <w:tc>
          <w:tcPr>
            <w:tcW w:w="0" w:type="auto"/>
            <w:gridSpan w:val="3"/>
            <w:shd w:val="clear" w:color="auto" w:fill="DDDDDD"/>
            <w:tcMar>
              <w:top w:w="0" w:type="dxa"/>
              <w:left w:w="20" w:type="dxa"/>
              <w:bottom w:w="0" w:type="dxa"/>
              <w:right w:w="20" w:type="dxa"/>
            </w:tcMar>
          </w:tcPr>
          <w:p w14:paraId="7268F397" w14:textId="77777777" w:rsidR="005F762A" w:rsidRDefault="005F762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7268F39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7268F399" w14:textId="77777777" w:rsidR="005F762A" w:rsidRDefault="00D74111">
            <w:pPr>
              <w:jc w:val="right"/>
              <w:textAlignment w:val="bottom"/>
            </w:pPr>
            <w:r>
              <w:rPr>
                <w:rFonts w:ascii="Arial" w:eastAsia="宋体" w:hAnsi="Arial" w:cs="Arial"/>
                <w:color w:val="000000"/>
                <w:sz w:val="18"/>
                <w:szCs w:val="18"/>
              </w:rPr>
              <w:t>2,033 </w:t>
            </w:r>
          </w:p>
        </w:tc>
        <w:tc>
          <w:tcPr>
            <w:tcW w:w="0" w:type="auto"/>
            <w:tcBorders>
              <w:top w:val="single" w:sz="8" w:space="0" w:color="000000"/>
            </w:tcBorders>
            <w:shd w:val="clear" w:color="auto" w:fill="DDDDDD"/>
            <w:tcMar>
              <w:top w:w="40" w:type="dxa"/>
              <w:left w:w="0" w:type="dxa"/>
              <w:bottom w:w="40" w:type="dxa"/>
              <w:right w:w="20" w:type="dxa"/>
            </w:tcMar>
            <w:vAlign w:val="bottom"/>
          </w:tcPr>
          <w:p w14:paraId="7268F39A" w14:textId="77777777" w:rsidR="005F762A" w:rsidRDefault="005F762A">
            <w:pPr>
              <w:jc w:val="right"/>
              <w:rPr>
                <w:rFonts w:ascii="宋体"/>
              </w:rPr>
            </w:pPr>
          </w:p>
        </w:tc>
      </w:tr>
      <w:tr w:rsidR="005F762A" w14:paraId="7268F3A5" w14:textId="77777777">
        <w:trPr>
          <w:jc w:val="center"/>
        </w:trPr>
        <w:tc>
          <w:tcPr>
            <w:tcW w:w="0" w:type="auto"/>
            <w:gridSpan w:val="3"/>
            <w:shd w:val="clear" w:color="auto" w:fill="FFFFFF"/>
            <w:tcMar>
              <w:top w:w="40" w:type="dxa"/>
              <w:left w:w="20" w:type="dxa"/>
              <w:bottom w:w="40" w:type="dxa"/>
              <w:right w:w="20" w:type="dxa"/>
            </w:tcMar>
            <w:vAlign w:val="bottom"/>
          </w:tcPr>
          <w:p w14:paraId="7268F39C" w14:textId="77777777" w:rsidR="005F762A" w:rsidRDefault="00D74111">
            <w:pPr>
              <w:textAlignment w:val="bottom"/>
            </w:pPr>
            <w:r>
              <w:rPr>
                <w:rFonts w:ascii="Arial" w:eastAsia="宋体" w:hAnsi="Arial" w:cs="Arial"/>
                <w:color w:val="000000"/>
                <w:sz w:val="18"/>
                <w:szCs w:val="18"/>
              </w:rPr>
              <w:t>Authorization of additional plan in February 2021</w:t>
            </w:r>
          </w:p>
        </w:tc>
        <w:tc>
          <w:tcPr>
            <w:tcW w:w="0" w:type="auto"/>
            <w:gridSpan w:val="3"/>
            <w:shd w:val="clear" w:color="auto" w:fill="FFFFFF"/>
            <w:tcMar>
              <w:top w:w="0" w:type="dxa"/>
              <w:left w:w="20" w:type="dxa"/>
              <w:bottom w:w="0" w:type="dxa"/>
              <w:right w:w="20" w:type="dxa"/>
            </w:tcMar>
          </w:tcPr>
          <w:p w14:paraId="7268F39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9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9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A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A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A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3A3" w14:textId="77777777" w:rsidR="005F762A" w:rsidRDefault="00D74111">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7268F3A4" w14:textId="77777777" w:rsidR="005F762A" w:rsidRDefault="005F762A">
            <w:pPr>
              <w:jc w:val="right"/>
              <w:rPr>
                <w:rFonts w:ascii="宋体"/>
              </w:rPr>
            </w:pPr>
          </w:p>
        </w:tc>
      </w:tr>
      <w:tr w:rsidR="005F762A" w14:paraId="7268F3B4" w14:textId="77777777">
        <w:trPr>
          <w:jc w:val="center"/>
        </w:trPr>
        <w:tc>
          <w:tcPr>
            <w:tcW w:w="0" w:type="auto"/>
            <w:gridSpan w:val="3"/>
            <w:shd w:val="clear" w:color="auto" w:fill="DDDDDD"/>
            <w:tcMar>
              <w:top w:w="40" w:type="dxa"/>
              <w:left w:w="20" w:type="dxa"/>
              <w:bottom w:w="40" w:type="dxa"/>
              <w:right w:w="20" w:type="dxa"/>
            </w:tcMar>
            <w:vAlign w:val="bottom"/>
          </w:tcPr>
          <w:p w14:paraId="7268F3A6" w14:textId="77777777" w:rsidR="005F762A" w:rsidRDefault="00D74111">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2E2E2"/>
            <w:tcMar>
              <w:top w:w="40" w:type="dxa"/>
              <w:left w:w="20" w:type="dxa"/>
              <w:bottom w:w="40" w:type="dxa"/>
              <w:right w:w="0" w:type="dxa"/>
            </w:tcMar>
            <w:vAlign w:val="bottom"/>
          </w:tcPr>
          <w:p w14:paraId="7268F3A7" w14:textId="77777777" w:rsidR="005F762A" w:rsidRDefault="00D74111">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7268F3A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3A9"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3AA"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F3AB" w14:textId="77777777" w:rsidR="005F762A" w:rsidRDefault="00D74111">
            <w:pPr>
              <w:jc w:val="right"/>
              <w:textAlignment w:val="bottom"/>
            </w:pPr>
            <w:r>
              <w:rPr>
                <w:rFonts w:ascii="Arial" w:eastAsia="宋体" w:hAnsi="Arial" w:cs="Arial"/>
                <w:color w:val="000000"/>
                <w:sz w:val="18"/>
                <w:szCs w:val="18"/>
              </w:rPr>
              <w:t>55.70 </w:t>
            </w:r>
          </w:p>
        </w:tc>
        <w:tc>
          <w:tcPr>
            <w:tcW w:w="0" w:type="auto"/>
            <w:shd w:val="clear" w:color="auto" w:fill="E2E2E2"/>
            <w:tcMar>
              <w:top w:w="40" w:type="dxa"/>
              <w:left w:w="0" w:type="dxa"/>
              <w:bottom w:w="40" w:type="dxa"/>
              <w:right w:w="20" w:type="dxa"/>
            </w:tcMar>
            <w:vAlign w:val="bottom"/>
          </w:tcPr>
          <w:p w14:paraId="7268F3A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3AD"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3AE"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F3AF" w14:textId="77777777" w:rsidR="005F762A" w:rsidRDefault="00D74111">
            <w:pPr>
              <w:jc w:val="right"/>
              <w:textAlignment w:val="bottom"/>
            </w:pPr>
            <w:r>
              <w:rPr>
                <w:rFonts w:ascii="Arial" w:eastAsia="宋体" w:hAnsi="Arial" w:cs="Arial"/>
                <w:color w:val="000000"/>
                <w:sz w:val="18"/>
                <w:szCs w:val="18"/>
              </w:rPr>
              <w:t>292 </w:t>
            </w:r>
          </w:p>
        </w:tc>
        <w:tc>
          <w:tcPr>
            <w:tcW w:w="0" w:type="auto"/>
            <w:shd w:val="clear" w:color="auto" w:fill="E2E2E2"/>
            <w:tcMar>
              <w:top w:w="40" w:type="dxa"/>
              <w:left w:w="0" w:type="dxa"/>
              <w:bottom w:w="40" w:type="dxa"/>
              <w:right w:w="20" w:type="dxa"/>
            </w:tcMar>
            <w:vAlign w:val="bottom"/>
          </w:tcPr>
          <w:p w14:paraId="7268F3B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3B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3B2" w14:textId="77777777" w:rsidR="005F762A" w:rsidRDefault="00D74111">
            <w:pPr>
              <w:jc w:val="right"/>
              <w:textAlignment w:val="bottom"/>
            </w:pPr>
            <w:r>
              <w:rPr>
                <w:rFonts w:ascii="Arial" w:eastAsia="宋体" w:hAnsi="Arial" w:cs="Arial"/>
                <w:color w:val="000000"/>
                <w:sz w:val="18"/>
                <w:szCs w:val="18"/>
              </w:rPr>
              <w:t>(292)</w:t>
            </w:r>
          </w:p>
        </w:tc>
        <w:tc>
          <w:tcPr>
            <w:tcW w:w="0" w:type="auto"/>
            <w:shd w:val="clear" w:color="auto" w:fill="E2E2E2"/>
            <w:tcMar>
              <w:top w:w="40" w:type="dxa"/>
              <w:left w:w="0" w:type="dxa"/>
              <w:bottom w:w="40" w:type="dxa"/>
              <w:right w:w="20" w:type="dxa"/>
            </w:tcMar>
            <w:vAlign w:val="bottom"/>
          </w:tcPr>
          <w:p w14:paraId="7268F3B3" w14:textId="77777777" w:rsidR="005F762A" w:rsidRDefault="005F762A">
            <w:pPr>
              <w:jc w:val="right"/>
              <w:rPr>
                <w:rFonts w:ascii="宋体"/>
              </w:rPr>
            </w:pPr>
          </w:p>
        </w:tc>
      </w:tr>
      <w:tr w:rsidR="005F762A" w14:paraId="7268F3BD" w14:textId="77777777">
        <w:trPr>
          <w:jc w:val="center"/>
          <w:hidden/>
        </w:trPr>
        <w:tc>
          <w:tcPr>
            <w:tcW w:w="0" w:type="auto"/>
            <w:gridSpan w:val="3"/>
            <w:shd w:val="clear" w:color="auto" w:fill="auto"/>
          </w:tcPr>
          <w:p w14:paraId="7268F3B5" w14:textId="77777777" w:rsidR="005F762A" w:rsidRDefault="005F762A">
            <w:pPr>
              <w:rPr>
                <w:rFonts w:ascii="宋体"/>
                <w:vanish/>
              </w:rPr>
            </w:pPr>
          </w:p>
        </w:tc>
        <w:tc>
          <w:tcPr>
            <w:tcW w:w="0" w:type="auto"/>
            <w:gridSpan w:val="3"/>
            <w:shd w:val="clear" w:color="auto" w:fill="auto"/>
          </w:tcPr>
          <w:p w14:paraId="7268F3B6" w14:textId="77777777" w:rsidR="005F762A" w:rsidRDefault="005F762A">
            <w:pPr>
              <w:rPr>
                <w:rFonts w:ascii="宋体"/>
                <w:vanish/>
              </w:rPr>
            </w:pPr>
          </w:p>
        </w:tc>
        <w:tc>
          <w:tcPr>
            <w:tcW w:w="0" w:type="auto"/>
            <w:gridSpan w:val="3"/>
            <w:shd w:val="clear" w:color="auto" w:fill="auto"/>
          </w:tcPr>
          <w:p w14:paraId="7268F3B7" w14:textId="77777777" w:rsidR="005F762A" w:rsidRDefault="005F762A">
            <w:pPr>
              <w:rPr>
                <w:rFonts w:ascii="宋体"/>
                <w:vanish/>
              </w:rPr>
            </w:pPr>
          </w:p>
        </w:tc>
        <w:tc>
          <w:tcPr>
            <w:tcW w:w="0" w:type="auto"/>
            <w:gridSpan w:val="3"/>
            <w:shd w:val="clear" w:color="auto" w:fill="auto"/>
          </w:tcPr>
          <w:p w14:paraId="7268F3B8" w14:textId="77777777" w:rsidR="005F762A" w:rsidRDefault="005F762A">
            <w:pPr>
              <w:rPr>
                <w:rFonts w:ascii="宋体"/>
                <w:vanish/>
              </w:rPr>
            </w:pPr>
          </w:p>
        </w:tc>
        <w:tc>
          <w:tcPr>
            <w:tcW w:w="0" w:type="auto"/>
            <w:gridSpan w:val="3"/>
            <w:shd w:val="clear" w:color="auto" w:fill="auto"/>
          </w:tcPr>
          <w:p w14:paraId="7268F3B9" w14:textId="77777777" w:rsidR="005F762A" w:rsidRDefault="005F762A">
            <w:pPr>
              <w:rPr>
                <w:rFonts w:ascii="宋体"/>
                <w:vanish/>
              </w:rPr>
            </w:pPr>
          </w:p>
        </w:tc>
        <w:tc>
          <w:tcPr>
            <w:tcW w:w="0" w:type="auto"/>
            <w:gridSpan w:val="3"/>
            <w:shd w:val="clear" w:color="auto" w:fill="auto"/>
          </w:tcPr>
          <w:p w14:paraId="7268F3BA" w14:textId="77777777" w:rsidR="005F762A" w:rsidRDefault="005F762A">
            <w:pPr>
              <w:rPr>
                <w:rFonts w:ascii="宋体"/>
                <w:vanish/>
              </w:rPr>
            </w:pPr>
          </w:p>
        </w:tc>
        <w:tc>
          <w:tcPr>
            <w:tcW w:w="0" w:type="auto"/>
            <w:gridSpan w:val="3"/>
            <w:shd w:val="clear" w:color="auto" w:fill="auto"/>
          </w:tcPr>
          <w:p w14:paraId="7268F3BB" w14:textId="77777777" w:rsidR="005F762A" w:rsidRDefault="005F762A">
            <w:pPr>
              <w:rPr>
                <w:rFonts w:ascii="宋体"/>
                <w:vanish/>
              </w:rPr>
            </w:pPr>
          </w:p>
        </w:tc>
        <w:tc>
          <w:tcPr>
            <w:tcW w:w="0" w:type="auto"/>
            <w:gridSpan w:val="3"/>
            <w:shd w:val="clear" w:color="auto" w:fill="auto"/>
          </w:tcPr>
          <w:p w14:paraId="7268F3BC" w14:textId="77777777" w:rsidR="005F762A" w:rsidRDefault="005F762A">
            <w:pPr>
              <w:rPr>
                <w:rFonts w:ascii="宋体"/>
                <w:vanish/>
              </w:rPr>
            </w:pPr>
          </w:p>
        </w:tc>
      </w:tr>
      <w:tr w:rsidR="005F762A" w14:paraId="7268F3C6" w14:textId="77777777">
        <w:trPr>
          <w:jc w:val="center"/>
          <w:hidden/>
        </w:trPr>
        <w:tc>
          <w:tcPr>
            <w:tcW w:w="0" w:type="auto"/>
            <w:gridSpan w:val="3"/>
            <w:shd w:val="clear" w:color="auto" w:fill="auto"/>
          </w:tcPr>
          <w:p w14:paraId="7268F3BE" w14:textId="77777777" w:rsidR="005F762A" w:rsidRDefault="005F762A">
            <w:pPr>
              <w:rPr>
                <w:rFonts w:ascii="宋体"/>
                <w:vanish/>
              </w:rPr>
            </w:pPr>
          </w:p>
        </w:tc>
        <w:tc>
          <w:tcPr>
            <w:tcW w:w="0" w:type="auto"/>
            <w:gridSpan w:val="3"/>
            <w:shd w:val="clear" w:color="auto" w:fill="auto"/>
          </w:tcPr>
          <w:p w14:paraId="7268F3BF" w14:textId="77777777" w:rsidR="005F762A" w:rsidRDefault="005F762A">
            <w:pPr>
              <w:rPr>
                <w:rFonts w:ascii="宋体"/>
                <w:vanish/>
              </w:rPr>
            </w:pPr>
          </w:p>
        </w:tc>
        <w:tc>
          <w:tcPr>
            <w:tcW w:w="0" w:type="auto"/>
            <w:gridSpan w:val="3"/>
            <w:shd w:val="clear" w:color="auto" w:fill="auto"/>
          </w:tcPr>
          <w:p w14:paraId="7268F3C0" w14:textId="77777777" w:rsidR="005F762A" w:rsidRDefault="005F762A">
            <w:pPr>
              <w:rPr>
                <w:rFonts w:ascii="宋体"/>
                <w:vanish/>
              </w:rPr>
            </w:pPr>
          </w:p>
        </w:tc>
        <w:tc>
          <w:tcPr>
            <w:tcW w:w="0" w:type="auto"/>
            <w:gridSpan w:val="3"/>
            <w:shd w:val="clear" w:color="auto" w:fill="auto"/>
          </w:tcPr>
          <w:p w14:paraId="7268F3C1" w14:textId="77777777" w:rsidR="005F762A" w:rsidRDefault="005F762A">
            <w:pPr>
              <w:rPr>
                <w:rFonts w:ascii="宋体"/>
                <w:vanish/>
              </w:rPr>
            </w:pPr>
          </w:p>
        </w:tc>
        <w:tc>
          <w:tcPr>
            <w:tcW w:w="0" w:type="auto"/>
            <w:gridSpan w:val="3"/>
            <w:shd w:val="clear" w:color="auto" w:fill="auto"/>
          </w:tcPr>
          <w:p w14:paraId="7268F3C2" w14:textId="77777777" w:rsidR="005F762A" w:rsidRDefault="005F762A">
            <w:pPr>
              <w:rPr>
                <w:rFonts w:ascii="宋体"/>
                <w:vanish/>
              </w:rPr>
            </w:pPr>
          </w:p>
        </w:tc>
        <w:tc>
          <w:tcPr>
            <w:tcW w:w="0" w:type="auto"/>
            <w:gridSpan w:val="3"/>
            <w:shd w:val="clear" w:color="auto" w:fill="auto"/>
          </w:tcPr>
          <w:p w14:paraId="7268F3C3" w14:textId="77777777" w:rsidR="005F762A" w:rsidRDefault="005F762A">
            <w:pPr>
              <w:rPr>
                <w:rFonts w:ascii="宋体"/>
                <w:vanish/>
              </w:rPr>
            </w:pPr>
          </w:p>
        </w:tc>
        <w:tc>
          <w:tcPr>
            <w:tcW w:w="0" w:type="auto"/>
            <w:gridSpan w:val="3"/>
            <w:shd w:val="clear" w:color="auto" w:fill="auto"/>
          </w:tcPr>
          <w:p w14:paraId="7268F3C4" w14:textId="77777777" w:rsidR="005F762A" w:rsidRDefault="005F762A">
            <w:pPr>
              <w:rPr>
                <w:rFonts w:ascii="宋体"/>
                <w:vanish/>
              </w:rPr>
            </w:pPr>
          </w:p>
        </w:tc>
        <w:tc>
          <w:tcPr>
            <w:tcW w:w="0" w:type="auto"/>
            <w:gridSpan w:val="3"/>
            <w:shd w:val="clear" w:color="auto" w:fill="auto"/>
          </w:tcPr>
          <w:p w14:paraId="7268F3C5" w14:textId="77777777" w:rsidR="005F762A" w:rsidRDefault="005F762A">
            <w:pPr>
              <w:rPr>
                <w:rFonts w:ascii="宋体"/>
                <w:vanish/>
              </w:rPr>
            </w:pPr>
          </w:p>
        </w:tc>
      </w:tr>
      <w:tr w:rsidR="005F762A" w14:paraId="7268F3D1" w14:textId="77777777">
        <w:trPr>
          <w:jc w:val="center"/>
        </w:trPr>
        <w:tc>
          <w:tcPr>
            <w:tcW w:w="0" w:type="auto"/>
            <w:gridSpan w:val="3"/>
            <w:shd w:val="clear" w:color="auto" w:fill="FFFFFF"/>
            <w:tcMar>
              <w:top w:w="40" w:type="dxa"/>
              <w:left w:w="20" w:type="dxa"/>
              <w:bottom w:w="40" w:type="dxa"/>
              <w:right w:w="20" w:type="dxa"/>
            </w:tcMar>
            <w:vAlign w:val="bottom"/>
          </w:tcPr>
          <w:p w14:paraId="7268F3C7" w14:textId="77777777" w:rsidR="005F762A" w:rsidRDefault="00D74111">
            <w:pPr>
              <w:textAlignment w:val="bottom"/>
            </w:pPr>
            <w:r>
              <w:rPr>
                <w:rFonts w:ascii="Arial" w:eastAsia="宋体" w:hAnsi="Arial" w:cs="Arial"/>
                <w:color w:val="000000"/>
                <w:sz w:val="18"/>
                <w:szCs w:val="18"/>
              </w:rPr>
              <w:t>Balance as of March 31, 2021</w:t>
            </w:r>
          </w:p>
        </w:tc>
        <w:tc>
          <w:tcPr>
            <w:tcW w:w="0" w:type="auto"/>
            <w:gridSpan w:val="3"/>
            <w:shd w:val="clear" w:color="auto" w:fill="FFFFFF"/>
            <w:tcMar>
              <w:top w:w="0" w:type="dxa"/>
              <w:left w:w="20" w:type="dxa"/>
              <w:bottom w:w="0" w:type="dxa"/>
              <w:right w:w="20" w:type="dxa"/>
            </w:tcMar>
          </w:tcPr>
          <w:p w14:paraId="7268F3C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C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C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C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C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3CD"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3C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3CF" w14:textId="77777777" w:rsidR="005F762A" w:rsidRDefault="00D74111">
            <w:pPr>
              <w:jc w:val="right"/>
              <w:textAlignment w:val="bottom"/>
            </w:pPr>
            <w:r>
              <w:rPr>
                <w:rFonts w:ascii="Arial" w:eastAsia="宋体" w:hAnsi="Arial" w:cs="Arial"/>
                <w:color w:val="000000"/>
                <w:sz w:val="18"/>
                <w:szCs w:val="18"/>
              </w:rPr>
              <w:t>5,741 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3D0" w14:textId="77777777" w:rsidR="005F762A" w:rsidRDefault="005F762A">
            <w:pPr>
              <w:jc w:val="right"/>
              <w:rPr>
                <w:rFonts w:ascii="宋体"/>
              </w:rPr>
            </w:pPr>
          </w:p>
        </w:tc>
      </w:tr>
    </w:tbl>
    <w:p w14:paraId="7268F3D2" w14:textId="77777777" w:rsidR="005F762A" w:rsidRDefault="005F762A"/>
    <w:tbl>
      <w:tblPr>
        <w:tblW w:w="972" w:type="pct"/>
        <w:tblCellMar>
          <w:top w:w="15" w:type="dxa"/>
          <w:left w:w="15" w:type="dxa"/>
          <w:bottom w:w="15" w:type="dxa"/>
          <w:right w:w="15" w:type="dxa"/>
        </w:tblCellMar>
        <w:tblLook w:val="04A0" w:firstRow="1" w:lastRow="0" w:firstColumn="1" w:lastColumn="0" w:noHBand="0" w:noVBand="1"/>
      </w:tblPr>
      <w:tblGrid>
        <w:gridCol w:w="36"/>
        <w:gridCol w:w="1549"/>
        <w:gridCol w:w="36"/>
      </w:tblGrid>
      <w:tr w:rsidR="005F762A" w14:paraId="7268F3D6" w14:textId="77777777">
        <w:tc>
          <w:tcPr>
            <w:tcW w:w="50" w:type="pct"/>
            <w:shd w:val="clear" w:color="auto" w:fill="auto"/>
          </w:tcPr>
          <w:p w14:paraId="7268F3D3" w14:textId="77777777" w:rsidR="005F762A" w:rsidRDefault="005F762A">
            <w:pPr>
              <w:rPr>
                <w:rFonts w:ascii="宋体"/>
              </w:rPr>
            </w:pPr>
          </w:p>
        </w:tc>
        <w:tc>
          <w:tcPr>
            <w:tcW w:w="4945" w:type="pct"/>
            <w:shd w:val="clear" w:color="auto" w:fill="auto"/>
          </w:tcPr>
          <w:p w14:paraId="7268F3D4" w14:textId="77777777" w:rsidR="005F762A" w:rsidRDefault="005F762A">
            <w:pPr>
              <w:rPr>
                <w:rFonts w:ascii="宋体"/>
              </w:rPr>
            </w:pPr>
          </w:p>
        </w:tc>
        <w:tc>
          <w:tcPr>
            <w:tcW w:w="5" w:type="pct"/>
            <w:shd w:val="clear" w:color="auto" w:fill="auto"/>
          </w:tcPr>
          <w:p w14:paraId="7268F3D5" w14:textId="77777777" w:rsidR="005F762A" w:rsidRDefault="005F762A">
            <w:pPr>
              <w:rPr>
                <w:rFonts w:ascii="宋体"/>
              </w:rPr>
            </w:pPr>
          </w:p>
        </w:tc>
      </w:tr>
      <w:tr w:rsidR="005F762A" w14:paraId="7268F3D8"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7268F3D7" w14:textId="77777777" w:rsidR="005F762A" w:rsidRDefault="005F762A">
            <w:pPr>
              <w:rPr>
                <w:rFonts w:ascii="宋体"/>
              </w:rPr>
            </w:pPr>
          </w:p>
        </w:tc>
      </w:tr>
    </w:tbl>
    <w:p w14:paraId="7268F3D9" w14:textId="77777777" w:rsidR="005F762A" w:rsidRDefault="00D74111">
      <w:pPr>
        <w:spacing w:after="60"/>
        <w:ind w:hanging="360"/>
        <w:jc w:val="both"/>
      </w:pPr>
      <w:r>
        <w:rPr>
          <w:rFonts w:ascii="Arial" w:eastAsia="宋体" w:hAnsi="Arial" w:cs="Arial"/>
          <w:color w:val="000000"/>
          <w:sz w:val="10"/>
          <w:szCs w:val="10"/>
        </w:rPr>
        <w:t>(1)</w:t>
      </w:r>
      <w:r>
        <w:rPr>
          <w:rFonts w:ascii="Arial" w:eastAsia="宋体" w:hAnsi="Arial" w:cs="Arial"/>
          <w:color w:val="000000"/>
          <w:sz w:val="16"/>
          <w:szCs w:val="16"/>
        </w:rPr>
        <w:t xml:space="preserve">These repurchased shares of common stock were recorded as treasury stock and were accounted for under the cost method. None of the repurchased shares of common stock have been retired. </w:t>
      </w:r>
    </w:p>
    <w:p w14:paraId="7268F3DA" w14:textId="77777777" w:rsidR="005F762A" w:rsidRDefault="00D74111">
      <w:pPr>
        <w:spacing w:after="60"/>
        <w:ind w:hanging="360"/>
      </w:pPr>
      <w:r>
        <w:rPr>
          <w:rFonts w:ascii="Arial" w:eastAsia="宋体" w:hAnsi="Arial" w:cs="Arial"/>
          <w:color w:val="000000"/>
          <w:sz w:val="10"/>
          <w:szCs w:val="10"/>
        </w:rPr>
        <w:t>(2)</w:t>
      </w:r>
      <w:r>
        <w:rPr>
          <w:rFonts w:ascii="Arial" w:eastAsia="宋体" w:hAnsi="Arial" w:cs="Arial"/>
          <w:color w:val="000000"/>
          <w:sz w:val="16"/>
          <w:szCs w:val="16"/>
        </w:rPr>
        <w:t>Excludes broker commissions.</w:t>
      </w:r>
    </w:p>
    <w:p w14:paraId="7268F3DB" w14:textId="77777777" w:rsidR="005F762A" w:rsidRDefault="005F762A">
      <w:pPr>
        <w:ind w:firstLine="540"/>
        <w:jc w:val="both"/>
      </w:pPr>
    </w:p>
    <w:p w14:paraId="7268F3DC" w14:textId="77777777" w:rsidR="005F762A" w:rsidRDefault="00D74111">
      <w:pPr>
        <w:ind w:firstLine="180"/>
        <w:jc w:val="both"/>
      </w:pPr>
      <w:r>
        <w:rPr>
          <w:rFonts w:ascii="Arial" w:eastAsia="宋体" w:hAnsi="Arial" w:cs="Arial"/>
          <w:b/>
          <w:bCs/>
          <w:i/>
          <w:iCs/>
          <w:color w:val="000000"/>
          <w:sz w:val="20"/>
          <w:szCs w:val="20"/>
        </w:rPr>
        <w:t>Dividends</w:t>
      </w:r>
    </w:p>
    <w:p w14:paraId="7268F3DD" w14:textId="77777777" w:rsidR="005F762A" w:rsidRDefault="005F762A">
      <w:pPr>
        <w:ind w:firstLine="270"/>
      </w:pPr>
    </w:p>
    <w:p w14:paraId="7268F3DE" w14:textId="77777777" w:rsidR="005F762A" w:rsidRDefault="00D74111">
      <w:pPr>
        <w:ind w:firstLine="540"/>
        <w:jc w:val="both"/>
      </w:pPr>
      <w:r>
        <w:rPr>
          <w:rFonts w:ascii="Arial" w:eastAsia="宋体" w:hAnsi="Arial" w:cs="Arial"/>
          <w:color w:val="000000"/>
          <w:sz w:val="20"/>
          <w:szCs w:val="20"/>
        </w:rPr>
        <w:t xml:space="preserve">The Company paid a </w:t>
      </w:r>
      <w:r>
        <w:rPr>
          <w:rFonts w:ascii="Arial" w:eastAsia="宋体" w:hAnsi="Arial" w:cs="Arial"/>
          <w:color w:val="000000"/>
          <w:sz w:val="20"/>
          <w:szCs w:val="20"/>
        </w:rPr>
        <w:t>total of $122 million and $114 million in cash dividends during the three months ended March 31, 2021 and March 31, 2020, respectively. In April 2021, our Board of Directors declared a cash dividend of $0.18 per share of common stock to be paid on June 18,</w:t>
      </w:r>
      <w:r>
        <w:rPr>
          <w:rFonts w:ascii="Arial" w:eastAsia="宋体" w:hAnsi="Arial" w:cs="Arial"/>
          <w:color w:val="000000"/>
          <w:sz w:val="20"/>
          <w:szCs w:val="20"/>
        </w:rPr>
        <w:t xml:space="preserve"> 2021 to stockholders of record as of June 1, 2021.</w:t>
      </w:r>
    </w:p>
    <w:p w14:paraId="7268F3DF" w14:textId="77777777" w:rsidR="005F762A" w:rsidRDefault="005F762A"/>
    <w:p w14:paraId="7268F3E0" w14:textId="77777777" w:rsidR="005F762A" w:rsidRDefault="00D74111">
      <w:r>
        <w:rPr>
          <w:rFonts w:ascii="Arial" w:eastAsia="宋体" w:hAnsi="Arial" w:cs="Arial"/>
          <w:b/>
          <w:bCs/>
          <w:color w:val="000000"/>
          <w:sz w:val="20"/>
          <w:szCs w:val="20"/>
        </w:rPr>
        <w:t>Note 13 — Employee Benefit Plans</w:t>
      </w:r>
    </w:p>
    <w:p w14:paraId="7268F3E1" w14:textId="77777777" w:rsidR="005F762A" w:rsidRDefault="005F762A"/>
    <w:p w14:paraId="7268F3E2" w14:textId="77777777" w:rsidR="005F762A" w:rsidRDefault="00D74111">
      <w:r>
        <w:rPr>
          <w:rFonts w:ascii="Arial" w:eastAsia="宋体" w:hAnsi="Arial" w:cs="Arial"/>
          <w:b/>
          <w:bCs/>
          <w:i/>
          <w:iCs/>
          <w:color w:val="000000"/>
          <w:sz w:val="20"/>
          <w:szCs w:val="20"/>
        </w:rPr>
        <w:t>Restricted Stock Unit Activity</w:t>
      </w:r>
    </w:p>
    <w:p w14:paraId="7268F3E3" w14:textId="77777777" w:rsidR="005F762A" w:rsidRDefault="005F762A"/>
    <w:p w14:paraId="7268F3E4" w14:textId="77777777" w:rsidR="005F762A" w:rsidRDefault="00D74111">
      <w:pPr>
        <w:ind w:firstLine="540"/>
        <w:jc w:val="both"/>
      </w:pPr>
      <w:r>
        <w:rPr>
          <w:rFonts w:ascii="Arial" w:eastAsia="宋体" w:hAnsi="Arial" w:cs="Arial"/>
          <w:color w:val="000000"/>
          <w:sz w:val="20"/>
          <w:szCs w:val="20"/>
        </w:rPr>
        <w:t>The following table presents restricted stock unit (“RSU”) activity under our equity incentive plans as of and for the three months ended</w:t>
      </w:r>
      <w:r>
        <w:rPr>
          <w:rFonts w:ascii="Arial" w:eastAsia="宋体" w:hAnsi="Arial" w:cs="Arial"/>
          <w:color w:val="000000"/>
          <w:sz w:val="20"/>
          <w:szCs w:val="20"/>
        </w:rPr>
        <w:t xml:space="preserve"> March 31, 2021 (in millions): </w:t>
      </w:r>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5F762A" w14:paraId="7268F3EB" w14:textId="77777777">
        <w:trPr>
          <w:jc w:val="center"/>
        </w:trPr>
        <w:tc>
          <w:tcPr>
            <w:tcW w:w="50" w:type="pct"/>
            <w:shd w:val="clear" w:color="auto" w:fill="auto"/>
          </w:tcPr>
          <w:p w14:paraId="7268F3E5" w14:textId="77777777" w:rsidR="005F762A" w:rsidRDefault="005F762A">
            <w:pPr>
              <w:rPr>
                <w:rFonts w:ascii="宋体"/>
              </w:rPr>
            </w:pPr>
          </w:p>
        </w:tc>
        <w:tc>
          <w:tcPr>
            <w:tcW w:w="4309" w:type="pct"/>
            <w:shd w:val="clear" w:color="auto" w:fill="auto"/>
          </w:tcPr>
          <w:p w14:paraId="7268F3E6" w14:textId="77777777" w:rsidR="005F762A" w:rsidRDefault="005F762A">
            <w:pPr>
              <w:rPr>
                <w:rFonts w:ascii="宋体"/>
              </w:rPr>
            </w:pPr>
          </w:p>
        </w:tc>
        <w:tc>
          <w:tcPr>
            <w:tcW w:w="5" w:type="pct"/>
            <w:shd w:val="clear" w:color="auto" w:fill="auto"/>
          </w:tcPr>
          <w:p w14:paraId="7268F3E7" w14:textId="77777777" w:rsidR="005F762A" w:rsidRDefault="005F762A">
            <w:pPr>
              <w:rPr>
                <w:rFonts w:ascii="宋体"/>
              </w:rPr>
            </w:pPr>
          </w:p>
        </w:tc>
        <w:tc>
          <w:tcPr>
            <w:tcW w:w="50" w:type="pct"/>
            <w:shd w:val="clear" w:color="auto" w:fill="auto"/>
          </w:tcPr>
          <w:p w14:paraId="7268F3E8" w14:textId="77777777" w:rsidR="005F762A" w:rsidRDefault="005F762A">
            <w:pPr>
              <w:rPr>
                <w:rFonts w:ascii="宋体"/>
              </w:rPr>
            </w:pPr>
          </w:p>
        </w:tc>
        <w:tc>
          <w:tcPr>
            <w:tcW w:w="581" w:type="pct"/>
            <w:shd w:val="clear" w:color="auto" w:fill="auto"/>
          </w:tcPr>
          <w:p w14:paraId="7268F3E9" w14:textId="77777777" w:rsidR="005F762A" w:rsidRDefault="005F762A">
            <w:pPr>
              <w:rPr>
                <w:rFonts w:ascii="宋体"/>
              </w:rPr>
            </w:pPr>
          </w:p>
        </w:tc>
        <w:tc>
          <w:tcPr>
            <w:tcW w:w="5" w:type="pct"/>
            <w:shd w:val="clear" w:color="auto" w:fill="auto"/>
          </w:tcPr>
          <w:p w14:paraId="7268F3EA" w14:textId="77777777" w:rsidR="005F762A" w:rsidRDefault="005F762A">
            <w:pPr>
              <w:rPr>
                <w:rFonts w:ascii="宋体"/>
              </w:rPr>
            </w:pPr>
          </w:p>
        </w:tc>
      </w:tr>
      <w:tr w:rsidR="005F762A" w14:paraId="7268F3EE" w14:textId="77777777">
        <w:trPr>
          <w:jc w:val="center"/>
        </w:trPr>
        <w:tc>
          <w:tcPr>
            <w:tcW w:w="0" w:type="auto"/>
            <w:gridSpan w:val="3"/>
            <w:shd w:val="clear" w:color="auto" w:fill="auto"/>
            <w:tcMar>
              <w:top w:w="40" w:type="dxa"/>
              <w:left w:w="20" w:type="dxa"/>
              <w:bottom w:w="40" w:type="dxa"/>
              <w:right w:w="20" w:type="dxa"/>
            </w:tcMar>
            <w:vAlign w:val="bottom"/>
          </w:tcPr>
          <w:p w14:paraId="7268F3EC"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7268F3ED" w14:textId="77777777" w:rsidR="005F762A" w:rsidRDefault="00D74111">
            <w:pPr>
              <w:jc w:val="center"/>
              <w:textAlignment w:val="bottom"/>
            </w:pPr>
            <w:r>
              <w:rPr>
                <w:rFonts w:ascii="Arial" w:eastAsia="宋体" w:hAnsi="Arial" w:cs="Arial"/>
                <w:b/>
                <w:bCs/>
                <w:color w:val="000000"/>
                <w:sz w:val="16"/>
                <w:szCs w:val="16"/>
              </w:rPr>
              <w:t>Units</w:t>
            </w:r>
            <w:r>
              <w:rPr>
                <w:rFonts w:ascii="Arial" w:eastAsia="宋体" w:hAnsi="Arial" w:cs="Arial"/>
                <w:color w:val="000000"/>
                <w:sz w:val="16"/>
                <w:szCs w:val="16"/>
              </w:rPr>
              <w:t> </w:t>
            </w:r>
            <w:r>
              <w:rPr>
                <w:rFonts w:ascii="Arial" w:eastAsia="宋体" w:hAnsi="Arial" w:cs="Arial"/>
                <w:color w:val="000000"/>
                <w:sz w:val="10"/>
                <w:szCs w:val="10"/>
              </w:rPr>
              <w:t>(1)</w:t>
            </w:r>
          </w:p>
        </w:tc>
      </w:tr>
      <w:tr w:rsidR="005F762A" w14:paraId="7268F3F2" w14:textId="77777777">
        <w:trPr>
          <w:jc w:val="center"/>
        </w:trPr>
        <w:tc>
          <w:tcPr>
            <w:tcW w:w="0" w:type="auto"/>
            <w:gridSpan w:val="3"/>
            <w:tcBorders>
              <w:top w:val="single" w:sz="8" w:space="0" w:color="D3D3D3"/>
            </w:tcBorders>
            <w:shd w:val="clear" w:color="auto" w:fill="E2E2E2"/>
            <w:tcMar>
              <w:top w:w="40" w:type="dxa"/>
              <w:left w:w="20" w:type="dxa"/>
              <w:bottom w:w="40" w:type="dxa"/>
              <w:right w:w="20" w:type="dxa"/>
            </w:tcMar>
            <w:vAlign w:val="bottom"/>
          </w:tcPr>
          <w:p w14:paraId="7268F3EF" w14:textId="77777777" w:rsidR="005F762A" w:rsidRDefault="00D74111">
            <w:pPr>
              <w:textAlignment w:val="bottom"/>
            </w:pPr>
            <w:r>
              <w:rPr>
                <w:rFonts w:ascii="Arial" w:eastAsia="宋体" w:hAnsi="Arial" w:cs="Arial"/>
                <w:color w:val="000000"/>
                <w:sz w:val="18"/>
                <w:szCs w:val="18"/>
              </w:rPr>
              <w:t>Outstanding as of January 1, 2021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3F0" w14:textId="77777777" w:rsidR="005F762A" w:rsidRDefault="00D74111">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3F1" w14:textId="77777777" w:rsidR="005F762A" w:rsidRDefault="005F762A">
            <w:pPr>
              <w:jc w:val="right"/>
              <w:rPr>
                <w:rFonts w:ascii="宋体"/>
              </w:rPr>
            </w:pPr>
          </w:p>
        </w:tc>
      </w:tr>
      <w:tr w:rsidR="005F762A" w14:paraId="7268F3F6" w14:textId="77777777">
        <w:trPr>
          <w:jc w:val="center"/>
        </w:trPr>
        <w:tc>
          <w:tcPr>
            <w:tcW w:w="0" w:type="auto"/>
            <w:gridSpan w:val="3"/>
            <w:shd w:val="clear" w:color="auto" w:fill="FFFFFF"/>
            <w:tcMar>
              <w:top w:w="40" w:type="dxa"/>
              <w:left w:w="20" w:type="dxa"/>
              <w:bottom w:w="40" w:type="dxa"/>
              <w:right w:w="20" w:type="dxa"/>
            </w:tcMar>
            <w:vAlign w:val="bottom"/>
          </w:tcPr>
          <w:p w14:paraId="7268F3F3" w14:textId="77777777" w:rsidR="005F762A" w:rsidRDefault="00D74111">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7268F3F4" w14:textId="77777777" w:rsidR="005F762A" w:rsidRDefault="00D74111">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7268F3F5" w14:textId="77777777" w:rsidR="005F762A" w:rsidRDefault="005F762A">
            <w:pPr>
              <w:jc w:val="right"/>
              <w:rPr>
                <w:rFonts w:ascii="宋体"/>
              </w:rPr>
            </w:pPr>
          </w:p>
        </w:tc>
      </w:tr>
      <w:tr w:rsidR="005F762A" w14:paraId="7268F3FA" w14:textId="77777777">
        <w:trPr>
          <w:jc w:val="center"/>
        </w:trPr>
        <w:tc>
          <w:tcPr>
            <w:tcW w:w="0" w:type="auto"/>
            <w:gridSpan w:val="3"/>
            <w:shd w:val="clear" w:color="auto" w:fill="E2E2E2"/>
            <w:tcMar>
              <w:top w:w="40" w:type="dxa"/>
              <w:left w:w="20" w:type="dxa"/>
              <w:bottom w:w="40" w:type="dxa"/>
              <w:right w:w="20" w:type="dxa"/>
            </w:tcMar>
            <w:vAlign w:val="bottom"/>
          </w:tcPr>
          <w:p w14:paraId="7268F3F7" w14:textId="77777777" w:rsidR="005F762A" w:rsidRDefault="00D74111">
            <w:pPr>
              <w:textAlignment w:val="bottom"/>
            </w:pPr>
            <w:r>
              <w:rPr>
                <w:rFonts w:ascii="Arial" w:eastAsia="宋体" w:hAnsi="Arial" w:cs="Arial"/>
                <w:color w:val="000000"/>
                <w:sz w:val="18"/>
                <w:szCs w:val="18"/>
              </w:rPr>
              <w:t>Vested</w:t>
            </w:r>
          </w:p>
        </w:tc>
        <w:tc>
          <w:tcPr>
            <w:tcW w:w="0" w:type="auto"/>
            <w:gridSpan w:val="2"/>
            <w:shd w:val="clear" w:color="auto" w:fill="E2E2E2"/>
            <w:tcMar>
              <w:top w:w="40" w:type="dxa"/>
              <w:left w:w="20" w:type="dxa"/>
              <w:bottom w:w="40" w:type="dxa"/>
              <w:right w:w="0" w:type="dxa"/>
            </w:tcMar>
            <w:vAlign w:val="bottom"/>
          </w:tcPr>
          <w:p w14:paraId="7268F3F8" w14:textId="77777777" w:rsidR="005F762A" w:rsidRDefault="00D74111">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7268F3F9" w14:textId="77777777" w:rsidR="005F762A" w:rsidRDefault="005F762A">
            <w:pPr>
              <w:jc w:val="right"/>
              <w:rPr>
                <w:rFonts w:ascii="宋体"/>
              </w:rPr>
            </w:pPr>
          </w:p>
        </w:tc>
      </w:tr>
      <w:tr w:rsidR="005F762A" w14:paraId="7268F3FE" w14:textId="77777777">
        <w:trPr>
          <w:jc w:val="center"/>
        </w:trPr>
        <w:tc>
          <w:tcPr>
            <w:tcW w:w="0" w:type="auto"/>
            <w:gridSpan w:val="3"/>
            <w:shd w:val="clear" w:color="auto" w:fill="FFFFFF"/>
            <w:tcMar>
              <w:top w:w="40" w:type="dxa"/>
              <w:left w:w="20" w:type="dxa"/>
              <w:bottom w:w="40" w:type="dxa"/>
              <w:right w:w="20" w:type="dxa"/>
            </w:tcMar>
            <w:vAlign w:val="bottom"/>
          </w:tcPr>
          <w:p w14:paraId="7268F3FB" w14:textId="77777777" w:rsidR="005F762A" w:rsidRDefault="00D74111">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7268F3FC" w14:textId="77777777" w:rsidR="005F762A" w:rsidRDefault="00D74111">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7268F3FD" w14:textId="77777777" w:rsidR="005F762A" w:rsidRDefault="005F762A">
            <w:pPr>
              <w:jc w:val="right"/>
              <w:rPr>
                <w:rFonts w:ascii="宋体"/>
              </w:rPr>
            </w:pPr>
          </w:p>
        </w:tc>
      </w:tr>
      <w:tr w:rsidR="005F762A" w14:paraId="7268F402" w14:textId="77777777">
        <w:trPr>
          <w:jc w:val="center"/>
        </w:trPr>
        <w:tc>
          <w:tcPr>
            <w:tcW w:w="0" w:type="auto"/>
            <w:gridSpan w:val="3"/>
            <w:shd w:val="clear" w:color="auto" w:fill="E2E2E2"/>
            <w:tcMar>
              <w:top w:w="40" w:type="dxa"/>
              <w:left w:w="20" w:type="dxa"/>
              <w:bottom w:w="40" w:type="dxa"/>
              <w:right w:w="20" w:type="dxa"/>
            </w:tcMar>
            <w:vAlign w:val="bottom"/>
          </w:tcPr>
          <w:p w14:paraId="7268F3FF" w14:textId="77777777" w:rsidR="005F762A" w:rsidRDefault="00D74111">
            <w:pPr>
              <w:textAlignment w:val="bottom"/>
            </w:pPr>
            <w:r>
              <w:rPr>
                <w:rFonts w:ascii="Arial" w:eastAsia="宋体" w:hAnsi="Arial" w:cs="Arial"/>
                <w:color w:val="000000"/>
                <w:sz w:val="18"/>
                <w:szCs w:val="18"/>
              </w:rPr>
              <w:t>Outstanding as of March 31, 2021</w:t>
            </w:r>
          </w:p>
        </w:tc>
        <w:tc>
          <w:tcPr>
            <w:tcW w:w="0" w:type="auto"/>
            <w:gridSpan w:val="2"/>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400" w14:textId="77777777" w:rsidR="005F762A" w:rsidRDefault="00D74111">
            <w:pPr>
              <w:jc w:val="right"/>
              <w:textAlignment w:val="bottom"/>
            </w:pPr>
            <w:r>
              <w:rPr>
                <w:rFonts w:ascii="Arial" w:eastAsia="宋体" w:hAnsi="Arial" w:cs="Arial"/>
                <w:color w:val="000000"/>
                <w:sz w:val="18"/>
                <w:szCs w:val="18"/>
              </w:rPr>
              <w:t>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401" w14:textId="77777777" w:rsidR="005F762A" w:rsidRDefault="005F762A">
            <w:pPr>
              <w:jc w:val="right"/>
              <w:rPr>
                <w:rFonts w:ascii="宋体"/>
              </w:rPr>
            </w:pPr>
          </w:p>
        </w:tc>
      </w:tr>
    </w:tbl>
    <w:p w14:paraId="7268F403" w14:textId="77777777" w:rsidR="005F762A" w:rsidRDefault="00D74111">
      <w:r>
        <w:rPr>
          <w:rFonts w:ascii="Arial" w:eastAsia="宋体" w:hAnsi="Arial" w:cs="Arial"/>
          <w:color w:val="000000"/>
          <w:sz w:val="10"/>
          <w:szCs w:val="10"/>
        </w:rPr>
        <w:t>(1)</w:t>
      </w:r>
      <w:r>
        <w:rPr>
          <w:rFonts w:ascii="Arial" w:eastAsia="宋体" w:hAnsi="Arial" w:cs="Arial"/>
          <w:color w:val="000000"/>
          <w:sz w:val="16"/>
          <w:szCs w:val="16"/>
        </w:rPr>
        <w:t xml:space="preserve"> Activity presented is inclusive of units granted to employees of our Classifieds business</w:t>
      </w:r>
    </w:p>
    <w:p w14:paraId="7268F404" w14:textId="77777777" w:rsidR="005F762A" w:rsidRDefault="005F762A"/>
    <w:p w14:paraId="7268F405" w14:textId="77777777" w:rsidR="005F762A" w:rsidRDefault="00D74111">
      <w:pPr>
        <w:ind w:firstLine="540"/>
        <w:jc w:val="both"/>
      </w:pPr>
      <w:r>
        <w:rPr>
          <w:rFonts w:ascii="Arial" w:eastAsia="宋体" w:hAnsi="Arial" w:cs="Arial"/>
          <w:color w:val="000000"/>
          <w:sz w:val="20"/>
          <w:szCs w:val="20"/>
        </w:rPr>
        <w:t>The weighted average grant date fair value for RSUs awarded during the three months ended March 31, 2021 was $59.75 per share.</w:t>
      </w:r>
    </w:p>
    <w:p w14:paraId="7268F406" w14:textId="77777777" w:rsidR="005F762A" w:rsidRDefault="005F762A">
      <w:pPr>
        <w:ind w:firstLine="495"/>
      </w:pPr>
    </w:p>
    <w:p w14:paraId="7268F407" w14:textId="77777777" w:rsidR="005F762A" w:rsidRDefault="00D74111">
      <w:r>
        <w:rPr>
          <w:rFonts w:ascii="Arial" w:eastAsia="宋体" w:hAnsi="Arial" w:cs="Arial"/>
          <w:b/>
          <w:bCs/>
          <w:i/>
          <w:iCs/>
          <w:color w:val="000000"/>
          <w:sz w:val="20"/>
          <w:szCs w:val="20"/>
        </w:rPr>
        <w:t>Stock-Based Compensation Expense</w:t>
      </w:r>
    </w:p>
    <w:p w14:paraId="7268F408" w14:textId="77777777" w:rsidR="005F762A" w:rsidRDefault="005F762A"/>
    <w:p w14:paraId="7268F409" w14:textId="77777777" w:rsidR="005F762A" w:rsidRDefault="00D74111">
      <w:pPr>
        <w:ind w:firstLine="540"/>
      </w:pPr>
      <w:r>
        <w:rPr>
          <w:rFonts w:ascii="Arial" w:eastAsia="宋体" w:hAnsi="Arial" w:cs="Arial"/>
          <w:color w:val="000000"/>
          <w:sz w:val="20"/>
          <w:szCs w:val="20"/>
        </w:rPr>
        <w:t>Th</w:t>
      </w:r>
      <w:r>
        <w:rPr>
          <w:rFonts w:ascii="Arial" w:eastAsia="宋体" w:hAnsi="Arial" w:cs="Arial"/>
          <w:color w:val="000000"/>
          <w:sz w:val="20"/>
          <w:szCs w:val="20"/>
        </w:rPr>
        <w:t>e impact on our results of continuing operations of recording stock-based compensation expense was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70"/>
        <w:gridCol w:w="38"/>
        <w:gridCol w:w="36"/>
        <w:gridCol w:w="46"/>
        <w:gridCol w:w="36"/>
        <w:gridCol w:w="36"/>
        <w:gridCol w:w="36"/>
        <w:gridCol w:w="36"/>
        <w:gridCol w:w="121"/>
        <w:gridCol w:w="869"/>
        <w:gridCol w:w="36"/>
        <w:gridCol w:w="36"/>
        <w:gridCol w:w="36"/>
        <w:gridCol w:w="36"/>
        <w:gridCol w:w="121"/>
        <w:gridCol w:w="872"/>
        <w:gridCol w:w="36"/>
      </w:tblGrid>
      <w:tr w:rsidR="005F762A" w14:paraId="7268F41C" w14:textId="77777777">
        <w:trPr>
          <w:jc w:val="center"/>
        </w:trPr>
        <w:tc>
          <w:tcPr>
            <w:tcW w:w="50" w:type="pct"/>
            <w:shd w:val="clear" w:color="auto" w:fill="auto"/>
          </w:tcPr>
          <w:p w14:paraId="7268F40A" w14:textId="77777777" w:rsidR="005F762A" w:rsidRDefault="005F762A">
            <w:pPr>
              <w:rPr>
                <w:rFonts w:ascii="宋体"/>
              </w:rPr>
            </w:pPr>
          </w:p>
        </w:tc>
        <w:tc>
          <w:tcPr>
            <w:tcW w:w="3599" w:type="pct"/>
            <w:shd w:val="clear" w:color="auto" w:fill="auto"/>
          </w:tcPr>
          <w:p w14:paraId="7268F40B" w14:textId="77777777" w:rsidR="005F762A" w:rsidRDefault="005F762A">
            <w:pPr>
              <w:rPr>
                <w:rFonts w:ascii="宋体"/>
              </w:rPr>
            </w:pPr>
          </w:p>
        </w:tc>
        <w:tc>
          <w:tcPr>
            <w:tcW w:w="5" w:type="pct"/>
            <w:shd w:val="clear" w:color="auto" w:fill="auto"/>
          </w:tcPr>
          <w:p w14:paraId="7268F40C" w14:textId="77777777" w:rsidR="005F762A" w:rsidRDefault="005F762A">
            <w:pPr>
              <w:rPr>
                <w:rFonts w:ascii="宋体"/>
              </w:rPr>
            </w:pPr>
          </w:p>
        </w:tc>
        <w:tc>
          <w:tcPr>
            <w:tcW w:w="0" w:type="auto"/>
            <w:shd w:val="clear" w:color="auto" w:fill="auto"/>
          </w:tcPr>
          <w:p w14:paraId="7268F40D" w14:textId="77777777" w:rsidR="005F762A" w:rsidRDefault="005F762A">
            <w:pPr>
              <w:rPr>
                <w:rFonts w:ascii="宋体"/>
                <w:vanish/>
              </w:rPr>
            </w:pPr>
          </w:p>
        </w:tc>
        <w:tc>
          <w:tcPr>
            <w:tcW w:w="0" w:type="auto"/>
            <w:shd w:val="clear" w:color="auto" w:fill="auto"/>
          </w:tcPr>
          <w:p w14:paraId="7268F40E" w14:textId="77777777" w:rsidR="005F762A" w:rsidRDefault="005F762A">
            <w:pPr>
              <w:rPr>
                <w:rFonts w:ascii="宋体"/>
                <w:vanish/>
              </w:rPr>
            </w:pPr>
          </w:p>
        </w:tc>
        <w:tc>
          <w:tcPr>
            <w:tcW w:w="0" w:type="auto"/>
            <w:shd w:val="clear" w:color="auto" w:fill="auto"/>
          </w:tcPr>
          <w:p w14:paraId="7268F40F" w14:textId="77777777" w:rsidR="005F762A" w:rsidRDefault="005F762A">
            <w:pPr>
              <w:rPr>
                <w:rFonts w:ascii="宋体"/>
                <w:vanish/>
              </w:rPr>
            </w:pPr>
          </w:p>
        </w:tc>
        <w:tc>
          <w:tcPr>
            <w:tcW w:w="5" w:type="pct"/>
            <w:shd w:val="clear" w:color="auto" w:fill="auto"/>
          </w:tcPr>
          <w:p w14:paraId="7268F410" w14:textId="77777777" w:rsidR="005F762A" w:rsidRDefault="005F762A">
            <w:pPr>
              <w:rPr>
                <w:rFonts w:ascii="宋体"/>
              </w:rPr>
            </w:pPr>
          </w:p>
        </w:tc>
        <w:tc>
          <w:tcPr>
            <w:tcW w:w="26" w:type="pct"/>
            <w:shd w:val="clear" w:color="auto" w:fill="auto"/>
          </w:tcPr>
          <w:p w14:paraId="7268F411" w14:textId="77777777" w:rsidR="005F762A" w:rsidRDefault="005F762A">
            <w:pPr>
              <w:rPr>
                <w:rFonts w:ascii="宋体"/>
              </w:rPr>
            </w:pPr>
          </w:p>
        </w:tc>
        <w:tc>
          <w:tcPr>
            <w:tcW w:w="5" w:type="pct"/>
            <w:shd w:val="clear" w:color="auto" w:fill="auto"/>
          </w:tcPr>
          <w:p w14:paraId="7268F412" w14:textId="77777777" w:rsidR="005F762A" w:rsidRDefault="005F762A">
            <w:pPr>
              <w:rPr>
                <w:rFonts w:ascii="宋体"/>
              </w:rPr>
            </w:pPr>
          </w:p>
        </w:tc>
        <w:tc>
          <w:tcPr>
            <w:tcW w:w="50" w:type="pct"/>
            <w:shd w:val="clear" w:color="auto" w:fill="auto"/>
          </w:tcPr>
          <w:p w14:paraId="7268F413" w14:textId="77777777" w:rsidR="005F762A" w:rsidRDefault="005F762A">
            <w:pPr>
              <w:rPr>
                <w:rFonts w:ascii="宋体"/>
              </w:rPr>
            </w:pPr>
          </w:p>
        </w:tc>
        <w:tc>
          <w:tcPr>
            <w:tcW w:w="580" w:type="pct"/>
            <w:shd w:val="clear" w:color="auto" w:fill="auto"/>
          </w:tcPr>
          <w:p w14:paraId="7268F414" w14:textId="77777777" w:rsidR="005F762A" w:rsidRDefault="005F762A">
            <w:pPr>
              <w:rPr>
                <w:rFonts w:ascii="宋体"/>
              </w:rPr>
            </w:pPr>
          </w:p>
        </w:tc>
        <w:tc>
          <w:tcPr>
            <w:tcW w:w="5" w:type="pct"/>
            <w:shd w:val="clear" w:color="auto" w:fill="auto"/>
          </w:tcPr>
          <w:p w14:paraId="7268F415" w14:textId="77777777" w:rsidR="005F762A" w:rsidRDefault="005F762A">
            <w:pPr>
              <w:rPr>
                <w:rFonts w:ascii="宋体"/>
              </w:rPr>
            </w:pPr>
          </w:p>
        </w:tc>
        <w:tc>
          <w:tcPr>
            <w:tcW w:w="5" w:type="pct"/>
            <w:shd w:val="clear" w:color="auto" w:fill="auto"/>
          </w:tcPr>
          <w:p w14:paraId="7268F416" w14:textId="77777777" w:rsidR="005F762A" w:rsidRDefault="005F762A">
            <w:pPr>
              <w:rPr>
                <w:rFonts w:ascii="宋体"/>
              </w:rPr>
            </w:pPr>
          </w:p>
        </w:tc>
        <w:tc>
          <w:tcPr>
            <w:tcW w:w="26" w:type="pct"/>
            <w:shd w:val="clear" w:color="auto" w:fill="auto"/>
          </w:tcPr>
          <w:p w14:paraId="7268F417" w14:textId="77777777" w:rsidR="005F762A" w:rsidRDefault="005F762A">
            <w:pPr>
              <w:rPr>
                <w:rFonts w:ascii="宋体"/>
              </w:rPr>
            </w:pPr>
          </w:p>
        </w:tc>
        <w:tc>
          <w:tcPr>
            <w:tcW w:w="5" w:type="pct"/>
            <w:shd w:val="clear" w:color="auto" w:fill="auto"/>
          </w:tcPr>
          <w:p w14:paraId="7268F418" w14:textId="77777777" w:rsidR="005F762A" w:rsidRDefault="005F762A">
            <w:pPr>
              <w:rPr>
                <w:rFonts w:ascii="宋体"/>
              </w:rPr>
            </w:pPr>
          </w:p>
        </w:tc>
        <w:tc>
          <w:tcPr>
            <w:tcW w:w="50" w:type="pct"/>
            <w:shd w:val="clear" w:color="auto" w:fill="auto"/>
          </w:tcPr>
          <w:p w14:paraId="7268F419" w14:textId="77777777" w:rsidR="005F762A" w:rsidRDefault="005F762A">
            <w:pPr>
              <w:rPr>
                <w:rFonts w:ascii="宋体"/>
              </w:rPr>
            </w:pPr>
          </w:p>
        </w:tc>
        <w:tc>
          <w:tcPr>
            <w:tcW w:w="581" w:type="pct"/>
            <w:shd w:val="clear" w:color="auto" w:fill="auto"/>
          </w:tcPr>
          <w:p w14:paraId="7268F41A" w14:textId="77777777" w:rsidR="005F762A" w:rsidRDefault="005F762A">
            <w:pPr>
              <w:rPr>
                <w:rFonts w:ascii="宋体"/>
              </w:rPr>
            </w:pPr>
          </w:p>
        </w:tc>
        <w:tc>
          <w:tcPr>
            <w:tcW w:w="5" w:type="pct"/>
            <w:shd w:val="clear" w:color="auto" w:fill="auto"/>
          </w:tcPr>
          <w:p w14:paraId="7268F41B" w14:textId="77777777" w:rsidR="005F762A" w:rsidRDefault="005F762A">
            <w:pPr>
              <w:rPr>
                <w:rFonts w:ascii="宋体"/>
              </w:rPr>
            </w:pPr>
          </w:p>
        </w:tc>
      </w:tr>
      <w:tr w:rsidR="005F762A" w14:paraId="7268F427" w14:textId="77777777">
        <w:trPr>
          <w:jc w:val="center"/>
        </w:trPr>
        <w:tc>
          <w:tcPr>
            <w:tcW w:w="0" w:type="auto"/>
            <w:gridSpan w:val="3"/>
            <w:shd w:val="clear" w:color="auto" w:fill="auto"/>
            <w:tcMar>
              <w:top w:w="0" w:type="dxa"/>
              <w:left w:w="20" w:type="dxa"/>
              <w:bottom w:w="0" w:type="dxa"/>
              <w:right w:w="20" w:type="dxa"/>
            </w:tcMar>
          </w:tcPr>
          <w:p w14:paraId="7268F41D" w14:textId="77777777" w:rsidR="005F762A" w:rsidRDefault="005F762A">
            <w:pPr>
              <w:rPr>
                <w:rFonts w:ascii="宋体"/>
              </w:rPr>
            </w:pPr>
          </w:p>
        </w:tc>
        <w:tc>
          <w:tcPr>
            <w:tcW w:w="0" w:type="auto"/>
            <w:shd w:val="clear" w:color="auto" w:fill="auto"/>
          </w:tcPr>
          <w:p w14:paraId="7268F41E"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41F"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420"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F421" w14:textId="77777777" w:rsidR="005F762A" w:rsidRDefault="005F762A">
            <w:pPr>
              <w:rPr>
                <w:rFonts w:ascii="宋体"/>
              </w:rPr>
            </w:pPr>
          </w:p>
        </w:tc>
        <w:tc>
          <w:tcPr>
            <w:tcW w:w="0" w:type="auto"/>
            <w:shd w:val="clear" w:color="auto" w:fill="auto"/>
          </w:tcPr>
          <w:p w14:paraId="7268F422" w14:textId="77777777" w:rsidR="005F762A" w:rsidRDefault="005F762A">
            <w:pPr>
              <w:rPr>
                <w:rFonts w:ascii="宋体"/>
              </w:rPr>
            </w:pPr>
          </w:p>
        </w:tc>
        <w:tc>
          <w:tcPr>
            <w:tcW w:w="0" w:type="auto"/>
            <w:shd w:val="clear" w:color="auto" w:fill="auto"/>
          </w:tcPr>
          <w:p w14:paraId="7268F423" w14:textId="77777777" w:rsidR="005F762A" w:rsidRDefault="005F762A">
            <w:pPr>
              <w:rPr>
                <w:rFonts w:ascii="宋体"/>
              </w:rPr>
            </w:pPr>
          </w:p>
        </w:tc>
        <w:tc>
          <w:tcPr>
            <w:tcW w:w="0" w:type="auto"/>
            <w:shd w:val="clear" w:color="auto" w:fill="auto"/>
          </w:tcPr>
          <w:p w14:paraId="7268F424" w14:textId="77777777" w:rsidR="005F762A" w:rsidRDefault="005F762A">
            <w:pPr>
              <w:rPr>
                <w:rFonts w:ascii="宋体"/>
              </w:rPr>
            </w:pPr>
          </w:p>
        </w:tc>
        <w:tc>
          <w:tcPr>
            <w:tcW w:w="0" w:type="auto"/>
            <w:shd w:val="clear" w:color="auto" w:fill="auto"/>
          </w:tcPr>
          <w:p w14:paraId="7268F425" w14:textId="77777777" w:rsidR="005F762A" w:rsidRDefault="005F762A">
            <w:pPr>
              <w:rPr>
                <w:rFonts w:ascii="宋体"/>
              </w:rPr>
            </w:pPr>
          </w:p>
        </w:tc>
        <w:tc>
          <w:tcPr>
            <w:tcW w:w="0" w:type="auto"/>
            <w:shd w:val="clear" w:color="auto" w:fill="auto"/>
          </w:tcPr>
          <w:p w14:paraId="7268F426" w14:textId="77777777" w:rsidR="005F762A" w:rsidRDefault="005F762A">
            <w:pPr>
              <w:rPr>
                <w:rFonts w:ascii="宋体"/>
              </w:rPr>
            </w:pPr>
          </w:p>
        </w:tc>
      </w:tr>
      <w:tr w:rsidR="005F762A" w14:paraId="7268F430" w14:textId="77777777">
        <w:trPr>
          <w:jc w:val="center"/>
        </w:trPr>
        <w:tc>
          <w:tcPr>
            <w:tcW w:w="0" w:type="auto"/>
            <w:gridSpan w:val="3"/>
            <w:shd w:val="clear" w:color="auto" w:fill="auto"/>
            <w:tcMar>
              <w:top w:w="40" w:type="dxa"/>
              <w:left w:w="20" w:type="dxa"/>
              <w:bottom w:w="40" w:type="dxa"/>
              <w:right w:w="20" w:type="dxa"/>
            </w:tcMar>
            <w:vAlign w:val="bottom"/>
          </w:tcPr>
          <w:p w14:paraId="7268F428" w14:textId="77777777" w:rsidR="005F762A" w:rsidRDefault="00D74111">
            <w:pPr>
              <w:jc w:val="center"/>
              <w:textAlignment w:val="bottom"/>
            </w:pPr>
            <w:r>
              <w:rPr>
                <w:rFonts w:ascii="Arial" w:eastAsia="宋体" w:hAnsi="Arial" w:cs="Arial"/>
                <w:b/>
                <w:bCs/>
                <w:color w:val="000000"/>
                <w:sz w:val="18"/>
                <w:szCs w:val="18"/>
              </w:rPr>
              <w:t> </w:t>
            </w:r>
          </w:p>
        </w:tc>
        <w:tc>
          <w:tcPr>
            <w:tcW w:w="0" w:type="auto"/>
            <w:shd w:val="clear" w:color="auto" w:fill="auto"/>
          </w:tcPr>
          <w:p w14:paraId="7268F429" w14:textId="77777777" w:rsidR="005F762A" w:rsidRDefault="005F762A">
            <w:pPr>
              <w:rPr>
                <w:rFonts w:ascii="宋体"/>
                <w:vanish/>
              </w:rPr>
            </w:pPr>
          </w:p>
        </w:tc>
        <w:tc>
          <w:tcPr>
            <w:tcW w:w="0" w:type="auto"/>
            <w:shd w:val="clear" w:color="auto" w:fill="auto"/>
          </w:tcPr>
          <w:p w14:paraId="7268F42A" w14:textId="77777777" w:rsidR="005F762A" w:rsidRDefault="005F762A">
            <w:pPr>
              <w:rPr>
                <w:rFonts w:ascii="宋体"/>
                <w:vanish/>
              </w:rPr>
            </w:pPr>
          </w:p>
        </w:tc>
        <w:tc>
          <w:tcPr>
            <w:tcW w:w="0" w:type="auto"/>
            <w:shd w:val="clear" w:color="auto" w:fill="auto"/>
          </w:tcPr>
          <w:p w14:paraId="7268F42B"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42C"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42D"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42E"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42F"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F43D" w14:textId="77777777">
        <w:trPr>
          <w:jc w:val="center"/>
        </w:trPr>
        <w:tc>
          <w:tcPr>
            <w:tcW w:w="0" w:type="auto"/>
            <w:gridSpan w:val="3"/>
            <w:shd w:val="clear" w:color="auto" w:fill="E2E2E2"/>
            <w:tcMar>
              <w:top w:w="40" w:type="dxa"/>
              <w:left w:w="20" w:type="dxa"/>
              <w:bottom w:w="40" w:type="dxa"/>
              <w:right w:w="20" w:type="dxa"/>
            </w:tcMar>
            <w:vAlign w:val="bottom"/>
          </w:tcPr>
          <w:p w14:paraId="7268F431" w14:textId="77777777" w:rsidR="005F762A" w:rsidRDefault="00D74111">
            <w:pPr>
              <w:textAlignment w:val="bottom"/>
            </w:pPr>
            <w:r>
              <w:rPr>
                <w:rFonts w:ascii="Arial" w:eastAsia="宋体" w:hAnsi="Arial" w:cs="Arial"/>
                <w:color w:val="000000"/>
                <w:sz w:val="18"/>
                <w:szCs w:val="18"/>
              </w:rPr>
              <w:t>Cost of net revenues</w:t>
            </w:r>
          </w:p>
        </w:tc>
        <w:tc>
          <w:tcPr>
            <w:tcW w:w="0" w:type="auto"/>
            <w:shd w:val="clear" w:color="auto" w:fill="auto"/>
          </w:tcPr>
          <w:p w14:paraId="7268F432" w14:textId="77777777" w:rsidR="005F762A" w:rsidRDefault="005F762A">
            <w:pPr>
              <w:rPr>
                <w:rFonts w:ascii="宋体"/>
                <w:vanish/>
              </w:rPr>
            </w:pPr>
          </w:p>
        </w:tc>
        <w:tc>
          <w:tcPr>
            <w:tcW w:w="0" w:type="auto"/>
            <w:shd w:val="clear" w:color="auto" w:fill="auto"/>
          </w:tcPr>
          <w:p w14:paraId="7268F433" w14:textId="77777777" w:rsidR="005F762A" w:rsidRDefault="005F762A">
            <w:pPr>
              <w:rPr>
                <w:rFonts w:ascii="宋体"/>
                <w:vanish/>
              </w:rPr>
            </w:pPr>
          </w:p>
        </w:tc>
        <w:tc>
          <w:tcPr>
            <w:tcW w:w="0" w:type="auto"/>
            <w:shd w:val="clear" w:color="auto" w:fill="auto"/>
          </w:tcPr>
          <w:p w14:paraId="7268F434"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435"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3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37" w14:textId="77777777" w:rsidR="005F762A" w:rsidRDefault="00D74111">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3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39"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3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3B" w14:textId="77777777" w:rsidR="005F762A" w:rsidRDefault="00D74111">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3C" w14:textId="77777777" w:rsidR="005F762A" w:rsidRDefault="005F762A">
            <w:pPr>
              <w:jc w:val="right"/>
              <w:rPr>
                <w:rFonts w:ascii="宋体"/>
              </w:rPr>
            </w:pPr>
          </w:p>
        </w:tc>
      </w:tr>
      <w:tr w:rsidR="005F762A" w14:paraId="7268F448" w14:textId="77777777">
        <w:trPr>
          <w:jc w:val="center"/>
        </w:trPr>
        <w:tc>
          <w:tcPr>
            <w:tcW w:w="0" w:type="auto"/>
            <w:gridSpan w:val="3"/>
            <w:shd w:val="clear" w:color="auto" w:fill="FFFFFF"/>
            <w:tcMar>
              <w:top w:w="40" w:type="dxa"/>
              <w:left w:w="20" w:type="dxa"/>
              <w:bottom w:w="40" w:type="dxa"/>
              <w:right w:w="20" w:type="dxa"/>
            </w:tcMar>
            <w:vAlign w:val="bottom"/>
          </w:tcPr>
          <w:p w14:paraId="7268F43E" w14:textId="77777777" w:rsidR="005F762A" w:rsidRDefault="00D74111">
            <w:pPr>
              <w:textAlignment w:val="bottom"/>
            </w:pPr>
            <w:r>
              <w:rPr>
                <w:rFonts w:ascii="Arial" w:eastAsia="宋体" w:hAnsi="Arial" w:cs="Arial"/>
                <w:color w:val="000000"/>
                <w:sz w:val="18"/>
                <w:szCs w:val="18"/>
              </w:rPr>
              <w:t>Sa</w:t>
            </w:r>
            <w:r>
              <w:rPr>
                <w:rFonts w:ascii="Arial" w:eastAsia="宋体" w:hAnsi="Arial" w:cs="Arial"/>
                <w:color w:val="000000"/>
                <w:sz w:val="18"/>
                <w:szCs w:val="18"/>
              </w:rPr>
              <w:t>les and marketing</w:t>
            </w:r>
          </w:p>
        </w:tc>
        <w:tc>
          <w:tcPr>
            <w:tcW w:w="0" w:type="auto"/>
            <w:shd w:val="clear" w:color="auto" w:fill="auto"/>
          </w:tcPr>
          <w:p w14:paraId="7268F43F" w14:textId="77777777" w:rsidR="005F762A" w:rsidRDefault="005F762A">
            <w:pPr>
              <w:rPr>
                <w:rFonts w:ascii="宋体"/>
                <w:vanish/>
              </w:rPr>
            </w:pPr>
          </w:p>
        </w:tc>
        <w:tc>
          <w:tcPr>
            <w:tcW w:w="0" w:type="auto"/>
            <w:shd w:val="clear" w:color="auto" w:fill="auto"/>
          </w:tcPr>
          <w:p w14:paraId="7268F440" w14:textId="77777777" w:rsidR="005F762A" w:rsidRDefault="005F762A">
            <w:pPr>
              <w:rPr>
                <w:rFonts w:ascii="宋体"/>
                <w:vanish/>
              </w:rPr>
            </w:pPr>
          </w:p>
        </w:tc>
        <w:tc>
          <w:tcPr>
            <w:tcW w:w="0" w:type="auto"/>
            <w:shd w:val="clear" w:color="auto" w:fill="auto"/>
          </w:tcPr>
          <w:p w14:paraId="7268F44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44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43" w14:textId="77777777" w:rsidR="005F762A" w:rsidRDefault="00D74111">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7268F44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4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46" w14:textId="77777777" w:rsidR="005F762A" w:rsidRDefault="00D74111">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7268F447" w14:textId="77777777" w:rsidR="005F762A" w:rsidRDefault="005F762A">
            <w:pPr>
              <w:jc w:val="right"/>
              <w:rPr>
                <w:rFonts w:ascii="宋体"/>
              </w:rPr>
            </w:pPr>
          </w:p>
        </w:tc>
      </w:tr>
      <w:tr w:rsidR="005F762A" w14:paraId="7268F453" w14:textId="77777777">
        <w:trPr>
          <w:jc w:val="center"/>
        </w:trPr>
        <w:tc>
          <w:tcPr>
            <w:tcW w:w="0" w:type="auto"/>
            <w:gridSpan w:val="3"/>
            <w:shd w:val="clear" w:color="auto" w:fill="E2E2E2"/>
            <w:tcMar>
              <w:top w:w="40" w:type="dxa"/>
              <w:left w:w="20" w:type="dxa"/>
              <w:bottom w:w="40" w:type="dxa"/>
              <w:right w:w="20" w:type="dxa"/>
            </w:tcMar>
            <w:vAlign w:val="bottom"/>
          </w:tcPr>
          <w:p w14:paraId="7268F449" w14:textId="77777777" w:rsidR="005F762A" w:rsidRDefault="00D74111">
            <w:pPr>
              <w:textAlignment w:val="bottom"/>
            </w:pPr>
            <w:r>
              <w:rPr>
                <w:rFonts w:ascii="Arial" w:eastAsia="宋体" w:hAnsi="Arial" w:cs="Arial"/>
                <w:color w:val="000000"/>
                <w:sz w:val="18"/>
                <w:szCs w:val="18"/>
              </w:rPr>
              <w:t>Product development</w:t>
            </w:r>
          </w:p>
        </w:tc>
        <w:tc>
          <w:tcPr>
            <w:tcW w:w="0" w:type="auto"/>
            <w:shd w:val="clear" w:color="auto" w:fill="auto"/>
          </w:tcPr>
          <w:p w14:paraId="7268F44A" w14:textId="77777777" w:rsidR="005F762A" w:rsidRDefault="005F762A">
            <w:pPr>
              <w:rPr>
                <w:rFonts w:ascii="宋体"/>
                <w:vanish/>
              </w:rPr>
            </w:pPr>
          </w:p>
        </w:tc>
        <w:tc>
          <w:tcPr>
            <w:tcW w:w="0" w:type="auto"/>
            <w:shd w:val="clear" w:color="auto" w:fill="auto"/>
          </w:tcPr>
          <w:p w14:paraId="7268F44B" w14:textId="77777777" w:rsidR="005F762A" w:rsidRDefault="005F762A">
            <w:pPr>
              <w:rPr>
                <w:rFonts w:ascii="宋体"/>
                <w:vanish/>
              </w:rPr>
            </w:pPr>
          </w:p>
        </w:tc>
        <w:tc>
          <w:tcPr>
            <w:tcW w:w="0" w:type="auto"/>
            <w:shd w:val="clear" w:color="auto" w:fill="auto"/>
          </w:tcPr>
          <w:p w14:paraId="7268F44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44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4E" w14:textId="77777777" w:rsidR="005F762A" w:rsidRDefault="00D74111">
            <w:pPr>
              <w:jc w:val="right"/>
              <w:textAlignment w:val="bottom"/>
            </w:pPr>
            <w:r>
              <w:rPr>
                <w:rFonts w:ascii="Arial" w:eastAsia="宋体" w:hAnsi="Arial" w:cs="Arial"/>
                <w:color w:val="000000"/>
                <w:sz w:val="18"/>
                <w:szCs w:val="18"/>
              </w:rPr>
              <w:t>43 </w:t>
            </w:r>
          </w:p>
        </w:tc>
        <w:tc>
          <w:tcPr>
            <w:tcW w:w="0" w:type="auto"/>
            <w:shd w:val="clear" w:color="auto" w:fill="E2E2E2"/>
            <w:tcMar>
              <w:top w:w="40" w:type="dxa"/>
              <w:left w:w="0" w:type="dxa"/>
              <w:bottom w:w="40" w:type="dxa"/>
              <w:right w:w="20" w:type="dxa"/>
            </w:tcMar>
            <w:vAlign w:val="bottom"/>
          </w:tcPr>
          <w:p w14:paraId="7268F44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5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51" w14:textId="77777777" w:rsidR="005F762A" w:rsidRDefault="00D74111">
            <w:pPr>
              <w:jc w:val="right"/>
              <w:textAlignment w:val="bottom"/>
            </w:pPr>
            <w:r>
              <w:rPr>
                <w:rFonts w:ascii="Arial" w:eastAsia="宋体" w:hAnsi="Arial" w:cs="Arial"/>
                <w:color w:val="000000"/>
                <w:sz w:val="18"/>
                <w:szCs w:val="18"/>
              </w:rPr>
              <w:t>36 </w:t>
            </w:r>
          </w:p>
        </w:tc>
        <w:tc>
          <w:tcPr>
            <w:tcW w:w="0" w:type="auto"/>
            <w:shd w:val="clear" w:color="auto" w:fill="E2E2E2"/>
            <w:tcMar>
              <w:top w:w="40" w:type="dxa"/>
              <w:left w:w="0" w:type="dxa"/>
              <w:bottom w:w="40" w:type="dxa"/>
              <w:right w:w="20" w:type="dxa"/>
            </w:tcMar>
            <w:vAlign w:val="bottom"/>
          </w:tcPr>
          <w:p w14:paraId="7268F452" w14:textId="77777777" w:rsidR="005F762A" w:rsidRDefault="005F762A">
            <w:pPr>
              <w:jc w:val="right"/>
              <w:rPr>
                <w:rFonts w:ascii="宋体"/>
              </w:rPr>
            </w:pPr>
          </w:p>
        </w:tc>
      </w:tr>
      <w:tr w:rsidR="005F762A" w14:paraId="7268F45E" w14:textId="77777777">
        <w:trPr>
          <w:jc w:val="center"/>
        </w:trPr>
        <w:tc>
          <w:tcPr>
            <w:tcW w:w="0" w:type="auto"/>
            <w:gridSpan w:val="3"/>
            <w:shd w:val="clear" w:color="auto" w:fill="FFFFFF"/>
            <w:tcMar>
              <w:top w:w="40" w:type="dxa"/>
              <w:left w:w="20" w:type="dxa"/>
              <w:bottom w:w="40" w:type="dxa"/>
              <w:right w:w="20" w:type="dxa"/>
            </w:tcMar>
            <w:vAlign w:val="bottom"/>
          </w:tcPr>
          <w:p w14:paraId="7268F454" w14:textId="77777777" w:rsidR="005F762A" w:rsidRDefault="00D74111">
            <w:pPr>
              <w:textAlignment w:val="bottom"/>
            </w:pPr>
            <w:r>
              <w:rPr>
                <w:rFonts w:ascii="Arial" w:eastAsia="宋体" w:hAnsi="Arial" w:cs="Arial"/>
                <w:color w:val="000000"/>
                <w:sz w:val="18"/>
                <w:szCs w:val="18"/>
              </w:rPr>
              <w:t>General and administrative</w:t>
            </w:r>
          </w:p>
        </w:tc>
        <w:tc>
          <w:tcPr>
            <w:tcW w:w="0" w:type="auto"/>
            <w:shd w:val="clear" w:color="auto" w:fill="auto"/>
          </w:tcPr>
          <w:p w14:paraId="7268F455" w14:textId="77777777" w:rsidR="005F762A" w:rsidRDefault="005F762A">
            <w:pPr>
              <w:rPr>
                <w:rFonts w:ascii="宋体"/>
                <w:vanish/>
              </w:rPr>
            </w:pPr>
          </w:p>
        </w:tc>
        <w:tc>
          <w:tcPr>
            <w:tcW w:w="0" w:type="auto"/>
            <w:shd w:val="clear" w:color="auto" w:fill="auto"/>
          </w:tcPr>
          <w:p w14:paraId="7268F456" w14:textId="77777777" w:rsidR="005F762A" w:rsidRDefault="005F762A">
            <w:pPr>
              <w:rPr>
                <w:rFonts w:ascii="宋体"/>
                <w:vanish/>
              </w:rPr>
            </w:pPr>
          </w:p>
        </w:tc>
        <w:tc>
          <w:tcPr>
            <w:tcW w:w="0" w:type="auto"/>
            <w:shd w:val="clear" w:color="auto" w:fill="auto"/>
          </w:tcPr>
          <w:p w14:paraId="7268F457"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45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59" w14:textId="77777777" w:rsidR="005F762A" w:rsidRDefault="00D74111">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7268F45A"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5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5C" w14:textId="77777777" w:rsidR="005F762A" w:rsidRDefault="00D74111">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7268F45D" w14:textId="77777777" w:rsidR="005F762A" w:rsidRDefault="005F762A">
            <w:pPr>
              <w:jc w:val="right"/>
              <w:rPr>
                <w:rFonts w:ascii="宋体"/>
              </w:rPr>
            </w:pPr>
          </w:p>
        </w:tc>
      </w:tr>
      <w:tr w:rsidR="005F762A" w14:paraId="7268F46B" w14:textId="77777777">
        <w:trPr>
          <w:jc w:val="center"/>
        </w:trPr>
        <w:tc>
          <w:tcPr>
            <w:tcW w:w="0" w:type="auto"/>
            <w:gridSpan w:val="3"/>
            <w:shd w:val="clear" w:color="auto" w:fill="E2E2E2"/>
            <w:tcMar>
              <w:top w:w="40" w:type="dxa"/>
              <w:left w:w="20" w:type="dxa"/>
              <w:bottom w:w="40" w:type="dxa"/>
              <w:right w:w="20" w:type="dxa"/>
            </w:tcMar>
            <w:vAlign w:val="bottom"/>
          </w:tcPr>
          <w:p w14:paraId="7268F45F" w14:textId="77777777" w:rsidR="005F762A" w:rsidRDefault="00D74111">
            <w:pPr>
              <w:textAlignment w:val="bottom"/>
            </w:pPr>
            <w:r>
              <w:rPr>
                <w:rFonts w:ascii="Arial" w:eastAsia="宋体" w:hAnsi="Arial" w:cs="Arial"/>
                <w:color w:val="000000"/>
                <w:sz w:val="18"/>
                <w:szCs w:val="18"/>
              </w:rPr>
              <w:t>Total stock-based compensation expense</w:t>
            </w:r>
          </w:p>
        </w:tc>
        <w:tc>
          <w:tcPr>
            <w:tcW w:w="0" w:type="auto"/>
            <w:shd w:val="clear" w:color="auto" w:fill="auto"/>
          </w:tcPr>
          <w:p w14:paraId="7268F460" w14:textId="77777777" w:rsidR="005F762A" w:rsidRDefault="005F762A">
            <w:pPr>
              <w:rPr>
                <w:rFonts w:ascii="宋体"/>
                <w:vanish/>
              </w:rPr>
            </w:pPr>
          </w:p>
        </w:tc>
        <w:tc>
          <w:tcPr>
            <w:tcW w:w="0" w:type="auto"/>
            <w:shd w:val="clear" w:color="auto" w:fill="auto"/>
          </w:tcPr>
          <w:p w14:paraId="7268F461" w14:textId="77777777" w:rsidR="005F762A" w:rsidRDefault="005F762A">
            <w:pPr>
              <w:rPr>
                <w:rFonts w:ascii="宋体"/>
                <w:vanish/>
              </w:rPr>
            </w:pPr>
          </w:p>
        </w:tc>
        <w:tc>
          <w:tcPr>
            <w:tcW w:w="0" w:type="auto"/>
            <w:shd w:val="clear" w:color="auto" w:fill="auto"/>
          </w:tcPr>
          <w:p w14:paraId="7268F46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46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6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65" w14:textId="77777777" w:rsidR="005F762A" w:rsidRDefault="00D74111">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6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6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6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69" w14:textId="77777777" w:rsidR="005F762A" w:rsidRDefault="00D74111">
            <w:pPr>
              <w:jc w:val="right"/>
              <w:textAlignment w:val="bottom"/>
            </w:pPr>
            <w:r>
              <w:rPr>
                <w:rFonts w:ascii="Arial" w:eastAsia="宋体" w:hAnsi="Arial" w:cs="Arial"/>
                <w:color w:val="000000"/>
                <w:sz w:val="18"/>
                <w:szCs w:val="18"/>
              </w:rPr>
              <w:t>92 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6A" w14:textId="77777777" w:rsidR="005F762A" w:rsidRDefault="005F762A">
            <w:pPr>
              <w:jc w:val="right"/>
              <w:rPr>
                <w:rFonts w:ascii="宋体"/>
              </w:rPr>
            </w:pPr>
          </w:p>
        </w:tc>
      </w:tr>
      <w:tr w:rsidR="005F762A" w14:paraId="7268F478" w14:textId="77777777">
        <w:trPr>
          <w:jc w:val="center"/>
        </w:trPr>
        <w:tc>
          <w:tcPr>
            <w:tcW w:w="0" w:type="auto"/>
            <w:gridSpan w:val="3"/>
            <w:shd w:val="clear" w:color="auto" w:fill="FFFFFF"/>
            <w:tcMar>
              <w:top w:w="40" w:type="dxa"/>
              <w:left w:w="20" w:type="dxa"/>
              <w:bottom w:w="40" w:type="dxa"/>
              <w:right w:w="20" w:type="dxa"/>
            </w:tcMar>
            <w:vAlign w:val="bottom"/>
          </w:tcPr>
          <w:p w14:paraId="7268F46C" w14:textId="77777777" w:rsidR="005F762A" w:rsidRDefault="00D74111">
            <w:pPr>
              <w:textAlignment w:val="bottom"/>
            </w:pPr>
            <w:r>
              <w:rPr>
                <w:rFonts w:ascii="Arial" w:eastAsia="宋体" w:hAnsi="Arial" w:cs="Arial"/>
                <w:color w:val="000000"/>
                <w:sz w:val="18"/>
                <w:szCs w:val="18"/>
              </w:rPr>
              <w:t>Ca</w:t>
            </w:r>
            <w:r>
              <w:rPr>
                <w:rFonts w:ascii="Arial" w:eastAsia="宋体" w:hAnsi="Arial" w:cs="Arial"/>
                <w:color w:val="000000"/>
                <w:sz w:val="18"/>
                <w:szCs w:val="18"/>
              </w:rPr>
              <w:t>pitalized in product development</w:t>
            </w:r>
          </w:p>
        </w:tc>
        <w:tc>
          <w:tcPr>
            <w:tcW w:w="0" w:type="auto"/>
            <w:shd w:val="clear" w:color="auto" w:fill="auto"/>
          </w:tcPr>
          <w:p w14:paraId="7268F46D" w14:textId="77777777" w:rsidR="005F762A" w:rsidRDefault="005F762A">
            <w:pPr>
              <w:rPr>
                <w:rFonts w:ascii="宋体"/>
                <w:vanish/>
              </w:rPr>
            </w:pPr>
          </w:p>
        </w:tc>
        <w:tc>
          <w:tcPr>
            <w:tcW w:w="0" w:type="auto"/>
            <w:shd w:val="clear" w:color="auto" w:fill="auto"/>
          </w:tcPr>
          <w:p w14:paraId="7268F46E" w14:textId="77777777" w:rsidR="005F762A" w:rsidRDefault="005F762A">
            <w:pPr>
              <w:rPr>
                <w:rFonts w:ascii="宋体"/>
                <w:vanish/>
              </w:rPr>
            </w:pPr>
          </w:p>
        </w:tc>
        <w:tc>
          <w:tcPr>
            <w:tcW w:w="0" w:type="auto"/>
            <w:shd w:val="clear" w:color="auto" w:fill="auto"/>
          </w:tcPr>
          <w:p w14:paraId="7268F46F"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470" w14:textId="77777777" w:rsidR="005F762A" w:rsidRDefault="005F762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268F471" w14:textId="77777777" w:rsidR="005F762A" w:rsidRDefault="00D74111">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268F472" w14:textId="77777777" w:rsidR="005F762A" w:rsidRDefault="00D74111">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268F47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74" w14:textId="77777777" w:rsidR="005F762A" w:rsidRDefault="005F762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268F475" w14:textId="77777777" w:rsidR="005F762A" w:rsidRDefault="00D74111">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268F476" w14:textId="77777777" w:rsidR="005F762A" w:rsidRDefault="00D74111">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268F477" w14:textId="77777777" w:rsidR="005F762A" w:rsidRDefault="005F762A">
            <w:pPr>
              <w:jc w:val="right"/>
              <w:rPr>
                <w:rFonts w:ascii="宋体"/>
              </w:rPr>
            </w:pPr>
          </w:p>
        </w:tc>
      </w:tr>
    </w:tbl>
    <w:p w14:paraId="7268F479" w14:textId="77777777" w:rsidR="005F762A" w:rsidRDefault="005F762A">
      <w:pPr>
        <w:jc w:val="center"/>
      </w:pPr>
    </w:p>
    <w:p w14:paraId="7268F47A" w14:textId="77777777" w:rsidR="005F762A" w:rsidRDefault="005F762A">
      <w:pPr>
        <w:jc w:val="center"/>
      </w:pPr>
    </w:p>
    <w:p w14:paraId="7268F47B" w14:textId="77777777" w:rsidR="005F762A" w:rsidRDefault="00D74111">
      <w:pPr>
        <w:jc w:val="center"/>
      </w:pPr>
      <w:r>
        <w:rPr>
          <w:rFonts w:ascii="Arial" w:eastAsia="宋体" w:hAnsi="Arial" w:cs="Arial"/>
          <w:color w:val="000000"/>
          <w:sz w:val="20"/>
          <w:szCs w:val="20"/>
        </w:rPr>
        <w:t>27</w:t>
      </w:r>
    </w:p>
    <w:p w14:paraId="7268F47C" w14:textId="77777777" w:rsidR="005F762A" w:rsidRDefault="00D74111">
      <w:r>
        <w:pict w14:anchorId="7269015A">
          <v:rect id="_x0000_i1051" style="width:415.3pt;height:1.5pt" o:hralign="center" o:hrstd="t" o:hr="t" fillcolor="#a0a0a0" stroked="f"/>
        </w:pict>
      </w:r>
    </w:p>
    <w:p w14:paraId="7268F47D" w14:textId="77777777" w:rsidR="005F762A" w:rsidRDefault="005F762A">
      <w:pPr>
        <w:jc w:val="center"/>
      </w:pPr>
    </w:p>
    <w:p w14:paraId="7268F47E" w14:textId="77777777" w:rsidR="005F762A" w:rsidRDefault="00D74111">
      <w:pPr>
        <w:jc w:val="center"/>
      </w:pPr>
      <w:r>
        <w:rPr>
          <w:rFonts w:ascii="Arial" w:eastAsia="宋体" w:hAnsi="Arial" w:cs="Arial"/>
          <w:b/>
          <w:bCs/>
          <w:color w:val="000000"/>
          <w:sz w:val="20"/>
          <w:szCs w:val="20"/>
        </w:rPr>
        <w:t>eBay Inc.</w:t>
      </w:r>
    </w:p>
    <w:p w14:paraId="7268F47F" w14:textId="77777777" w:rsidR="005F762A" w:rsidRDefault="00D74111">
      <w:pPr>
        <w:spacing w:after="240"/>
        <w:jc w:val="center"/>
      </w:pPr>
      <w:r>
        <w:rPr>
          <w:rFonts w:ascii="Arial" w:eastAsia="宋体" w:hAnsi="Arial" w:cs="Arial"/>
          <w:b/>
          <w:bCs/>
          <w:color w:val="000000"/>
          <w:sz w:val="20"/>
          <w:szCs w:val="20"/>
        </w:rPr>
        <w:t>NOTES TO CONDENSED CONSOLIDATED FINANCIAL STATEMENTS—(Continued)</w:t>
      </w:r>
    </w:p>
    <w:p w14:paraId="7268F480" w14:textId="77777777" w:rsidR="005F762A" w:rsidRDefault="00D74111">
      <w:pPr>
        <w:jc w:val="both"/>
      </w:pPr>
      <w:r>
        <w:rPr>
          <w:rFonts w:ascii="Arial" w:eastAsia="宋体" w:hAnsi="Arial" w:cs="Arial"/>
          <w:b/>
          <w:bCs/>
          <w:color w:val="000000"/>
          <w:sz w:val="20"/>
          <w:szCs w:val="20"/>
        </w:rPr>
        <w:t xml:space="preserve">Note 14 — Income Taxes </w:t>
      </w:r>
    </w:p>
    <w:p w14:paraId="7268F481" w14:textId="77777777" w:rsidR="005F762A" w:rsidRDefault="005F762A">
      <w:pPr>
        <w:jc w:val="both"/>
      </w:pPr>
    </w:p>
    <w:p w14:paraId="7268F482" w14:textId="77777777" w:rsidR="005F762A" w:rsidRDefault="00D74111">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2019 tax years. We believe that adequate amounts have been reserved for any ad</w:t>
      </w:r>
      <w:r>
        <w:rPr>
          <w:rFonts w:ascii="Arial" w:eastAsia="宋体" w:hAnsi="Arial" w:cs="Arial"/>
          <w:color w:val="000000"/>
          <w:sz w:val="20"/>
          <w:szCs w:val="20"/>
        </w:rPr>
        <w:t>justments that may ultimately result from these or other examinations. The material jurisdictions where we are subject to potential examination by tax authorities for tax years after 2009 include, among others, the U.S. (Federal and California), Germany, K</w:t>
      </w:r>
      <w:r>
        <w:rPr>
          <w:rFonts w:ascii="Arial" w:eastAsia="宋体" w:hAnsi="Arial" w:cs="Arial"/>
          <w:color w:val="000000"/>
          <w:sz w:val="20"/>
          <w:szCs w:val="20"/>
        </w:rPr>
        <w:t xml:space="preserve">orea, Israel, Switzerland and the United Kingdom. </w:t>
      </w:r>
    </w:p>
    <w:p w14:paraId="7268F483" w14:textId="77777777" w:rsidR="005F762A" w:rsidRDefault="00D74111">
      <w:pPr>
        <w:ind w:firstLine="540"/>
        <w:jc w:val="both"/>
      </w:pPr>
      <w:r>
        <w:rPr>
          <w:rFonts w:ascii="Arial" w:eastAsia="宋体" w:hAnsi="Arial" w:cs="Arial"/>
          <w:color w:val="000000"/>
          <w:sz w:val="20"/>
          <w:szCs w:val="20"/>
        </w:rPr>
        <w:t> </w:t>
      </w:r>
    </w:p>
    <w:p w14:paraId="7268F484" w14:textId="77777777" w:rsidR="005F762A" w:rsidRDefault="00D74111">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next 12</w:t>
      </w:r>
      <w:r>
        <w:rPr>
          <w:rFonts w:ascii="Arial" w:eastAsia="宋体" w:hAnsi="Arial" w:cs="Arial"/>
          <w:color w:val="000000"/>
          <w:sz w:val="20"/>
          <w:szCs w:val="20"/>
        </w:rPr>
        <w:t xml:space="preserve"> months. However, given the number of years remaining subject to examination and the number of matters being examined, we are unable to estimate the full range of possible adjustments to the balance of gross unrecognized tax benefits. </w:t>
      </w:r>
    </w:p>
    <w:p w14:paraId="7268F485" w14:textId="77777777" w:rsidR="005F762A" w:rsidRDefault="005F762A">
      <w:pPr>
        <w:ind w:firstLine="540"/>
        <w:jc w:val="both"/>
      </w:pPr>
    </w:p>
    <w:p w14:paraId="7268F486" w14:textId="77777777" w:rsidR="005F762A" w:rsidRDefault="00D74111">
      <w:pPr>
        <w:ind w:firstLine="540"/>
        <w:jc w:val="both"/>
      </w:pPr>
      <w:r>
        <w:rPr>
          <w:rFonts w:ascii="Arial" w:eastAsia="宋体" w:hAnsi="Arial" w:cs="Arial"/>
          <w:color w:val="000000"/>
          <w:sz w:val="20"/>
          <w:szCs w:val="20"/>
        </w:rPr>
        <w:t xml:space="preserve">We have recognized </w:t>
      </w:r>
      <w:r>
        <w:rPr>
          <w:rFonts w:ascii="Arial" w:eastAsia="宋体" w:hAnsi="Arial" w:cs="Arial"/>
          <w:color w:val="000000"/>
          <w:sz w:val="20"/>
          <w:szCs w:val="20"/>
        </w:rPr>
        <w:t>the tax consequences of all foreign unremitted earnings and management has no specific plans to indefinitely reinvest the unremitted earnings of our foreign subsidiaries as of the balance sheet date. We have not provided for deferred taxes on outside basis</w:t>
      </w:r>
      <w:r>
        <w:rPr>
          <w:rFonts w:ascii="Arial" w:eastAsia="宋体" w:hAnsi="Arial" w:cs="Arial"/>
          <w:color w:val="000000"/>
          <w:sz w:val="20"/>
          <w:szCs w:val="20"/>
        </w:rPr>
        <w:t xml:space="preserve"> differences in our investments in our foreign subsidiaries that are unrelated to unremitted earnings. With the exception of our Classifieds entities recognized in discontinued operations, these basis differences will be indefinitely reinvested. A determin</w:t>
      </w:r>
      <w:r>
        <w:rPr>
          <w:rFonts w:ascii="Arial" w:eastAsia="宋体" w:hAnsi="Arial" w:cs="Arial"/>
          <w:color w:val="000000"/>
          <w:sz w:val="20"/>
          <w:szCs w:val="20"/>
        </w:rPr>
        <w:t>ation of the unrecognized deferred taxes related to these other components of our outside basis difference is not practicable. In connection with the intent to sell the Classifieds business as discussed in “Note 1 – The Company and Summary of Significant A</w:t>
      </w:r>
      <w:r>
        <w:rPr>
          <w:rFonts w:ascii="Arial" w:eastAsia="宋体" w:hAnsi="Arial" w:cs="Arial"/>
          <w:color w:val="000000"/>
          <w:sz w:val="20"/>
          <w:szCs w:val="20"/>
        </w:rPr>
        <w:t>ccounting Policies”, we assessed the outside basis differences relating to Classifieds and determined that no material deferred taxes need to be provided on the difference as of March 31, 2021.</w:t>
      </w:r>
    </w:p>
    <w:p w14:paraId="7268F487" w14:textId="77777777" w:rsidR="005F762A" w:rsidRDefault="005F762A">
      <w:pPr>
        <w:jc w:val="both"/>
      </w:pPr>
    </w:p>
    <w:p w14:paraId="7268F488" w14:textId="77777777" w:rsidR="005F762A" w:rsidRDefault="00D74111">
      <w:r>
        <w:rPr>
          <w:rFonts w:ascii="Arial" w:eastAsia="宋体" w:hAnsi="Arial" w:cs="Arial"/>
          <w:b/>
          <w:bCs/>
          <w:color w:val="000000"/>
          <w:sz w:val="20"/>
          <w:szCs w:val="20"/>
        </w:rPr>
        <w:t xml:space="preserve">Note 15 — Accumulated Other Comprehensive Income </w:t>
      </w:r>
    </w:p>
    <w:p w14:paraId="7268F489" w14:textId="77777777" w:rsidR="005F762A" w:rsidRDefault="005F762A">
      <w:pPr>
        <w:ind w:firstLine="540"/>
      </w:pPr>
    </w:p>
    <w:p w14:paraId="7268F48A" w14:textId="77777777" w:rsidR="005F762A" w:rsidRDefault="00D74111">
      <w:pPr>
        <w:ind w:firstLine="540"/>
      </w:pPr>
      <w:r>
        <w:rPr>
          <w:rFonts w:ascii="Arial" w:eastAsia="宋体" w:hAnsi="Arial" w:cs="Arial"/>
          <w:color w:val="000000"/>
          <w:sz w:val="20"/>
          <w:szCs w:val="20"/>
        </w:rPr>
        <w:t>The follow</w:t>
      </w:r>
      <w:r>
        <w:rPr>
          <w:rFonts w:ascii="Arial" w:eastAsia="宋体" w:hAnsi="Arial" w:cs="Arial"/>
          <w:color w:val="000000"/>
          <w:sz w:val="20"/>
          <w:szCs w:val="20"/>
        </w:rPr>
        <w:t xml:space="preserve">ing tables summarize the changes in AOCI for the three months ended March 31, 2021 and 2020 (in millions): </w:t>
      </w:r>
    </w:p>
    <w:p w14:paraId="7268F48B" w14:textId="77777777" w:rsidR="005F762A" w:rsidRDefault="005F762A">
      <w:pPr>
        <w:ind w:firstLine="540"/>
      </w:pPr>
    </w:p>
    <w:tbl>
      <w:tblPr>
        <w:tblW w:w="4985" w:type="pct"/>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5F762A" w14:paraId="7268F4AA" w14:textId="77777777">
        <w:tc>
          <w:tcPr>
            <w:tcW w:w="50" w:type="pct"/>
            <w:shd w:val="clear" w:color="auto" w:fill="auto"/>
          </w:tcPr>
          <w:p w14:paraId="7268F48C" w14:textId="77777777" w:rsidR="005F762A" w:rsidRDefault="005F762A">
            <w:pPr>
              <w:rPr>
                <w:rFonts w:ascii="宋体"/>
              </w:rPr>
            </w:pPr>
          </w:p>
        </w:tc>
        <w:tc>
          <w:tcPr>
            <w:tcW w:w="1770" w:type="pct"/>
            <w:shd w:val="clear" w:color="auto" w:fill="auto"/>
          </w:tcPr>
          <w:p w14:paraId="7268F48D" w14:textId="77777777" w:rsidR="005F762A" w:rsidRDefault="005F762A">
            <w:pPr>
              <w:rPr>
                <w:rFonts w:ascii="宋体"/>
              </w:rPr>
            </w:pPr>
          </w:p>
        </w:tc>
        <w:tc>
          <w:tcPr>
            <w:tcW w:w="5" w:type="pct"/>
            <w:shd w:val="clear" w:color="auto" w:fill="auto"/>
          </w:tcPr>
          <w:p w14:paraId="7268F48E" w14:textId="77777777" w:rsidR="005F762A" w:rsidRDefault="005F762A">
            <w:pPr>
              <w:rPr>
                <w:rFonts w:ascii="宋体"/>
              </w:rPr>
            </w:pPr>
          </w:p>
        </w:tc>
        <w:tc>
          <w:tcPr>
            <w:tcW w:w="50" w:type="pct"/>
            <w:shd w:val="clear" w:color="auto" w:fill="auto"/>
          </w:tcPr>
          <w:p w14:paraId="7268F48F" w14:textId="77777777" w:rsidR="005F762A" w:rsidRDefault="005F762A">
            <w:pPr>
              <w:rPr>
                <w:rFonts w:ascii="宋体"/>
              </w:rPr>
            </w:pPr>
          </w:p>
        </w:tc>
        <w:tc>
          <w:tcPr>
            <w:tcW w:w="597" w:type="pct"/>
            <w:shd w:val="clear" w:color="auto" w:fill="auto"/>
          </w:tcPr>
          <w:p w14:paraId="7268F490" w14:textId="77777777" w:rsidR="005F762A" w:rsidRDefault="005F762A">
            <w:pPr>
              <w:rPr>
                <w:rFonts w:ascii="宋体"/>
              </w:rPr>
            </w:pPr>
          </w:p>
        </w:tc>
        <w:tc>
          <w:tcPr>
            <w:tcW w:w="5" w:type="pct"/>
            <w:shd w:val="clear" w:color="auto" w:fill="auto"/>
          </w:tcPr>
          <w:p w14:paraId="7268F491" w14:textId="77777777" w:rsidR="005F762A" w:rsidRDefault="005F762A">
            <w:pPr>
              <w:rPr>
                <w:rFonts w:ascii="宋体"/>
              </w:rPr>
            </w:pPr>
          </w:p>
        </w:tc>
        <w:tc>
          <w:tcPr>
            <w:tcW w:w="5" w:type="pct"/>
            <w:shd w:val="clear" w:color="auto" w:fill="auto"/>
          </w:tcPr>
          <w:p w14:paraId="7268F492" w14:textId="77777777" w:rsidR="005F762A" w:rsidRDefault="005F762A">
            <w:pPr>
              <w:rPr>
                <w:rFonts w:ascii="宋体"/>
              </w:rPr>
            </w:pPr>
          </w:p>
        </w:tc>
        <w:tc>
          <w:tcPr>
            <w:tcW w:w="26" w:type="pct"/>
            <w:shd w:val="clear" w:color="auto" w:fill="auto"/>
          </w:tcPr>
          <w:p w14:paraId="7268F493" w14:textId="77777777" w:rsidR="005F762A" w:rsidRDefault="005F762A">
            <w:pPr>
              <w:rPr>
                <w:rFonts w:ascii="宋体"/>
              </w:rPr>
            </w:pPr>
          </w:p>
        </w:tc>
        <w:tc>
          <w:tcPr>
            <w:tcW w:w="5" w:type="pct"/>
            <w:shd w:val="clear" w:color="auto" w:fill="auto"/>
          </w:tcPr>
          <w:p w14:paraId="7268F494" w14:textId="77777777" w:rsidR="005F762A" w:rsidRDefault="005F762A">
            <w:pPr>
              <w:rPr>
                <w:rFonts w:ascii="宋体"/>
              </w:rPr>
            </w:pPr>
          </w:p>
        </w:tc>
        <w:tc>
          <w:tcPr>
            <w:tcW w:w="50" w:type="pct"/>
            <w:shd w:val="clear" w:color="auto" w:fill="auto"/>
          </w:tcPr>
          <w:p w14:paraId="7268F495" w14:textId="77777777" w:rsidR="005F762A" w:rsidRDefault="005F762A">
            <w:pPr>
              <w:rPr>
                <w:rFonts w:ascii="宋体"/>
              </w:rPr>
            </w:pPr>
          </w:p>
        </w:tc>
        <w:tc>
          <w:tcPr>
            <w:tcW w:w="582" w:type="pct"/>
            <w:shd w:val="clear" w:color="auto" w:fill="auto"/>
          </w:tcPr>
          <w:p w14:paraId="7268F496" w14:textId="77777777" w:rsidR="005F762A" w:rsidRDefault="005F762A">
            <w:pPr>
              <w:rPr>
                <w:rFonts w:ascii="宋体"/>
              </w:rPr>
            </w:pPr>
          </w:p>
        </w:tc>
        <w:tc>
          <w:tcPr>
            <w:tcW w:w="5" w:type="pct"/>
            <w:shd w:val="clear" w:color="auto" w:fill="auto"/>
          </w:tcPr>
          <w:p w14:paraId="7268F497" w14:textId="77777777" w:rsidR="005F762A" w:rsidRDefault="005F762A">
            <w:pPr>
              <w:rPr>
                <w:rFonts w:ascii="宋体"/>
              </w:rPr>
            </w:pPr>
          </w:p>
        </w:tc>
        <w:tc>
          <w:tcPr>
            <w:tcW w:w="5" w:type="pct"/>
            <w:shd w:val="clear" w:color="auto" w:fill="auto"/>
          </w:tcPr>
          <w:p w14:paraId="7268F498" w14:textId="77777777" w:rsidR="005F762A" w:rsidRDefault="005F762A">
            <w:pPr>
              <w:rPr>
                <w:rFonts w:ascii="宋体"/>
              </w:rPr>
            </w:pPr>
          </w:p>
        </w:tc>
        <w:tc>
          <w:tcPr>
            <w:tcW w:w="26" w:type="pct"/>
            <w:shd w:val="clear" w:color="auto" w:fill="auto"/>
          </w:tcPr>
          <w:p w14:paraId="7268F499" w14:textId="77777777" w:rsidR="005F762A" w:rsidRDefault="005F762A">
            <w:pPr>
              <w:rPr>
                <w:rFonts w:ascii="宋体"/>
              </w:rPr>
            </w:pPr>
          </w:p>
        </w:tc>
        <w:tc>
          <w:tcPr>
            <w:tcW w:w="5" w:type="pct"/>
            <w:shd w:val="clear" w:color="auto" w:fill="auto"/>
          </w:tcPr>
          <w:p w14:paraId="7268F49A" w14:textId="77777777" w:rsidR="005F762A" w:rsidRDefault="005F762A">
            <w:pPr>
              <w:rPr>
                <w:rFonts w:ascii="宋体"/>
              </w:rPr>
            </w:pPr>
          </w:p>
        </w:tc>
        <w:tc>
          <w:tcPr>
            <w:tcW w:w="50" w:type="pct"/>
            <w:shd w:val="clear" w:color="auto" w:fill="auto"/>
          </w:tcPr>
          <w:p w14:paraId="7268F49B" w14:textId="77777777" w:rsidR="005F762A" w:rsidRDefault="005F762A">
            <w:pPr>
              <w:rPr>
                <w:rFonts w:ascii="宋体"/>
              </w:rPr>
            </w:pPr>
          </w:p>
        </w:tc>
        <w:tc>
          <w:tcPr>
            <w:tcW w:w="509" w:type="pct"/>
            <w:shd w:val="clear" w:color="auto" w:fill="auto"/>
          </w:tcPr>
          <w:p w14:paraId="7268F49C" w14:textId="77777777" w:rsidR="005F762A" w:rsidRDefault="005F762A">
            <w:pPr>
              <w:rPr>
                <w:rFonts w:ascii="宋体"/>
              </w:rPr>
            </w:pPr>
          </w:p>
        </w:tc>
        <w:tc>
          <w:tcPr>
            <w:tcW w:w="5" w:type="pct"/>
            <w:shd w:val="clear" w:color="auto" w:fill="auto"/>
          </w:tcPr>
          <w:p w14:paraId="7268F49D" w14:textId="77777777" w:rsidR="005F762A" w:rsidRDefault="005F762A">
            <w:pPr>
              <w:rPr>
                <w:rFonts w:ascii="宋体"/>
              </w:rPr>
            </w:pPr>
          </w:p>
        </w:tc>
        <w:tc>
          <w:tcPr>
            <w:tcW w:w="5" w:type="pct"/>
            <w:shd w:val="clear" w:color="auto" w:fill="auto"/>
          </w:tcPr>
          <w:p w14:paraId="7268F49E" w14:textId="77777777" w:rsidR="005F762A" w:rsidRDefault="005F762A">
            <w:pPr>
              <w:rPr>
                <w:rFonts w:ascii="宋体"/>
              </w:rPr>
            </w:pPr>
          </w:p>
        </w:tc>
        <w:tc>
          <w:tcPr>
            <w:tcW w:w="26" w:type="pct"/>
            <w:shd w:val="clear" w:color="auto" w:fill="auto"/>
          </w:tcPr>
          <w:p w14:paraId="7268F49F" w14:textId="77777777" w:rsidR="005F762A" w:rsidRDefault="005F762A">
            <w:pPr>
              <w:rPr>
                <w:rFonts w:ascii="宋体"/>
              </w:rPr>
            </w:pPr>
          </w:p>
        </w:tc>
        <w:tc>
          <w:tcPr>
            <w:tcW w:w="5" w:type="pct"/>
            <w:shd w:val="clear" w:color="auto" w:fill="auto"/>
          </w:tcPr>
          <w:p w14:paraId="7268F4A0" w14:textId="77777777" w:rsidR="005F762A" w:rsidRDefault="005F762A">
            <w:pPr>
              <w:rPr>
                <w:rFonts w:ascii="宋体"/>
              </w:rPr>
            </w:pPr>
          </w:p>
        </w:tc>
        <w:tc>
          <w:tcPr>
            <w:tcW w:w="50" w:type="pct"/>
            <w:shd w:val="clear" w:color="auto" w:fill="auto"/>
          </w:tcPr>
          <w:p w14:paraId="7268F4A1" w14:textId="77777777" w:rsidR="005F762A" w:rsidRDefault="005F762A">
            <w:pPr>
              <w:rPr>
                <w:rFonts w:ascii="宋体"/>
              </w:rPr>
            </w:pPr>
          </w:p>
        </w:tc>
        <w:tc>
          <w:tcPr>
            <w:tcW w:w="553" w:type="pct"/>
            <w:shd w:val="clear" w:color="auto" w:fill="auto"/>
          </w:tcPr>
          <w:p w14:paraId="7268F4A2" w14:textId="77777777" w:rsidR="005F762A" w:rsidRDefault="005F762A">
            <w:pPr>
              <w:rPr>
                <w:rFonts w:ascii="宋体"/>
              </w:rPr>
            </w:pPr>
          </w:p>
        </w:tc>
        <w:tc>
          <w:tcPr>
            <w:tcW w:w="5" w:type="pct"/>
            <w:shd w:val="clear" w:color="auto" w:fill="auto"/>
          </w:tcPr>
          <w:p w14:paraId="7268F4A3" w14:textId="77777777" w:rsidR="005F762A" w:rsidRDefault="005F762A">
            <w:pPr>
              <w:rPr>
                <w:rFonts w:ascii="宋体"/>
              </w:rPr>
            </w:pPr>
          </w:p>
        </w:tc>
        <w:tc>
          <w:tcPr>
            <w:tcW w:w="5" w:type="pct"/>
            <w:shd w:val="clear" w:color="auto" w:fill="auto"/>
          </w:tcPr>
          <w:p w14:paraId="7268F4A4" w14:textId="77777777" w:rsidR="005F762A" w:rsidRDefault="005F762A">
            <w:pPr>
              <w:rPr>
                <w:rFonts w:ascii="宋体"/>
              </w:rPr>
            </w:pPr>
          </w:p>
        </w:tc>
        <w:tc>
          <w:tcPr>
            <w:tcW w:w="26" w:type="pct"/>
            <w:shd w:val="clear" w:color="auto" w:fill="auto"/>
          </w:tcPr>
          <w:p w14:paraId="7268F4A5" w14:textId="77777777" w:rsidR="005F762A" w:rsidRDefault="005F762A">
            <w:pPr>
              <w:rPr>
                <w:rFonts w:ascii="宋体"/>
              </w:rPr>
            </w:pPr>
          </w:p>
        </w:tc>
        <w:tc>
          <w:tcPr>
            <w:tcW w:w="5" w:type="pct"/>
            <w:shd w:val="clear" w:color="auto" w:fill="auto"/>
          </w:tcPr>
          <w:p w14:paraId="7268F4A6" w14:textId="77777777" w:rsidR="005F762A" w:rsidRDefault="005F762A">
            <w:pPr>
              <w:rPr>
                <w:rFonts w:ascii="宋体"/>
              </w:rPr>
            </w:pPr>
          </w:p>
        </w:tc>
        <w:tc>
          <w:tcPr>
            <w:tcW w:w="50" w:type="pct"/>
            <w:shd w:val="clear" w:color="auto" w:fill="auto"/>
          </w:tcPr>
          <w:p w14:paraId="7268F4A7" w14:textId="77777777" w:rsidR="005F762A" w:rsidRDefault="005F762A">
            <w:pPr>
              <w:rPr>
                <w:rFonts w:ascii="宋体"/>
              </w:rPr>
            </w:pPr>
          </w:p>
        </w:tc>
        <w:tc>
          <w:tcPr>
            <w:tcW w:w="509" w:type="pct"/>
            <w:shd w:val="clear" w:color="auto" w:fill="auto"/>
          </w:tcPr>
          <w:p w14:paraId="7268F4A8" w14:textId="77777777" w:rsidR="005F762A" w:rsidRDefault="005F762A">
            <w:pPr>
              <w:rPr>
                <w:rFonts w:ascii="宋体"/>
              </w:rPr>
            </w:pPr>
          </w:p>
        </w:tc>
        <w:tc>
          <w:tcPr>
            <w:tcW w:w="5" w:type="pct"/>
            <w:shd w:val="clear" w:color="auto" w:fill="auto"/>
          </w:tcPr>
          <w:p w14:paraId="7268F4A9" w14:textId="77777777" w:rsidR="005F762A" w:rsidRDefault="005F762A">
            <w:pPr>
              <w:rPr>
                <w:rFonts w:ascii="宋体"/>
              </w:rPr>
            </w:pPr>
          </w:p>
        </w:tc>
      </w:tr>
      <w:tr w:rsidR="005F762A" w14:paraId="7268F4B5" w14:textId="77777777">
        <w:tc>
          <w:tcPr>
            <w:tcW w:w="0" w:type="auto"/>
            <w:gridSpan w:val="3"/>
            <w:shd w:val="clear" w:color="auto" w:fill="auto"/>
            <w:tcMar>
              <w:top w:w="0" w:type="dxa"/>
              <w:left w:w="20" w:type="dxa"/>
              <w:bottom w:w="0" w:type="dxa"/>
              <w:right w:w="20" w:type="dxa"/>
            </w:tcMar>
          </w:tcPr>
          <w:p w14:paraId="7268F4A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4AC" w14:textId="77777777" w:rsidR="005F762A" w:rsidRDefault="00D74111">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7268F4A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4AE" w14:textId="77777777" w:rsidR="005F762A" w:rsidRDefault="00D74111">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7268F4AF"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4B0" w14:textId="77777777" w:rsidR="005F762A" w:rsidRDefault="00D74111">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7268F4B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4B2" w14:textId="77777777" w:rsidR="005F762A" w:rsidRDefault="00D74111">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7268F4B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4B4" w14:textId="77777777" w:rsidR="005F762A" w:rsidRDefault="00D74111">
            <w:pPr>
              <w:jc w:val="center"/>
              <w:textAlignment w:val="bottom"/>
            </w:pPr>
            <w:r>
              <w:rPr>
                <w:rFonts w:ascii="Arial" w:eastAsia="宋体" w:hAnsi="Arial" w:cs="Arial"/>
                <w:b/>
                <w:bCs/>
                <w:color w:val="000000"/>
                <w:sz w:val="16"/>
                <w:szCs w:val="16"/>
              </w:rPr>
              <w:t>Total</w:t>
            </w:r>
          </w:p>
        </w:tc>
      </w:tr>
      <w:tr w:rsidR="005F762A" w14:paraId="7268F4CA" w14:textId="77777777">
        <w:tc>
          <w:tcPr>
            <w:tcW w:w="0" w:type="auto"/>
            <w:gridSpan w:val="3"/>
            <w:shd w:val="clear" w:color="auto" w:fill="E2E2E2"/>
            <w:tcMar>
              <w:top w:w="40" w:type="dxa"/>
              <w:left w:w="20" w:type="dxa"/>
              <w:bottom w:w="40" w:type="dxa"/>
              <w:right w:w="20" w:type="dxa"/>
            </w:tcMar>
            <w:vAlign w:val="bottom"/>
          </w:tcPr>
          <w:p w14:paraId="7268F4B6" w14:textId="77777777" w:rsidR="005F762A" w:rsidRDefault="00D74111">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F4B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B8" w14:textId="77777777" w:rsidR="005F762A" w:rsidRDefault="00D74111">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B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BA"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BB"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BC" w14:textId="77777777" w:rsidR="005F762A" w:rsidRDefault="00D74111">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B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BE"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BF"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C0" w14:textId="77777777" w:rsidR="005F762A" w:rsidRDefault="00D74111">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C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C2"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C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C4" w14:textId="77777777" w:rsidR="005F762A" w:rsidRDefault="00D74111">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C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C6"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4C7"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4C8" w14:textId="77777777" w:rsidR="005F762A" w:rsidRDefault="00D74111">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4C9" w14:textId="77777777" w:rsidR="005F762A" w:rsidRDefault="005F762A">
            <w:pPr>
              <w:jc w:val="right"/>
              <w:rPr>
                <w:rFonts w:ascii="宋体"/>
              </w:rPr>
            </w:pPr>
          </w:p>
        </w:tc>
      </w:tr>
      <w:tr w:rsidR="005F762A" w14:paraId="7268F4DA" w14:textId="77777777">
        <w:tc>
          <w:tcPr>
            <w:tcW w:w="0" w:type="auto"/>
            <w:gridSpan w:val="3"/>
            <w:shd w:val="clear" w:color="auto" w:fill="FFFFFF"/>
            <w:tcMar>
              <w:top w:w="40" w:type="dxa"/>
              <w:left w:w="245" w:type="dxa"/>
              <w:bottom w:w="40" w:type="dxa"/>
              <w:right w:w="20" w:type="dxa"/>
            </w:tcMar>
            <w:vAlign w:val="bottom"/>
          </w:tcPr>
          <w:p w14:paraId="7268F4CB" w14:textId="77777777" w:rsidR="005F762A" w:rsidRDefault="00D74111">
            <w:pPr>
              <w:textAlignment w:val="bottom"/>
            </w:pPr>
            <w:r>
              <w:rPr>
                <w:rFonts w:ascii="Arial" w:eastAsia="宋体" w:hAnsi="Arial" w:cs="Arial"/>
                <w:color w:val="000000"/>
                <w:sz w:val="18"/>
                <w:szCs w:val="18"/>
              </w:rPr>
              <w:t>Other comprehensive income (loss) before re</w:t>
            </w:r>
            <w:r>
              <w:rPr>
                <w:rFonts w:ascii="Arial" w:eastAsia="宋体" w:hAnsi="Arial" w:cs="Arial"/>
                <w:color w:val="000000"/>
                <w:sz w:val="18"/>
                <w:szCs w:val="18"/>
              </w:rPr>
              <w:t>classifications</w:t>
            </w:r>
          </w:p>
        </w:tc>
        <w:tc>
          <w:tcPr>
            <w:tcW w:w="0" w:type="auto"/>
            <w:gridSpan w:val="2"/>
            <w:shd w:val="clear" w:color="auto" w:fill="FFFFFF"/>
            <w:tcMar>
              <w:top w:w="40" w:type="dxa"/>
              <w:left w:w="20" w:type="dxa"/>
              <w:bottom w:w="40" w:type="dxa"/>
              <w:right w:w="0" w:type="dxa"/>
            </w:tcMar>
            <w:vAlign w:val="bottom"/>
          </w:tcPr>
          <w:p w14:paraId="7268F4CC" w14:textId="77777777" w:rsidR="005F762A" w:rsidRDefault="00D74111">
            <w:pPr>
              <w:jc w:val="right"/>
              <w:textAlignment w:val="bottom"/>
            </w:pPr>
            <w:r>
              <w:rPr>
                <w:rFonts w:ascii="Arial" w:eastAsia="宋体" w:hAnsi="Arial" w:cs="Arial"/>
                <w:color w:val="000000"/>
                <w:sz w:val="18"/>
                <w:szCs w:val="18"/>
              </w:rPr>
              <w:t>46 </w:t>
            </w:r>
          </w:p>
        </w:tc>
        <w:tc>
          <w:tcPr>
            <w:tcW w:w="0" w:type="auto"/>
            <w:shd w:val="clear" w:color="auto" w:fill="FFFFFF"/>
            <w:tcMar>
              <w:top w:w="40" w:type="dxa"/>
              <w:left w:w="0" w:type="dxa"/>
              <w:bottom w:w="40" w:type="dxa"/>
              <w:right w:w="20" w:type="dxa"/>
            </w:tcMar>
            <w:vAlign w:val="bottom"/>
          </w:tcPr>
          <w:p w14:paraId="7268F4C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C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CF" w14:textId="77777777" w:rsidR="005F762A" w:rsidRDefault="00D74111">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7268F4D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D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D2" w14:textId="77777777" w:rsidR="005F762A" w:rsidRDefault="00D74111">
            <w:pPr>
              <w:jc w:val="right"/>
              <w:textAlignment w:val="bottom"/>
            </w:pPr>
            <w:r>
              <w:rPr>
                <w:rFonts w:ascii="Arial" w:eastAsia="宋体" w:hAnsi="Arial" w:cs="Arial"/>
                <w:color w:val="000000"/>
                <w:sz w:val="18"/>
                <w:szCs w:val="18"/>
              </w:rPr>
              <w:t>(117)</w:t>
            </w:r>
          </w:p>
        </w:tc>
        <w:tc>
          <w:tcPr>
            <w:tcW w:w="0" w:type="auto"/>
            <w:shd w:val="clear" w:color="auto" w:fill="FFFFFF"/>
            <w:tcMar>
              <w:top w:w="40" w:type="dxa"/>
              <w:left w:w="0" w:type="dxa"/>
              <w:bottom w:w="40" w:type="dxa"/>
              <w:right w:w="20" w:type="dxa"/>
            </w:tcMar>
            <w:vAlign w:val="bottom"/>
          </w:tcPr>
          <w:p w14:paraId="7268F4D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D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D5"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7268F4D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D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4D8" w14:textId="77777777" w:rsidR="005F762A" w:rsidRDefault="00D74111">
            <w:pPr>
              <w:jc w:val="right"/>
              <w:textAlignment w:val="bottom"/>
            </w:pPr>
            <w:r>
              <w:rPr>
                <w:rFonts w:ascii="Arial" w:eastAsia="宋体" w:hAnsi="Arial" w:cs="Arial"/>
                <w:color w:val="000000"/>
                <w:sz w:val="18"/>
                <w:szCs w:val="18"/>
              </w:rPr>
              <w:t>(85)</w:t>
            </w:r>
          </w:p>
        </w:tc>
        <w:tc>
          <w:tcPr>
            <w:tcW w:w="0" w:type="auto"/>
            <w:shd w:val="clear" w:color="auto" w:fill="FFFFFF"/>
            <w:tcMar>
              <w:top w:w="40" w:type="dxa"/>
              <w:left w:w="0" w:type="dxa"/>
              <w:bottom w:w="40" w:type="dxa"/>
              <w:right w:w="20" w:type="dxa"/>
            </w:tcMar>
            <w:vAlign w:val="bottom"/>
          </w:tcPr>
          <w:p w14:paraId="7268F4D9" w14:textId="77777777" w:rsidR="005F762A" w:rsidRDefault="005F762A">
            <w:pPr>
              <w:jc w:val="right"/>
              <w:rPr>
                <w:rFonts w:ascii="宋体"/>
              </w:rPr>
            </w:pPr>
          </w:p>
        </w:tc>
      </w:tr>
      <w:tr w:rsidR="005F762A" w14:paraId="7268F4EA" w14:textId="77777777">
        <w:tc>
          <w:tcPr>
            <w:tcW w:w="0" w:type="auto"/>
            <w:gridSpan w:val="3"/>
            <w:shd w:val="clear" w:color="auto" w:fill="E2E2E2"/>
            <w:tcMar>
              <w:top w:w="40" w:type="dxa"/>
              <w:left w:w="245" w:type="dxa"/>
              <w:bottom w:w="40" w:type="dxa"/>
              <w:right w:w="20" w:type="dxa"/>
            </w:tcMar>
            <w:vAlign w:val="bottom"/>
          </w:tcPr>
          <w:p w14:paraId="7268F4DB" w14:textId="77777777" w:rsidR="005F762A" w:rsidRDefault="00D74111">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7268F4DC" w14:textId="77777777" w:rsidR="005F762A" w:rsidRDefault="00D74111">
            <w:pPr>
              <w:jc w:val="right"/>
              <w:textAlignment w:val="bottom"/>
            </w:pPr>
            <w:r>
              <w:rPr>
                <w:rFonts w:ascii="Arial" w:eastAsia="宋体" w:hAnsi="Arial" w:cs="Arial"/>
                <w:color w:val="000000"/>
                <w:sz w:val="18"/>
                <w:szCs w:val="18"/>
              </w:rPr>
              <w:t>(28)</w:t>
            </w:r>
          </w:p>
        </w:tc>
        <w:tc>
          <w:tcPr>
            <w:tcW w:w="0" w:type="auto"/>
            <w:shd w:val="clear" w:color="auto" w:fill="E2E2E2"/>
            <w:tcMar>
              <w:top w:w="40" w:type="dxa"/>
              <w:left w:w="0" w:type="dxa"/>
              <w:bottom w:w="40" w:type="dxa"/>
              <w:right w:w="20" w:type="dxa"/>
            </w:tcMar>
            <w:vAlign w:val="bottom"/>
          </w:tcPr>
          <w:p w14:paraId="7268F4DD"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D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DF"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4E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E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E2"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4E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E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E5" w14:textId="77777777" w:rsidR="005F762A" w:rsidRDefault="00D74111">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7268F4E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E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4E8" w14:textId="77777777" w:rsidR="005F762A" w:rsidRDefault="00D74111">
            <w:pPr>
              <w:jc w:val="right"/>
              <w:textAlignment w:val="bottom"/>
            </w:pPr>
            <w:r>
              <w:rPr>
                <w:rFonts w:ascii="Arial" w:eastAsia="宋体" w:hAnsi="Arial" w:cs="Arial"/>
                <w:color w:val="000000"/>
                <w:sz w:val="18"/>
                <w:szCs w:val="18"/>
              </w:rPr>
              <w:t>(22)</w:t>
            </w:r>
          </w:p>
        </w:tc>
        <w:tc>
          <w:tcPr>
            <w:tcW w:w="0" w:type="auto"/>
            <w:shd w:val="clear" w:color="auto" w:fill="E2E2E2"/>
            <w:tcMar>
              <w:top w:w="40" w:type="dxa"/>
              <w:left w:w="0" w:type="dxa"/>
              <w:bottom w:w="40" w:type="dxa"/>
              <w:right w:w="20" w:type="dxa"/>
            </w:tcMar>
            <w:vAlign w:val="bottom"/>
          </w:tcPr>
          <w:p w14:paraId="7268F4E9" w14:textId="77777777" w:rsidR="005F762A" w:rsidRDefault="005F762A">
            <w:pPr>
              <w:jc w:val="right"/>
              <w:rPr>
                <w:rFonts w:ascii="宋体"/>
              </w:rPr>
            </w:pPr>
          </w:p>
        </w:tc>
      </w:tr>
      <w:tr w:rsidR="005F762A" w14:paraId="7268F4FA" w14:textId="77777777">
        <w:tc>
          <w:tcPr>
            <w:tcW w:w="0" w:type="auto"/>
            <w:gridSpan w:val="3"/>
            <w:shd w:val="clear" w:color="auto" w:fill="FFFFFF"/>
            <w:tcMar>
              <w:top w:w="40" w:type="dxa"/>
              <w:left w:w="20" w:type="dxa"/>
              <w:bottom w:w="40" w:type="dxa"/>
              <w:right w:w="20" w:type="dxa"/>
            </w:tcMar>
            <w:vAlign w:val="bottom"/>
          </w:tcPr>
          <w:p w14:paraId="7268F4EB" w14:textId="77777777" w:rsidR="005F762A" w:rsidRDefault="00D74111">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4EC" w14:textId="77777777" w:rsidR="005F762A" w:rsidRDefault="00D74111">
            <w:pPr>
              <w:jc w:val="right"/>
              <w:textAlignment w:val="bottom"/>
            </w:pPr>
            <w:r>
              <w:rPr>
                <w:rFonts w:ascii="Arial" w:eastAsia="宋体" w:hAnsi="Arial" w:cs="Arial"/>
                <w:color w:val="000000"/>
                <w:sz w:val="18"/>
                <w:szCs w:val="18"/>
              </w:rPr>
              <w:t>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4E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EE"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4EF" w14:textId="77777777" w:rsidR="005F762A" w:rsidRDefault="00D74111">
            <w:pPr>
              <w:jc w:val="right"/>
              <w:textAlignment w:val="bottom"/>
            </w:pPr>
            <w:r>
              <w:rPr>
                <w:rFonts w:ascii="Arial" w:eastAsia="宋体" w:hAnsi="Arial" w:cs="Arial"/>
                <w:color w:val="000000"/>
                <w:sz w:val="18"/>
                <w:szCs w:val="18"/>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4F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F1"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4F2" w14:textId="77777777" w:rsidR="005F762A" w:rsidRDefault="00D74111">
            <w:pPr>
              <w:jc w:val="right"/>
              <w:textAlignment w:val="bottom"/>
            </w:pPr>
            <w:r>
              <w:rPr>
                <w:rFonts w:ascii="Arial" w:eastAsia="宋体" w:hAnsi="Arial" w:cs="Arial"/>
                <w:color w:val="000000"/>
                <w:sz w:val="18"/>
                <w:szCs w:val="18"/>
              </w:rPr>
              <w:t>(117)</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4F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F4"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4F5" w14:textId="77777777" w:rsidR="005F762A" w:rsidRDefault="00D74111">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4F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4F7"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4F8" w14:textId="77777777" w:rsidR="005F762A" w:rsidRDefault="00D74111">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4F9" w14:textId="77777777" w:rsidR="005F762A" w:rsidRDefault="005F762A">
            <w:pPr>
              <w:jc w:val="right"/>
              <w:rPr>
                <w:rFonts w:ascii="宋体"/>
              </w:rPr>
            </w:pPr>
          </w:p>
        </w:tc>
      </w:tr>
      <w:tr w:rsidR="005F762A" w14:paraId="7268F50F" w14:textId="77777777">
        <w:tc>
          <w:tcPr>
            <w:tcW w:w="0" w:type="auto"/>
            <w:gridSpan w:val="3"/>
            <w:shd w:val="clear" w:color="auto" w:fill="E2E2E2"/>
            <w:tcMar>
              <w:top w:w="40" w:type="dxa"/>
              <w:left w:w="20" w:type="dxa"/>
              <w:bottom w:w="40" w:type="dxa"/>
              <w:right w:w="20" w:type="dxa"/>
            </w:tcMar>
            <w:vAlign w:val="bottom"/>
          </w:tcPr>
          <w:p w14:paraId="7268F4FB" w14:textId="77777777" w:rsidR="005F762A" w:rsidRDefault="00D74111">
            <w:pPr>
              <w:textAlignment w:val="bottom"/>
            </w:pPr>
            <w:r>
              <w:rPr>
                <w:rFonts w:ascii="Arial" w:eastAsia="宋体" w:hAnsi="Arial" w:cs="Arial"/>
                <w:color w:val="000000"/>
                <w:sz w:val="18"/>
                <w:szCs w:val="18"/>
              </w:rPr>
              <w:t>Balance as of March 31,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4F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4FD" w14:textId="77777777" w:rsidR="005F762A" w:rsidRDefault="00D74111">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4F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4F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0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01" w14:textId="77777777" w:rsidR="005F762A" w:rsidRDefault="00D74111">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0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03"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04"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05" w14:textId="77777777" w:rsidR="005F762A" w:rsidRDefault="00D74111">
            <w:pPr>
              <w:jc w:val="right"/>
              <w:textAlignment w:val="bottom"/>
            </w:pPr>
            <w:r>
              <w:rPr>
                <w:rFonts w:ascii="Arial" w:eastAsia="宋体" w:hAnsi="Arial" w:cs="Arial"/>
                <w:color w:val="000000"/>
                <w:sz w:val="18"/>
                <w:szCs w:val="18"/>
              </w:rPr>
              <w:t>537 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0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07"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08"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09" w14:textId="77777777" w:rsidR="005F762A" w:rsidRDefault="00D74111">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0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0B"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0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0D" w14:textId="77777777" w:rsidR="005F762A" w:rsidRDefault="00D74111">
            <w:pPr>
              <w:jc w:val="right"/>
              <w:textAlignment w:val="bottom"/>
            </w:pPr>
            <w:r>
              <w:rPr>
                <w:rFonts w:ascii="Arial" w:eastAsia="宋体" w:hAnsi="Arial" w:cs="Arial"/>
                <w:color w:val="000000"/>
                <w:sz w:val="18"/>
                <w:szCs w:val="18"/>
              </w:rPr>
              <w:t>553 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0E" w14:textId="77777777" w:rsidR="005F762A" w:rsidRDefault="005F762A">
            <w:pPr>
              <w:jc w:val="right"/>
              <w:rPr>
                <w:rFonts w:ascii="宋体"/>
              </w:rPr>
            </w:pPr>
          </w:p>
        </w:tc>
      </w:tr>
    </w:tbl>
    <w:p w14:paraId="7268F510" w14:textId="77777777" w:rsidR="005F762A" w:rsidRDefault="005F762A"/>
    <w:p w14:paraId="7268F511" w14:textId="77777777" w:rsidR="005F762A" w:rsidRDefault="005F762A">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5F762A" w14:paraId="7268F530" w14:textId="77777777">
        <w:trPr>
          <w:jc w:val="center"/>
        </w:trPr>
        <w:tc>
          <w:tcPr>
            <w:tcW w:w="50" w:type="pct"/>
            <w:shd w:val="clear" w:color="auto" w:fill="auto"/>
          </w:tcPr>
          <w:p w14:paraId="7268F512" w14:textId="77777777" w:rsidR="005F762A" w:rsidRDefault="005F762A">
            <w:pPr>
              <w:rPr>
                <w:rFonts w:ascii="宋体"/>
              </w:rPr>
            </w:pPr>
          </w:p>
        </w:tc>
        <w:tc>
          <w:tcPr>
            <w:tcW w:w="1770" w:type="pct"/>
            <w:shd w:val="clear" w:color="auto" w:fill="auto"/>
          </w:tcPr>
          <w:p w14:paraId="7268F513" w14:textId="77777777" w:rsidR="005F762A" w:rsidRDefault="005F762A">
            <w:pPr>
              <w:rPr>
                <w:rFonts w:ascii="宋体"/>
              </w:rPr>
            </w:pPr>
          </w:p>
        </w:tc>
        <w:tc>
          <w:tcPr>
            <w:tcW w:w="5" w:type="pct"/>
            <w:shd w:val="clear" w:color="auto" w:fill="auto"/>
          </w:tcPr>
          <w:p w14:paraId="7268F514" w14:textId="77777777" w:rsidR="005F762A" w:rsidRDefault="005F762A">
            <w:pPr>
              <w:rPr>
                <w:rFonts w:ascii="宋体"/>
              </w:rPr>
            </w:pPr>
          </w:p>
        </w:tc>
        <w:tc>
          <w:tcPr>
            <w:tcW w:w="50" w:type="pct"/>
            <w:shd w:val="clear" w:color="auto" w:fill="auto"/>
          </w:tcPr>
          <w:p w14:paraId="7268F515" w14:textId="77777777" w:rsidR="005F762A" w:rsidRDefault="005F762A">
            <w:pPr>
              <w:rPr>
                <w:rFonts w:ascii="宋体"/>
              </w:rPr>
            </w:pPr>
          </w:p>
        </w:tc>
        <w:tc>
          <w:tcPr>
            <w:tcW w:w="597" w:type="pct"/>
            <w:shd w:val="clear" w:color="auto" w:fill="auto"/>
          </w:tcPr>
          <w:p w14:paraId="7268F516" w14:textId="77777777" w:rsidR="005F762A" w:rsidRDefault="005F762A">
            <w:pPr>
              <w:rPr>
                <w:rFonts w:ascii="宋体"/>
              </w:rPr>
            </w:pPr>
          </w:p>
        </w:tc>
        <w:tc>
          <w:tcPr>
            <w:tcW w:w="5" w:type="pct"/>
            <w:shd w:val="clear" w:color="auto" w:fill="auto"/>
          </w:tcPr>
          <w:p w14:paraId="7268F517" w14:textId="77777777" w:rsidR="005F762A" w:rsidRDefault="005F762A">
            <w:pPr>
              <w:rPr>
                <w:rFonts w:ascii="宋体"/>
              </w:rPr>
            </w:pPr>
          </w:p>
        </w:tc>
        <w:tc>
          <w:tcPr>
            <w:tcW w:w="5" w:type="pct"/>
            <w:shd w:val="clear" w:color="auto" w:fill="auto"/>
          </w:tcPr>
          <w:p w14:paraId="7268F518" w14:textId="77777777" w:rsidR="005F762A" w:rsidRDefault="005F762A">
            <w:pPr>
              <w:rPr>
                <w:rFonts w:ascii="宋体"/>
              </w:rPr>
            </w:pPr>
          </w:p>
        </w:tc>
        <w:tc>
          <w:tcPr>
            <w:tcW w:w="26" w:type="pct"/>
            <w:shd w:val="clear" w:color="auto" w:fill="auto"/>
          </w:tcPr>
          <w:p w14:paraId="7268F519" w14:textId="77777777" w:rsidR="005F762A" w:rsidRDefault="005F762A">
            <w:pPr>
              <w:rPr>
                <w:rFonts w:ascii="宋体"/>
              </w:rPr>
            </w:pPr>
          </w:p>
        </w:tc>
        <w:tc>
          <w:tcPr>
            <w:tcW w:w="5" w:type="pct"/>
            <w:shd w:val="clear" w:color="auto" w:fill="auto"/>
          </w:tcPr>
          <w:p w14:paraId="7268F51A" w14:textId="77777777" w:rsidR="005F762A" w:rsidRDefault="005F762A">
            <w:pPr>
              <w:rPr>
                <w:rFonts w:ascii="宋体"/>
              </w:rPr>
            </w:pPr>
          </w:p>
        </w:tc>
        <w:tc>
          <w:tcPr>
            <w:tcW w:w="50" w:type="pct"/>
            <w:shd w:val="clear" w:color="auto" w:fill="auto"/>
          </w:tcPr>
          <w:p w14:paraId="7268F51B" w14:textId="77777777" w:rsidR="005F762A" w:rsidRDefault="005F762A">
            <w:pPr>
              <w:rPr>
                <w:rFonts w:ascii="宋体"/>
              </w:rPr>
            </w:pPr>
          </w:p>
        </w:tc>
        <w:tc>
          <w:tcPr>
            <w:tcW w:w="582" w:type="pct"/>
            <w:shd w:val="clear" w:color="auto" w:fill="auto"/>
          </w:tcPr>
          <w:p w14:paraId="7268F51C" w14:textId="77777777" w:rsidR="005F762A" w:rsidRDefault="005F762A">
            <w:pPr>
              <w:rPr>
                <w:rFonts w:ascii="宋体"/>
              </w:rPr>
            </w:pPr>
          </w:p>
        </w:tc>
        <w:tc>
          <w:tcPr>
            <w:tcW w:w="5" w:type="pct"/>
            <w:shd w:val="clear" w:color="auto" w:fill="auto"/>
          </w:tcPr>
          <w:p w14:paraId="7268F51D" w14:textId="77777777" w:rsidR="005F762A" w:rsidRDefault="005F762A">
            <w:pPr>
              <w:rPr>
                <w:rFonts w:ascii="宋体"/>
              </w:rPr>
            </w:pPr>
          </w:p>
        </w:tc>
        <w:tc>
          <w:tcPr>
            <w:tcW w:w="5" w:type="pct"/>
            <w:shd w:val="clear" w:color="auto" w:fill="auto"/>
          </w:tcPr>
          <w:p w14:paraId="7268F51E" w14:textId="77777777" w:rsidR="005F762A" w:rsidRDefault="005F762A">
            <w:pPr>
              <w:rPr>
                <w:rFonts w:ascii="宋体"/>
              </w:rPr>
            </w:pPr>
          </w:p>
        </w:tc>
        <w:tc>
          <w:tcPr>
            <w:tcW w:w="26" w:type="pct"/>
            <w:shd w:val="clear" w:color="auto" w:fill="auto"/>
          </w:tcPr>
          <w:p w14:paraId="7268F51F" w14:textId="77777777" w:rsidR="005F762A" w:rsidRDefault="005F762A">
            <w:pPr>
              <w:rPr>
                <w:rFonts w:ascii="宋体"/>
              </w:rPr>
            </w:pPr>
          </w:p>
        </w:tc>
        <w:tc>
          <w:tcPr>
            <w:tcW w:w="5" w:type="pct"/>
            <w:shd w:val="clear" w:color="auto" w:fill="auto"/>
          </w:tcPr>
          <w:p w14:paraId="7268F520" w14:textId="77777777" w:rsidR="005F762A" w:rsidRDefault="005F762A">
            <w:pPr>
              <w:rPr>
                <w:rFonts w:ascii="宋体"/>
              </w:rPr>
            </w:pPr>
          </w:p>
        </w:tc>
        <w:tc>
          <w:tcPr>
            <w:tcW w:w="50" w:type="pct"/>
            <w:shd w:val="clear" w:color="auto" w:fill="auto"/>
          </w:tcPr>
          <w:p w14:paraId="7268F521" w14:textId="77777777" w:rsidR="005F762A" w:rsidRDefault="005F762A">
            <w:pPr>
              <w:rPr>
                <w:rFonts w:ascii="宋体"/>
              </w:rPr>
            </w:pPr>
          </w:p>
        </w:tc>
        <w:tc>
          <w:tcPr>
            <w:tcW w:w="509" w:type="pct"/>
            <w:shd w:val="clear" w:color="auto" w:fill="auto"/>
          </w:tcPr>
          <w:p w14:paraId="7268F522" w14:textId="77777777" w:rsidR="005F762A" w:rsidRDefault="005F762A">
            <w:pPr>
              <w:rPr>
                <w:rFonts w:ascii="宋体"/>
              </w:rPr>
            </w:pPr>
          </w:p>
        </w:tc>
        <w:tc>
          <w:tcPr>
            <w:tcW w:w="5" w:type="pct"/>
            <w:shd w:val="clear" w:color="auto" w:fill="auto"/>
          </w:tcPr>
          <w:p w14:paraId="7268F523" w14:textId="77777777" w:rsidR="005F762A" w:rsidRDefault="005F762A">
            <w:pPr>
              <w:rPr>
                <w:rFonts w:ascii="宋体"/>
              </w:rPr>
            </w:pPr>
          </w:p>
        </w:tc>
        <w:tc>
          <w:tcPr>
            <w:tcW w:w="5" w:type="pct"/>
            <w:shd w:val="clear" w:color="auto" w:fill="auto"/>
          </w:tcPr>
          <w:p w14:paraId="7268F524" w14:textId="77777777" w:rsidR="005F762A" w:rsidRDefault="005F762A">
            <w:pPr>
              <w:rPr>
                <w:rFonts w:ascii="宋体"/>
              </w:rPr>
            </w:pPr>
          </w:p>
        </w:tc>
        <w:tc>
          <w:tcPr>
            <w:tcW w:w="26" w:type="pct"/>
            <w:shd w:val="clear" w:color="auto" w:fill="auto"/>
          </w:tcPr>
          <w:p w14:paraId="7268F525" w14:textId="77777777" w:rsidR="005F762A" w:rsidRDefault="005F762A">
            <w:pPr>
              <w:rPr>
                <w:rFonts w:ascii="宋体"/>
              </w:rPr>
            </w:pPr>
          </w:p>
        </w:tc>
        <w:tc>
          <w:tcPr>
            <w:tcW w:w="5" w:type="pct"/>
            <w:shd w:val="clear" w:color="auto" w:fill="auto"/>
          </w:tcPr>
          <w:p w14:paraId="7268F526" w14:textId="77777777" w:rsidR="005F762A" w:rsidRDefault="005F762A">
            <w:pPr>
              <w:rPr>
                <w:rFonts w:ascii="宋体"/>
              </w:rPr>
            </w:pPr>
          </w:p>
        </w:tc>
        <w:tc>
          <w:tcPr>
            <w:tcW w:w="50" w:type="pct"/>
            <w:shd w:val="clear" w:color="auto" w:fill="auto"/>
          </w:tcPr>
          <w:p w14:paraId="7268F527" w14:textId="77777777" w:rsidR="005F762A" w:rsidRDefault="005F762A">
            <w:pPr>
              <w:rPr>
                <w:rFonts w:ascii="宋体"/>
              </w:rPr>
            </w:pPr>
          </w:p>
        </w:tc>
        <w:tc>
          <w:tcPr>
            <w:tcW w:w="553" w:type="pct"/>
            <w:shd w:val="clear" w:color="auto" w:fill="auto"/>
          </w:tcPr>
          <w:p w14:paraId="7268F528" w14:textId="77777777" w:rsidR="005F762A" w:rsidRDefault="005F762A">
            <w:pPr>
              <w:rPr>
                <w:rFonts w:ascii="宋体"/>
              </w:rPr>
            </w:pPr>
          </w:p>
        </w:tc>
        <w:tc>
          <w:tcPr>
            <w:tcW w:w="5" w:type="pct"/>
            <w:shd w:val="clear" w:color="auto" w:fill="auto"/>
          </w:tcPr>
          <w:p w14:paraId="7268F529" w14:textId="77777777" w:rsidR="005F762A" w:rsidRDefault="005F762A">
            <w:pPr>
              <w:rPr>
                <w:rFonts w:ascii="宋体"/>
              </w:rPr>
            </w:pPr>
          </w:p>
        </w:tc>
        <w:tc>
          <w:tcPr>
            <w:tcW w:w="5" w:type="pct"/>
            <w:shd w:val="clear" w:color="auto" w:fill="auto"/>
          </w:tcPr>
          <w:p w14:paraId="7268F52A" w14:textId="77777777" w:rsidR="005F762A" w:rsidRDefault="005F762A">
            <w:pPr>
              <w:rPr>
                <w:rFonts w:ascii="宋体"/>
              </w:rPr>
            </w:pPr>
          </w:p>
        </w:tc>
        <w:tc>
          <w:tcPr>
            <w:tcW w:w="26" w:type="pct"/>
            <w:shd w:val="clear" w:color="auto" w:fill="auto"/>
          </w:tcPr>
          <w:p w14:paraId="7268F52B" w14:textId="77777777" w:rsidR="005F762A" w:rsidRDefault="005F762A">
            <w:pPr>
              <w:rPr>
                <w:rFonts w:ascii="宋体"/>
              </w:rPr>
            </w:pPr>
          </w:p>
        </w:tc>
        <w:tc>
          <w:tcPr>
            <w:tcW w:w="5" w:type="pct"/>
            <w:shd w:val="clear" w:color="auto" w:fill="auto"/>
          </w:tcPr>
          <w:p w14:paraId="7268F52C" w14:textId="77777777" w:rsidR="005F762A" w:rsidRDefault="005F762A">
            <w:pPr>
              <w:rPr>
                <w:rFonts w:ascii="宋体"/>
              </w:rPr>
            </w:pPr>
          </w:p>
        </w:tc>
        <w:tc>
          <w:tcPr>
            <w:tcW w:w="50" w:type="pct"/>
            <w:shd w:val="clear" w:color="auto" w:fill="auto"/>
          </w:tcPr>
          <w:p w14:paraId="7268F52D" w14:textId="77777777" w:rsidR="005F762A" w:rsidRDefault="005F762A">
            <w:pPr>
              <w:rPr>
                <w:rFonts w:ascii="宋体"/>
              </w:rPr>
            </w:pPr>
          </w:p>
        </w:tc>
        <w:tc>
          <w:tcPr>
            <w:tcW w:w="509" w:type="pct"/>
            <w:shd w:val="clear" w:color="auto" w:fill="auto"/>
          </w:tcPr>
          <w:p w14:paraId="7268F52E" w14:textId="77777777" w:rsidR="005F762A" w:rsidRDefault="005F762A">
            <w:pPr>
              <w:rPr>
                <w:rFonts w:ascii="宋体"/>
              </w:rPr>
            </w:pPr>
          </w:p>
        </w:tc>
        <w:tc>
          <w:tcPr>
            <w:tcW w:w="5" w:type="pct"/>
            <w:shd w:val="clear" w:color="auto" w:fill="auto"/>
          </w:tcPr>
          <w:p w14:paraId="7268F52F" w14:textId="77777777" w:rsidR="005F762A" w:rsidRDefault="005F762A">
            <w:pPr>
              <w:rPr>
                <w:rFonts w:ascii="宋体"/>
              </w:rPr>
            </w:pPr>
          </w:p>
        </w:tc>
      </w:tr>
      <w:tr w:rsidR="005F762A" w14:paraId="7268F53B" w14:textId="77777777">
        <w:trPr>
          <w:jc w:val="center"/>
        </w:trPr>
        <w:tc>
          <w:tcPr>
            <w:tcW w:w="0" w:type="auto"/>
            <w:gridSpan w:val="3"/>
            <w:shd w:val="clear" w:color="auto" w:fill="auto"/>
            <w:tcMar>
              <w:top w:w="0" w:type="dxa"/>
              <w:left w:w="20" w:type="dxa"/>
              <w:bottom w:w="0" w:type="dxa"/>
              <w:right w:w="20" w:type="dxa"/>
            </w:tcMar>
          </w:tcPr>
          <w:p w14:paraId="7268F53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532" w14:textId="77777777" w:rsidR="005F762A" w:rsidRDefault="00D74111">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tcPr>
          <w:p w14:paraId="7268F53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534" w14:textId="77777777" w:rsidR="005F762A" w:rsidRDefault="00D74111">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tcPr>
          <w:p w14:paraId="7268F53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536" w14:textId="77777777" w:rsidR="005F762A" w:rsidRDefault="00D74111">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tcPr>
          <w:p w14:paraId="7268F53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538" w14:textId="77777777" w:rsidR="005F762A" w:rsidRDefault="00D74111">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tcPr>
          <w:p w14:paraId="7268F539"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53A" w14:textId="77777777" w:rsidR="005F762A" w:rsidRDefault="00D74111">
            <w:pPr>
              <w:jc w:val="center"/>
              <w:textAlignment w:val="bottom"/>
            </w:pPr>
            <w:r>
              <w:rPr>
                <w:rFonts w:ascii="Arial" w:eastAsia="宋体" w:hAnsi="Arial" w:cs="Arial"/>
                <w:b/>
                <w:bCs/>
                <w:color w:val="000000"/>
                <w:sz w:val="16"/>
                <w:szCs w:val="16"/>
              </w:rPr>
              <w:t>Total</w:t>
            </w:r>
          </w:p>
        </w:tc>
      </w:tr>
      <w:tr w:rsidR="005F762A" w14:paraId="7268F550" w14:textId="77777777">
        <w:trPr>
          <w:jc w:val="center"/>
        </w:trPr>
        <w:tc>
          <w:tcPr>
            <w:tcW w:w="0" w:type="auto"/>
            <w:gridSpan w:val="3"/>
            <w:shd w:val="clear" w:color="auto" w:fill="E2E2E2"/>
            <w:tcMar>
              <w:top w:w="40" w:type="dxa"/>
              <w:left w:w="20" w:type="dxa"/>
              <w:bottom w:w="40" w:type="dxa"/>
              <w:right w:w="20" w:type="dxa"/>
            </w:tcMar>
            <w:vAlign w:val="bottom"/>
          </w:tcPr>
          <w:p w14:paraId="7268F53C" w14:textId="77777777" w:rsidR="005F762A" w:rsidRDefault="00D74111">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F53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53E" w14:textId="77777777" w:rsidR="005F762A" w:rsidRDefault="00D74111">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53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40"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541"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542" w14:textId="77777777" w:rsidR="005F762A" w:rsidRDefault="00D74111">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54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44"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545"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546" w14:textId="77777777" w:rsidR="005F762A" w:rsidRDefault="00D74111">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54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48"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549"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54A" w14:textId="77777777" w:rsidR="005F762A" w:rsidRDefault="00D74111">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54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4C"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54D"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54E" w14:textId="77777777" w:rsidR="005F762A" w:rsidRDefault="00D74111">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54F" w14:textId="77777777" w:rsidR="005F762A" w:rsidRDefault="005F762A">
            <w:pPr>
              <w:jc w:val="right"/>
              <w:rPr>
                <w:rFonts w:ascii="宋体"/>
              </w:rPr>
            </w:pPr>
          </w:p>
        </w:tc>
      </w:tr>
      <w:tr w:rsidR="005F762A" w14:paraId="7268F560" w14:textId="77777777">
        <w:trPr>
          <w:jc w:val="center"/>
        </w:trPr>
        <w:tc>
          <w:tcPr>
            <w:tcW w:w="0" w:type="auto"/>
            <w:gridSpan w:val="3"/>
            <w:shd w:val="clear" w:color="auto" w:fill="FFFFFF"/>
            <w:tcMar>
              <w:top w:w="40" w:type="dxa"/>
              <w:left w:w="245" w:type="dxa"/>
              <w:bottom w:w="40" w:type="dxa"/>
              <w:right w:w="20" w:type="dxa"/>
            </w:tcMar>
            <w:vAlign w:val="bottom"/>
          </w:tcPr>
          <w:p w14:paraId="7268F551" w14:textId="77777777" w:rsidR="005F762A" w:rsidRDefault="00D74111">
            <w:pPr>
              <w:textAlignment w:val="bottom"/>
            </w:pPr>
            <w:r>
              <w:rPr>
                <w:rFonts w:ascii="Arial" w:eastAsia="宋体" w:hAnsi="Arial" w:cs="Arial"/>
                <w:color w:val="000000"/>
                <w:sz w:val="18"/>
                <w:szCs w:val="18"/>
              </w:rPr>
              <w:t xml:space="preserve">Other comprehensive income (loss) before </w:t>
            </w:r>
            <w:r>
              <w:rPr>
                <w:rFonts w:ascii="Arial" w:eastAsia="宋体" w:hAnsi="Arial" w:cs="Arial"/>
                <w:color w:val="000000"/>
                <w:sz w:val="18"/>
                <w:szCs w:val="18"/>
              </w:rPr>
              <w:t>reclassifications</w:t>
            </w:r>
          </w:p>
        </w:tc>
        <w:tc>
          <w:tcPr>
            <w:tcW w:w="0" w:type="auto"/>
            <w:gridSpan w:val="2"/>
            <w:shd w:val="clear" w:color="auto" w:fill="FFFFFF"/>
            <w:tcMar>
              <w:top w:w="40" w:type="dxa"/>
              <w:left w:w="20" w:type="dxa"/>
              <w:bottom w:w="40" w:type="dxa"/>
              <w:right w:w="0" w:type="dxa"/>
            </w:tcMar>
            <w:vAlign w:val="bottom"/>
          </w:tcPr>
          <w:p w14:paraId="7268F552" w14:textId="77777777" w:rsidR="005F762A" w:rsidRDefault="00D74111">
            <w:pPr>
              <w:jc w:val="right"/>
              <w:textAlignment w:val="bottom"/>
            </w:pPr>
            <w:r>
              <w:rPr>
                <w:rFonts w:ascii="Arial" w:eastAsia="宋体" w:hAnsi="Arial" w:cs="Arial"/>
                <w:color w:val="000000"/>
                <w:sz w:val="18"/>
                <w:szCs w:val="18"/>
              </w:rPr>
              <w:t>47 </w:t>
            </w:r>
          </w:p>
        </w:tc>
        <w:tc>
          <w:tcPr>
            <w:tcW w:w="0" w:type="auto"/>
            <w:shd w:val="clear" w:color="auto" w:fill="FFFFFF"/>
            <w:tcMar>
              <w:top w:w="40" w:type="dxa"/>
              <w:left w:w="0" w:type="dxa"/>
              <w:bottom w:w="40" w:type="dxa"/>
              <w:right w:w="20" w:type="dxa"/>
            </w:tcMar>
            <w:vAlign w:val="bottom"/>
          </w:tcPr>
          <w:p w14:paraId="7268F55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5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555" w14:textId="77777777" w:rsidR="005F762A" w:rsidRDefault="00D74111">
            <w:pPr>
              <w:jc w:val="right"/>
              <w:textAlignment w:val="bottom"/>
            </w:pPr>
            <w:r>
              <w:rPr>
                <w:rFonts w:ascii="Arial" w:eastAsia="宋体" w:hAnsi="Arial" w:cs="Arial"/>
                <w:color w:val="000000"/>
                <w:sz w:val="18"/>
                <w:szCs w:val="18"/>
              </w:rPr>
              <w:t>(31)</w:t>
            </w:r>
          </w:p>
        </w:tc>
        <w:tc>
          <w:tcPr>
            <w:tcW w:w="0" w:type="auto"/>
            <w:shd w:val="clear" w:color="auto" w:fill="FFFFFF"/>
            <w:tcMar>
              <w:top w:w="40" w:type="dxa"/>
              <w:left w:w="0" w:type="dxa"/>
              <w:bottom w:w="40" w:type="dxa"/>
              <w:right w:w="20" w:type="dxa"/>
            </w:tcMar>
            <w:vAlign w:val="bottom"/>
          </w:tcPr>
          <w:p w14:paraId="7268F55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5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558" w14:textId="77777777" w:rsidR="005F762A" w:rsidRDefault="00D74111">
            <w:pPr>
              <w:jc w:val="right"/>
              <w:textAlignment w:val="bottom"/>
            </w:pPr>
            <w:r>
              <w:rPr>
                <w:rFonts w:ascii="Arial" w:eastAsia="宋体" w:hAnsi="Arial" w:cs="Arial"/>
                <w:color w:val="000000"/>
                <w:sz w:val="18"/>
                <w:szCs w:val="18"/>
              </w:rPr>
              <w:t>(113)</w:t>
            </w:r>
          </w:p>
        </w:tc>
        <w:tc>
          <w:tcPr>
            <w:tcW w:w="0" w:type="auto"/>
            <w:shd w:val="clear" w:color="auto" w:fill="FFFFFF"/>
            <w:tcMar>
              <w:top w:w="40" w:type="dxa"/>
              <w:left w:w="0" w:type="dxa"/>
              <w:bottom w:w="40" w:type="dxa"/>
              <w:right w:w="20" w:type="dxa"/>
            </w:tcMar>
            <w:vAlign w:val="bottom"/>
          </w:tcPr>
          <w:p w14:paraId="7268F55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5A"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55B" w14:textId="77777777" w:rsidR="005F762A" w:rsidRDefault="00D74111">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7268F55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5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55E" w14:textId="77777777" w:rsidR="005F762A" w:rsidRDefault="00D74111">
            <w:pPr>
              <w:jc w:val="right"/>
              <w:textAlignment w:val="bottom"/>
            </w:pPr>
            <w:r>
              <w:rPr>
                <w:rFonts w:ascii="Arial" w:eastAsia="宋体" w:hAnsi="Arial" w:cs="Arial"/>
                <w:color w:val="000000"/>
                <w:sz w:val="18"/>
                <w:szCs w:val="18"/>
              </w:rPr>
              <w:t>(99)</w:t>
            </w:r>
          </w:p>
        </w:tc>
        <w:tc>
          <w:tcPr>
            <w:tcW w:w="0" w:type="auto"/>
            <w:shd w:val="clear" w:color="auto" w:fill="FFFFFF"/>
            <w:tcMar>
              <w:top w:w="40" w:type="dxa"/>
              <w:left w:w="0" w:type="dxa"/>
              <w:bottom w:w="40" w:type="dxa"/>
              <w:right w:w="20" w:type="dxa"/>
            </w:tcMar>
            <w:vAlign w:val="bottom"/>
          </w:tcPr>
          <w:p w14:paraId="7268F55F" w14:textId="77777777" w:rsidR="005F762A" w:rsidRDefault="005F762A">
            <w:pPr>
              <w:jc w:val="right"/>
              <w:rPr>
                <w:rFonts w:ascii="宋体"/>
              </w:rPr>
            </w:pPr>
          </w:p>
        </w:tc>
      </w:tr>
      <w:tr w:rsidR="005F762A" w14:paraId="7268F570" w14:textId="77777777">
        <w:trPr>
          <w:jc w:val="center"/>
        </w:trPr>
        <w:tc>
          <w:tcPr>
            <w:tcW w:w="0" w:type="auto"/>
            <w:gridSpan w:val="3"/>
            <w:shd w:val="clear" w:color="auto" w:fill="E2E2E2"/>
            <w:tcMar>
              <w:top w:w="40" w:type="dxa"/>
              <w:left w:w="245" w:type="dxa"/>
              <w:bottom w:w="40" w:type="dxa"/>
              <w:right w:w="20" w:type="dxa"/>
            </w:tcMar>
            <w:vAlign w:val="bottom"/>
          </w:tcPr>
          <w:p w14:paraId="7268F561" w14:textId="77777777" w:rsidR="005F762A" w:rsidRDefault="00D74111">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7268F562"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56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6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565"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56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6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568"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56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6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56B"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56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6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56E" w14:textId="77777777" w:rsidR="005F762A" w:rsidRDefault="00D74111">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7268F56F" w14:textId="77777777" w:rsidR="005F762A" w:rsidRDefault="005F762A">
            <w:pPr>
              <w:jc w:val="right"/>
              <w:rPr>
                <w:rFonts w:ascii="宋体"/>
              </w:rPr>
            </w:pPr>
          </w:p>
        </w:tc>
      </w:tr>
      <w:tr w:rsidR="005F762A" w14:paraId="7268F580" w14:textId="77777777">
        <w:trPr>
          <w:jc w:val="center"/>
        </w:trPr>
        <w:tc>
          <w:tcPr>
            <w:tcW w:w="0" w:type="auto"/>
            <w:gridSpan w:val="3"/>
            <w:shd w:val="clear" w:color="auto" w:fill="FFFFFF"/>
            <w:tcMar>
              <w:top w:w="40" w:type="dxa"/>
              <w:left w:w="20" w:type="dxa"/>
              <w:bottom w:w="40" w:type="dxa"/>
              <w:right w:w="20" w:type="dxa"/>
            </w:tcMar>
            <w:vAlign w:val="bottom"/>
          </w:tcPr>
          <w:p w14:paraId="7268F571" w14:textId="77777777" w:rsidR="005F762A" w:rsidRDefault="00D74111">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572" w14:textId="77777777" w:rsidR="005F762A" w:rsidRDefault="00D74111">
            <w:pPr>
              <w:jc w:val="right"/>
              <w:textAlignment w:val="bottom"/>
            </w:pPr>
            <w:r>
              <w:rPr>
                <w:rFonts w:ascii="Arial" w:eastAsia="宋体" w:hAnsi="Arial" w:cs="Arial"/>
                <w:color w:val="000000"/>
                <w:sz w:val="18"/>
                <w:szCs w:val="18"/>
              </w:rPr>
              <w:t>47 </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57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74"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575" w14:textId="77777777" w:rsidR="005F762A" w:rsidRDefault="00D74111">
            <w:pPr>
              <w:jc w:val="right"/>
              <w:textAlignment w:val="bottom"/>
            </w:pPr>
            <w:r>
              <w:rPr>
                <w:rFonts w:ascii="Arial" w:eastAsia="宋体" w:hAnsi="Arial" w:cs="Arial"/>
                <w:color w:val="000000"/>
                <w:sz w:val="18"/>
                <w:szCs w:val="18"/>
              </w:rPr>
              <w:t>(31)</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57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77"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578" w14:textId="77777777" w:rsidR="005F762A" w:rsidRDefault="00D74111">
            <w:pPr>
              <w:jc w:val="right"/>
              <w:textAlignment w:val="bottom"/>
            </w:pPr>
            <w:r>
              <w:rPr>
                <w:rFonts w:ascii="Arial" w:eastAsia="宋体" w:hAnsi="Arial" w:cs="Arial"/>
                <w:color w:val="000000"/>
                <w:sz w:val="18"/>
                <w:szCs w:val="18"/>
              </w:rPr>
              <w:t>(113)</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57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7A"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57B" w14:textId="77777777" w:rsidR="005F762A" w:rsidRDefault="00D74111">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57C"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7D" w14:textId="77777777" w:rsidR="005F762A" w:rsidRDefault="005F762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268F57E" w14:textId="77777777" w:rsidR="005F762A" w:rsidRDefault="00D74111">
            <w:pPr>
              <w:jc w:val="right"/>
              <w:textAlignment w:val="bottom"/>
            </w:pPr>
            <w:r>
              <w:rPr>
                <w:rFonts w:ascii="Arial" w:eastAsia="宋体" w:hAnsi="Arial" w:cs="Arial"/>
                <w:color w:val="000000"/>
                <w:sz w:val="18"/>
                <w:szCs w:val="18"/>
              </w:rPr>
              <w:t>(99)</w:t>
            </w:r>
          </w:p>
        </w:tc>
        <w:tc>
          <w:tcPr>
            <w:tcW w:w="0" w:type="auto"/>
            <w:tcBorders>
              <w:top w:val="single" w:sz="8" w:space="0" w:color="000000"/>
            </w:tcBorders>
            <w:shd w:val="clear" w:color="auto" w:fill="FFFFFF"/>
            <w:tcMar>
              <w:top w:w="40" w:type="dxa"/>
              <w:left w:w="0" w:type="dxa"/>
              <w:bottom w:w="40" w:type="dxa"/>
              <w:right w:w="20" w:type="dxa"/>
            </w:tcMar>
            <w:vAlign w:val="bottom"/>
          </w:tcPr>
          <w:p w14:paraId="7268F57F" w14:textId="77777777" w:rsidR="005F762A" w:rsidRDefault="005F762A">
            <w:pPr>
              <w:jc w:val="right"/>
              <w:rPr>
                <w:rFonts w:ascii="宋体"/>
              </w:rPr>
            </w:pPr>
          </w:p>
        </w:tc>
      </w:tr>
      <w:tr w:rsidR="005F762A" w14:paraId="7268F595" w14:textId="77777777">
        <w:trPr>
          <w:jc w:val="center"/>
        </w:trPr>
        <w:tc>
          <w:tcPr>
            <w:tcW w:w="0" w:type="auto"/>
            <w:gridSpan w:val="3"/>
            <w:shd w:val="clear" w:color="auto" w:fill="E2E2E2"/>
            <w:tcMar>
              <w:top w:w="40" w:type="dxa"/>
              <w:left w:w="20" w:type="dxa"/>
              <w:bottom w:w="40" w:type="dxa"/>
              <w:right w:w="20" w:type="dxa"/>
            </w:tcMar>
            <w:vAlign w:val="bottom"/>
          </w:tcPr>
          <w:p w14:paraId="7268F581" w14:textId="77777777" w:rsidR="005F762A" w:rsidRDefault="00D74111">
            <w:pPr>
              <w:textAlignment w:val="bottom"/>
            </w:pPr>
            <w:r>
              <w:rPr>
                <w:rFonts w:ascii="Arial" w:eastAsia="宋体" w:hAnsi="Arial" w:cs="Arial"/>
                <w:color w:val="000000"/>
                <w:sz w:val="18"/>
                <w:szCs w:val="18"/>
              </w:rPr>
              <w:t>Balance as of March 31,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8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83" w14:textId="77777777" w:rsidR="005F762A" w:rsidRDefault="00D74111">
            <w:pPr>
              <w:jc w:val="right"/>
              <w:textAlignment w:val="bottom"/>
            </w:pPr>
            <w:r>
              <w:rPr>
                <w:rFonts w:ascii="Arial" w:eastAsia="宋体" w:hAnsi="Arial" w:cs="Arial"/>
                <w:color w:val="000000"/>
                <w:sz w:val="18"/>
                <w:szCs w:val="18"/>
              </w:rPr>
              <w:t>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8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85"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86"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87" w14:textId="77777777" w:rsidR="005F762A" w:rsidRDefault="00D74111">
            <w:pPr>
              <w:jc w:val="right"/>
              <w:textAlignment w:val="bottom"/>
            </w:pPr>
            <w:r>
              <w:rPr>
                <w:rFonts w:ascii="Arial" w:eastAsia="宋体" w:hAnsi="Arial" w:cs="Arial"/>
                <w:color w:val="000000"/>
                <w:sz w:val="18"/>
                <w:szCs w:val="18"/>
              </w:rPr>
              <w:t>(26)</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8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89"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8A"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8B" w14:textId="77777777" w:rsidR="005F762A" w:rsidRDefault="00D74111">
            <w:pPr>
              <w:jc w:val="right"/>
              <w:textAlignment w:val="bottom"/>
            </w:pPr>
            <w:r>
              <w:rPr>
                <w:rFonts w:ascii="Arial" w:eastAsia="宋体" w:hAnsi="Arial" w:cs="Arial"/>
                <w:color w:val="000000"/>
                <w:sz w:val="18"/>
                <w:szCs w:val="18"/>
              </w:rPr>
              <w:t>250 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8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8D"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8E"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8F" w14:textId="77777777" w:rsidR="005F762A" w:rsidRDefault="00D74111">
            <w:pPr>
              <w:jc w:val="right"/>
              <w:textAlignment w:val="bottom"/>
            </w:pPr>
            <w:r>
              <w:rPr>
                <w:rFonts w:ascii="Arial" w:eastAsia="宋体" w:hAnsi="Arial" w:cs="Arial"/>
                <w:color w:val="000000"/>
                <w:sz w:val="18"/>
                <w:szCs w:val="18"/>
              </w:rPr>
              <w:t>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9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591"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592"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593" w14:textId="77777777" w:rsidR="005F762A" w:rsidRDefault="00D74111">
            <w:pPr>
              <w:jc w:val="right"/>
              <w:textAlignment w:val="bottom"/>
            </w:pPr>
            <w:r>
              <w:rPr>
                <w:rFonts w:ascii="Arial" w:eastAsia="宋体" w:hAnsi="Arial" w:cs="Arial"/>
                <w:color w:val="000000"/>
                <w:sz w:val="18"/>
                <w:szCs w:val="18"/>
              </w:rPr>
              <w:t>285 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594" w14:textId="77777777" w:rsidR="005F762A" w:rsidRDefault="005F762A">
            <w:pPr>
              <w:jc w:val="right"/>
              <w:rPr>
                <w:rFonts w:ascii="宋体"/>
              </w:rPr>
            </w:pPr>
          </w:p>
        </w:tc>
      </w:tr>
    </w:tbl>
    <w:p w14:paraId="7268F596" w14:textId="77777777" w:rsidR="005F762A" w:rsidRDefault="005F762A">
      <w:pPr>
        <w:jc w:val="center"/>
      </w:pPr>
    </w:p>
    <w:p w14:paraId="7268F597" w14:textId="77777777" w:rsidR="005F762A" w:rsidRDefault="005F762A">
      <w:pPr>
        <w:jc w:val="center"/>
      </w:pPr>
    </w:p>
    <w:p w14:paraId="7268F598" w14:textId="77777777" w:rsidR="005F762A" w:rsidRDefault="00D74111">
      <w:pPr>
        <w:jc w:val="center"/>
      </w:pPr>
      <w:r>
        <w:rPr>
          <w:rFonts w:ascii="Arial" w:eastAsia="宋体" w:hAnsi="Arial" w:cs="Arial"/>
          <w:color w:val="000000"/>
          <w:sz w:val="20"/>
          <w:szCs w:val="20"/>
        </w:rPr>
        <w:t>28</w:t>
      </w:r>
    </w:p>
    <w:p w14:paraId="7268F599" w14:textId="77777777" w:rsidR="005F762A" w:rsidRDefault="00D74111">
      <w:r>
        <w:pict w14:anchorId="7269015B">
          <v:rect id="_x0000_i1052" style="width:415.3pt;height:1.5pt" o:hralign="center" o:hrstd="t" o:hr="t" fillcolor="#a0a0a0" stroked="f"/>
        </w:pict>
      </w:r>
    </w:p>
    <w:p w14:paraId="7268F59A" w14:textId="77777777" w:rsidR="005F762A" w:rsidRDefault="005F762A">
      <w:pPr>
        <w:jc w:val="center"/>
      </w:pPr>
    </w:p>
    <w:p w14:paraId="7268F59B" w14:textId="77777777" w:rsidR="005F762A" w:rsidRDefault="00D74111">
      <w:pPr>
        <w:jc w:val="center"/>
      </w:pPr>
      <w:r>
        <w:rPr>
          <w:rFonts w:ascii="Arial" w:eastAsia="宋体" w:hAnsi="Arial" w:cs="Arial"/>
          <w:b/>
          <w:bCs/>
          <w:color w:val="000000"/>
          <w:sz w:val="20"/>
          <w:szCs w:val="20"/>
        </w:rPr>
        <w:t>eBay Inc.</w:t>
      </w:r>
    </w:p>
    <w:p w14:paraId="7268F59C" w14:textId="77777777" w:rsidR="005F762A" w:rsidRDefault="00D74111">
      <w:pPr>
        <w:spacing w:after="240"/>
        <w:jc w:val="center"/>
      </w:pPr>
      <w:r>
        <w:rPr>
          <w:rFonts w:ascii="Arial" w:eastAsia="宋体" w:hAnsi="Arial" w:cs="Arial"/>
          <w:b/>
          <w:bCs/>
          <w:color w:val="000000"/>
          <w:sz w:val="20"/>
          <w:szCs w:val="20"/>
        </w:rPr>
        <w:t xml:space="preserve">NOTES TO CONDENSED CONSOLIDATED </w:t>
      </w:r>
      <w:r>
        <w:rPr>
          <w:rFonts w:ascii="Arial" w:eastAsia="宋体" w:hAnsi="Arial" w:cs="Arial"/>
          <w:b/>
          <w:bCs/>
          <w:color w:val="000000"/>
          <w:sz w:val="20"/>
          <w:szCs w:val="20"/>
        </w:rPr>
        <w:t>FINANCIAL STATEMENTS—(Continued)</w:t>
      </w:r>
    </w:p>
    <w:p w14:paraId="7268F59D" w14:textId="77777777" w:rsidR="005F762A" w:rsidRDefault="005F762A"/>
    <w:p w14:paraId="7268F59E" w14:textId="77777777" w:rsidR="005F762A" w:rsidRDefault="00D74111">
      <w:pPr>
        <w:ind w:firstLine="540"/>
        <w:jc w:val="both"/>
      </w:pPr>
      <w:r>
        <w:rPr>
          <w:rFonts w:ascii="Arial" w:eastAsia="宋体" w:hAnsi="Arial" w:cs="Arial"/>
          <w:color w:val="000000"/>
          <w:sz w:val="20"/>
          <w:szCs w:val="20"/>
        </w:rPr>
        <w:t xml:space="preserve">The following table provides a summary of reclassifications out of AOCI (in millions): </w:t>
      </w:r>
    </w:p>
    <w:p w14:paraId="7268F59F" w14:textId="77777777" w:rsidR="005F762A" w:rsidRDefault="005F762A">
      <w:pPr>
        <w:ind w:firstLine="54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027"/>
        <w:gridCol w:w="37"/>
        <w:gridCol w:w="36"/>
        <w:gridCol w:w="36"/>
        <w:gridCol w:w="36"/>
        <w:gridCol w:w="37"/>
        <w:gridCol w:w="3863"/>
        <w:gridCol w:w="36"/>
        <w:gridCol w:w="36"/>
        <w:gridCol w:w="36"/>
        <w:gridCol w:w="36"/>
        <w:gridCol w:w="36"/>
        <w:gridCol w:w="36"/>
        <w:gridCol w:w="36"/>
        <w:gridCol w:w="36"/>
        <w:gridCol w:w="110"/>
        <w:gridCol w:w="763"/>
        <w:gridCol w:w="37"/>
        <w:gridCol w:w="37"/>
        <w:gridCol w:w="36"/>
        <w:gridCol w:w="36"/>
        <w:gridCol w:w="109"/>
        <w:gridCol w:w="767"/>
        <w:gridCol w:w="36"/>
      </w:tblGrid>
      <w:tr w:rsidR="005F762A" w14:paraId="7268F5B9" w14:textId="77777777">
        <w:trPr>
          <w:jc w:val="center"/>
        </w:trPr>
        <w:tc>
          <w:tcPr>
            <w:tcW w:w="50" w:type="pct"/>
            <w:shd w:val="clear" w:color="auto" w:fill="auto"/>
          </w:tcPr>
          <w:p w14:paraId="7268F5A0" w14:textId="77777777" w:rsidR="005F762A" w:rsidRDefault="005F762A">
            <w:pPr>
              <w:rPr>
                <w:rFonts w:ascii="宋体"/>
              </w:rPr>
            </w:pPr>
          </w:p>
        </w:tc>
        <w:tc>
          <w:tcPr>
            <w:tcW w:w="1260" w:type="pct"/>
            <w:shd w:val="clear" w:color="auto" w:fill="auto"/>
          </w:tcPr>
          <w:p w14:paraId="7268F5A1" w14:textId="77777777" w:rsidR="005F762A" w:rsidRDefault="005F762A">
            <w:pPr>
              <w:rPr>
                <w:rFonts w:ascii="宋体"/>
              </w:rPr>
            </w:pPr>
          </w:p>
        </w:tc>
        <w:tc>
          <w:tcPr>
            <w:tcW w:w="5" w:type="pct"/>
            <w:shd w:val="clear" w:color="auto" w:fill="auto"/>
          </w:tcPr>
          <w:p w14:paraId="7268F5A2" w14:textId="77777777" w:rsidR="005F762A" w:rsidRDefault="005F762A">
            <w:pPr>
              <w:rPr>
                <w:rFonts w:ascii="宋体"/>
              </w:rPr>
            </w:pPr>
          </w:p>
        </w:tc>
        <w:tc>
          <w:tcPr>
            <w:tcW w:w="5" w:type="pct"/>
            <w:shd w:val="clear" w:color="auto" w:fill="auto"/>
          </w:tcPr>
          <w:p w14:paraId="7268F5A3" w14:textId="77777777" w:rsidR="005F762A" w:rsidRDefault="005F762A">
            <w:pPr>
              <w:rPr>
                <w:rFonts w:ascii="宋体"/>
              </w:rPr>
            </w:pPr>
          </w:p>
        </w:tc>
        <w:tc>
          <w:tcPr>
            <w:tcW w:w="26" w:type="pct"/>
            <w:shd w:val="clear" w:color="auto" w:fill="auto"/>
          </w:tcPr>
          <w:p w14:paraId="7268F5A4" w14:textId="77777777" w:rsidR="005F762A" w:rsidRDefault="005F762A">
            <w:pPr>
              <w:rPr>
                <w:rFonts w:ascii="宋体"/>
              </w:rPr>
            </w:pPr>
          </w:p>
        </w:tc>
        <w:tc>
          <w:tcPr>
            <w:tcW w:w="5" w:type="pct"/>
            <w:shd w:val="clear" w:color="auto" w:fill="auto"/>
          </w:tcPr>
          <w:p w14:paraId="7268F5A5" w14:textId="77777777" w:rsidR="005F762A" w:rsidRDefault="005F762A">
            <w:pPr>
              <w:rPr>
                <w:rFonts w:ascii="宋体"/>
              </w:rPr>
            </w:pPr>
          </w:p>
        </w:tc>
        <w:tc>
          <w:tcPr>
            <w:tcW w:w="50" w:type="pct"/>
            <w:shd w:val="clear" w:color="auto" w:fill="auto"/>
          </w:tcPr>
          <w:p w14:paraId="7268F5A6" w14:textId="77777777" w:rsidR="005F762A" w:rsidRDefault="005F762A">
            <w:pPr>
              <w:rPr>
                <w:rFonts w:ascii="宋体"/>
              </w:rPr>
            </w:pPr>
          </w:p>
        </w:tc>
        <w:tc>
          <w:tcPr>
            <w:tcW w:w="2393" w:type="pct"/>
            <w:shd w:val="clear" w:color="auto" w:fill="auto"/>
          </w:tcPr>
          <w:p w14:paraId="7268F5A7" w14:textId="77777777" w:rsidR="005F762A" w:rsidRDefault="005F762A">
            <w:pPr>
              <w:rPr>
                <w:rFonts w:ascii="宋体"/>
              </w:rPr>
            </w:pPr>
          </w:p>
        </w:tc>
        <w:tc>
          <w:tcPr>
            <w:tcW w:w="5" w:type="pct"/>
            <w:shd w:val="clear" w:color="auto" w:fill="auto"/>
          </w:tcPr>
          <w:p w14:paraId="7268F5A8" w14:textId="77777777" w:rsidR="005F762A" w:rsidRDefault="005F762A">
            <w:pPr>
              <w:rPr>
                <w:rFonts w:ascii="宋体"/>
              </w:rPr>
            </w:pPr>
          </w:p>
        </w:tc>
        <w:tc>
          <w:tcPr>
            <w:tcW w:w="5" w:type="pct"/>
            <w:shd w:val="clear" w:color="auto" w:fill="auto"/>
          </w:tcPr>
          <w:p w14:paraId="7268F5A9" w14:textId="77777777" w:rsidR="005F762A" w:rsidRDefault="005F762A">
            <w:pPr>
              <w:rPr>
                <w:rFonts w:ascii="宋体"/>
              </w:rPr>
            </w:pPr>
          </w:p>
        </w:tc>
        <w:tc>
          <w:tcPr>
            <w:tcW w:w="26" w:type="pct"/>
            <w:shd w:val="clear" w:color="auto" w:fill="auto"/>
          </w:tcPr>
          <w:p w14:paraId="7268F5AA" w14:textId="77777777" w:rsidR="005F762A" w:rsidRDefault="005F762A">
            <w:pPr>
              <w:rPr>
                <w:rFonts w:ascii="宋体"/>
              </w:rPr>
            </w:pPr>
          </w:p>
        </w:tc>
        <w:tc>
          <w:tcPr>
            <w:tcW w:w="5" w:type="pct"/>
            <w:shd w:val="clear" w:color="auto" w:fill="auto"/>
          </w:tcPr>
          <w:p w14:paraId="7268F5AB" w14:textId="77777777" w:rsidR="005F762A" w:rsidRDefault="005F762A">
            <w:pPr>
              <w:rPr>
                <w:rFonts w:ascii="宋体"/>
              </w:rPr>
            </w:pPr>
          </w:p>
        </w:tc>
        <w:tc>
          <w:tcPr>
            <w:tcW w:w="0" w:type="auto"/>
            <w:shd w:val="clear" w:color="auto" w:fill="auto"/>
          </w:tcPr>
          <w:p w14:paraId="7268F5AC" w14:textId="77777777" w:rsidR="005F762A" w:rsidRDefault="005F762A">
            <w:pPr>
              <w:rPr>
                <w:rFonts w:ascii="宋体"/>
                <w:vanish/>
              </w:rPr>
            </w:pPr>
          </w:p>
        </w:tc>
        <w:tc>
          <w:tcPr>
            <w:tcW w:w="0" w:type="auto"/>
            <w:shd w:val="clear" w:color="auto" w:fill="auto"/>
          </w:tcPr>
          <w:p w14:paraId="7268F5AD" w14:textId="77777777" w:rsidR="005F762A" w:rsidRDefault="005F762A">
            <w:pPr>
              <w:rPr>
                <w:rFonts w:ascii="宋体"/>
                <w:vanish/>
              </w:rPr>
            </w:pPr>
          </w:p>
        </w:tc>
        <w:tc>
          <w:tcPr>
            <w:tcW w:w="0" w:type="auto"/>
            <w:shd w:val="clear" w:color="auto" w:fill="auto"/>
          </w:tcPr>
          <w:p w14:paraId="7268F5AE" w14:textId="77777777" w:rsidR="005F762A" w:rsidRDefault="005F762A">
            <w:pPr>
              <w:rPr>
                <w:rFonts w:ascii="宋体"/>
                <w:vanish/>
              </w:rPr>
            </w:pPr>
          </w:p>
        </w:tc>
        <w:tc>
          <w:tcPr>
            <w:tcW w:w="0" w:type="auto"/>
            <w:shd w:val="clear" w:color="auto" w:fill="auto"/>
          </w:tcPr>
          <w:p w14:paraId="7268F5AF" w14:textId="77777777" w:rsidR="005F762A" w:rsidRDefault="005F762A">
            <w:pPr>
              <w:rPr>
                <w:rFonts w:ascii="宋体"/>
                <w:vanish/>
              </w:rPr>
            </w:pPr>
          </w:p>
        </w:tc>
        <w:tc>
          <w:tcPr>
            <w:tcW w:w="50" w:type="pct"/>
            <w:shd w:val="clear" w:color="auto" w:fill="auto"/>
          </w:tcPr>
          <w:p w14:paraId="7268F5B0" w14:textId="77777777" w:rsidR="005F762A" w:rsidRDefault="005F762A">
            <w:pPr>
              <w:rPr>
                <w:rFonts w:ascii="宋体"/>
              </w:rPr>
            </w:pPr>
          </w:p>
        </w:tc>
        <w:tc>
          <w:tcPr>
            <w:tcW w:w="507" w:type="pct"/>
            <w:shd w:val="clear" w:color="auto" w:fill="auto"/>
          </w:tcPr>
          <w:p w14:paraId="7268F5B1" w14:textId="77777777" w:rsidR="005F762A" w:rsidRDefault="005F762A">
            <w:pPr>
              <w:rPr>
                <w:rFonts w:ascii="宋体"/>
              </w:rPr>
            </w:pPr>
          </w:p>
        </w:tc>
        <w:tc>
          <w:tcPr>
            <w:tcW w:w="5" w:type="pct"/>
            <w:shd w:val="clear" w:color="auto" w:fill="auto"/>
          </w:tcPr>
          <w:p w14:paraId="7268F5B2" w14:textId="77777777" w:rsidR="005F762A" w:rsidRDefault="005F762A">
            <w:pPr>
              <w:rPr>
                <w:rFonts w:ascii="宋体"/>
              </w:rPr>
            </w:pPr>
          </w:p>
        </w:tc>
        <w:tc>
          <w:tcPr>
            <w:tcW w:w="5" w:type="pct"/>
            <w:shd w:val="clear" w:color="auto" w:fill="auto"/>
          </w:tcPr>
          <w:p w14:paraId="7268F5B3" w14:textId="77777777" w:rsidR="005F762A" w:rsidRDefault="005F762A">
            <w:pPr>
              <w:rPr>
                <w:rFonts w:ascii="宋体"/>
              </w:rPr>
            </w:pPr>
          </w:p>
        </w:tc>
        <w:tc>
          <w:tcPr>
            <w:tcW w:w="26" w:type="pct"/>
            <w:shd w:val="clear" w:color="auto" w:fill="auto"/>
          </w:tcPr>
          <w:p w14:paraId="7268F5B4" w14:textId="77777777" w:rsidR="005F762A" w:rsidRDefault="005F762A">
            <w:pPr>
              <w:rPr>
                <w:rFonts w:ascii="宋体"/>
              </w:rPr>
            </w:pPr>
          </w:p>
        </w:tc>
        <w:tc>
          <w:tcPr>
            <w:tcW w:w="5" w:type="pct"/>
            <w:shd w:val="clear" w:color="auto" w:fill="auto"/>
          </w:tcPr>
          <w:p w14:paraId="7268F5B5" w14:textId="77777777" w:rsidR="005F762A" w:rsidRDefault="005F762A">
            <w:pPr>
              <w:rPr>
                <w:rFonts w:ascii="宋体"/>
              </w:rPr>
            </w:pPr>
          </w:p>
        </w:tc>
        <w:tc>
          <w:tcPr>
            <w:tcW w:w="50" w:type="pct"/>
            <w:shd w:val="clear" w:color="auto" w:fill="auto"/>
          </w:tcPr>
          <w:p w14:paraId="7268F5B6" w14:textId="77777777" w:rsidR="005F762A" w:rsidRDefault="005F762A">
            <w:pPr>
              <w:rPr>
                <w:rFonts w:ascii="宋体"/>
              </w:rPr>
            </w:pPr>
          </w:p>
        </w:tc>
        <w:tc>
          <w:tcPr>
            <w:tcW w:w="508" w:type="pct"/>
            <w:shd w:val="clear" w:color="auto" w:fill="auto"/>
          </w:tcPr>
          <w:p w14:paraId="7268F5B7" w14:textId="77777777" w:rsidR="005F762A" w:rsidRDefault="005F762A">
            <w:pPr>
              <w:rPr>
                <w:rFonts w:ascii="宋体"/>
              </w:rPr>
            </w:pPr>
          </w:p>
        </w:tc>
        <w:tc>
          <w:tcPr>
            <w:tcW w:w="5" w:type="pct"/>
            <w:shd w:val="clear" w:color="auto" w:fill="auto"/>
          </w:tcPr>
          <w:p w14:paraId="7268F5B8" w14:textId="77777777" w:rsidR="005F762A" w:rsidRDefault="005F762A">
            <w:pPr>
              <w:rPr>
                <w:rFonts w:ascii="宋体"/>
              </w:rPr>
            </w:pPr>
          </w:p>
        </w:tc>
      </w:tr>
      <w:tr w:rsidR="005F762A" w14:paraId="7268F5C3" w14:textId="77777777">
        <w:trPr>
          <w:jc w:val="center"/>
        </w:trPr>
        <w:tc>
          <w:tcPr>
            <w:tcW w:w="0" w:type="auto"/>
            <w:gridSpan w:val="3"/>
            <w:shd w:val="clear" w:color="auto" w:fill="auto"/>
            <w:tcMar>
              <w:top w:w="40" w:type="dxa"/>
              <w:left w:w="20" w:type="dxa"/>
              <w:bottom w:w="40" w:type="dxa"/>
              <w:right w:w="20" w:type="dxa"/>
            </w:tcMar>
            <w:vAlign w:val="bottom"/>
          </w:tcPr>
          <w:p w14:paraId="7268F5BA" w14:textId="77777777" w:rsidR="005F762A" w:rsidRDefault="00D74111">
            <w:pPr>
              <w:jc w:val="center"/>
              <w:textAlignment w:val="bottom"/>
            </w:pPr>
            <w:r>
              <w:rPr>
                <w:rFonts w:ascii="Arial" w:eastAsia="宋体" w:hAnsi="Arial" w:cs="Arial"/>
                <w:b/>
                <w:bCs/>
                <w:color w:val="000000"/>
                <w:sz w:val="16"/>
                <w:szCs w:val="16"/>
              </w:rPr>
              <w:t>Details about AOCI Components</w:t>
            </w:r>
          </w:p>
        </w:tc>
        <w:tc>
          <w:tcPr>
            <w:tcW w:w="0" w:type="auto"/>
            <w:gridSpan w:val="3"/>
            <w:shd w:val="clear" w:color="auto" w:fill="auto"/>
            <w:tcMar>
              <w:top w:w="40" w:type="dxa"/>
              <w:left w:w="20" w:type="dxa"/>
              <w:bottom w:w="40" w:type="dxa"/>
              <w:right w:w="20" w:type="dxa"/>
            </w:tcMar>
            <w:vAlign w:val="bottom"/>
          </w:tcPr>
          <w:p w14:paraId="7268F5BB" w14:textId="77777777" w:rsidR="005F762A" w:rsidRDefault="00D74111">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F5BC" w14:textId="77777777" w:rsidR="005F762A" w:rsidRDefault="00D74111">
            <w:pPr>
              <w:jc w:val="center"/>
              <w:textAlignment w:val="bottom"/>
            </w:pPr>
            <w:r>
              <w:rPr>
                <w:rFonts w:ascii="Arial" w:eastAsia="宋体" w:hAnsi="Arial" w:cs="Arial"/>
                <w:b/>
                <w:bCs/>
                <w:color w:val="000000"/>
                <w:sz w:val="16"/>
                <w:szCs w:val="16"/>
              </w:rPr>
              <w:t>Affected Line Item in the Statement of Income</w:t>
            </w:r>
          </w:p>
        </w:tc>
        <w:tc>
          <w:tcPr>
            <w:tcW w:w="0" w:type="auto"/>
            <w:gridSpan w:val="3"/>
            <w:shd w:val="clear" w:color="auto" w:fill="auto"/>
            <w:tcMar>
              <w:top w:w="0" w:type="dxa"/>
              <w:left w:w="20" w:type="dxa"/>
              <w:bottom w:w="0" w:type="dxa"/>
              <w:right w:w="20" w:type="dxa"/>
            </w:tcMar>
          </w:tcPr>
          <w:p w14:paraId="7268F5BD" w14:textId="77777777" w:rsidR="005F762A" w:rsidRDefault="005F762A">
            <w:pPr>
              <w:rPr>
                <w:rFonts w:ascii="宋体"/>
              </w:rPr>
            </w:pPr>
          </w:p>
        </w:tc>
        <w:tc>
          <w:tcPr>
            <w:tcW w:w="0" w:type="auto"/>
            <w:shd w:val="clear" w:color="auto" w:fill="auto"/>
          </w:tcPr>
          <w:p w14:paraId="7268F5BE" w14:textId="77777777" w:rsidR="005F762A" w:rsidRDefault="005F762A">
            <w:pPr>
              <w:rPr>
                <w:rFonts w:ascii="宋体"/>
                <w:vanish/>
              </w:rPr>
            </w:pPr>
          </w:p>
        </w:tc>
        <w:tc>
          <w:tcPr>
            <w:tcW w:w="0" w:type="auto"/>
            <w:shd w:val="clear" w:color="auto" w:fill="auto"/>
          </w:tcPr>
          <w:p w14:paraId="7268F5BF" w14:textId="77777777" w:rsidR="005F762A" w:rsidRDefault="005F762A">
            <w:pPr>
              <w:rPr>
                <w:rFonts w:ascii="宋体"/>
                <w:vanish/>
              </w:rPr>
            </w:pPr>
          </w:p>
        </w:tc>
        <w:tc>
          <w:tcPr>
            <w:tcW w:w="0" w:type="auto"/>
            <w:shd w:val="clear" w:color="auto" w:fill="auto"/>
          </w:tcPr>
          <w:p w14:paraId="7268F5C0" w14:textId="77777777" w:rsidR="005F762A" w:rsidRDefault="005F762A">
            <w:pPr>
              <w:rPr>
                <w:rFonts w:ascii="宋体"/>
                <w:vanish/>
              </w:rPr>
            </w:pPr>
          </w:p>
        </w:tc>
        <w:tc>
          <w:tcPr>
            <w:tcW w:w="0" w:type="auto"/>
            <w:shd w:val="clear" w:color="auto" w:fill="auto"/>
          </w:tcPr>
          <w:p w14:paraId="7268F5C1" w14:textId="77777777" w:rsidR="005F762A" w:rsidRDefault="005F762A">
            <w:pPr>
              <w:rPr>
                <w:rFonts w:ascii="宋体"/>
                <w:vanish/>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268F5C2" w14:textId="77777777" w:rsidR="005F762A" w:rsidRDefault="00D74111">
            <w:pPr>
              <w:jc w:val="center"/>
              <w:textAlignment w:val="bottom"/>
            </w:pPr>
            <w:r>
              <w:rPr>
                <w:rFonts w:ascii="Arial" w:eastAsia="宋体" w:hAnsi="Arial" w:cs="Arial"/>
                <w:b/>
                <w:bCs/>
                <w:color w:val="000000"/>
                <w:sz w:val="16"/>
                <w:szCs w:val="16"/>
              </w:rPr>
              <w:t>Amount of Gain (Loss) Reclassified From AOCI</w:t>
            </w:r>
          </w:p>
        </w:tc>
      </w:tr>
      <w:tr w:rsidR="005F762A" w14:paraId="7268F5D1"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7268F5C4"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5C5"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5C6"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5C7" w14:textId="77777777" w:rsidR="005F762A" w:rsidRDefault="005F762A">
            <w:pPr>
              <w:rPr>
                <w:rFonts w:ascii="宋体"/>
              </w:rPr>
            </w:pPr>
          </w:p>
        </w:tc>
        <w:tc>
          <w:tcPr>
            <w:tcW w:w="0" w:type="auto"/>
            <w:shd w:val="clear" w:color="auto" w:fill="auto"/>
          </w:tcPr>
          <w:p w14:paraId="7268F5C8" w14:textId="77777777" w:rsidR="005F762A" w:rsidRDefault="005F762A">
            <w:pPr>
              <w:rPr>
                <w:rFonts w:ascii="宋体"/>
                <w:vanish/>
              </w:rPr>
            </w:pPr>
          </w:p>
        </w:tc>
        <w:tc>
          <w:tcPr>
            <w:tcW w:w="0" w:type="auto"/>
            <w:shd w:val="clear" w:color="auto" w:fill="auto"/>
          </w:tcPr>
          <w:p w14:paraId="7268F5C9" w14:textId="77777777" w:rsidR="005F762A" w:rsidRDefault="005F762A">
            <w:pPr>
              <w:rPr>
                <w:rFonts w:ascii="宋体"/>
                <w:vanish/>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7268F5CA" w14:textId="77777777" w:rsidR="005F762A" w:rsidRDefault="00D74111">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March 31,</w:t>
            </w:r>
          </w:p>
        </w:tc>
        <w:tc>
          <w:tcPr>
            <w:tcW w:w="0" w:type="auto"/>
            <w:shd w:val="clear" w:color="auto" w:fill="auto"/>
          </w:tcPr>
          <w:p w14:paraId="7268F5CB" w14:textId="77777777" w:rsidR="005F762A" w:rsidRDefault="005F762A">
            <w:pPr>
              <w:rPr>
                <w:rFonts w:ascii="宋体"/>
              </w:rPr>
            </w:pPr>
          </w:p>
        </w:tc>
        <w:tc>
          <w:tcPr>
            <w:tcW w:w="0" w:type="auto"/>
            <w:shd w:val="clear" w:color="auto" w:fill="auto"/>
          </w:tcPr>
          <w:p w14:paraId="7268F5CC" w14:textId="77777777" w:rsidR="005F762A" w:rsidRDefault="005F762A">
            <w:pPr>
              <w:rPr>
                <w:rFonts w:ascii="宋体"/>
              </w:rPr>
            </w:pPr>
          </w:p>
        </w:tc>
        <w:tc>
          <w:tcPr>
            <w:tcW w:w="0" w:type="auto"/>
            <w:shd w:val="clear" w:color="auto" w:fill="auto"/>
          </w:tcPr>
          <w:p w14:paraId="7268F5CD" w14:textId="77777777" w:rsidR="005F762A" w:rsidRDefault="005F762A">
            <w:pPr>
              <w:rPr>
                <w:rFonts w:ascii="宋体"/>
              </w:rPr>
            </w:pPr>
          </w:p>
        </w:tc>
        <w:tc>
          <w:tcPr>
            <w:tcW w:w="0" w:type="auto"/>
            <w:shd w:val="clear" w:color="auto" w:fill="auto"/>
          </w:tcPr>
          <w:p w14:paraId="7268F5CE" w14:textId="77777777" w:rsidR="005F762A" w:rsidRDefault="005F762A">
            <w:pPr>
              <w:rPr>
                <w:rFonts w:ascii="宋体"/>
              </w:rPr>
            </w:pPr>
          </w:p>
        </w:tc>
        <w:tc>
          <w:tcPr>
            <w:tcW w:w="0" w:type="auto"/>
            <w:shd w:val="clear" w:color="auto" w:fill="auto"/>
          </w:tcPr>
          <w:p w14:paraId="7268F5CF" w14:textId="77777777" w:rsidR="005F762A" w:rsidRDefault="005F762A">
            <w:pPr>
              <w:rPr>
                <w:rFonts w:ascii="宋体"/>
              </w:rPr>
            </w:pPr>
          </w:p>
        </w:tc>
        <w:tc>
          <w:tcPr>
            <w:tcW w:w="0" w:type="auto"/>
            <w:shd w:val="clear" w:color="auto" w:fill="auto"/>
          </w:tcPr>
          <w:p w14:paraId="7268F5D0" w14:textId="77777777" w:rsidR="005F762A" w:rsidRDefault="005F762A">
            <w:pPr>
              <w:rPr>
                <w:rFonts w:ascii="宋体"/>
              </w:rPr>
            </w:pPr>
          </w:p>
        </w:tc>
      </w:tr>
      <w:tr w:rsidR="005F762A" w14:paraId="7268F5DD" w14:textId="77777777">
        <w:trPr>
          <w:jc w:val="center"/>
        </w:trPr>
        <w:tc>
          <w:tcPr>
            <w:tcW w:w="0" w:type="auto"/>
            <w:gridSpan w:val="3"/>
            <w:shd w:val="clear" w:color="auto" w:fill="auto"/>
            <w:tcMar>
              <w:top w:w="0" w:type="dxa"/>
              <w:left w:w="20" w:type="dxa"/>
              <w:bottom w:w="0" w:type="dxa"/>
              <w:right w:w="20" w:type="dxa"/>
            </w:tcMar>
          </w:tcPr>
          <w:p w14:paraId="7268F5D2"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5D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5D4"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5D5" w14:textId="77777777" w:rsidR="005F762A" w:rsidRDefault="005F762A">
            <w:pPr>
              <w:rPr>
                <w:rFonts w:ascii="宋体"/>
              </w:rPr>
            </w:pPr>
          </w:p>
        </w:tc>
        <w:tc>
          <w:tcPr>
            <w:tcW w:w="0" w:type="auto"/>
            <w:shd w:val="clear" w:color="auto" w:fill="auto"/>
          </w:tcPr>
          <w:p w14:paraId="7268F5D6" w14:textId="77777777" w:rsidR="005F762A" w:rsidRDefault="005F762A">
            <w:pPr>
              <w:rPr>
                <w:rFonts w:ascii="宋体"/>
                <w:vanish/>
              </w:rPr>
            </w:pPr>
          </w:p>
        </w:tc>
        <w:tc>
          <w:tcPr>
            <w:tcW w:w="0" w:type="auto"/>
            <w:shd w:val="clear" w:color="auto" w:fill="auto"/>
          </w:tcPr>
          <w:p w14:paraId="7268F5D7" w14:textId="77777777" w:rsidR="005F762A" w:rsidRDefault="005F762A">
            <w:pPr>
              <w:rPr>
                <w:rFonts w:ascii="宋体"/>
                <w:vanish/>
              </w:rPr>
            </w:pPr>
          </w:p>
        </w:tc>
        <w:tc>
          <w:tcPr>
            <w:tcW w:w="0" w:type="auto"/>
            <w:shd w:val="clear" w:color="auto" w:fill="auto"/>
          </w:tcPr>
          <w:p w14:paraId="7268F5D8" w14:textId="77777777" w:rsidR="005F762A" w:rsidRDefault="005F762A">
            <w:pPr>
              <w:rPr>
                <w:rFonts w:ascii="宋体"/>
                <w:vanish/>
              </w:rPr>
            </w:pPr>
          </w:p>
        </w:tc>
        <w:tc>
          <w:tcPr>
            <w:tcW w:w="0" w:type="auto"/>
            <w:shd w:val="clear" w:color="auto" w:fill="auto"/>
          </w:tcPr>
          <w:p w14:paraId="7268F5D9" w14:textId="77777777" w:rsidR="005F762A" w:rsidRDefault="005F762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5DA"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5DB"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5DC"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F5E9" w14:textId="77777777">
        <w:trPr>
          <w:jc w:val="center"/>
        </w:trPr>
        <w:tc>
          <w:tcPr>
            <w:tcW w:w="0" w:type="auto"/>
            <w:gridSpan w:val="3"/>
            <w:shd w:val="clear" w:color="auto" w:fill="E1E1E1"/>
            <w:tcMar>
              <w:top w:w="40" w:type="dxa"/>
              <w:left w:w="20" w:type="dxa"/>
              <w:bottom w:w="40" w:type="dxa"/>
              <w:right w:w="20" w:type="dxa"/>
            </w:tcMar>
            <w:vAlign w:val="bottom"/>
          </w:tcPr>
          <w:p w14:paraId="7268F5DE" w14:textId="77777777" w:rsidR="005F762A" w:rsidRDefault="00D74111">
            <w:pPr>
              <w:textAlignment w:val="bottom"/>
            </w:pPr>
            <w:r>
              <w:rPr>
                <w:rFonts w:ascii="Arial" w:eastAsia="宋体" w:hAnsi="Arial" w:cs="Arial"/>
                <w:color w:val="000000"/>
                <w:sz w:val="16"/>
                <w:szCs w:val="16"/>
              </w:rPr>
              <w:t xml:space="preserve">Gains (losses) on cash flow hedges </w:t>
            </w:r>
          </w:p>
        </w:tc>
        <w:tc>
          <w:tcPr>
            <w:tcW w:w="0" w:type="auto"/>
            <w:gridSpan w:val="3"/>
            <w:shd w:val="clear" w:color="auto" w:fill="E1E1E1"/>
            <w:tcMar>
              <w:top w:w="0" w:type="dxa"/>
              <w:left w:w="20" w:type="dxa"/>
              <w:bottom w:w="0" w:type="dxa"/>
              <w:right w:w="20" w:type="dxa"/>
            </w:tcMar>
          </w:tcPr>
          <w:p w14:paraId="7268F5DF"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5E0"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5E1" w14:textId="77777777" w:rsidR="005F762A" w:rsidRDefault="005F762A">
            <w:pPr>
              <w:rPr>
                <w:rFonts w:ascii="宋体"/>
              </w:rPr>
            </w:pPr>
          </w:p>
        </w:tc>
        <w:tc>
          <w:tcPr>
            <w:tcW w:w="0" w:type="auto"/>
            <w:shd w:val="clear" w:color="auto" w:fill="auto"/>
          </w:tcPr>
          <w:p w14:paraId="7268F5E2" w14:textId="77777777" w:rsidR="005F762A" w:rsidRDefault="005F762A">
            <w:pPr>
              <w:rPr>
                <w:rFonts w:ascii="宋体"/>
                <w:vanish/>
              </w:rPr>
            </w:pPr>
          </w:p>
        </w:tc>
        <w:tc>
          <w:tcPr>
            <w:tcW w:w="0" w:type="auto"/>
            <w:shd w:val="clear" w:color="auto" w:fill="auto"/>
          </w:tcPr>
          <w:p w14:paraId="7268F5E3" w14:textId="77777777" w:rsidR="005F762A" w:rsidRDefault="005F762A">
            <w:pPr>
              <w:rPr>
                <w:rFonts w:ascii="宋体"/>
                <w:vanish/>
              </w:rPr>
            </w:pPr>
          </w:p>
        </w:tc>
        <w:tc>
          <w:tcPr>
            <w:tcW w:w="0" w:type="auto"/>
            <w:shd w:val="clear" w:color="auto" w:fill="auto"/>
          </w:tcPr>
          <w:p w14:paraId="7268F5E4" w14:textId="77777777" w:rsidR="005F762A" w:rsidRDefault="005F762A">
            <w:pPr>
              <w:rPr>
                <w:rFonts w:ascii="宋体"/>
                <w:vanish/>
              </w:rPr>
            </w:pPr>
          </w:p>
        </w:tc>
        <w:tc>
          <w:tcPr>
            <w:tcW w:w="0" w:type="auto"/>
            <w:shd w:val="clear" w:color="auto" w:fill="auto"/>
          </w:tcPr>
          <w:p w14:paraId="7268F5E5" w14:textId="77777777" w:rsidR="005F762A" w:rsidRDefault="005F762A">
            <w:pPr>
              <w:rPr>
                <w:rFonts w:ascii="宋体"/>
                <w:vanish/>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F5E6"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5E7" w14:textId="77777777" w:rsidR="005F762A" w:rsidRDefault="005F762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F5E8" w14:textId="77777777" w:rsidR="005F762A" w:rsidRDefault="005F762A">
            <w:pPr>
              <w:rPr>
                <w:rFonts w:ascii="宋体"/>
              </w:rPr>
            </w:pPr>
          </w:p>
        </w:tc>
      </w:tr>
      <w:tr w:rsidR="005F762A" w14:paraId="7268F5F9" w14:textId="77777777">
        <w:trPr>
          <w:jc w:val="center"/>
        </w:trPr>
        <w:tc>
          <w:tcPr>
            <w:tcW w:w="0" w:type="auto"/>
            <w:gridSpan w:val="3"/>
            <w:shd w:val="clear" w:color="auto" w:fill="FFFFFF"/>
            <w:tcMar>
              <w:top w:w="40" w:type="dxa"/>
              <w:left w:w="20" w:type="dxa"/>
              <w:bottom w:w="40" w:type="dxa"/>
              <w:right w:w="20" w:type="dxa"/>
            </w:tcMar>
            <w:vAlign w:val="bottom"/>
          </w:tcPr>
          <w:p w14:paraId="7268F5EA" w14:textId="77777777" w:rsidR="005F762A" w:rsidRDefault="00D74111">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0" w:type="dxa"/>
              <w:left w:w="20" w:type="dxa"/>
              <w:bottom w:w="0" w:type="dxa"/>
              <w:right w:w="20" w:type="dxa"/>
            </w:tcMar>
          </w:tcPr>
          <w:p w14:paraId="7268F5EB"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5EC" w14:textId="77777777" w:rsidR="005F762A" w:rsidRDefault="00D74111">
            <w:pPr>
              <w:textAlignment w:val="bottom"/>
            </w:pPr>
            <w:r>
              <w:rPr>
                <w:rFonts w:ascii="Arial" w:eastAsia="宋体" w:hAnsi="Arial" w:cs="Arial"/>
                <w:color w:val="000000"/>
                <w:sz w:val="16"/>
                <w:szCs w:val="16"/>
              </w:rPr>
              <w:t>Net Revenues</w:t>
            </w:r>
          </w:p>
        </w:tc>
        <w:tc>
          <w:tcPr>
            <w:tcW w:w="0" w:type="auto"/>
            <w:gridSpan w:val="3"/>
            <w:shd w:val="clear" w:color="auto" w:fill="FFFFFF"/>
            <w:tcMar>
              <w:top w:w="0" w:type="dxa"/>
              <w:left w:w="20" w:type="dxa"/>
              <w:bottom w:w="0" w:type="dxa"/>
              <w:right w:w="20" w:type="dxa"/>
            </w:tcMar>
          </w:tcPr>
          <w:p w14:paraId="7268F5ED" w14:textId="77777777" w:rsidR="005F762A" w:rsidRDefault="005F762A">
            <w:pPr>
              <w:rPr>
                <w:rFonts w:ascii="宋体"/>
              </w:rPr>
            </w:pPr>
          </w:p>
        </w:tc>
        <w:tc>
          <w:tcPr>
            <w:tcW w:w="0" w:type="auto"/>
            <w:shd w:val="clear" w:color="auto" w:fill="auto"/>
          </w:tcPr>
          <w:p w14:paraId="7268F5EE" w14:textId="77777777" w:rsidR="005F762A" w:rsidRDefault="005F762A">
            <w:pPr>
              <w:rPr>
                <w:rFonts w:ascii="宋体"/>
                <w:vanish/>
              </w:rPr>
            </w:pPr>
          </w:p>
        </w:tc>
        <w:tc>
          <w:tcPr>
            <w:tcW w:w="0" w:type="auto"/>
            <w:shd w:val="clear" w:color="auto" w:fill="auto"/>
          </w:tcPr>
          <w:p w14:paraId="7268F5EF" w14:textId="77777777" w:rsidR="005F762A" w:rsidRDefault="005F762A">
            <w:pPr>
              <w:rPr>
                <w:rFonts w:ascii="宋体"/>
                <w:vanish/>
              </w:rPr>
            </w:pPr>
          </w:p>
        </w:tc>
        <w:tc>
          <w:tcPr>
            <w:tcW w:w="0" w:type="auto"/>
            <w:shd w:val="clear" w:color="auto" w:fill="auto"/>
          </w:tcPr>
          <w:p w14:paraId="7268F5F0" w14:textId="77777777" w:rsidR="005F762A" w:rsidRDefault="005F762A">
            <w:pPr>
              <w:rPr>
                <w:rFonts w:ascii="宋体"/>
                <w:vanish/>
              </w:rPr>
            </w:pPr>
          </w:p>
        </w:tc>
        <w:tc>
          <w:tcPr>
            <w:tcW w:w="0" w:type="auto"/>
            <w:shd w:val="clear" w:color="auto" w:fill="auto"/>
          </w:tcPr>
          <w:p w14:paraId="7268F5F1" w14:textId="77777777" w:rsidR="005F762A" w:rsidRDefault="005F762A">
            <w:pPr>
              <w:rPr>
                <w:rFonts w:ascii="宋体"/>
                <w:vanish/>
              </w:rPr>
            </w:pPr>
          </w:p>
        </w:tc>
        <w:tc>
          <w:tcPr>
            <w:tcW w:w="0" w:type="auto"/>
            <w:shd w:val="clear" w:color="auto" w:fill="FFFFFF"/>
            <w:tcMar>
              <w:top w:w="40" w:type="dxa"/>
              <w:left w:w="20" w:type="dxa"/>
              <w:bottom w:w="40" w:type="dxa"/>
              <w:right w:w="0" w:type="dxa"/>
            </w:tcMar>
            <w:vAlign w:val="bottom"/>
          </w:tcPr>
          <w:p w14:paraId="7268F5F2"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5F3" w14:textId="77777777" w:rsidR="005F762A" w:rsidRDefault="00D74111">
            <w:pPr>
              <w:jc w:val="right"/>
              <w:textAlignment w:val="bottom"/>
            </w:pPr>
            <w:r>
              <w:rPr>
                <w:rFonts w:ascii="Arial" w:eastAsia="宋体" w:hAnsi="Arial" w:cs="Arial"/>
                <w:color w:val="000000"/>
                <w:sz w:val="16"/>
                <w:szCs w:val="16"/>
              </w:rPr>
              <w:t>(28)</w:t>
            </w:r>
          </w:p>
        </w:tc>
        <w:tc>
          <w:tcPr>
            <w:tcW w:w="0" w:type="auto"/>
            <w:shd w:val="clear" w:color="auto" w:fill="FFFFFF"/>
            <w:tcMar>
              <w:top w:w="40" w:type="dxa"/>
              <w:left w:w="0" w:type="dxa"/>
              <w:bottom w:w="40" w:type="dxa"/>
              <w:right w:w="20" w:type="dxa"/>
            </w:tcMar>
            <w:vAlign w:val="bottom"/>
          </w:tcPr>
          <w:p w14:paraId="7268F5F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5F5"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5F6"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5F7"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5F8" w14:textId="77777777" w:rsidR="005F762A" w:rsidRDefault="005F762A">
            <w:pPr>
              <w:jc w:val="right"/>
              <w:rPr>
                <w:rFonts w:ascii="宋体"/>
              </w:rPr>
            </w:pPr>
          </w:p>
        </w:tc>
      </w:tr>
      <w:tr w:rsidR="005F762A" w14:paraId="7268F607" w14:textId="77777777">
        <w:trPr>
          <w:jc w:val="center"/>
        </w:trPr>
        <w:tc>
          <w:tcPr>
            <w:tcW w:w="0" w:type="auto"/>
            <w:gridSpan w:val="3"/>
            <w:shd w:val="clear" w:color="auto" w:fill="E1E1E1"/>
            <w:tcMar>
              <w:top w:w="40" w:type="dxa"/>
              <w:left w:w="20" w:type="dxa"/>
              <w:bottom w:w="40" w:type="dxa"/>
              <w:right w:w="20" w:type="dxa"/>
            </w:tcMar>
            <w:vAlign w:val="bottom"/>
          </w:tcPr>
          <w:p w14:paraId="7268F5FA" w14:textId="77777777" w:rsidR="005F762A" w:rsidRDefault="00D74111">
            <w:pPr>
              <w:textAlignment w:val="bottom"/>
            </w:pPr>
            <w:r>
              <w:rPr>
                <w:rFonts w:ascii="Arial" w:eastAsia="宋体" w:hAnsi="Arial" w:cs="Arial"/>
                <w:color w:val="000000"/>
                <w:sz w:val="16"/>
                <w:szCs w:val="16"/>
              </w:rPr>
              <w:t>Foreign exchange contracts</w:t>
            </w:r>
          </w:p>
        </w:tc>
        <w:tc>
          <w:tcPr>
            <w:tcW w:w="0" w:type="auto"/>
            <w:gridSpan w:val="3"/>
            <w:shd w:val="clear" w:color="auto" w:fill="E1E1E1"/>
            <w:tcMar>
              <w:top w:w="0" w:type="dxa"/>
              <w:left w:w="20" w:type="dxa"/>
              <w:bottom w:w="0" w:type="dxa"/>
              <w:right w:w="20" w:type="dxa"/>
            </w:tcMar>
          </w:tcPr>
          <w:p w14:paraId="7268F5FB"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5FC" w14:textId="77777777" w:rsidR="005F762A" w:rsidRDefault="00D74111">
            <w:pPr>
              <w:textAlignment w:val="bottom"/>
            </w:pPr>
            <w:r>
              <w:rPr>
                <w:rFonts w:ascii="Arial" w:eastAsia="宋体" w:hAnsi="Arial" w:cs="Arial"/>
                <w:color w:val="000000"/>
                <w:sz w:val="16"/>
                <w:szCs w:val="16"/>
              </w:rPr>
              <w:t>Cost of net revenues</w:t>
            </w:r>
          </w:p>
        </w:tc>
        <w:tc>
          <w:tcPr>
            <w:tcW w:w="0" w:type="auto"/>
            <w:gridSpan w:val="3"/>
            <w:shd w:val="clear" w:color="auto" w:fill="E1E1E1"/>
            <w:tcMar>
              <w:top w:w="0" w:type="dxa"/>
              <w:left w:w="20" w:type="dxa"/>
              <w:bottom w:w="0" w:type="dxa"/>
              <w:right w:w="20" w:type="dxa"/>
            </w:tcMar>
          </w:tcPr>
          <w:p w14:paraId="7268F5FD" w14:textId="77777777" w:rsidR="005F762A" w:rsidRDefault="005F762A">
            <w:pPr>
              <w:rPr>
                <w:rFonts w:ascii="宋体"/>
              </w:rPr>
            </w:pPr>
          </w:p>
        </w:tc>
        <w:tc>
          <w:tcPr>
            <w:tcW w:w="0" w:type="auto"/>
            <w:shd w:val="clear" w:color="auto" w:fill="auto"/>
          </w:tcPr>
          <w:p w14:paraId="7268F5FE" w14:textId="77777777" w:rsidR="005F762A" w:rsidRDefault="005F762A">
            <w:pPr>
              <w:rPr>
                <w:rFonts w:ascii="宋体"/>
                <w:vanish/>
              </w:rPr>
            </w:pPr>
          </w:p>
        </w:tc>
        <w:tc>
          <w:tcPr>
            <w:tcW w:w="0" w:type="auto"/>
            <w:shd w:val="clear" w:color="auto" w:fill="auto"/>
          </w:tcPr>
          <w:p w14:paraId="7268F5FF" w14:textId="77777777" w:rsidR="005F762A" w:rsidRDefault="005F762A">
            <w:pPr>
              <w:rPr>
                <w:rFonts w:ascii="宋体"/>
                <w:vanish/>
              </w:rPr>
            </w:pPr>
          </w:p>
        </w:tc>
        <w:tc>
          <w:tcPr>
            <w:tcW w:w="0" w:type="auto"/>
            <w:shd w:val="clear" w:color="auto" w:fill="auto"/>
          </w:tcPr>
          <w:p w14:paraId="7268F600" w14:textId="77777777" w:rsidR="005F762A" w:rsidRDefault="005F762A">
            <w:pPr>
              <w:rPr>
                <w:rFonts w:ascii="宋体"/>
                <w:vanish/>
              </w:rPr>
            </w:pPr>
          </w:p>
        </w:tc>
        <w:tc>
          <w:tcPr>
            <w:tcW w:w="0" w:type="auto"/>
            <w:shd w:val="clear" w:color="auto" w:fill="auto"/>
          </w:tcPr>
          <w:p w14:paraId="7268F601" w14:textId="77777777" w:rsidR="005F762A" w:rsidRDefault="005F762A">
            <w:pPr>
              <w:rPr>
                <w:rFonts w:ascii="宋体"/>
                <w:vanish/>
              </w:rPr>
            </w:pPr>
          </w:p>
        </w:tc>
        <w:tc>
          <w:tcPr>
            <w:tcW w:w="0" w:type="auto"/>
            <w:gridSpan w:val="2"/>
            <w:shd w:val="clear" w:color="auto" w:fill="E1E1E1"/>
            <w:tcMar>
              <w:top w:w="40" w:type="dxa"/>
              <w:left w:w="20" w:type="dxa"/>
              <w:bottom w:w="40" w:type="dxa"/>
              <w:right w:w="0" w:type="dxa"/>
            </w:tcMar>
            <w:vAlign w:val="bottom"/>
          </w:tcPr>
          <w:p w14:paraId="7268F602" w14:textId="77777777" w:rsidR="005F762A" w:rsidRDefault="00D74111">
            <w:pPr>
              <w:jc w:val="right"/>
              <w:textAlignment w:val="bottom"/>
            </w:pPr>
            <w:r>
              <w:rPr>
                <w:rFonts w:ascii="Arial" w:eastAsia="宋体" w:hAnsi="Arial" w:cs="Arial"/>
                <w:color w:val="000000"/>
                <w:sz w:val="16"/>
                <w:szCs w:val="16"/>
              </w:rPr>
              <w:t>1 </w:t>
            </w:r>
          </w:p>
        </w:tc>
        <w:tc>
          <w:tcPr>
            <w:tcW w:w="0" w:type="auto"/>
            <w:shd w:val="clear" w:color="auto" w:fill="E1E1E1"/>
            <w:tcMar>
              <w:top w:w="40" w:type="dxa"/>
              <w:left w:w="0" w:type="dxa"/>
              <w:bottom w:w="40" w:type="dxa"/>
              <w:right w:w="20" w:type="dxa"/>
            </w:tcMar>
            <w:vAlign w:val="bottom"/>
          </w:tcPr>
          <w:p w14:paraId="7268F603"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604"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605"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7268F606" w14:textId="77777777" w:rsidR="005F762A" w:rsidRDefault="005F762A">
            <w:pPr>
              <w:jc w:val="right"/>
              <w:rPr>
                <w:rFonts w:ascii="宋体"/>
              </w:rPr>
            </w:pPr>
          </w:p>
        </w:tc>
      </w:tr>
      <w:tr w:rsidR="005F762A" w14:paraId="7268F613" w14:textId="77777777">
        <w:trPr>
          <w:jc w:val="center"/>
          <w:hidden/>
        </w:trPr>
        <w:tc>
          <w:tcPr>
            <w:tcW w:w="0" w:type="auto"/>
            <w:gridSpan w:val="3"/>
            <w:shd w:val="clear" w:color="auto" w:fill="auto"/>
          </w:tcPr>
          <w:p w14:paraId="7268F608" w14:textId="77777777" w:rsidR="005F762A" w:rsidRDefault="005F762A">
            <w:pPr>
              <w:rPr>
                <w:rFonts w:ascii="宋体"/>
                <w:vanish/>
              </w:rPr>
            </w:pPr>
          </w:p>
        </w:tc>
        <w:tc>
          <w:tcPr>
            <w:tcW w:w="0" w:type="auto"/>
            <w:gridSpan w:val="3"/>
            <w:shd w:val="clear" w:color="auto" w:fill="auto"/>
          </w:tcPr>
          <w:p w14:paraId="7268F609" w14:textId="77777777" w:rsidR="005F762A" w:rsidRDefault="005F762A">
            <w:pPr>
              <w:rPr>
                <w:rFonts w:ascii="宋体"/>
                <w:vanish/>
              </w:rPr>
            </w:pPr>
          </w:p>
        </w:tc>
        <w:tc>
          <w:tcPr>
            <w:tcW w:w="0" w:type="auto"/>
            <w:gridSpan w:val="3"/>
            <w:shd w:val="clear" w:color="auto" w:fill="auto"/>
          </w:tcPr>
          <w:p w14:paraId="7268F60A" w14:textId="77777777" w:rsidR="005F762A" w:rsidRDefault="005F762A">
            <w:pPr>
              <w:rPr>
                <w:rFonts w:ascii="宋体"/>
                <w:vanish/>
              </w:rPr>
            </w:pPr>
          </w:p>
        </w:tc>
        <w:tc>
          <w:tcPr>
            <w:tcW w:w="0" w:type="auto"/>
            <w:gridSpan w:val="3"/>
            <w:shd w:val="clear" w:color="auto" w:fill="auto"/>
          </w:tcPr>
          <w:p w14:paraId="7268F60B" w14:textId="77777777" w:rsidR="005F762A" w:rsidRDefault="005F762A">
            <w:pPr>
              <w:rPr>
                <w:rFonts w:ascii="宋体"/>
                <w:vanish/>
              </w:rPr>
            </w:pPr>
          </w:p>
        </w:tc>
        <w:tc>
          <w:tcPr>
            <w:tcW w:w="0" w:type="auto"/>
            <w:shd w:val="clear" w:color="auto" w:fill="auto"/>
          </w:tcPr>
          <w:p w14:paraId="7268F60C" w14:textId="77777777" w:rsidR="005F762A" w:rsidRDefault="005F762A">
            <w:pPr>
              <w:rPr>
                <w:rFonts w:ascii="宋体"/>
                <w:vanish/>
              </w:rPr>
            </w:pPr>
          </w:p>
        </w:tc>
        <w:tc>
          <w:tcPr>
            <w:tcW w:w="0" w:type="auto"/>
            <w:shd w:val="clear" w:color="auto" w:fill="auto"/>
          </w:tcPr>
          <w:p w14:paraId="7268F60D" w14:textId="77777777" w:rsidR="005F762A" w:rsidRDefault="005F762A">
            <w:pPr>
              <w:rPr>
                <w:rFonts w:ascii="宋体"/>
                <w:vanish/>
              </w:rPr>
            </w:pPr>
          </w:p>
        </w:tc>
        <w:tc>
          <w:tcPr>
            <w:tcW w:w="0" w:type="auto"/>
            <w:shd w:val="clear" w:color="auto" w:fill="auto"/>
          </w:tcPr>
          <w:p w14:paraId="7268F60E" w14:textId="77777777" w:rsidR="005F762A" w:rsidRDefault="005F762A">
            <w:pPr>
              <w:rPr>
                <w:rFonts w:ascii="宋体"/>
                <w:vanish/>
              </w:rPr>
            </w:pPr>
          </w:p>
        </w:tc>
        <w:tc>
          <w:tcPr>
            <w:tcW w:w="0" w:type="auto"/>
            <w:shd w:val="clear" w:color="auto" w:fill="auto"/>
          </w:tcPr>
          <w:p w14:paraId="7268F60F" w14:textId="77777777" w:rsidR="005F762A" w:rsidRDefault="005F762A">
            <w:pPr>
              <w:rPr>
                <w:rFonts w:ascii="宋体"/>
                <w:vanish/>
              </w:rPr>
            </w:pPr>
          </w:p>
        </w:tc>
        <w:tc>
          <w:tcPr>
            <w:tcW w:w="0" w:type="auto"/>
            <w:gridSpan w:val="3"/>
            <w:shd w:val="clear" w:color="auto" w:fill="auto"/>
          </w:tcPr>
          <w:p w14:paraId="7268F610" w14:textId="77777777" w:rsidR="005F762A" w:rsidRDefault="005F762A">
            <w:pPr>
              <w:rPr>
                <w:rFonts w:ascii="宋体"/>
                <w:vanish/>
              </w:rPr>
            </w:pPr>
          </w:p>
        </w:tc>
        <w:tc>
          <w:tcPr>
            <w:tcW w:w="0" w:type="auto"/>
            <w:gridSpan w:val="3"/>
            <w:shd w:val="clear" w:color="auto" w:fill="auto"/>
          </w:tcPr>
          <w:p w14:paraId="7268F611" w14:textId="77777777" w:rsidR="005F762A" w:rsidRDefault="005F762A">
            <w:pPr>
              <w:rPr>
                <w:rFonts w:ascii="宋体"/>
                <w:vanish/>
              </w:rPr>
            </w:pPr>
          </w:p>
        </w:tc>
        <w:tc>
          <w:tcPr>
            <w:tcW w:w="0" w:type="auto"/>
            <w:gridSpan w:val="3"/>
            <w:shd w:val="clear" w:color="auto" w:fill="auto"/>
          </w:tcPr>
          <w:p w14:paraId="7268F612" w14:textId="77777777" w:rsidR="005F762A" w:rsidRDefault="005F762A">
            <w:pPr>
              <w:rPr>
                <w:rFonts w:ascii="宋体"/>
                <w:vanish/>
              </w:rPr>
            </w:pPr>
          </w:p>
        </w:tc>
      </w:tr>
      <w:tr w:rsidR="005F762A" w14:paraId="7268F61F" w14:textId="77777777">
        <w:trPr>
          <w:jc w:val="center"/>
          <w:hidden/>
        </w:trPr>
        <w:tc>
          <w:tcPr>
            <w:tcW w:w="0" w:type="auto"/>
            <w:gridSpan w:val="3"/>
            <w:shd w:val="clear" w:color="auto" w:fill="auto"/>
          </w:tcPr>
          <w:p w14:paraId="7268F614" w14:textId="77777777" w:rsidR="005F762A" w:rsidRDefault="005F762A">
            <w:pPr>
              <w:rPr>
                <w:rFonts w:ascii="宋体"/>
                <w:vanish/>
              </w:rPr>
            </w:pPr>
          </w:p>
        </w:tc>
        <w:tc>
          <w:tcPr>
            <w:tcW w:w="0" w:type="auto"/>
            <w:gridSpan w:val="3"/>
            <w:shd w:val="clear" w:color="auto" w:fill="auto"/>
          </w:tcPr>
          <w:p w14:paraId="7268F615" w14:textId="77777777" w:rsidR="005F762A" w:rsidRDefault="005F762A">
            <w:pPr>
              <w:rPr>
                <w:rFonts w:ascii="宋体"/>
                <w:vanish/>
              </w:rPr>
            </w:pPr>
          </w:p>
        </w:tc>
        <w:tc>
          <w:tcPr>
            <w:tcW w:w="0" w:type="auto"/>
            <w:gridSpan w:val="3"/>
            <w:shd w:val="clear" w:color="auto" w:fill="auto"/>
          </w:tcPr>
          <w:p w14:paraId="7268F616" w14:textId="77777777" w:rsidR="005F762A" w:rsidRDefault="005F762A">
            <w:pPr>
              <w:rPr>
                <w:rFonts w:ascii="宋体"/>
                <w:vanish/>
              </w:rPr>
            </w:pPr>
          </w:p>
        </w:tc>
        <w:tc>
          <w:tcPr>
            <w:tcW w:w="0" w:type="auto"/>
            <w:gridSpan w:val="3"/>
            <w:shd w:val="clear" w:color="auto" w:fill="auto"/>
          </w:tcPr>
          <w:p w14:paraId="7268F617" w14:textId="77777777" w:rsidR="005F762A" w:rsidRDefault="005F762A">
            <w:pPr>
              <w:rPr>
                <w:rFonts w:ascii="宋体"/>
                <w:vanish/>
              </w:rPr>
            </w:pPr>
          </w:p>
        </w:tc>
        <w:tc>
          <w:tcPr>
            <w:tcW w:w="0" w:type="auto"/>
            <w:shd w:val="clear" w:color="auto" w:fill="auto"/>
          </w:tcPr>
          <w:p w14:paraId="7268F618" w14:textId="77777777" w:rsidR="005F762A" w:rsidRDefault="005F762A">
            <w:pPr>
              <w:rPr>
                <w:rFonts w:ascii="宋体"/>
                <w:vanish/>
              </w:rPr>
            </w:pPr>
          </w:p>
        </w:tc>
        <w:tc>
          <w:tcPr>
            <w:tcW w:w="0" w:type="auto"/>
            <w:shd w:val="clear" w:color="auto" w:fill="auto"/>
          </w:tcPr>
          <w:p w14:paraId="7268F619" w14:textId="77777777" w:rsidR="005F762A" w:rsidRDefault="005F762A">
            <w:pPr>
              <w:rPr>
                <w:rFonts w:ascii="宋体"/>
                <w:vanish/>
              </w:rPr>
            </w:pPr>
          </w:p>
        </w:tc>
        <w:tc>
          <w:tcPr>
            <w:tcW w:w="0" w:type="auto"/>
            <w:shd w:val="clear" w:color="auto" w:fill="auto"/>
          </w:tcPr>
          <w:p w14:paraId="7268F61A" w14:textId="77777777" w:rsidR="005F762A" w:rsidRDefault="005F762A">
            <w:pPr>
              <w:rPr>
                <w:rFonts w:ascii="宋体"/>
                <w:vanish/>
              </w:rPr>
            </w:pPr>
          </w:p>
        </w:tc>
        <w:tc>
          <w:tcPr>
            <w:tcW w:w="0" w:type="auto"/>
            <w:shd w:val="clear" w:color="auto" w:fill="auto"/>
          </w:tcPr>
          <w:p w14:paraId="7268F61B" w14:textId="77777777" w:rsidR="005F762A" w:rsidRDefault="005F762A">
            <w:pPr>
              <w:rPr>
                <w:rFonts w:ascii="宋体"/>
                <w:vanish/>
              </w:rPr>
            </w:pPr>
          </w:p>
        </w:tc>
        <w:tc>
          <w:tcPr>
            <w:tcW w:w="0" w:type="auto"/>
            <w:gridSpan w:val="3"/>
            <w:shd w:val="clear" w:color="auto" w:fill="auto"/>
          </w:tcPr>
          <w:p w14:paraId="7268F61C" w14:textId="77777777" w:rsidR="005F762A" w:rsidRDefault="005F762A">
            <w:pPr>
              <w:rPr>
                <w:rFonts w:ascii="宋体"/>
                <w:vanish/>
              </w:rPr>
            </w:pPr>
          </w:p>
        </w:tc>
        <w:tc>
          <w:tcPr>
            <w:tcW w:w="0" w:type="auto"/>
            <w:gridSpan w:val="3"/>
            <w:shd w:val="clear" w:color="auto" w:fill="auto"/>
          </w:tcPr>
          <w:p w14:paraId="7268F61D" w14:textId="77777777" w:rsidR="005F762A" w:rsidRDefault="005F762A">
            <w:pPr>
              <w:rPr>
                <w:rFonts w:ascii="宋体"/>
                <w:vanish/>
              </w:rPr>
            </w:pPr>
          </w:p>
        </w:tc>
        <w:tc>
          <w:tcPr>
            <w:tcW w:w="0" w:type="auto"/>
            <w:gridSpan w:val="3"/>
            <w:shd w:val="clear" w:color="auto" w:fill="auto"/>
          </w:tcPr>
          <w:p w14:paraId="7268F61E" w14:textId="77777777" w:rsidR="005F762A" w:rsidRDefault="005F762A">
            <w:pPr>
              <w:rPr>
                <w:rFonts w:ascii="宋体"/>
                <w:vanish/>
              </w:rPr>
            </w:pPr>
          </w:p>
        </w:tc>
      </w:tr>
      <w:tr w:rsidR="005F762A" w14:paraId="7268F62B" w14:textId="77777777">
        <w:trPr>
          <w:jc w:val="center"/>
          <w:hidden/>
        </w:trPr>
        <w:tc>
          <w:tcPr>
            <w:tcW w:w="0" w:type="auto"/>
            <w:gridSpan w:val="3"/>
            <w:shd w:val="clear" w:color="auto" w:fill="auto"/>
          </w:tcPr>
          <w:p w14:paraId="7268F620" w14:textId="77777777" w:rsidR="005F762A" w:rsidRDefault="005F762A">
            <w:pPr>
              <w:rPr>
                <w:rFonts w:ascii="宋体"/>
                <w:vanish/>
              </w:rPr>
            </w:pPr>
          </w:p>
        </w:tc>
        <w:tc>
          <w:tcPr>
            <w:tcW w:w="0" w:type="auto"/>
            <w:gridSpan w:val="3"/>
            <w:shd w:val="clear" w:color="auto" w:fill="auto"/>
          </w:tcPr>
          <w:p w14:paraId="7268F621" w14:textId="77777777" w:rsidR="005F762A" w:rsidRDefault="005F762A">
            <w:pPr>
              <w:rPr>
                <w:rFonts w:ascii="宋体"/>
                <w:vanish/>
              </w:rPr>
            </w:pPr>
          </w:p>
        </w:tc>
        <w:tc>
          <w:tcPr>
            <w:tcW w:w="0" w:type="auto"/>
            <w:gridSpan w:val="3"/>
            <w:shd w:val="clear" w:color="auto" w:fill="auto"/>
          </w:tcPr>
          <w:p w14:paraId="7268F622" w14:textId="77777777" w:rsidR="005F762A" w:rsidRDefault="005F762A">
            <w:pPr>
              <w:rPr>
                <w:rFonts w:ascii="宋体"/>
                <w:vanish/>
              </w:rPr>
            </w:pPr>
          </w:p>
        </w:tc>
        <w:tc>
          <w:tcPr>
            <w:tcW w:w="0" w:type="auto"/>
            <w:gridSpan w:val="3"/>
            <w:shd w:val="clear" w:color="auto" w:fill="auto"/>
          </w:tcPr>
          <w:p w14:paraId="7268F623" w14:textId="77777777" w:rsidR="005F762A" w:rsidRDefault="005F762A">
            <w:pPr>
              <w:rPr>
                <w:rFonts w:ascii="宋体"/>
                <w:vanish/>
              </w:rPr>
            </w:pPr>
          </w:p>
        </w:tc>
        <w:tc>
          <w:tcPr>
            <w:tcW w:w="0" w:type="auto"/>
            <w:shd w:val="clear" w:color="auto" w:fill="auto"/>
          </w:tcPr>
          <w:p w14:paraId="7268F624" w14:textId="77777777" w:rsidR="005F762A" w:rsidRDefault="005F762A">
            <w:pPr>
              <w:rPr>
                <w:rFonts w:ascii="宋体"/>
                <w:vanish/>
              </w:rPr>
            </w:pPr>
          </w:p>
        </w:tc>
        <w:tc>
          <w:tcPr>
            <w:tcW w:w="0" w:type="auto"/>
            <w:shd w:val="clear" w:color="auto" w:fill="auto"/>
          </w:tcPr>
          <w:p w14:paraId="7268F625" w14:textId="77777777" w:rsidR="005F762A" w:rsidRDefault="005F762A">
            <w:pPr>
              <w:rPr>
                <w:rFonts w:ascii="宋体"/>
                <w:vanish/>
              </w:rPr>
            </w:pPr>
          </w:p>
        </w:tc>
        <w:tc>
          <w:tcPr>
            <w:tcW w:w="0" w:type="auto"/>
            <w:shd w:val="clear" w:color="auto" w:fill="auto"/>
          </w:tcPr>
          <w:p w14:paraId="7268F626" w14:textId="77777777" w:rsidR="005F762A" w:rsidRDefault="005F762A">
            <w:pPr>
              <w:rPr>
                <w:rFonts w:ascii="宋体"/>
                <w:vanish/>
              </w:rPr>
            </w:pPr>
          </w:p>
        </w:tc>
        <w:tc>
          <w:tcPr>
            <w:tcW w:w="0" w:type="auto"/>
            <w:shd w:val="clear" w:color="auto" w:fill="auto"/>
          </w:tcPr>
          <w:p w14:paraId="7268F627" w14:textId="77777777" w:rsidR="005F762A" w:rsidRDefault="005F762A">
            <w:pPr>
              <w:rPr>
                <w:rFonts w:ascii="宋体"/>
                <w:vanish/>
              </w:rPr>
            </w:pPr>
          </w:p>
        </w:tc>
        <w:tc>
          <w:tcPr>
            <w:tcW w:w="0" w:type="auto"/>
            <w:gridSpan w:val="3"/>
            <w:shd w:val="clear" w:color="auto" w:fill="auto"/>
          </w:tcPr>
          <w:p w14:paraId="7268F628" w14:textId="77777777" w:rsidR="005F762A" w:rsidRDefault="005F762A">
            <w:pPr>
              <w:rPr>
                <w:rFonts w:ascii="宋体"/>
                <w:vanish/>
              </w:rPr>
            </w:pPr>
          </w:p>
        </w:tc>
        <w:tc>
          <w:tcPr>
            <w:tcW w:w="0" w:type="auto"/>
            <w:gridSpan w:val="3"/>
            <w:shd w:val="clear" w:color="auto" w:fill="auto"/>
          </w:tcPr>
          <w:p w14:paraId="7268F629" w14:textId="77777777" w:rsidR="005F762A" w:rsidRDefault="005F762A">
            <w:pPr>
              <w:rPr>
                <w:rFonts w:ascii="宋体"/>
                <w:vanish/>
              </w:rPr>
            </w:pPr>
          </w:p>
        </w:tc>
        <w:tc>
          <w:tcPr>
            <w:tcW w:w="0" w:type="auto"/>
            <w:gridSpan w:val="3"/>
            <w:shd w:val="clear" w:color="auto" w:fill="auto"/>
          </w:tcPr>
          <w:p w14:paraId="7268F62A" w14:textId="77777777" w:rsidR="005F762A" w:rsidRDefault="005F762A">
            <w:pPr>
              <w:rPr>
                <w:rFonts w:ascii="宋体"/>
                <w:vanish/>
              </w:rPr>
            </w:pPr>
          </w:p>
        </w:tc>
      </w:tr>
      <w:tr w:rsidR="005F762A" w14:paraId="7268F639" w14:textId="77777777">
        <w:trPr>
          <w:jc w:val="center"/>
        </w:trPr>
        <w:tc>
          <w:tcPr>
            <w:tcW w:w="0" w:type="auto"/>
            <w:gridSpan w:val="3"/>
            <w:shd w:val="clear" w:color="auto" w:fill="FFFFFF"/>
            <w:tcMar>
              <w:top w:w="40" w:type="dxa"/>
              <w:left w:w="20" w:type="dxa"/>
              <w:bottom w:w="40" w:type="dxa"/>
              <w:right w:w="20" w:type="dxa"/>
            </w:tcMar>
            <w:vAlign w:val="bottom"/>
          </w:tcPr>
          <w:p w14:paraId="7268F62C" w14:textId="77777777" w:rsidR="005F762A" w:rsidRDefault="00D74111">
            <w:pPr>
              <w:textAlignment w:val="bottom"/>
            </w:pPr>
            <w:r>
              <w:rPr>
                <w:rFonts w:ascii="Arial" w:eastAsia="宋体" w:hAnsi="Arial" w:cs="Arial"/>
                <w:color w:val="000000"/>
                <w:sz w:val="16"/>
                <w:szCs w:val="16"/>
              </w:rPr>
              <w:t>Interest rate contracts</w:t>
            </w:r>
          </w:p>
        </w:tc>
        <w:tc>
          <w:tcPr>
            <w:tcW w:w="0" w:type="auto"/>
            <w:gridSpan w:val="3"/>
            <w:shd w:val="clear" w:color="auto" w:fill="FFFFFF"/>
            <w:tcMar>
              <w:top w:w="0" w:type="dxa"/>
              <w:left w:w="20" w:type="dxa"/>
              <w:bottom w:w="0" w:type="dxa"/>
              <w:right w:w="20" w:type="dxa"/>
            </w:tcMar>
          </w:tcPr>
          <w:p w14:paraId="7268F62D"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62E" w14:textId="77777777" w:rsidR="005F762A" w:rsidRDefault="00D74111">
            <w:pPr>
              <w:textAlignment w:val="bottom"/>
            </w:pPr>
            <w:r>
              <w:rPr>
                <w:rFonts w:ascii="Arial" w:eastAsia="宋体" w:hAnsi="Arial" w:cs="Arial"/>
                <w:color w:val="000000"/>
                <w:sz w:val="16"/>
                <w:szCs w:val="16"/>
              </w:rPr>
              <w:t>Interest and other, net</w:t>
            </w:r>
          </w:p>
        </w:tc>
        <w:tc>
          <w:tcPr>
            <w:tcW w:w="0" w:type="auto"/>
            <w:gridSpan w:val="3"/>
            <w:shd w:val="clear" w:color="auto" w:fill="FFFFFF"/>
            <w:tcMar>
              <w:top w:w="0" w:type="dxa"/>
              <w:left w:w="20" w:type="dxa"/>
              <w:bottom w:w="0" w:type="dxa"/>
              <w:right w:w="20" w:type="dxa"/>
            </w:tcMar>
          </w:tcPr>
          <w:p w14:paraId="7268F62F" w14:textId="77777777" w:rsidR="005F762A" w:rsidRDefault="005F762A">
            <w:pPr>
              <w:rPr>
                <w:rFonts w:ascii="宋体"/>
              </w:rPr>
            </w:pPr>
          </w:p>
        </w:tc>
        <w:tc>
          <w:tcPr>
            <w:tcW w:w="0" w:type="auto"/>
            <w:shd w:val="clear" w:color="auto" w:fill="auto"/>
          </w:tcPr>
          <w:p w14:paraId="7268F630" w14:textId="77777777" w:rsidR="005F762A" w:rsidRDefault="005F762A">
            <w:pPr>
              <w:rPr>
                <w:rFonts w:ascii="宋体"/>
                <w:vanish/>
              </w:rPr>
            </w:pPr>
          </w:p>
        </w:tc>
        <w:tc>
          <w:tcPr>
            <w:tcW w:w="0" w:type="auto"/>
            <w:shd w:val="clear" w:color="auto" w:fill="auto"/>
          </w:tcPr>
          <w:p w14:paraId="7268F631" w14:textId="77777777" w:rsidR="005F762A" w:rsidRDefault="005F762A">
            <w:pPr>
              <w:rPr>
                <w:rFonts w:ascii="宋体"/>
                <w:vanish/>
              </w:rPr>
            </w:pPr>
          </w:p>
        </w:tc>
        <w:tc>
          <w:tcPr>
            <w:tcW w:w="0" w:type="auto"/>
            <w:shd w:val="clear" w:color="auto" w:fill="auto"/>
          </w:tcPr>
          <w:p w14:paraId="7268F632" w14:textId="77777777" w:rsidR="005F762A" w:rsidRDefault="005F762A">
            <w:pPr>
              <w:rPr>
                <w:rFonts w:ascii="宋体"/>
                <w:vanish/>
              </w:rPr>
            </w:pPr>
          </w:p>
        </w:tc>
        <w:tc>
          <w:tcPr>
            <w:tcW w:w="0" w:type="auto"/>
            <w:shd w:val="clear" w:color="auto" w:fill="auto"/>
          </w:tcPr>
          <w:p w14:paraId="7268F633" w14:textId="77777777" w:rsidR="005F762A" w:rsidRDefault="005F762A">
            <w:pPr>
              <w:rPr>
                <w:rFonts w:ascii="宋体"/>
                <w:vanish/>
              </w:rPr>
            </w:pPr>
          </w:p>
        </w:tc>
        <w:tc>
          <w:tcPr>
            <w:tcW w:w="0" w:type="auto"/>
            <w:gridSpan w:val="2"/>
            <w:shd w:val="clear" w:color="auto" w:fill="FFFFFF"/>
            <w:tcMar>
              <w:top w:w="40" w:type="dxa"/>
              <w:left w:w="20" w:type="dxa"/>
              <w:bottom w:w="40" w:type="dxa"/>
              <w:right w:w="0" w:type="dxa"/>
            </w:tcMar>
            <w:vAlign w:val="bottom"/>
          </w:tcPr>
          <w:p w14:paraId="7268F634" w14:textId="77777777" w:rsidR="005F762A" w:rsidRDefault="00D74111">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7268F63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63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637"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638" w14:textId="77777777" w:rsidR="005F762A" w:rsidRDefault="005F762A">
            <w:pPr>
              <w:jc w:val="right"/>
              <w:rPr>
                <w:rFonts w:ascii="宋体"/>
              </w:rPr>
            </w:pPr>
          </w:p>
        </w:tc>
      </w:tr>
      <w:tr w:rsidR="005F762A" w14:paraId="7268F647" w14:textId="77777777">
        <w:trPr>
          <w:jc w:val="center"/>
        </w:trPr>
        <w:tc>
          <w:tcPr>
            <w:tcW w:w="0" w:type="auto"/>
            <w:gridSpan w:val="3"/>
            <w:shd w:val="clear" w:color="auto" w:fill="E1E1E1"/>
            <w:tcMar>
              <w:top w:w="0" w:type="dxa"/>
              <w:left w:w="20" w:type="dxa"/>
              <w:bottom w:w="0" w:type="dxa"/>
              <w:right w:w="20" w:type="dxa"/>
            </w:tcMar>
          </w:tcPr>
          <w:p w14:paraId="7268F63A"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63B"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63C" w14:textId="77777777" w:rsidR="005F762A" w:rsidRDefault="00D74111">
            <w:pPr>
              <w:textAlignment w:val="bottom"/>
            </w:pPr>
            <w:r>
              <w:rPr>
                <w:rFonts w:ascii="Arial" w:eastAsia="宋体" w:hAnsi="Arial" w:cs="Arial"/>
                <w:color w:val="000000"/>
                <w:sz w:val="16"/>
                <w:szCs w:val="16"/>
              </w:rPr>
              <w:t>Total, from continuing operations before income taxes</w:t>
            </w:r>
          </w:p>
        </w:tc>
        <w:tc>
          <w:tcPr>
            <w:tcW w:w="0" w:type="auto"/>
            <w:gridSpan w:val="3"/>
            <w:shd w:val="clear" w:color="auto" w:fill="E1E1E1"/>
            <w:tcMar>
              <w:top w:w="0" w:type="dxa"/>
              <w:left w:w="20" w:type="dxa"/>
              <w:bottom w:w="0" w:type="dxa"/>
              <w:right w:w="20" w:type="dxa"/>
            </w:tcMar>
          </w:tcPr>
          <w:p w14:paraId="7268F63D" w14:textId="77777777" w:rsidR="005F762A" w:rsidRDefault="005F762A">
            <w:pPr>
              <w:rPr>
                <w:rFonts w:ascii="宋体"/>
              </w:rPr>
            </w:pPr>
          </w:p>
        </w:tc>
        <w:tc>
          <w:tcPr>
            <w:tcW w:w="0" w:type="auto"/>
            <w:shd w:val="clear" w:color="auto" w:fill="auto"/>
          </w:tcPr>
          <w:p w14:paraId="7268F63E" w14:textId="77777777" w:rsidR="005F762A" w:rsidRDefault="005F762A">
            <w:pPr>
              <w:rPr>
                <w:rFonts w:ascii="宋体"/>
                <w:vanish/>
              </w:rPr>
            </w:pPr>
          </w:p>
        </w:tc>
        <w:tc>
          <w:tcPr>
            <w:tcW w:w="0" w:type="auto"/>
            <w:shd w:val="clear" w:color="auto" w:fill="auto"/>
          </w:tcPr>
          <w:p w14:paraId="7268F63F" w14:textId="77777777" w:rsidR="005F762A" w:rsidRDefault="005F762A">
            <w:pPr>
              <w:rPr>
                <w:rFonts w:ascii="宋体"/>
                <w:vanish/>
              </w:rPr>
            </w:pPr>
          </w:p>
        </w:tc>
        <w:tc>
          <w:tcPr>
            <w:tcW w:w="0" w:type="auto"/>
            <w:shd w:val="clear" w:color="auto" w:fill="auto"/>
          </w:tcPr>
          <w:p w14:paraId="7268F640" w14:textId="77777777" w:rsidR="005F762A" w:rsidRDefault="005F762A">
            <w:pPr>
              <w:rPr>
                <w:rFonts w:ascii="宋体"/>
                <w:vanish/>
              </w:rPr>
            </w:pPr>
          </w:p>
        </w:tc>
        <w:tc>
          <w:tcPr>
            <w:tcW w:w="0" w:type="auto"/>
            <w:shd w:val="clear" w:color="auto" w:fill="auto"/>
          </w:tcPr>
          <w:p w14:paraId="7268F641" w14:textId="77777777" w:rsidR="005F762A" w:rsidRDefault="005F762A">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F642" w14:textId="77777777" w:rsidR="005F762A" w:rsidRDefault="00D74111">
            <w:pPr>
              <w:jc w:val="right"/>
              <w:textAlignment w:val="bottom"/>
            </w:pPr>
            <w:r>
              <w:rPr>
                <w:rFonts w:ascii="Arial" w:eastAsia="宋体" w:hAnsi="Arial" w:cs="Arial"/>
                <w:color w:val="000000"/>
                <w:sz w:val="16"/>
                <w:szCs w:val="16"/>
              </w:rPr>
              <w:t>(28)</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F643"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644"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F645" w14:textId="77777777" w:rsidR="005F762A" w:rsidRDefault="00D74111">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F646" w14:textId="77777777" w:rsidR="005F762A" w:rsidRDefault="005F762A">
            <w:pPr>
              <w:jc w:val="right"/>
              <w:rPr>
                <w:rFonts w:ascii="宋体"/>
              </w:rPr>
            </w:pPr>
          </w:p>
        </w:tc>
      </w:tr>
      <w:tr w:rsidR="005F762A" w14:paraId="7268F655" w14:textId="77777777">
        <w:trPr>
          <w:jc w:val="center"/>
        </w:trPr>
        <w:tc>
          <w:tcPr>
            <w:tcW w:w="0" w:type="auto"/>
            <w:gridSpan w:val="3"/>
            <w:shd w:val="clear" w:color="auto" w:fill="FFFFFF"/>
            <w:tcMar>
              <w:top w:w="0" w:type="dxa"/>
              <w:left w:w="20" w:type="dxa"/>
              <w:bottom w:w="0" w:type="dxa"/>
              <w:right w:w="20" w:type="dxa"/>
            </w:tcMar>
          </w:tcPr>
          <w:p w14:paraId="7268F64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649"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64A" w14:textId="77777777" w:rsidR="005F762A" w:rsidRDefault="00D74111">
            <w:pPr>
              <w:textAlignment w:val="bottom"/>
            </w:pPr>
            <w:r>
              <w:rPr>
                <w:rFonts w:ascii="Arial" w:eastAsia="宋体" w:hAnsi="Arial" w:cs="Arial"/>
                <w:color w:val="000000"/>
                <w:sz w:val="16"/>
                <w:szCs w:val="16"/>
              </w:rPr>
              <w:t>Provision for income taxes</w:t>
            </w:r>
          </w:p>
        </w:tc>
        <w:tc>
          <w:tcPr>
            <w:tcW w:w="0" w:type="auto"/>
            <w:gridSpan w:val="3"/>
            <w:shd w:val="clear" w:color="auto" w:fill="FFFFFF"/>
            <w:tcMar>
              <w:top w:w="0" w:type="dxa"/>
              <w:left w:w="20" w:type="dxa"/>
              <w:bottom w:w="0" w:type="dxa"/>
              <w:right w:w="20" w:type="dxa"/>
            </w:tcMar>
          </w:tcPr>
          <w:p w14:paraId="7268F64B" w14:textId="77777777" w:rsidR="005F762A" w:rsidRDefault="005F762A">
            <w:pPr>
              <w:rPr>
                <w:rFonts w:ascii="宋体"/>
              </w:rPr>
            </w:pPr>
          </w:p>
        </w:tc>
        <w:tc>
          <w:tcPr>
            <w:tcW w:w="0" w:type="auto"/>
            <w:shd w:val="clear" w:color="auto" w:fill="auto"/>
          </w:tcPr>
          <w:p w14:paraId="7268F64C" w14:textId="77777777" w:rsidR="005F762A" w:rsidRDefault="005F762A">
            <w:pPr>
              <w:rPr>
                <w:rFonts w:ascii="宋体"/>
                <w:vanish/>
              </w:rPr>
            </w:pPr>
          </w:p>
        </w:tc>
        <w:tc>
          <w:tcPr>
            <w:tcW w:w="0" w:type="auto"/>
            <w:shd w:val="clear" w:color="auto" w:fill="auto"/>
          </w:tcPr>
          <w:p w14:paraId="7268F64D" w14:textId="77777777" w:rsidR="005F762A" w:rsidRDefault="005F762A">
            <w:pPr>
              <w:rPr>
                <w:rFonts w:ascii="宋体"/>
                <w:vanish/>
              </w:rPr>
            </w:pPr>
          </w:p>
        </w:tc>
        <w:tc>
          <w:tcPr>
            <w:tcW w:w="0" w:type="auto"/>
            <w:shd w:val="clear" w:color="auto" w:fill="auto"/>
          </w:tcPr>
          <w:p w14:paraId="7268F64E" w14:textId="77777777" w:rsidR="005F762A" w:rsidRDefault="005F762A">
            <w:pPr>
              <w:rPr>
                <w:rFonts w:ascii="宋体"/>
                <w:vanish/>
              </w:rPr>
            </w:pPr>
          </w:p>
        </w:tc>
        <w:tc>
          <w:tcPr>
            <w:tcW w:w="0" w:type="auto"/>
            <w:shd w:val="clear" w:color="auto" w:fill="auto"/>
          </w:tcPr>
          <w:p w14:paraId="7268F64F" w14:textId="77777777" w:rsidR="005F762A" w:rsidRDefault="005F762A">
            <w:pPr>
              <w:rPr>
                <w:rFonts w:ascii="宋体"/>
                <w:vanish/>
              </w:rPr>
            </w:pPr>
          </w:p>
        </w:tc>
        <w:tc>
          <w:tcPr>
            <w:tcW w:w="0" w:type="auto"/>
            <w:gridSpan w:val="2"/>
            <w:shd w:val="clear" w:color="auto" w:fill="FFFFFF"/>
            <w:tcMar>
              <w:top w:w="40" w:type="dxa"/>
              <w:left w:w="20" w:type="dxa"/>
              <w:bottom w:w="40" w:type="dxa"/>
              <w:right w:w="0" w:type="dxa"/>
            </w:tcMar>
            <w:vAlign w:val="bottom"/>
          </w:tcPr>
          <w:p w14:paraId="7268F650" w14:textId="77777777" w:rsidR="005F762A" w:rsidRDefault="00D74111">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7268F65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65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653"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654" w14:textId="77777777" w:rsidR="005F762A" w:rsidRDefault="005F762A">
            <w:pPr>
              <w:jc w:val="right"/>
              <w:rPr>
                <w:rFonts w:ascii="宋体"/>
              </w:rPr>
            </w:pPr>
          </w:p>
        </w:tc>
      </w:tr>
      <w:tr w:rsidR="005F762A" w14:paraId="7268F661" w14:textId="77777777">
        <w:trPr>
          <w:jc w:val="center"/>
          <w:hidden/>
        </w:trPr>
        <w:tc>
          <w:tcPr>
            <w:tcW w:w="0" w:type="auto"/>
            <w:gridSpan w:val="3"/>
            <w:shd w:val="clear" w:color="auto" w:fill="auto"/>
          </w:tcPr>
          <w:p w14:paraId="7268F656" w14:textId="77777777" w:rsidR="005F762A" w:rsidRDefault="005F762A">
            <w:pPr>
              <w:rPr>
                <w:rFonts w:ascii="宋体"/>
                <w:vanish/>
              </w:rPr>
            </w:pPr>
          </w:p>
        </w:tc>
        <w:tc>
          <w:tcPr>
            <w:tcW w:w="0" w:type="auto"/>
            <w:gridSpan w:val="3"/>
            <w:shd w:val="clear" w:color="auto" w:fill="auto"/>
          </w:tcPr>
          <w:p w14:paraId="7268F657" w14:textId="77777777" w:rsidR="005F762A" w:rsidRDefault="005F762A">
            <w:pPr>
              <w:rPr>
                <w:rFonts w:ascii="宋体"/>
                <w:vanish/>
              </w:rPr>
            </w:pPr>
          </w:p>
        </w:tc>
        <w:tc>
          <w:tcPr>
            <w:tcW w:w="0" w:type="auto"/>
            <w:gridSpan w:val="3"/>
            <w:shd w:val="clear" w:color="auto" w:fill="auto"/>
          </w:tcPr>
          <w:p w14:paraId="7268F658" w14:textId="77777777" w:rsidR="005F762A" w:rsidRDefault="005F762A">
            <w:pPr>
              <w:rPr>
                <w:rFonts w:ascii="宋体"/>
                <w:vanish/>
              </w:rPr>
            </w:pPr>
          </w:p>
        </w:tc>
        <w:tc>
          <w:tcPr>
            <w:tcW w:w="0" w:type="auto"/>
            <w:gridSpan w:val="3"/>
            <w:shd w:val="clear" w:color="auto" w:fill="auto"/>
          </w:tcPr>
          <w:p w14:paraId="7268F659" w14:textId="77777777" w:rsidR="005F762A" w:rsidRDefault="005F762A">
            <w:pPr>
              <w:rPr>
                <w:rFonts w:ascii="宋体"/>
                <w:vanish/>
              </w:rPr>
            </w:pPr>
          </w:p>
        </w:tc>
        <w:tc>
          <w:tcPr>
            <w:tcW w:w="0" w:type="auto"/>
            <w:shd w:val="clear" w:color="auto" w:fill="auto"/>
          </w:tcPr>
          <w:p w14:paraId="7268F65A" w14:textId="77777777" w:rsidR="005F762A" w:rsidRDefault="005F762A">
            <w:pPr>
              <w:rPr>
                <w:rFonts w:ascii="宋体"/>
                <w:vanish/>
              </w:rPr>
            </w:pPr>
          </w:p>
        </w:tc>
        <w:tc>
          <w:tcPr>
            <w:tcW w:w="0" w:type="auto"/>
            <w:shd w:val="clear" w:color="auto" w:fill="auto"/>
          </w:tcPr>
          <w:p w14:paraId="7268F65B" w14:textId="77777777" w:rsidR="005F762A" w:rsidRDefault="005F762A">
            <w:pPr>
              <w:rPr>
                <w:rFonts w:ascii="宋体"/>
                <w:vanish/>
              </w:rPr>
            </w:pPr>
          </w:p>
        </w:tc>
        <w:tc>
          <w:tcPr>
            <w:tcW w:w="0" w:type="auto"/>
            <w:shd w:val="clear" w:color="auto" w:fill="auto"/>
          </w:tcPr>
          <w:p w14:paraId="7268F65C" w14:textId="77777777" w:rsidR="005F762A" w:rsidRDefault="005F762A">
            <w:pPr>
              <w:rPr>
                <w:rFonts w:ascii="宋体"/>
                <w:vanish/>
              </w:rPr>
            </w:pPr>
          </w:p>
        </w:tc>
        <w:tc>
          <w:tcPr>
            <w:tcW w:w="0" w:type="auto"/>
            <w:shd w:val="clear" w:color="auto" w:fill="auto"/>
          </w:tcPr>
          <w:p w14:paraId="7268F65D" w14:textId="77777777" w:rsidR="005F762A" w:rsidRDefault="005F762A">
            <w:pPr>
              <w:rPr>
                <w:rFonts w:ascii="宋体"/>
                <w:vanish/>
              </w:rPr>
            </w:pPr>
          </w:p>
        </w:tc>
        <w:tc>
          <w:tcPr>
            <w:tcW w:w="0" w:type="auto"/>
            <w:gridSpan w:val="3"/>
            <w:shd w:val="clear" w:color="auto" w:fill="auto"/>
          </w:tcPr>
          <w:p w14:paraId="7268F65E" w14:textId="77777777" w:rsidR="005F762A" w:rsidRDefault="005F762A">
            <w:pPr>
              <w:rPr>
                <w:rFonts w:ascii="宋体"/>
                <w:vanish/>
              </w:rPr>
            </w:pPr>
          </w:p>
        </w:tc>
        <w:tc>
          <w:tcPr>
            <w:tcW w:w="0" w:type="auto"/>
            <w:gridSpan w:val="3"/>
            <w:shd w:val="clear" w:color="auto" w:fill="auto"/>
          </w:tcPr>
          <w:p w14:paraId="7268F65F" w14:textId="77777777" w:rsidR="005F762A" w:rsidRDefault="005F762A">
            <w:pPr>
              <w:rPr>
                <w:rFonts w:ascii="宋体"/>
                <w:vanish/>
              </w:rPr>
            </w:pPr>
          </w:p>
        </w:tc>
        <w:tc>
          <w:tcPr>
            <w:tcW w:w="0" w:type="auto"/>
            <w:gridSpan w:val="3"/>
            <w:shd w:val="clear" w:color="auto" w:fill="auto"/>
          </w:tcPr>
          <w:p w14:paraId="7268F660" w14:textId="77777777" w:rsidR="005F762A" w:rsidRDefault="005F762A">
            <w:pPr>
              <w:rPr>
                <w:rFonts w:ascii="宋体"/>
                <w:vanish/>
              </w:rPr>
            </w:pPr>
          </w:p>
        </w:tc>
      </w:tr>
      <w:tr w:rsidR="005F762A" w14:paraId="7268F66D" w14:textId="77777777">
        <w:trPr>
          <w:jc w:val="center"/>
          <w:hidden/>
        </w:trPr>
        <w:tc>
          <w:tcPr>
            <w:tcW w:w="0" w:type="auto"/>
            <w:gridSpan w:val="3"/>
            <w:shd w:val="clear" w:color="auto" w:fill="auto"/>
          </w:tcPr>
          <w:p w14:paraId="7268F662" w14:textId="77777777" w:rsidR="005F762A" w:rsidRDefault="005F762A">
            <w:pPr>
              <w:rPr>
                <w:rFonts w:ascii="宋体"/>
                <w:vanish/>
              </w:rPr>
            </w:pPr>
          </w:p>
        </w:tc>
        <w:tc>
          <w:tcPr>
            <w:tcW w:w="0" w:type="auto"/>
            <w:gridSpan w:val="3"/>
            <w:shd w:val="clear" w:color="auto" w:fill="auto"/>
          </w:tcPr>
          <w:p w14:paraId="7268F663" w14:textId="77777777" w:rsidR="005F762A" w:rsidRDefault="005F762A">
            <w:pPr>
              <w:rPr>
                <w:rFonts w:ascii="宋体"/>
                <w:vanish/>
              </w:rPr>
            </w:pPr>
          </w:p>
        </w:tc>
        <w:tc>
          <w:tcPr>
            <w:tcW w:w="0" w:type="auto"/>
            <w:gridSpan w:val="3"/>
            <w:shd w:val="clear" w:color="auto" w:fill="auto"/>
          </w:tcPr>
          <w:p w14:paraId="7268F664" w14:textId="77777777" w:rsidR="005F762A" w:rsidRDefault="005F762A">
            <w:pPr>
              <w:rPr>
                <w:rFonts w:ascii="宋体"/>
                <w:vanish/>
              </w:rPr>
            </w:pPr>
          </w:p>
        </w:tc>
        <w:tc>
          <w:tcPr>
            <w:tcW w:w="0" w:type="auto"/>
            <w:gridSpan w:val="3"/>
            <w:shd w:val="clear" w:color="auto" w:fill="auto"/>
          </w:tcPr>
          <w:p w14:paraId="7268F665" w14:textId="77777777" w:rsidR="005F762A" w:rsidRDefault="005F762A">
            <w:pPr>
              <w:rPr>
                <w:rFonts w:ascii="宋体"/>
                <w:vanish/>
              </w:rPr>
            </w:pPr>
          </w:p>
        </w:tc>
        <w:tc>
          <w:tcPr>
            <w:tcW w:w="0" w:type="auto"/>
            <w:shd w:val="clear" w:color="auto" w:fill="auto"/>
          </w:tcPr>
          <w:p w14:paraId="7268F666" w14:textId="77777777" w:rsidR="005F762A" w:rsidRDefault="005F762A">
            <w:pPr>
              <w:rPr>
                <w:rFonts w:ascii="宋体"/>
                <w:vanish/>
              </w:rPr>
            </w:pPr>
          </w:p>
        </w:tc>
        <w:tc>
          <w:tcPr>
            <w:tcW w:w="0" w:type="auto"/>
            <w:shd w:val="clear" w:color="auto" w:fill="auto"/>
          </w:tcPr>
          <w:p w14:paraId="7268F667" w14:textId="77777777" w:rsidR="005F762A" w:rsidRDefault="005F762A">
            <w:pPr>
              <w:rPr>
                <w:rFonts w:ascii="宋体"/>
                <w:vanish/>
              </w:rPr>
            </w:pPr>
          </w:p>
        </w:tc>
        <w:tc>
          <w:tcPr>
            <w:tcW w:w="0" w:type="auto"/>
            <w:shd w:val="clear" w:color="auto" w:fill="auto"/>
          </w:tcPr>
          <w:p w14:paraId="7268F668" w14:textId="77777777" w:rsidR="005F762A" w:rsidRDefault="005F762A">
            <w:pPr>
              <w:rPr>
                <w:rFonts w:ascii="宋体"/>
                <w:vanish/>
              </w:rPr>
            </w:pPr>
          </w:p>
        </w:tc>
        <w:tc>
          <w:tcPr>
            <w:tcW w:w="0" w:type="auto"/>
            <w:shd w:val="clear" w:color="auto" w:fill="auto"/>
          </w:tcPr>
          <w:p w14:paraId="7268F669" w14:textId="77777777" w:rsidR="005F762A" w:rsidRDefault="005F762A">
            <w:pPr>
              <w:rPr>
                <w:rFonts w:ascii="宋体"/>
                <w:vanish/>
              </w:rPr>
            </w:pPr>
          </w:p>
        </w:tc>
        <w:tc>
          <w:tcPr>
            <w:tcW w:w="0" w:type="auto"/>
            <w:gridSpan w:val="3"/>
            <w:shd w:val="clear" w:color="auto" w:fill="auto"/>
          </w:tcPr>
          <w:p w14:paraId="7268F66A" w14:textId="77777777" w:rsidR="005F762A" w:rsidRDefault="005F762A">
            <w:pPr>
              <w:rPr>
                <w:rFonts w:ascii="宋体"/>
                <w:vanish/>
              </w:rPr>
            </w:pPr>
          </w:p>
        </w:tc>
        <w:tc>
          <w:tcPr>
            <w:tcW w:w="0" w:type="auto"/>
            <w:gridSpan w:val="3"/>
            <w:shd w:val="clear" w:color="auto" w:fill="auto"/>
          </w:tcPr>
          <w:p w14:paraId="7268F66B" w14:textId="77777777" w:rsidR="005F762A" w:rsidRDefault="005F762A">
            <w:pPr>
              <w:rPr>
                <w:rFonts w:ascii="宋体"/>
                <w:vanish/>
              </w:rPr>
            </w:pPr>
          </w:p>
        </w:tc>
        <w:tc>
          <w:tcPr>
            <w:tcW w:w="0" w:type="auto"/>
            <w:gridSpan w:val="3"/>
            <w:shd w:val="clear" w:color="auto" w:fill="auto"/>
          </w:tcPr>
          <w:p w14:paraId="7268F66C" w14:textId="77777777" w:rsidR="005F762A" w:rsidRDefault="005F762A">
            <w:pPr>
              <w:rPr>
                <w:rFonts w:ascii="宋体"/>
                <w:vanish/>
              </w:rPr>
            </w:pPr>
          </w:p>
        </w:tc>
      </w:tr>
      <w:tr w:rsidR="005F762A" w14:paraId="7268F67B" w14:textId="77777777">
        <w:trPr>
          <w:jc w:val="center"/>
        </w:trPr>
        <w:tc>
          <w:tcPr>
            <w:tcW w:w="0" w:type="auto"/>
            <w:gridSpan w:val="3"/>
            <w:shd w:val="clear" w:color="auto" w:fill="E1E1E1"/>
            <w:tcMar>
              <w:top w:w="0" w:type="dxa"/>
              <w:left w:w="20" w:type="dxa"/>
              <w:bottom w:w="0" w:type="dxa"/>
              <w:right w:w="20" w:type="dxa"/>
            </w:tcMar>
          </w:tcPr>
          <w:p w14:paraId="7268F66E"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66F"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670" w14:textId="77777777" w:rsidR="005F762A" w:rsidRDefault="00D74111">
            <w:pPr>
              <w:textAlignment w:val="bottom"/>
            </w:pPr>
            <w:r>
              <w:rPr>
                <w:rFonts w:ascii="Arial" w:eastAsia="宋体" w:hAnsi="Arial" w:cs="Arial"/>
                <w:color w:val="000000"/>
                <w:sz w:val="16"/>
                <w:szCs w:val="16"/>
              </w:rPr>
              <w:t>Total, net of income taxes</w:t>
            </w:r>
          </w:p>
        </w:tc>
        <w:tc>
          <w:tcPr>
            <w:tcW w:w="0" w:type="auto"/>
            <w:gridSpan w:val="3"/>
            <w:shd w:val="clear" w:color="auto" w:fill="E1E1E1"/>
            <w:tcMar>
              <w:top w:w="0" w:type="dxa"/>
              <w:left w:w="20" w:type="dxa"/>
              <w:bottom w:w="0" w:type="dxa"/>
              <w:right w:w="20" w:type="dxa"/>
            </w:tcMar>
          </w:tcPr>
          <w:p w14:paraId="7268F671" w14:textId="77777777" w:rsidR="005F762A" w:rsidRDefault="005F762A">
            <w:pPr>
              <w:rPr>
                <w:rFonts w:ascii="宋体"/>
              </w:rPr>
            </w:pPr>
          </w:p>
        </w:tc>
        <w:tc>
          <w:tcPr>
            <w:tcW w:w="0" w:type="auto"/>
            <w:shd w:val="clear" w:color="auto" w:fill="auto"/>
          </w:tcPr>
          <w:p w14:paraId="7268F672" w14:textId="77777777" w:rsidR="005F762A" w:rsidRDefault="005F762A">
            <w:pPr>
              <w:rPr>
                <w:rFonts w:ascii="宋体"/>
                <w:vanish/>
              </w:rPr>
            </w:pPr>
          </w:p>
        </w:tc>
        <w:tc>
          <w:tcPr>
            <w:tcW w:w="0" w:type="auto"/>
            <w:shd w:val="clear" w:color="auto" w:fill="auto"/>
          </w:tcPr>
          <w:p w14:paraId="7268F673" w14:textId="77777777" w:rsidR="005F762A" w:rsidRDefault="005F762A">
            <w:pPr>
              <w:rPr>
                <w:rFonts w:ascii="宋体"/>
                <w:vanish/>
              </w:rPr>
            </w:pPr>
          </w:p>
        </w:tc>
        <w:tc>
          <w:tcPr>
            <w:tcW w:w="0" w:type="auto"/>
            <w:shd w:val="clear" w:color="auto" w:fill="auto"/>
          </w:tcPr>
          <w:p w14:paraId="7268F674" w14:textId="77777777" w:rsidR="005F762A" w:rsidRDefault="005F762A">
            <w:pPr>
              <w:rPr>
                <w:rFonts w:ascii="宋体"/>
                <w:vanish/>
              </w:rPr>
            </w:pPr>
          </w:p>
        </w:tc>
        <w:tc>
          <w:tcPr>
            <w:tcW w:w="0" w:type="auto"/>
            <w:shd w:val="clear" w:color="auto" w:fill="auto"/>
          </w:tcPr>
          <w:p w14:paraId="7268F675" w14:textId="77777777" w:rsidR="005F762A" w:rsidRDefault="005F762A">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F676" w14:textId="77777777" w:rsidR="005F762A" w:rsidRDefault="00D74111">
            <w:pPr>
              <w:jc w:val="right"/>
              <w:textAlignment w:val="bottom"/>
            </w:pPr>
            <w:r>
              <w:rPr>
                <w:rFonts w:ascii="Arial" w:eastAsia="宋体" w:hAnsi="Arial" w:cs="Arial"/>
                <w:color w:val="000000"/>
                <w:sz w:val="16"/>
                <w:szCs w:val="16"/>
              </w:rPr>
              <w:t>(22)</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F677"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678" w14:textId="77777777" w:rsidR="005F762A" w:rsidRDefault="005F762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7268F679" w14:textId="77777777" w:rsidR="005F762A" w:rsidRDefault="00D74111">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7268F67A" w14:textId="77777777" w:rsidR="005F762A" w:rsidRDefault="005F762A">
            <w:pPr>
              <w:jc w:val="right"/>
              <w:rPr>
                <w:rFonts w:ascii="宋体"/>
              </w:rPr>
            </w:pPr>
          </w:p>
        </w:tc>
      </w:tr>
      <w:tr w:rsidR="005F762A" w14:paraId="7268F687" w14:textId="77777777">
        <w:trPr>
          <w:trHeight w:val="300"/>
          <w:jc w:val="center"/>
        </w:trPr>
        <w:tc>
          <w:tcPr>
            <w:tcW w:w="0" w:type="auto"/>
            <w:gridSpan w:val="3"/>
            <w:shd w:val="clear" w:color="auto" w:fill="FFFFFF"/>
            <w:tcMar>
              <w:top w:w="0" w:type="dxa"/>
              <w:left w:w="20" w:type="dxa"/>
              <w:bottom w:w="0" w:type="dxa"/>
              <w:right w:w="20" w:type="dxa"/>
            </w:tcMar>
          </w:tcPr>
          <w:p w14:paraId="7268F67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67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67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67F" w14:textId="77777777" w:rsidR="005F762A" w:rsidRDefault="005F762A">
            <w:pPr>
              <w:rPr>
                <w:rFonts w:ascii="宋体"/>
              </w:rPr>
            </w:pPr>
          </w:p>
        </w:tc>
        <w:tc>
          <w:tcPr>
            <w:tcW w:w="0" w:type="auto"/>
            <w:shd w:val="clear" w:color="auto" w:fill="auto"/>
          </w:tcPr>
          <w:p w14:paraId="7268F680" w14:textId="77777777" w:rsidR="005F762A" w:rsidRDefault="005F762A">
            <w:pPr>
              <w:rPr>
                <w:rFonts w:ascii="宋体"/>
                <w:vanish/>
              </w:rPr>
            </w:pPr>
          </w:p>
        </w:tc>
        <w:tc>
          <w:tcPr>
            <w:tcW w:w="0" w:type="auto"/>
            <w:shd w:val="clear" w:color="auto" w:fill="auto"/>
          </w:tcPr>
          <w:p w14:paraId="7268F681" w14:textId="77777777" w:rsidR="005F762A" w:rsidRDefault="005F762A">
            <w:pPr>
              <w:rPr>
                <w:rFonts w:ascii="宋体"/>
                <w:vanish/>
              </w:rPr>
            </w:pPr>
          </w:p>
        </w:tc>
        <w:tc>
          <w:tcPr>
            <w:tcW w:w="0" w:type="auto"/>
            <w:shd w:val="clear" w:color="auto" w:fill="auto"/>
          </w:tcPr>
          <w:p w14:paraId="7268F682" w14:textId="77777777" w:rsidR="005F762A" w:rsidRDefault="005F762A">
            <w:pPr>
              <w:rPr>
                <w:rFonts w:ascii="宋体"/>
                <w:vanish/>
              </w:rPr>
            </w:pPr>
          </w:p>
        </w:tc>
        <w:tc>
          <w:tcPr>
            <w:tcW w:w="0" w:type="auto"/>
            <w:shd w:val="clear" w:color="auto" w:fill="auto"/>
          </w:tcPr>
          <w:p w14:paraId="7268F683" w14:textId="77777777" w:rsidR="005F762A" w:rsidRDefault="005F762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68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685"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686" w14:textId="77777777" w:rsidR="005F762A" w:rsidRDefault="005F762A">
            <w:pPr>
              <w:rPr>
                <w:rFonts w:ascii="宋体"/>
              </w:rPr>
            </w:pPr>
          </w:p>
        </w:tc>
      </w:tr>
      <w:tr w:rsidR="005F762A" w14:paraId="7268F693" w14:textId="77777777">
        <w:trPr>
          <w:jc w:val="center"/>
          <w:hidden/>
        </w:trPr>
        <w:tc>
          <w:tcPr>
            <w:tcW w:w="0" w:type="auto"/>
            <w:gridSpan w:val="3"/>
            <w:shd w:val="clear" w:color="auto" w:fill="auto"/>
          </w:tcPr>
          <w:p w14:paraId="7268F688" w14:textId="77777777" w:rsidR="005F762A" w:rsidRDefault="005F762A">
            <w:pPr>
              <w:rPr>
                <w:rFonts w:ascii="宋体"/>
                <w:vanish/>
              </w:rPr>
            </w:pPr>
          </w:p>
        </w:tc>
        <w:tc>
          <w:tcPr>
            <w:tcW w:w="0" w:type="auto"/>
            <w:gridSpan w:val="3"/>
            <w:shd w:val="clear" w:color="auto" w:fill="auto"/>
          </w:tcPr>
          <w:p w14:paraId="7268F689" w14:textId="77777777" w:rsidR="005F762A" w:rsidRDefault="005F762A">
            <w:pPr>
              <w:rPr>
                <w:rFonts w:ascii="宋体"/>
                <w:vanish/>
              </w:rPr>
            </w:pPr>
          </w:p>
        </w:tc>
        <w:tc>
          <w:tcPr>
            <w:tcW w:w="0" w:type="auto"/>
            <w:gridSpan w:val="3"/>
            <w:shd w:val="clear" w:color="auto" w:fill="auto"/>
          </w:tcPr>
          <w:p w14:paraId="7268F68A" w14:textId="77777777" w:rsidR="005F762A" w:rsidRDefault="005F762A">
            <w:pPr>
              <w:rPr>
                <w:rFonts w:ascii="宋体"/>
                <w:vanish/>
              </w:rPr>
            </w:pPr>
          </w:p>
        </w:tc>
        <w:tc>
          <w:tcPr>
            <w:tcW w:w="0" w:type="auto"/>
            <w:gridSpan w:val="3"/>
            <w:shd w:val="clear" w:color="auto" w:fill="auto"/>
          </w:tcPr>
          <w:p w14:paraId="7268F68B" w14:textId="77777777" w:rsidR="005F762A" w:rsidRDefault="005F762A">
            <w:pPr>
              <w:rPr>
                <w:rFonts w:ascii="宋体"/>
                <w:vanish/>
              </w:rPr>
            </w:pPr>
          </w:p>
        </w:tc>
        <w:tc>
          <w:tcPr>
            <w:tcW w:w="0" w:type="auto"/>
            <w:shd w:val="clear" w:color="auto" w:fill="auto"/>
          </w:tcPr>
          <w:p w14:paraId="7268F68C" w14:textId="77777777" w:rsidR="005F762A" w:rsidRDefault="005F762A">
            <w:pPr>
              <w:rPr>
                <w:rFonts w:ascii="宋体"/>
                <w:vanish/>
              </w:rPr>
            </w:pPr>
          </w:p>
        </w:tc>
        <w:tc>
          <w:tcPr>
            <w:tcW w:w="0" w:type="auto"/>
            <w:shd w:val="clear" w:color="auto" w:fill="auto"/>
          </w:tcPr>
          <w:p w14:paraId="7268F68D" w14:textId="77777777" w:rsidR="005F762A" w:rsidRDefault="005F762A">
            <w:pPr>
              <w:rPr>
                <w:rFonts w:ascii="宋体"/>
                <w:vanish/>
              </w:rPr>
            </w:pPr>
          </w:p>
        </w:tc>
        <w:tc>
          <w:tcPr>
            <w:tcW w:w="0" w:type="auto"/>
            <w:shd w:val="clear" w:color="auto" w:fill="auto"/>
          </w:tcPr>
          <w:p w14:paraId="7268F68E" w14:textId="77777777" w:rsidR="005F762A" w:rsidRDefault="005F762A">
            <w:pPr>
              <w:rPr>
                <w:rFonts w:ascii="宋体"/>
                <w:vanish/>
              </w:rPr>
            </w:pPr>
          </w:p>
        </w:tc>
        <w:tc>
          <w:tcPr>
            <w:tcW w:w="0" w:type="auto"/>
            <w:shd w:val="clear" w:color="auto" w:fill="auto"/>
          </w:tcPr>
          <w:p w14:paraId="7268F68F" w14:textId="77777777" w:rsidR="005F762A" w:rsidRDefault="005F762A">
            <w:pPr>
              <w:rPr>
                <w:rFonts w:ascii="宋体"/>
                <w:vanish/>
              </w:rPr>
            </w:pPr>
          </w:p>
        </w:tc>
        <w:tc>
          <w:tcPr>
            <w:tcW w:w="0" w:type="auto"/>
            <w:gridSpan w:val="3"/>
            <w:shd w:val="clear" w:color="auto" w:fill="auto"/>
          </w:tcPr>
          <w:p w14:paraId="7268F690" w14:textId="77777777" w:rsidR="005F762A" w:rsidRDefault="005F762A">
            <w:pPr>
              <w:rPr>
                <w:rFonts w:ascii="宋体"/>
                <w:vanish/>
              </w:rPr>
            </w:pPr>
          </w:p>
        </w:tc>
        <w:tc>
          <w:tcPr>
            <w:tcW w:w="0" w:type="auto"/>
            <w:gridSpan w:val="3"/>
            <w:shd w:val="clear" w:color="auto" w:fill="auto"/>
          </w:tcPr>
          <w:p w14:paraId="7268F691" w14:textId="77777777" w:rsidR="005F762A" w:rsidRDefault="005F762A">
            <w:pPr>
              <w:rPr>
                <w:rFonts w:ascii="宋体"/>
                <w:vanish/>
              </w:rPr>
            </w:pPr>
          </w:p>
        </w:tc>
        <w:tc>
          <w:tcPr>
            <w:tcW w:w="0" w:type="auto"/>
            <w:gridSpan w:val="3"/>
            <w:shd w:val="clear" w:color="auto" w:fill="auto"/>
          </w:tcPr>
          <w:p w14:paraId="7268F692" w14:textId="77777777" w:rsidR="005F762A" w:rsidRDefault="005F762A">
            <w:pPr>
              <w:rPr>
                <w:rFonts w:ascii="宋体"/>
                <w:vanish/>
              </w:rPr>
            </w:pPr>
          </w:p>
        </w:tc>
      </w:tr>
      <w:tr w:rsidR="005F762A" w14:paraId="7268F69F" w14:textId="77777777">
        <w:trPr>
          <w:jc w:val="center"/>
          <w:hidden/>
        </w:trPr>
        <w:tc>
          <w:tcPr>
            <w:tcW w:w="0" w:type="auto"/>
            <w:gridSpan w:val="3"/>
            <w:shd w:val="clear" w:color="auto" w:fill="auto"/>
          </w:tcPr>
          <w:p w14:paraId="7268F694" w14:textId="77777777" w:rsidR="005F762A" w:rsidRDefault="005F762A">
            <w:pPr>
              <w:rPr>
                <w:rFonts w:ascii="宋体"/>
                <w:vanish/>
              </w:rPr>
            </w:pPr>
          </w:p>
        </w:tc>
        <w:tc>
          <w:tcPr>
            <w:tcW w:w="0" w:type="auto"/>
            <w:gridSpan w:val="3"/>
            <w:shd w:val="clear" w:color="auto" w:fill="auto"/>
          </w:tcPr>
          <w:p w14:paraId="7268F695" w14:textId="77777777" w:rsidR="005F762A" w:rsidRDefault="005F762A">
            <w:pPr>
              <w:rPr>
                <w:rFonts w:ascii="宋体"/>
                <w:vanish/>
              </w:rPr>
            </w:pPr>
          </w:p>
        </w:tc>
        <w:tc>
          <w:tcPr>
            <w:tcW w:w="0" w:type="auto"/>
            <w:gridSpan w:val="3"/>
            <w:shd w:val="clear" w:color="auto" w:fill="auto"/>
          </w:tcPr>
          <w:p w14:paraId="7268F696" w14:textId="77777777" w:rsidR="005F762A" w:rsidRDefault="005F762A">
            <w:pPr>
              <w:rPr>
                <w:rFonts w:ascii="宋体"/>
                <w:vanish/>
              </w:rPr>
            </w:pPr>
          </w:p>
        </w:tc>
        <w:tc>
          <w:tcPr>
            <w:tcW w:w="0" w:type="auto"/>
            <w:gridSpan w:val="3"/>
            <w:shd w:val="clear" w:color="auto" w:fill="auto"/>
          </w:tcPr>
          <w:p w14:paraId="7268F697" w14:textId="77777777" w:rsidR="005F762A" w:rsidRDefault="005F762A">
            <w:pPr>
              <w:rPr>
                <w:rFonts w:ascii="宋体"/>
                <w:vanish/>
              </w:rPr>
            </w:pPr>
          </w:p>
        </w:tc>
        <w:tc>
          <w:tcPr>
            <w:tcW w:w="0" w:type="auto"/>
            <w:shd w:val="clear" w:color="auto" w:fill="auto"/>
          </w:tcPr>
          <w:p w14:paraId="7268F698" w14:textId="77777777" w:rsidR="005F762A" w:rsidRDefault="005F762A">
            <w:pPr>
              <w:rPr>
                <w:rFonts w:ascii="宋体"/>
                <w:vanish/>
              </w:rPr>
            </w:pPr>
          </w:p>
        </w:tc>
        <w:tc>
          <w:tcPr>
            <w:tcW w:w="0" w:type="auto"/>
            <w:shd w:val="clear" w:color="auto" w:fill="auto"/>
          </w:tcPr>
          <w:p w14:paraId="7268F699" w14:textId="77777777" w:rsidR="005F762A" w:rsidRDefault="005F762A">
            <w:pPr>
              <w:rPr>
                <w:rFonts w:ascii="宋体"/>
                <w:vanish/>
              </w:rPr>
            </w:pPr>
          </w:p>
        </w:tc>
        <w:tc>
          <w:tcPr>
            <w:tcW w:w="0" w:type="auto"/>
            <w:shd w:val="clear" w:color="auto" w:fill="auto"/>
          </w:tcPr>
          <w:p w14:paraId="7268F69A" w14:textId="77777777" w:rsidR="005F762A" w:rsidRDefault="005F762A">
            <w:pPr>
              <w:rPr>
                <w:rFonts w:ascii="宋体"/>
                <w:vanish/>
              </w:rPr>
            </w:pPr>
          </w:p>
        </w:tc>
        <w:tc>
          <w:tcPr>
            <w:tcW w:w="0" w:type="auto"/>
            <w:shd w:val="clear" w:color="auto" w:fill="auto"/>
          </w:tcPr>
          <w:p w14:paraId="7268F69B" w14:textId="77777777" w:rsidR="005F762A" w:rsidRDefault="005F762A">
            <w:pPr>
              <w:rPr>
                <w:rFonts w:ascii="宋体"/>
                <w:vanish/>
              </w:rPr>
            </w:pPr>
          </w:p>
        </w:tc>
        <w:tc>
          <w:tcPr>
            <w:tcW w:w="0" w:type="auto"/>
            <w:gridSpan w:val="3"/>
            <w:shd w:val="clear" w:color="auto" w:fill="auto"/>
          </w:tcPr>
          <w:p w14:paraId="7268F69C" w14:textId="77777777" w:rsidR="005F762A" w:rsidRDefault="005F762A">
            <w:pPr>
              <w:rPr>
                <w:rFonts w:ascii="宋体"/>
                <w:vanish/>
              </w:rPr>
            </w:pPr>
          </w:p>
        </w:tc>
        <w:tc>
          <w:tcPr>
            <w:tcW w:w="0" w:type="auto"/>
            <w:gridSpan w:val="3"/>
            <w:shd w:val="clear" w:color="auto" w:fill="auto"/>
          </w:tcPr>
          <w:p w14:paraId="7268F69D" w14:textId="77777777" w:rsidR="005F762A" w:rsidRDefault="005F762A">
            <w:pPr>
              <w:rPr>
                <w:rFonts w:ascii="宋体"/>
                <w:vanish/>
              </w:rPr>
            </w:pPr>
          </w:p>
        </w:tc>
        <w:tc>
          <w:tcPr>
            <w:tcW w:w="0" w:type="auto"/>
            <w:gridSpan w:val="3"/>
            <w:shd w:val="clear" w:color="auto" w:fill="auto"/>
          </w:tcPr>
          <w:p w14:paraId="7268F69E" w14:textId="77777777" w:rsidR="005F762A" w:rsidRDefault="005F762A">
            <w:pPr>
              <w:rPr>
                <w:rFonts w:ascii="宋体"/>
                <w:vanish/>
              </w:rPr>
            </w:pPr>
          </w:p>
        </w:tc>
      </w:tr>
      <w:tr w:rsidR="005F762A" w14:paraId="7268F6AB" w14:textId="77777777">
        <w:trPr>
          <w:jc w:val="center"/>
          <w:hidden/>
        </w:trPr>
        <w:tc>
          <w:tcPr>
            <w:tcW w:w="0" w:type="auto"/>
            <w:gridSpan w:val="3"/>
            <w:shd w:val="clear" w:color="auto" w:fill="auto"/>
          </w:tcPr>
          <w:p w14:paraId="7268F6A0" w14:textId="77777777" w:rsidR="005F762A" w:rsidRDefault="005F762A">
            <w:pPr>
              <w:rPr>
                <w:rFonts w:ascii="宋体"/>
                <w:vanish/>
              </w:rPr>
            </w:pPr>
          </w:p>
        </w:tc>
        <w:tc>
          <w:tcPr>
            <w:tcW w:w="0" w:type="auto"/>
            <w:gridSpan w:val="3"/>
            <w:shd w:val="clear" w:color="auto" w:fill="auto"/>
          </w:tcPr>
          <w:p w14:paraId="7268F6A1" w14:textId="77777777" w:rsidR="005F762A" w:rsidRDefault="005F762A">
            <w:pPr>
              <w:rPr>
                <w:rFonts w:ascii="宋体"/>
                <w:vanish/>
              </w:rPr>
            </w:pPr>
          </w:p>
        </w:tc>
        <w:tc>
          <w:tcPr>
            <w:tcW w:w="0" w:type="auto"/>
            <w:gridSpan w:val="3"/>
            <w:shd w:val="clear" w:color="auto" w:fill="auto"/>
          </w:tcPr>
          <w:p w14:paraId="7268F6A2" w14:textId="77777777" w:rsidR="005F762A" w:rsidRDefault="005F762A">
            <w:pPr>
              <w:rPr>
                <w:rFonts w:ascii="宋体"/>
                <w:vanish/>
              </w:rPr>
            </w:pPr>
          </w:p>
        </w:tc>
        <w:tc>
          <w:tcPr>
            <w:tcW w:w="0" w:type="auto"/>
            <w:gridSpan w:val="3"/>
            <w:shd w:val="clear" w:color="auto" w:fill="auto"/>
          </w:tcPr>
          <w:p w14:paraId="7268F6A3" w14:textId="77777777" w:rsidR="005F762A" w:rsidRDefault="005F762A">
            <w:pPr>
              <w:rPr>
                <w:rFonts w:ascii="宋体"/>
                <w:vanish/>
              </w:rPr>
            </w:pPr>
          </w:p>
        </w:tc>
        <w:tc>
          <w:tcPr>
            <w:tcW w:w="0" w:type="auto"/>
            <w:shd w:val="clear" w:color="auto" w:fill="auto"/>
          </w:tcPr>
          <w:p w14:paraId="7268F6A4" w14:textId="77777777" w:rsidR="005F762A" w:rsidRDefault="005F762A">
            <w:pPr>
              <w:rPr>
                <w:rFonts w:ascii="宋体"/>
                <w:vanish/>
              </w:rPr>
            </w:pPr>
          </w:p>
        </w:tc>
        <w:tc>
          <w:tcPr>
            <w:tcW w:w="0" w:type="auto"/>
            <w:shd w:val="clear" w:color="auto" w:fill="auto"/>
          </w:tcPr>
          <w:p w14:paraId="7268F6A5" w14:textId="77777777" w:rsidR="005F762A" w:rsidRDefault="005F762A">
            <w:pPr>
              <w:rPr>
                <w:rFonts w:ascii="宋体"/>
                <w:vanish/>
              </w:rPr>
            </w:pPr>
          </w:p>
        </w:tc>
        <w:tc>
          <w:tcPr>
            <w:tcW w:w="0" w:type="auto"/>
            <w:shd w:val="clear" w:color="auto" w:fill="auto"/>
          </w:tcPr>
          <w:p w14:paraId="7268F6A6" w14:textId="77777777" w:rsidR="005F762A" w:rsidRDefault="005F762A">
            <w:pPr>
              <w:rPr>
                <w:rFonts w:ascii="宋体"/>
                <w:vanish/>
              </w:rPr>
            </w:pPr>
          </w:p>
        </w:tc>
        <w:tc>
          <w:tcPr>
            <w:tcW w:w="0" w:type="auto"/>
            <w:shd w:val="clear" w:color="auto" w:fill="auto"/>
          </w:tcPr>
          <w:p w14:paraId="7268F6A7" w14:textId="77777777" w:rsidR="005F762A" w:rsidRDefault="005F762A">
            <w:pPr>
              <w:rPr>
                <w:rFonts w:ascii="宋体"/>
                <w:vanish/>
              </w:rPr>
            </w:pPr>
          </w:p>
        </w:tc>
        <w:tc>
          <w:tcPr>
            <w:tcW w:w="0" w:type="auto"/>
            <w:gridSpan w:val="3"/>
            <w:shd w:val="clear" w:color="auto" w:fill="auto"/>
          </w:tcPr>
          <w:p w14:paraId="7268F6A8" w14:textId="77777777" w:rsidR="005F762A" w:rsidRDefault="005F762A">
            <w:pPr>
              <w:rPr>
                <w:rFonts w:ascii="宋体"/>
                <w:vanish/>
              </w:rPr>
            </w:pPr>
          </w:p>
        </w:tc>
        <w:tc>
          <w:tcPr>
            <w:tcW w:w="0" w:type="auto"/>
            <w:gridSpan w:val="3"/>
            <w:shd w:val="clear" w:color="auto" w:fill="auto"/>
          </w:tcPr>
          <w:p w14:paraId="7268F6A9" w14:textId="77777777" w:rsidR="005F762A" w:rsidRDefault="005F762A">
            <w:pPr>
              <w:rPr>
                <w:rFonts w:ascii="宋体"/>
                <w:vanish/>
              </w:rPr>
            </w:pPr>
          </w:p>
        </w:tc>
        <w:tc>
          <w:tcPr>
            <w:tcW w:w="0" w:type="auto"/>
            <w:gridSpan w:val="3"/>
            <w:shd w:val="clear" w:color="auto" w:fill="auto"/>
          </w:tcPr>
          <w:p w14:paraId="7268F6AA" w14:textId="77777777" w:rsidR="005F762A" w:rsidRDefault="005F762A">
            <w:pPr>
              <w:rPr>
                <w:rFonts w:ascii="宋体"/>
                <w:vanish/>
              </w:rPr>
            </w:pPr>
          </w:p>
        </w:tc>
      </w:tr>
      <w:tr w:rsidR="005F762A" w14:paraId="7268F6B7" w14:textId="77777777">
        <w:trPr>
          <w:jc w:val="center"/>
          <w:hidden/>
        </w:trPr>
        <w:tc>
          <w:tcPr>
            <w:tcW w:w="0" w:type="auto"/>
            <w:gridSpan w:val="3"/>
            <w:shd w:val="clear" w:color="auto" w:fill="auto"/>
          </w:tcPr>
          <w:p w14:paraId="7268F6AC" w14:textId="77777777" w:rsidR="005F762A" w:rsidRDefault="005F762A">
            <w:pPr>
              <w:rPr>
                <w:rFonts w:ascii="宋体"/>
                <w:vanish/>
              </w:rPr>
            </w:pPr>
          </w:p>
        </w:tc>
        <w:tc>
          <w:tcPr>
            <w:tcW w:w="0" w:type="auto"/>
            <w:gridSpan w:val="3"/>
            <w:shd w:val="clear" w:color="auto" w:fill="auto"/>
          </w:tcPr>
          <w:p w14:paraId="7268F6AD" w14:textId="77777777" w:rsidR="005F762A" w:rsidRDefault="005F762A">
            <w:pPr>
              <w:rPr>
                <w:rFonts w:ascii="宋体"/>
                <w:vanish/>
              </w:rPr>
            </w:pPr>
          </w:p>
        </w:tc>
        <w:tc>
          <w:tcPr>
            <w:tcW w:w="0" w:type="auto"/>
            <w:gridSpan w:val="3"/>
            <w:shd w:val="clear" w:color="auto" w:fill="auto"/>
          </w:tcPr>
          <w:p w14:paraId="7268F6AE" w14:textId="77777777" w:rsidR="005F762A" w:rsidRDefault="005F762A">
            <w:pPr>
              <w:rPr>
                <w:rFonts w:ascii="宋体"/>
                <w:vanish/>
              </w:rPr>
            </w:pPr>
          </w:p>
        </w:tc>
        <w:tc>
          <w:tcPr>
            <w:tcW w:w="0" w:type="auto"/>
            <w:gridSpan w:val="3"/>
            <w:shd w:val="clear" w:color="auto" w:fill="auto"/>
          </w:tcPr>
          <w:p w14:paraId="7268F6AF" w14:textId="77777777" w:rsidR="005F762A" w:rsidRDefault="005F762A">
            <w:pPr>
              <w:rPr>
                <w:rFonts w:ascii="宋体"/>
                <w:vanish/>
              </w:rPr>
            </w:pPr>
          </w:p>
        </w:tc>
        <w:tc>
          <w:tcPr>
            <w:tcW w:w="0" w:type="auto"/>
            <w:shd w:val="clear" w:color="auto" w:fill="auto"/>
          </w:tcPr>
          <w:p w14:paraId="7268F6B0" w14:textId="77777777" w:rsidR="005F762A" w:rsidRDefault="005F762A">
            <w:pPr>
              <w:rPr>
                <w:rFonts w:ascii="宋体"/>
                <w:vanish/>
              </w:rPr>
            </w:pPr>
          </w:p>
        </w:tc>
        <w:tc>
          <w:tcPr>
            <w:tcW w:w="0" w:type="auto"/>
            <w:shd w:val="clear" w:color="auto" w:fill="auto"/>
          </w:tcPr>
          <w:p w14:paraId="7268F6B1" w14:textId="77777777" w:rsidR="005F762A" w:rsidRDefault="005F762A">
            <w:pPr>
              <w:rPr>
                <w:rFonts w:ascii="宋体"/>
                <w:vanish/>
              </w:rPr>
            </w:pPr>
          </w:p>
        </w:tc>
        <w:tc>
          <w:tcPr>
            <w:tcW w:w="0" w:type="auto"/>
            <w:shd w:val="clear" w:color="auto" w:fill="auto"/>
          </w:tcPr>
          <w:p w14:paraId="7268F6B2" w14:textId="77777777" w:rsidR="005F762A" w:rsidRDefault="005F762A">
            <w:pPr>
              <w:rPr>
                <w:rFonts w:ascii="宋体"/>
                <w:vanish/>
              </w:rPr>
            </w:pPr>
          </w:p>
        </w:tc>
        <w:tc>
          <w:tcPr>
            <w:tcW w:w="0" w:type="auto"/>
            <w:shd w:val="clear" w:color="auto" w:fill="auto"/>
          </w:tcPr>
          <w:p w14:paraId="7268F6B3" w14:textId="77777777" w:rsidR="005F762A" w:rsidRDefault="005F762A">
            <w:pPr>
              <w:rPr>
                <w:rFonts w:ascii="宋体"/>
                <w:vanish/>
              </w:rPr>
            </w:pPr>
          </w:p>
        </w:tc>
        <w:tc>
          <w:tcPr>
            <w:tcW w:w="0" w:type="auto"/>
            <w:gridSpan w:val="3"/>
            <w:shd w:val="clear" w:color="auto" w:fill="auto"/>
          </w:tcPr>
          <w:p w14:paraId="7268F6B4" w14:textId="77777777" w:rsidR="005F762A" w:rsidRDefault="005F762A">
            <w:pPr>
              <w:rPr>
                <w:rFonts w:ascii="宋体"/>
                <w:vanish/>
              </w:rPr>
            </w:pPr>
          </w:p>
        </w:tc>
        <w:tc>
          <w:tcPr>
            <w:tcW w:w="0" w:type="auto"/>
            <w:gridSpan w:val="3"/>
            <w:shd w:val="clear" w:color="auto" w:fill="auto"/>
          </w:tcPr>
          <w:p w14:paraId="7268F6B5" w14:textId="77777777" w:rsidR="005F762A" w:rsidRDefault="005F762A">
            <w:pPr>
              <w:rPr>
                <w:rFonts w:ascii="宋体"/>
                <w:vanish/>
              </w:rPr>
            </w:pPr>
          </w:p>
        </w:tc>
        <w:tc>
          <w:tcPr>
            <w:tcW w:w="0" w:type="auto"/>
            <w:gridSpan w:val="3"/>
            <w:shd w:val="clear" w:color="auto" w:fill="auto"/>
          </w:tcPr>
          <w:p w14:paraId="7268F6B6" w14:textId="77777777" w:rsidR="005F762A" w:rsidRDefault="005F762A">
            <w:pPr>
              <w:rPr>
                <w:rFonts w:ascii="宋体"/>
                <w:vanish/>
              </w:rPr>
            </w:pPr>
          </w:p>
        </w:tc>
      </w:tr>
      <w:tr w:rsidR="005F762A" w14:paraId="7268F6C3" w14:textId="77777777">
        <w:trPr>
          <w:jc w:val="center"/>
          <w:hidden/>
        </w:trPr>
        <w:tc>
          <w:tcPr>
            <w:tcW w:w="0" w:type="auto"/>
            <w:gridSpan w:val="3"/>
            <w:shd w:val="clear" w:color="auto" w:fill="auto"/>
          </w:tcPr>
          <w:p w14:paraId="7268F6B8" w14:textId="77777777" w:rsidR="005F762A" w:rsidRDefault="005F762A">
            <w:pPr>
              <w:rPr>
                <w:rFonts w:ascii="宋体"/>
                <w:vanish/>
              </w:rPr>
            </w:pPr>
          </w:p>
        </w:tc>
        <w:tc>
          <w:tcPr>
            <w:tcW w:w="0" w:type="auto"/>
            <w:gridSpan w:val="3"/>
            <w:shd w:val="clear" w:color="auto" w:fill="auto"/>
          </w:tcPr>
          <w:p w14:paraId="7268F6B9" w14:textId="77777777" w:rsidR="005F762A" w:rsidRDefault="005F762A">
            <w:pPr>
              <w:rPr>
                <w:rFonts w:ascii="宋体"/>
                <w:vanish/>
              </w:rPr>
            </w:pPr>
          </w:p>
        </w:tc>
        <w:tc>
          <w:tcPr>
            <w:tcW w:w="0" w:type="auto"/>
            <w:gridSpan w:val="3"/>
            <w:shd w:val="clear" w:color="auto" w:fill="auto"/>
          </w:tcPr>
          <w:p w14:paraId="7268F6BA" w14:textId="77777777" w:rsidR="005F762A" w:rsidRDefault="005F762A">
            <w:pPr>
              <w:rPr>
                <w:rFonts w:ascii="宋体"/>
                <w:vanish/>
              </w:rPr>
            </w:pPr>
          </w:p>
        </w:tc>
        <w:tc>
          <w:tcPr>
            <w:tcW w:w="0" w:type="auto"/>
            <w:gridSpan w:val="3"/>
            <w:shd w:val="clear" w:color="auto" w:fill="auto"/>
          </w:tcPr>
          <w:p w14:paraId="7268F6BB" w14:textId="77777777" w:rsidR="005F762A" w:rsidRDefault="005F762A">
            <w:pPr>
              <w:rPr>
                <w:rFonts w:ascii="宋体"/>
                <w:vanish/>
              </w:rPr>
            </w:pPr>
          </w:p>
        </w:tc>
        <w:tc>
          <w:tcPr>
            <w:tcW w:w="0" w:type="auto"/>
            <w:shd w:val="clear" w:color="auto" w:fill="auto"/>
          </w:tcPr>
          <w:p w14:paraId="7268F6BC" w14:textId="77777777" w:rsidR="005F762A" w:rsidRDefault="005F762A">
            <w:pPr>
              <w:rPr>
                <w:rFonts w:ascii="宋体"/>
                <w:vanish/>
              </w:rPr>
            </w:pPr>
          </w:p>
        </w:tc>
        <w:tc>
          <w:tcPr>
            <w:tcW w:w="0" w:type="auto"/>
            <w:shd w:val="clear" w:color="auto" w:fill="auto"/>
          </w:tcPr>
          <w:p w14:paraId="7268F6BD" w14:textId="77777777" w:rsidR="005F762A" w:rsidRDefault="005F762A">
            <w:pPr>
              <w:rPr>
                <w:rFonts w:ascii="宋体"/>
                <w:vanish/>
              </w:rPr>
            </w:pPr>
          </w:p>
        </w:tc>
        <w:tc>
          <w:tcPr>
            <w:tcW w:w="0" w:type="auto"/>
            <w:shd w:val="clear" w:color="auto" w:fill="auto"/>
          </w:tcPr>
          <w:p w14:paraId="7268F6BE" w14:textId="77777777" w:rsidR="005F762A" w:rsidRDefault="005F762A">
            <w:pPr>
              <w:rPr>
                <w:rFonts w:ascii="宋体"/>
                <w:vanish/>
              </w:rPr>
            </w:pPr>
          </w:p>
        </w:tc>
        <w:tc>
          <w:tcPr>
            <w:tcW w:w="0" w:type="auto"/>
            <w:shd w:val="clear" w:color="auto" w:fill="auto"/>
          </w:tcPr>
          <w:p w14:paraId="7268F6BF" w14:textId="77777777" w:rsidR="005F762A" w:rsidRDefault="005F762A">
            <w:pPr>
              <w:rPr>
                <w:rFonts w:ascii="宋体"/>
                <w:vanish/>
              </w:rPr>
            </w:pPr>
          </w:p>
        </w:tc>
        <w:tc>
          <w:tcPr>
            <w:tcW w:w="0" w:type="auto"/>
            <w:gridSpan w:val="3"/>
            <w:shd w:val="clear" w:color="auto" w:fill="auto"/>
          </w:tcPr>
          <w:p w14:paraId="7268F6C0" w14:textId="77777777" w:rsidR="005F762A" w:rsidRDefault="005F762A">
            <w:pPr>
              <w:rPr>
                <w:rFonts w:ascii="宋体"/>
                <w:vanish/>
              </w:rPr>
            </w:pPr>
          </w:p>
        </w:tc>
        <w:tc>
          <w:tcPr>
            <w:tcW w:w="0" w:type="auto"/>
            <w:gridSpan w:val="3"/>
            <w:shd w:val="clear" w:color="auto" w:fill="auto"/>
          </w:tcPr>
          <w:p w14:paraId="7268F6C1" w14:textId="77777777" w:rsidR="005F762A" w:rsidRDefault="005F762A">
            <w:pPr>
              <w:rPr>
                <w:rFonts w:ascii="宋体"/>
                <w:vanish/>
              </w:rPr>
            </w:pPr>
          </w:p>
        </w:tc>
        <w:tc>
          <w:tcPr>
            <w:tcW w:w="0" w:type="auto"/>
            <w:gridSpan w:val="3"/>
            <w:shd w:val="clear" w:color="auto" w:fill="auto"/>
          </w:tcPr>
          <w:p w14:paraId="7268F6C2" w14:textId="77777777" w:rsidR="005F762A" w:rsidRDefault="005F762A">
            <w:pPr>
              <w:rPr>
                <w:rFonts w:ascii="宋体"/>
                <w:vanish/>
              </w:rPr>
            </w:pPr>
          </w:p>
        </w:tc>
      </w:tr>
      <w:tr w:rsidR="005F762A" w14:paraId="7268F6D3" w14:textId="77777777">
        <w:trPr>
          <w:jc w:val="center"/>
        </w:trPr>
        <w:tc>
          <w:tcPr>
            <w:tcW w:w="0" w:type="auto"/>
            <w:gridSpan w:val="3"/>
            <w:shd w:val="clear" w:color="auto" w:fill="E1E1E1"/>
            <w:tcMar>
              <w:top w:w="40" w:type="dxa"/>
              <w:left w:w="20" w:type="dxa"/>
              <w:bottom w:w="40" w:type="dxa"/>
              <w:right w:w="20" w:type="dxa"/>
            </w:tcMar>
            <w:vAlign w:val="bottom"/>
          </w:tcPr>
          <w:p w14:paraId="7268F6C4" w14:textId="77777777" w:rsidR="005F762A" w:rsidRDefault="00D74111">
            <w:pPr>
              <w:textAlignment w:val="bottom"/>
            </w:pPr>
            <w:r>
              <w:rPr>
                <w:rFonts w:ascii="Arial" w:eastAsia="宋体" w:hAnsi="Arial" w:cs="Arial"/>
                <w:color w:val="000000"/>
                <w:sz w:val="16"/>
                <w:szCs w:val="16"/>
              </w:rPr>
              <w:t>Total reclassifications for the period</w:t>
            </w:r>
          </w:p>
        </w:tc>
        <w:tc>
          <w:tcPr>
            <w:tcW w:w="0" w:type="auto"/>
            <w:gridSpan w:val="3"/>
            <w:shd w:val="clear" w:color="auto" w:fill="E1E1E1"/>
            <w:tcMar>
              <w:top w:w="0" w:type="dxa"/>
              <w:left w:w="20" w:type="dxa"/>
              <w:bottom w:w="0" w:type="dxa"/>
              <w:right w:w="20" w:type="dxa"/>
            </w:tcMar>
          </w:tcPr>
          <w:p w14:paraId="7268F6C5" w14:textId="77777777" w:rsidR="005F762A" w:rsidRDefault="005F762A">
            <w:pPr>
              <w:rPr>
                <w:rFonts w:ascii="宋体"/>
              </w:rPr>
            </w:pPr>
          </w:p>
        </w:tc>
        <w:tc>
          <w:tcPr>
            <w:tcW w:w="0" w:type="auto"/>
            <w:gridSpan w:val="3"/>
            <w:shd w:val="clear" w:color="auto" w:fill="E1E1E1"/>
            <w:tcMar>
              <w:top w:w="40" w:type="dxa"/>
              <w:left w:w="20" w:type="dxa"/>
              <w:bottom w:w="40" w:type="dxa"/>
              <w:right w:w="20" w:type="dxa"/>
            </w:tcMar>
            <w:vAlign w:val="bottom"/>
          </w:tcPr>
          <w:p w14:paraId="7268F6C6" w14:textId="77777777" w:rsidR="005F762A" w:rsidRDefault="00D74111">
            <w:pPr>
              <w:textAlignment w:val="bottom"/>
            </w:pPr>
            <w:r>
              <w:rPr>
                <w:rFonts w:ascii="Arial" w:eastAsia="宋体" w:hAnsi="Arial" w:cs="Arial"/>
                <w:color w:val="000000"/>
                <w:sz w:val="16"/>
                <w:szCs w:val="16"/>
              </w:rPr>
              <w:t xml:space="preserve">Total, net of </w:t>
            </w:r>
            <w:r>
              <w:rPr>
                <w:rFonts w:ascii="Arial" w:eastAsia="宋体" w:hAnsi="Arial" w:cs="Arial"/>
                <w:color w:val="000000"/>
                <w:sz w:val="16"/>
                <w:szCs w:val="16"/>
              </w:rPr>
              <w:t>income taxes</w:t>
            </w:r>
          </w:p>
        </w:tc>
        <w:tc>
          <w:tcPr>
            <w:tcW w:w="0" w:type="auto"/>
            <w:gridSpan w:val="3"/>
            <w:shd w:val="clear" w:color="auto" w:fill="E1E1E1"/>
            <w:tcMar>
              <w:top w:w="0" w:type="dxa"/>
              <w:left w:w="20" w:type="dxa"/>
              <w:bottom w:w="0" w:type="dxa"/>
              <w:right w:w="20" w:type="dxa"/>
            </w:tcMar>
          </w:tcPr>
          <w:p w14:paraId="7268F6C7" w14:textId="77777777" w:rsidR="005F762A" w:rsidRDefault="005F762A">
            <w:pPr>
              <w:rPr>
                <w:rFonts w:ascii="宋体"/>
              </w:rPr>
            </w:pPr>
          </w:p>
        </w:tc>
        <w:tc>
          <w:tcPr>
            <w:tcW w:w="0" w:type="auto"/>
            <w:shd w:val="clear" w:color="auto" w:fill="auto"/>
          </w:tcPr>
          <w:p w14:paraId="7268F6C8" w14:textId="77777777" w:rsidR="005F762A" w:rsidRDefault="005F762A">
            <w:pPr>
              <w:rPr>
                <w:rFonts w:ascii="宋体"/>
                <w:vanish/>
              </w:rPr>
            </w:pPr>
          </w:p>
        </w:tc>
        <w:tc>
          <w:tcPr>
            <w:tcW w:w="0" w:type="auto"/>
            <w:shd w:val="clear" w:color="auto" w:fill="auto"/>
          </w:tcPr>
          <w:p w14:paraId="7268F6C9" w14:textId="77777777" w:rsidR="005F762A" w:rsidRDefault="005F762A">
            <w:pPr>
              <w:rPr>
                <w:rFonts w:ascii="宋体"/>
                <w:vanish/>
              </w:rPr>
            </w:pPr>
          </w:p>
        </w:tc>
        <w:tc>
          <w:tcPr>
            <w:tcW w:w="0" w:type="auto"/>
            <w:shd w:val="clear" w:color="auto" w:fill="auto"/>
          </w:tcPr>
          <w:p w14:paraId="7268F6CA" w14:textId="77777777" w:rsidR="005F762A" w:rsidRDefault="005F762A">
            <w:pPr>
              <w:rPr>
                <w:rFonts w:ascii="宋体"/>
                <w:vanish/>
              </w:rPr>
            </w:pPr>
          </w:p>
        </w:tc>
        <w:tc>
          <w:tcPr>
            <w:tcW w:w="0" w:type="auto"/>
            <w:shd w:val="clear" w:color="auto" w:fill="auto"/>
          </w:tcPr>
          <w:p w14:paraId="7268F6CB" w14:textId="77777777" w:rsidR="005F762A" w:rsidRDefault="005F762A">
            <w:pPr>
              <w:rPr>
                <w:rFonts w:ascii="宋体"/>
                <w:vanish/>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6CC"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6CD" w14:textId="77777777" w:rsidR="005F762A" w:rsidRDefault="00D74111">
            <w:pPr>
              <w:jc w:val="right"/>
              <w:textAlignment w:val="bottom"/>
            </w:pPr>
            <w:r>
              <w:rPr>
                <w:rFonts w:ascii="Arial" w:eastAsia="宋体" w:hAnsi="Arial" w:cs="Arial"/>
                <w:color w:val="000000"/>
                <w:sz w:val="16"/>
                <w:szCs w:val="16"/>
              </w:rPr>
              <w:t>(22)</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6CE"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6CF"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6D0"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F6D1" w14:textId="77777777" w:rsidR="005F762A" w:rsidRDefault="00D74111">
            <w:pPr>
              <w:jc w:val="right"/>
              <w:textAlignment w:val="bottom"/>
            </w:pP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6D2" w14:textId="77777777" w:rsidR="005F762A" w:rsidRDefault="005F762A">
            <w:pPr>
              <w:jc w:val="right"/>
              <w:rPr>
                <w:rFonts w:ascii="宋体"/>
              </w:rPr>
            </w:pPr>
          </w:p>
        </w:tc>
      </w:tr>
    </w:tbl>
    <w:p w14:paraId="7268F6D4" w14:textId="77777777" w:rsidR="005F762A" w:rsidRDefault="005F762A"/>
    <w:p w14:paraId="7268F6D5" w14:textId="77777777" w:rsidR="005F762A" w:rsidRDefault="00D74111">
      <w:pPr>
        <w:jc w:val="both"/>
      </w:pPr>
      <w:r>
        <w:rPr>
          <w:rFonts w:ascii="Arial" w:eastAsia="宋体" w:hAnsi="Arial" w:cs="Arial"/>
          <w:b/>
          <w:bCs/>
          <w:color w:val="000000"/>
          <w:sz w:val="20"/>
          <w:szCs w:val="20"/>
        </w:rPr>
        <w:t>Note 16 — Restructuring</w:t>
      </w:r>
    </w:p>
    <w:p w14:paraId="7268F6D6" w14:textId="77777777" w:rsidR="005F762A" w:rsidRDefault="005F762A">
      <w:pPr>
        <w:ind w:firstLine="540"/>
        <w:jc w:val="both"/>
      </w:pPr>
    </w:p>
    <w:p w14:paraId="7268F6D7" w14:textId="77777777" w:rsidR="005F762A" w:rsidRDefault="00D74111">
      <w:pPr>
        <w:ind w:firstLine="540"/>
        <w:jc w:val="both"/>
      </w:pPr>
      <w:r>
        <w:rPr>
          <w:rFonts w:ascii="Arial" w:eastAsia="宋体" w:hAnsi="Arial" w:cs="Arial"/>
          <w:color w:val="000000"/>
          <w:sz w:val="20"/>
          <w:szCs w:val="20"/>
        </w:rPr>
        <w:t>The following table summarizes restructuring reserve activity during the three months ended March 31, 2021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8"/>
        <w:gridCol w:w="122"/>
        <w:gridCol w:w="937"/>
        <w:gridCol w:w="36"/>
      </w:tblGrid>
      <w:tr w:rsidR="005F762A" w14:paraId="7268F6DE" w14:textId="77777777">
        <w:tc>
          <w:tcPr>
            <w:tcW w:w="50" w:type="pct"/>
            <w:shd w:val="clear" w:color="auto" w:fill="auto"/>
          </w:tcPr>
          <w:p w14:paraId="7268F6D8" w14:textId="77777777" w:rsidR="005F762A" w:rsidRDefault="005F762A">
            <w:pPr>
              <w:rPr>
                <w:rFonts w:ascii="宋体"/>
              </w:rPr>
            </w:pPr>
          </w:p>
        </w:tc>
        <w:tc>
          <w:tcPr>
            <w:tcW w:w="4309" w:type="pct"/>
            <w:shd w:val="clear" w:color="auto" w:fill="auto"/>
          </w:tcPr>
          <w:p w14:paraId="7268F6D9" w14:textId="77777777" w:rsidR="005F762A" w:rsidRDefault="005F762A">
            <w:pPr>
              <w:rPr>
                <w:rFonts w:ascii="宋体"/>
              </w:rPr>
            </w:pPr>
          </w:p>
        </w:tc>
        <w:tc>
          <w:tcPr>
            <w:tcW w:w="5" w:type="pct"/>
            <w:shd w:val="clear" w:color="auto" w:fill="auto"/>
          </w:tcPr>
          <w:p w14:paraId="7268F6DA" w14:textId="77777777" w:rsidR="005F762A" w:rsidRDefault="005F762A">
            <w:pPr>
              <w:rPr>
                <w:rFonts w:ascii="宋体"/>
              </w:rPr>
            </w:pPr>
          </w:p>
        </w:tc>
        <w:tc>
          <w:tcPr>
            <w:tcW w:w="50" w:type="pct"/>
            <w:shd w:val="clear" w:color="auto" w:fill="auto"/>
          </w:tcPr>
          <w:p w14:paraId="7268F6DB" w14:textId="77777777" w:rsidR="005F762A" w:rsidRDefault="005F762A">
            <w:pPr>
              <w:rPr>
                <w:rFonts w:ascii="宋体"/>
              </w:rPr>
            </w:pPr>
          </w:p>
        </w:tc>
        <w:tc>
          <w:tcPr>
            <w:tcW w:w="581" w:type="pct"/>
            <w:shd w:val="clear" w:color="auto" w:fill="auto"/>
          </w:tcPr>
          <w:p w14:paraId="7268F6DC" w14:textId="77777777" w:rsidR="005F762A" w:rsidRDefault="005F762A">
            <w:pPr>
              <w:rPr>
                <w:rFonts w:ascii="宋体"/>
              </w:rPr>
            </w:pPr>
          </w:p>
        </w:tc>
        <w:tc>
          <w:tcPr>
            <w:tcW w:w="5" w:type="pct"/>
            <w:shd w:val="clear" w:color="auto" w:fill="auto"/>
          </w:tcPr>
          <w:p w14:paraId="7268F6DD" w14:textId="77777777" w:rsidR="005F762A" w:rsidRDefault="005F762A">
            <w:pPr>
              <w:rPr>
                <w:rFonts w:ascii="宋体"/>
              </w:rPr>
            </w:pPr>
          </w:p>
        </w:tc>
      </w:tr>
      <w:tr w:rsidR="005F762A" w14:paraId="7268F6E1" w14:textId="77777777">
        <w:tc>
          <w:tcPr>
            <w:tcW w:w="0" w:type="auto"/>
            <w:gridSpan w:val="3"/>
            <w:shd w:val="clear" w:color="auto" w:fill="auto"/>
            <w:tcMar>
              <w:top w:w="40" w:type="dxa"/>
              <w:left w:w="20" w:type="dxa"/>
              <w:bottom w:w="40" w:type="dxa"/>
              <w:right w:w="20" w:type="dxa"/>
            </w:tcMar>
            <w:vAlign w:val="bottom"/>
          </w:tcPr>
          <w:p w14:paraId="7268F6DF" w14:textId="77777777" w:rsidR="005F762A" w:rsidRDefault="00D74111">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7268F6E0" w14:textId="77777777" w:rsidR="005F762A" w:rsidRDefault="00D74111">
            <w:pPr>
              <w:jc w:val="center"/>
              <w:textAlignment w:val="bottom"/>
            </w:pPr>
            <w:r>
              <w:rPr>
                <w:rFonts w:ascii="Arial" w:eastAsia="宋体" w:hAnsi="Arial" w:cs="Arial"/>
                <w:b/>
                <w:bCs/>
                <w:color w:val="000000"/>
                <w:sz w:val="16"/>
                <w:szCs w:val="16"/>
              </w:rPr>
              <w:t>Employee Severance and Benefits</w:t>
            </w:r>
          </w:p>
        </w:tc>
      </w:tr>
      <w:tr w:rsidR="005F762A" w14:paraId="7268F6E6" w14:textId="77777777">
        <w:tc>
          <w:tcPr>
            <w:tcW w:w="0" w:type="auto"/>
            <w:gridSpan w:val="3"/>
            <w:shd w:val="clear" w:color="auto" w:fill="E2E2E2"/>
            <w:tcMar>
              <w:top w:w="40" w:type="dxa"/>
              <w:left w:w="20" w:type="dxa"/>
              <w:bottom w:w="40" w:type="dxa"/>
              <w:right w:w="20" w:type="dxa"/>
            </w:tcMar>
            <w:vAlign w:val="bottom"/>
          </w:tcPr>
          <w:p w14:paraId="7268F6E2" w14:textId="77777777" w:rsidR="005F762A" w:rsidRDefault="00D74111">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liability as of January 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7268F6E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6E4" w14:textId="77777777" w:rsidR="005F762A" w:rsidRDefault="00D74111">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6E5" w14:textId="77777777" w:rsidR="005F762A" w:rsidRDefault="005F762A">
            <w:pPr>
              <w:jc w:val="right"/>
              <w:rPr>
                <w:rFonts w:ascii="宋体"/>
              </w:rPr>
            </w:pPr>
          </w:p>
        </w:tc>
      </w:tr>
      <w:tr w:rsidR="005F762A" w14:paraId="7268F6EA" w14:textId="77777777">
        <w:tc>
          <w:tcPr>
            <w:tcW w:w="0" w:type="auto"/>
            <w:gridSpan w:val="3"/>
            <w:shd w:val="clear" w:color="auto" w:fill="FFFFFF"/>
            <w:tcMar>
              <w:top w:w="40" w:type="dxa"/>
              <w:left w:w="155" w:type="dxa"/>
              <w:bottom w:w="40" w:type="dxa"/>
              <w:right w:w="20" w:type="dxa"/>
            </w:tcMar>
            <w:vAlign w:val="bottom"/>
          </w:tcPr>
          <w:p w14:paraId="7268F6E7" w14:textId="77777777" w:rsidR="005F762A" w:rsidRDefault="00D74111">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7268F6E8" w14:textId="77777777" w:rsidR="005F762A" w:rsidRDefault="00D74111">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7268F6E9" w14:textId="77777777" w:rsidR="005F762A" w:rsidRDefault="005F762A">
            <w:pPr>
              <w:jc w:val="right"/>
              <w:rPr>
                <w:rFonts w:ascii="宋体"/>
              </w:rPr>
            </w:pPr>
          </w:p>
        </w:tc>
      </w:tr>
      <w:tr w:rsidR="005F762A" w14:paraId="7268F6EE" w14:textId="77777777">
        <w:tc>
          <w:tcPr>
            <w:tcW w:w="0" w:type="auto"/>
            <w:gridSpan w:val="3"/>
            <w:shd w:val="clear" w:color="auto" w:fill="E2E2E2"/>
            <w:tcMar>
              <w:top w:w="40" w:type="dxa"/>
              <w:left w:w="155" w:type="dxa"/>
              <w:bottom w:w="40" w:type="dxa"/>
              <w:right w:w="20" w:type="dxa"/>
            </w:tcMar>
            <w:vAlign w:val="bottom"/>
          </w:tcPr>
          <w:p w14:paraId="7268F6EB" w14:textId="77777777" w:rsidR="005F762A" w:rsidRDefault="00D74111">
            <w:pPr>
              <w:textAlignment w:val="bottom"/>
            </w:pPr>
            <w:r>
              <w:rPr>
                <w:rFonts w:ascii="Arial" w:eastAsia="宋体" w:hAnsi="Arial" w:cs="Arial"/>
                <w:color w:val="000000"/>
                <w:sz w:val="18"/>
                <w:szCs w:val="18"/>
              </w:rPr>
              <w:t>Payments</w:t>
            </w:r>
          </w:p>
        </w:tc>
        <w:tc>
          <w:tcPr>
            <w:tcW w:w="0" w:type="auto"/>
            <w:gridSpan w:val="2"/>
            <w:shd w:val="clear" w:color="auto" w:fill="E2E2E2"/>
            <w:tcMar>
              <w:top w:w="40" w:type="dxa"/>
              <w:left w:w="20" w:type="dxa"/>
              <w:bottom w:w="40" w:type="dxa"/>
              <w:right w:w="0" w:type="dxa"/>
            </w:tcMar>
            <w:vAlign w:val="bottom"/>
          </w:tcPr>
          <w:p w14:paraId="7268F6EC" w14:textId="77777777" w:rsidR="005F762A" w:rsidRDefault="00D74111">
            <w:pPr>
              <w:jc w:val="right"/>
              <w:textAlignment w:val="bottom"/>
            </w:pPr>
            <w:r>
              <w:rPr>
                <w:rFonts w:ascii="Arial" w:eastAsia="宋体" w:hAnsi="Arial" w:cs="Arial"/>
                <w:color w:val="000000"/>
                <w:sz w:val="18"/>
                <w:szCs w:val="18"/>
              </w:rPr>
              <w:t>(25)</w:t>
            </w:r>
          </w:p>
        </w:tc>
        <w:tc>
          <w:tcPr>
            <w:tcW w:w="0" w:type="auto"/>
            <w:shd w:val="clear" w:color="auto" w:fill="E2E2E2"/>
            <w:tcMar>
              <w:top w:w="40" w:type="dxa"/>
              <w:left w:w="0" w:type="dxa"/>
              <w:bottom w:w="40" w:type="dxa"/>
              <w:right w:w="20" w:type="dxa"/>
            </w:tcMar>
            <w:vAlign w:val="bottom"/>
          </w:tcPr>
          <w:p w14:paraId="7268F6ED" w14:textId="77777777" w:rsidR="005F762A" w:rsidRDefault="005F762A">
            <w:pPr>
              <w:jc w:val="right"/>
              <w:rPr>
                <w:rFonts w:ascii="宋体"/>
              </w:rPr>
            </w:pPr>
          </w:p>
        </w:tc>
      </w:tr>
      <w:tr w:rsidR="005F762A" w14:paraId="7268F6F1" w14:textId="77777777">
        <w:trPr>
          <w:hidden/>
        </w:trPr>
        <w:tc>
          <w:tcPr>
            <w:tcW w:w="0" w:type="auto"/>
            <w:gridSpan w:val="3"/>
            <w:shd w:val="clear" w:color="auto" w:fill="auto"/>
          </w:tcPr>
          <w:p w14:paraId="7268F6EF" w14:textId="77777777" w:rsidR="005F762A" w:rsidRDefault="005F762A">
            <w:pPr>
              <w:rPr>
                <w:rFonts w:ascii="宋体"/>
                <w:vanish/>
              </w:rPr>
            </w:pPr>
          </w:p>
        </w:tc>
        <w:tc>
          <w:tcPr>
            <w:tcW w:w="0" w:type="auto"/>
            <w:gridSpan w:val="3"/>
            <w:shd w:val="clear" w:color="auto" w:fill="auto"/>
          </w:tcPr>
          <w:p w14:paraId="7268F6F0" w14:textId="77777777" w:rsidR="005F762A" w:rsidRDefault="005F762A">
            <w:pPr>
              <w:rPr>
                <w:rFonts w:ascii="宋体"/>
                <w:vanish/>
              </w:rPr>
            </w:pPr>
          </w:p>
        </w:tc>
      </w:tr>
      <w:tr w:rsidR="005F762A" w14:paraId="7268F6F6" w14:textId="77777777">
        <w:tc>
          <w:tcPr>
            <w:tcW w:w="0" w:type="auto"/>
            <w:gridSpan w:val="3"/>
            <w:shd w:val="clear" w:color="auto" w:fill="FFFFFF"/>
            <w:tcMar>
              <w:top w:w="40" w:type="dxa"/>
              <w:left w:w="20" w:type="dxa"/>
              <w:bottom w:w="40" w:type="dxa"/>
              <w:right w:w="20" w:type="dxa"/>
            </w:tcMar>
            <w:vAlign w:val="bottom"/>
          </w:tcPr>
          <w:p w14:paraId="7268F6F2" w14:textId="77777777" w:rsidR="005F762A" w:rsidRDefault="00D74111">
            <w:pPr>
              <w:textAlignment w:val="bottom"/>
            </w:pPr>
            <w:r>
              <w:rPr>
                <w:rFonts w:ascii="Arial" w:eastAsia="宋体" w:hAnsi="Arial" w:cs="Arial"/>
                <w:color w:val="000000"/>
                <w:sz w:val="18"/>
                <w:szCs w:val="18"/>
              </w:rPr>
              <w:t>Accrued liability as of March 31,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6F3"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6F4" w14:textId="77777777" w:rsidR="005F762A" w:rsidRDefault="00D74111">
            <w:pPr>
              <w:jc w:val="right"/>
              <w:textAlignment w:val="bottom"/>
            </w:pPr>
            <w:r>
              <w:rPr>
                <w:rFonts w:ascii="Arial" w:eastAsia="宋体" w:hAnsi="Arial" w:cs="Arial"/>
                <w:color w:val="000000"/>
                <w:sz w:val="18"/>
                <w:szCs w:val="18"/>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6F5" w14:textId="77777777" w:rsidR="005F762A" w:rsidRDefault="005F762A">
            <w:pPr>
              <w:jc w:val="right"/>
              <w:rPr>
                <w:rFonts w:ascii="宋体"/>
              </w:rPr>
            </w:pPr>
          </w:p>
        </w:tc>
      </w:tr>
    </w:tbl>
    <w:p w14:paraId="7268F6F7" w14:textId="77777777" w:rsidR="005F762A" w:rsidRDefault="005F762A">
      <w:pPr>
        <w:ind w:firstLine="540"/>
        <w:jc w:val="both"/>
      </w:pPr>
    </w:p>
    <w:p w14:paraId="7268F6F8" w14:textId="77777777" w:rsidR="005F762A" w:rsidRDefault="00D74111">
      <w:pPr>
        <w:ind w:firstLine="540"/>
        <w:jc w:val="both"/>
      </w:pPr>
      <w:r>
        <w:rPr>
          <w:rFonts w:ascii="Arial" w:eastAsia="宋体" w:hAnsi="Arial" w:cs="Arial"/>
          <w:color w:val="000000"/>
          <w:sz w:val="20"/>
          <w:szCs w:val="20"/>
        </w:rPr>
        <w:t xml:space="preserve">During the first quarter of 2021, management approved plans that included the reduction in workforce and other exit costs. The </w:t>
      </w:r>
      <w:r>
        <w:rPr>
          <w:rFonts w:ascii="Arial" w:eastAsia="宋体" w:hAnsi="Arial" w:cs="Arial"/>
          <w:color w:val="000000"/>
          <w:sz w:val="20"/>
          <w:szCs w:val="20"/>
        </w:rPr>
        <w:t>reduction was substantially completed in the first quarter of 2021 and resulted in a pre-tax charge of $33 million.</w:t>
      </w:r>
    </w:p>
    <w:p w14:paraId="7268F6F9" w14:textId="77777777" w:rsidR="005F762A" w:rsidRDefault="005F762A">
      <w:pPr>
        <w:ind w:firstLine="540"/>
        <w:jc w:val="both"/>
      </w:pPr>
    </w:p>
    <w:p w14:paraId="7268F6FA" w14:textId="77777777" w:rsidR="005F762A" w:rsidRDefault="00D74111">
      <w:pPr>
        <w:ind w:firstLine="540"/>
        <w:jc w:val="both"/>
      </w:pPr>
      <w:r>
        <w:rPr>
          <w:rFonts w:ascii="Arial" w:eastAsia="宋体" w:hAnsi="Arial" w:cs="Arial"/>
          <w:color w:val="000000"/>
          <w:sz w:val="20"/>
          <w:szCs w:val="20"/>
        </w:rPr>
        <w:t>During the first quarter of 2020 we substantially completed the reduction in workforce that was approved by management during the fourth qu</w:t>
      </w:r>
      <w:r>
        <w:rPr>
          <w:rFonts w:ascii="Arial" w:eastAsia="宋体" w:hAnsi="Arial" w:cs="Arial"/>
          <w:color w:val="000000"/>
          <w:sz w:val="20"/>
          <w:szCs w:val="20"/>
        </w:rPr>
        <w:t xml:space="preserve">arter of 2019. We incurred pre-tax restructuring charges of approximately $7 million primarily during the first quarter of 2020 in connection with the action taken in the fourth quarter of 2019. </w:t>
      </w:r>
    </w:p>
    <w:p w14:paraId="7268F6FB" w14:textId="77777777" w:rsidR="005F762A" w:rsidRDefault="005F762A">
      <w:pPr>
        <w:ind w:firstLine="540"/>
        <w:jc w:val="both"/>
      </w:pPr>
    </w:p>
    <w:p w14:paraId="7268F6FC" w14:textId="77777777" w:rsidR="005F762A" w:rsidRDefault="00D74111">
      <w:pPr>
        <w:ind w:firstLine="540"/>
        <w:jc w:val="both"/>
      </w:pPr>
      <w:r>
        <w:rPr>
          <w:rFonts w:ascii="Arial" w:eastAsia="宋体" w:hAnsi="Arial" w:cs="Arial"/>
          <w:color w:val="000000"/>
          <w:sz w:val="20"/>
          <w:szCs w:val="20"/>
        </w:rPr>
        <w:t>Restructuring charges are included in general and administr</w:t>
      </w:r>
      <w:r>
        <w:rPr>
          <w:rFonts w:ascii="Arial" w:eastAsia="宋体" w:hAnsi="Arial" w:cs="Arial"/>
          <w:color w:val="000000"/>
          <w:sz w:val="20"/>
          <w:szCs w:val="20"/>
        </w:rPr>
        <w:t>ative expenses in the condensed consolidated statement of income.</w:t>
      </w:r>
    </w:p>
    <w:p w14:paraId="7268F6FD" w14:textId="77777777" w:rsidR="005F762A" w:rsidRDefault="005F762A">
      <w:pPr>
        <w:ind w:firstLine="540"/>
        <w:jc w:val="both"/>
      </w:pPr>
    </w:p>
    <w:p w14:paraId="7268F6FE" w14:textId="77777777" w:rsidR="005F762A" w:rsidRDefault="005F762A">
      <w:pPr>
        <w:ind w:firstLine="540"/>
      </w:pPr>
    </w:p>
    <w:p w14:paraId="7268F6FF" w14:textId="77777777" w:rsidR="005F762A" w:rsidRDefault="005F762A">
      <w:pPr>
        <w:jc w:val="center"/>
      </w:pPr>
    </w:p>
    <w:p w14:paraId="7268F700" w14:textId="77777777" w:rsidR="005F762A" w:rsidRDefault="00D74111">
      <w:pPr>
        <w:jc w:val="center"/>
      </w:pPr>
      <w:r>
        <w:rPr>
          <w:rFonts w:ascii="Arial" w:eastAsia="宋体" w:hAnsi="Arial" w:cs="Arial"/>
          <w:color w:val="000000"/>
          <w:sz w:val="20"/>
          <w:szCs w:val="20"/>
        </w:rPr>
        <w:t>29</w:t>
      </w:r>
    </w:p>
    <w:p w14:paraId="7268F701" w14:textId="77777777" w:rsidR="005F762A" w:rsidRDefault="00D74111">
      <w:r>
        <w:pict w14:anchorId="7269015C">
          <v:rect id="_x0000_i1053" style="width:415.3pt;height:1.5pt" o:hralign="center" o:hrstd="t" o:hr="t" fillcolor="#a0a0a0" stroked="f"/>
        </w:pict>
      </w:r>
    </w:p>
    <w:p w14:paraId="7268F702" w14:textId="77777777" w:rsidR="005F762A" w:rsidRDefault="005F762A"/>
    <w:p w14:paraId="7268F703" w14:textId="77777777" w:rsidR="005F762A" w:rsidRDefault="00D74111">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MANAGEMENT’S DISCUSSION AND ANALYSIS OF FINANCIAL CONDITION AND RESULTS OF OPERATIONS</w:t>
      </w:r>
    </w:p>
    <w:p w14:paraId="7268F704" w14:textId="77777777" w:rsidR="005F762A" w:rsidRDefault="005F762A">
      <w:pPr>
        <w:ind w:hanging="1080"/>
      </w:pPr>
    </w:p>
    <w:p w14:paraId="7268F705" w14:textId="77777777" w:rsidR="005F762A" w:rsidRDefault="00D74111">
      <w:r>
        <w:rPr>
          <w:rFonts w:ascii="Arial" w:eastAsia="宋体" w:hAnsi="Arial" w:cs="Arial"/>
          <w:b/>
          <w:bCs/>
          <w:color w:val="000000"/>
          <w:sz w:val="20"/>
          <w:szCs w:val="20"/>
        </w:rPr>
        <w:t>FORWARD-LOOKING STATEMENTS</w:t>
      </w:r>
    </w:p>
    <w:p w14:paraId="7268F706" w14:textId="77777777" w:rsidR="005F762A" w:rsidRDefault="005F762A"/>
    <w:p w14:paraId="7268F707" w14:textId="77777777" w:rsidR="005F762A" w:rsidRDefault="00D74111">
      <w:pPr>
        <w:ind w:firstLine="540"/>
        <w:jc w:val="both"/>
      </w:pPr>
      <w:r>
        <w:rPr>
          <w:rFonts w:ascii="Arial" w:eastAsia="宋体" w:hAnsi="Arial" w:cs="Arial"/>
          <w:i/>
          <w:iCs/>
          <w:color w:val="00000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w:t>
      </w:r>
      <w:r>
        <w:rPr>
          <w:rFonts w:ascii="Arial" w:eastAsia="宋体" w:hAnsi="Arial" w:cs="Arial"/>
          <w:i/>
          <w:iCs/>
          <w:color w:val="000000"/>
          <w:sz w:val="20"/>
          <w:szCs w:val="20"/>
        </w:rPr>
        <w:t>ns (such as those relating to future business, future results of operations or financial condition, including with respect to the ongoing effects of COVID-19, new or planned features or services, or management strategies, including our portfolio review). Y</w:t>
      </w:r>
      <w:r>
        <w:rPr>
          <w:rFonts w:ascii="Arial" w:eastAsia="宋体" w:hAnsi="Arial" w:cs="Arial"/>
          <w:i/>
          <w:iCs/>
          <w:color w:val="000000"/>
          <w:sz w:val="20"/>
          <w:szCs w:val="20"/>
        </w:rPr>
        <w:t>ou can identify these forward-looking statements by words such as “may,” “will,” “would,” “should,” “could,” “expect,” “anticipate,” “believe,” “estimate,” “intend,” “plan” and other similar expressions. These forward-looking statements involve risks and u</w:t>
      </w:r>
      <w:r>
        <w:rPr>
          <w:rFonts w:ascii="Arial" w:eastAsia="宋体" w:hAnsi="Arial" w:cs="Arial"/>
          <w:i/>
          <w:iCs/>
          <w:color w:val="000000"/>
          <w:sz w:val="20"/>
          <w:szCs w:val="20"/>
        </w:rPr>
        <w:t xml:space="preserve">ncertainties that could cause our actual results to differ materially from those expressed or implied in our forward-looking statements. Such risks and uncertainties include, among others, those discussed in “Part I </w:t>
      </w:r>
      <w:r>
        <w:rPr>
          <w:rFonts w:ascii="Arial" w:eastAsia="宋体" w:hAnsi="Arial" w:cs="Arial"/>
          <w:b/>
          <w:bCs/>
          <w:i/>
          <w:iCs/>
          <w:color w:val="000000"/>
          <w:sz w:val="20"/>
          <w:szCs w:val="20"/>
        </w:rPr>
        <w:t>-</w:t>
      </w:r>
      <w:r>
        <w:rPr>
          <w:rFonts w:ascii="Arial" w:eastAsia="宋体" w:hAnsi="Arial" w:cs="Arial"/>
          <w:i/>
          <w:iCs/>
          <w:color w:val="000000"/>
          <w:sz w:val="20"/>
          <w:szCs w:val="20"/>
        </w:rPr>
        <w:t xml:space="preserve"> Item 1A: Risk Factors” of the company’</w:t>
      </w:r>
      <w:r>
        <w:rPr>
          <w:rFonts w:ascii="Arial" w:eastAsia="宋体" w:hAnsi="Arial" w:cs="Arial"/>
          <w:i/>
          <w:iCs/>
          <w:color w:val="000000"/>
          <w:sz w:val="20"/>
          <w:szCs w:val="20"/>
        </w:rPr>
        <w:t>s Annual Report on Form 10-K for the year ended December 31 2020 (the “2020 Form 10-K”), as well as in our unaudited condensed consolidated financial statements, related notes, and the other information appearing elsewhere in this report and our other fili</w:t>
      </w:r>
      <w:r>
        <w:rPr>
          <w:rFonts w:ascii="Arial" w:eastAsia="宋体" w:hAnsi="Arial" w:cs="Arial"/>
          <w:i/>
          <w:iCs/>
          <w:color w:val="000000"/>
          <w:sz w:val="20"/>
          <w:szCs w:val="20"/>
        </w:rPr>
        <w:t>ngs with the Securities and Exchange Commission (“SEC”). We do not intend, and undertake no obligation, to update any of our forward-looking statements after the date of this report to reflect actual results or future events or circumstances. Given these r</w:t>
      </w:r>
      <w:r>
        <w:rPr>
          <w:rFonts w:ascii="Arial" w:eastAsia="宋体" w:hAnsi="Arial" w:cs="Arial"/>
          <w:i/>
          <w:iCs/>
          <w:color w:val="000000"/>
          <w:sz w:val="20"/>
          <w:szCs w:val="20"/>
        </w:rPr>
        <w:t>isks and uncertainties, readers are cautioned not to place undue reliance on such forward-looking statements. You should read the following Management’s Discussion and Analysis of Financial Condition and Results of Operations in conjunction with the unaudi</w:t>
      </w:r>
      <w:r>
        <w:rPr>
          <w:rFonts w:ascii="Arial" w:eastAsia="宋体" w:hAnsi="Arial" w:cs="Arial"/>
          <w:i/>
          <w:iCs/>
          <w:color w:val="000000"/>
          <w:sz w:val="20"/>
          <w:szCs w:val="20"/>
        </w:rPr>
        <w:t xml:space="preserve">ted condensed consolidated financial statements and the related notes included in this report. </w:t>
      </w:r>
    </w:p>
    <w:p w14:paraId="7268F708" w14:textId="77777777" w:rsidR="005F762A" w:rsidRDefault="005F762A">
      <w:pPr>
        <w:ind w:firstLine="540"/>
        <w:jc w:val="both"/>
      </w:pPr>
    </w:p>
    <w:p w14:paraId="7268F709" w14:textId="77777777" w:rsidR="005F762A" w:rsidRDefault="00D74111">
      <w:pPr>
        <w:ind w:firstLine="540"/>
        <w:jc w:val="both"/>
      </w:pPr>
      <w:r>
        <w:rPr>
          <w:rFonts w:ascii="Arial" w:eastAsia="宋体" w:hAnsi="Arial" w:cs="Arial"/>
          <w:color w:val="000000"/>
          <w:sz w:val="20"/>
          <w:szCs w:val="20"/>
        </w:rPr>
        <w:t>When we refer to “we,” “our,” “us” or “eBay” in this Quarterly Report on Form 10-Q, we mean the current Delaware corporation (eBay Inc.) and its consolidated s</w:t>
      </w:r>
      <w:r>
        <w:rPr>
          <w:rFonts w:ascii="Arial" w:eastAsia="宋体" w:hAnsi="Arial" w:cs="Arial"/>
          <w:color w:val="000000"/>
          <w:sz w:val="20"/>
          <w:szCs w:val="20"/>
        </w:rPr>
        <w:t xml:space="preserve">ubsidiaries, unless otherwise expressly stated or the context otherwise requires. </w:t>
      </w:r>
    </w:p>
    <w:p w14:paraId="7268F70A" w14:textId="77777777" w:rsidR="005F762A" w:rsidRDefault="005F762A"/>
    <w:p w14:paraId="7268F70B" w14:textId="77777777" w:rsidR="005F762A" w:rsidRDefault="00D74111">
      <w:pPr>
        <w:jc w:val="both"/>
      </w:pPr>
      <w:r>
        <w:rPr>
          <w:rFonts w:ascii="Arial" w:eastAsia="宋体" w:hAnsi="Arial" w:cs="Arial"/>
          <w:b/>
          <w:bCs/>
          <w:color w:val="000000"/>
          <w:sz w:val="20"/>
          <w:szCs w:val="20"/>
        </w:rPr>
        <w:t>OVERVIEW</w:t>
      </w:r>
    </w:p>
    <w:p w14:paraId="7268F70C" w14:textId="77777777" w:rsidR="005F762A" w:rsidRDefault="00D74111">
      <w:pPr>
        <w:ind w:firstLine="540"/>
        <w:jc w:val="both"/>
      </w:pPr>
      <w:r>
        <w:rPr>
          <w:rFonts w:ascii="Arial" w:eastAsia="宋体" w:hAnsi="Arial" w:cs="Arial"/>
          <w:color w:val="000000"/>
          <w:sz w:val="20"/>
          <w:szCs w:val="20"/>
        </w:rPr>
        <w:t> </w:t>
      </w:r>
    </w:p>
    <w:p w14:paraId="7268F70D" w14:textId="77777777" w:rsidR="005F762A" w:rsidRDefault="00D74111">
      <w:pPr>
        <w:jc w:val="both"/>
      </w:pPr>
      <w:r>
        <w:rPr>
          <w:rFonts w:ascii="Arial" w:eastAsia="宋体" w:hAnsi="Arial" w:cs="Arial"/>
          <w:b/>
          <w:bCs/>
          <w:color w:val="000000"/>
          <w:sz w:val="20"/>
          <w:szCs w:val="20"/>
        </w:rPr>
        <w:t>Business</w:t>
      </w:r>
    </w:p>
    <w:p w14:paraId="7268F70E" w14:textId="77777777" w:rsidR="005F762A" w:rsidRDefault="005F762A">
      <w:pPr>
        <w:ind w:firstLine="540"/>
        <w:jc w:val="both"/>
      </w:pPr>
    </w:p>
    <w:p w14:paraId="7268F70F" w14:textId="77777777" w:rsidR="005F762A" w:rsidRDefault="00D74111">
      <w:pPr>
        <w:ind w:firstLine="540"/>
        <w:jc w:val="both"/>
      </w:pPr>
      <w:r>
        <w:rPr>
          <w:rFonts w:ascii="Arial" w:eastAsia="宋体" w:hAnsi="Arial" w:cs="Arial"/>
          <w:color w:val="000000"/>
          <w:sz w:val="20"/>
          <w:szCs w:val="20"/>
        </w:rPr>
        <w:t>eBay Inc. is a global commerce leader, which includes our Marketplace platforms. Founded in 1995 in San Jose, California, eBay is one of the world’s la</w:t>
      </w:r>
      <w:r>
        <w:rPr>
          <w:rFonts w:ascii="Arial" w:eastAsia="宋体" w:hAnsi="Arial" w:cs="Arial"/>
          <w:color w:val="000000"/>
          <w:sz w:val="20"/>
          <w:szCs w:val="20"/>
        </w:rPr>
        <w:t>rgest and most vibrant marketplaces for discovering great value and unique selection. Collectively, we connect millions of buyers and sellers around the world, empowering people and creating opportunity. Our technologies and services are designed to provid</w:t>
      </w:r>
      <w:r>
        <w:rPr>
          <w:rFonts w:ascii="Arial" w:eastAsia="宋体" w:hAnsi="Arial" w:cs="Arial"/>
          <w:color w:val="000000"/>
          <w:sz w:val="20"/>
          <w:szCs w:val="20"/>
        </w:rPr>
        <w:t>e buyers choice and a breadth of relevant inventory and to enable sellers worldwide to organize and offer their inventory for sale, virtually anytime and anywhere. </w:t>
      </w:r>
    </w:p>
    <w:p w14:paraId="7268F710" w14:textId="77777777" w:rsidR="005F762A" w:rsidRDefault="005F762A">
      <w:pPr>
        <w:ind w:firstLine="495"/>
        <w:jc w:val="both"/>
      </w:pPr>
    </w:p>
    <w:p w14:paraId="7268F711" w14:textId="77777777" w:rsidR="005F762A" w:rsidRDefault="00D74111">
      <w:pPr>
        <w:ind w:firstLine="540"/>
        <w:jc w:val="both"/>
      </w:pPr>
      <w:r>
        <w:rPr>
          <w:rFonts w:ascii="Arial" w:eastAsia="宋体" w:hAnsi="Arial" w:cs="Arial"/>
          <w:color w:val="000000"/>
          <w:sz w:val="20"/>
          <w:szCs w:val="20"/>
        </w:rPr>
        <w:t>In 2020, the World Health Organization declared the outbreak of a novel coronavirus (COVID</w:t>
      </w:r>
      <w:r>
        <w:rPr>
          <w:rFonts w:ascii="Arial" w:eastAsia="宋体" w:hAnsi="Arial" w:cs="Arial"/>
          <w:color w:val="000000"/>
          <w:sz w:val="20"/>
          <w:szCs w:val="20"/>
        </w:rPr>
        <w:t>-19) as a pandemic and continues to be widespread with uncertainty around its duration. As a result of COVID-19 mobility restrictions globally, there have been changes in consumer behavior that have resulted in more online shopping. We expect these changes</w:t>
      </w:r>
      <w:r>
        <w:rPr>
          <w:rFonts w:ascii="Arial" w:eastAsia="宋体" w:hAnsi="Arial" w:cs="Arial"/>
          <w:color w:val="000000"/>
          <w:sz w:val="20"/>
          <w:szCs w:val="20"/>
        </w:rPr>
        <w:t xml:space="preserve"> in behavior to continue to evolve as the pandemic progresses. During the pandemic our Marketplace platforms experienced improved traffic and buyer acquisition due to the ongoing impact of measures taken globally to contain the spread of COVID-19. The Mark</w:t>
      </w:r>
      <w:r>
        <w:rPr>
          <w:rFonts w:ascii="Arial" w:eastAsia="宋体" w:hAnsi="Arial" w:cs="Arial"/>
          <w:color w:val="000000"/>
          <w:sz w:val="20"/>
          <w:szCs w:val="20"/>
        </w:rPr>
        <w:t>etplace platforms also experienced improved acquisition of small business sellers. While the impact of COVID-19 has had a positive impact on our reported results, it’s uncertain whether this consumer behavior will continue as mobility restrictions are ease</w:t>
      </w:r>
      <w:r>
        <w:rPr>
          <w:rFonts w:ascii="Arial" w:eastAsia="宋体" w:hAnsi="Arial" w:cs="Arial"/>
          <w:color w:val="000000"/>
          <w:sz w:val="20"/>
          <w:szCs w:val="20"/>
        </w:rPr>
        <w:t>d or lifted. The impacts seen to date may continue to create volatility in our results and a wider range of outcomes as consumer behaviors and mobility restrictions continue to evolve. See “Results of Operations” below for impacts of COVID-19 on our result</w:t>
      </w:r>
      <w:r>
        <w:rPr>
          <w:rFonts w:ascii="Arial" w:eastAsia="宋体" w:hAnsi="Arial" w:cs="Arial"/>
          <w:color w:val="000000"/>
          <w:sz w:val="20"/>
          <w:szCs w:val="20"/>
        </w:rPr>
        <w:t>s for the three months ended March 31, 2021. For additional information, see “– Liquidity and Capital Resource Requirements” below and “Item 1A: Risk Factors” under the caption “The global COVID-19 pandemic could harm our business and results of operations</w:t>
      </w:r>
      <w:r>
        <w:rPr>
          <w:rFonts w:ascii="Arial" w:eastAsia="宋体" w:hAnsi="Arial" w:cs="Arial"/>
          <w:color w:val="000000"/>
          <w:sz w:val="20"/>
          <w:szCs w:val="20"/>
        </w:rPr>
        <w:t>” in the 2020 Form 10-K.</w:t>
      </w:r>
    </w:p>
    <w:p w14:paraId="7268F712" w14:textId="77777777" w:rsidR="005F762A" w:rsidRDefault="005F762A">
      <w:pPr>
        <w:ind w:firstLine="540"/>
        <w:jc w:val="both"/>
      </w:pPr>
    </w:p>
    <w:p w14:paraId="7268F713" w14:textId="77777777" w:rsidR="005F762A" w:rsidRDefault="00D74111">
      <w:pPr>
        <w:ind w:firstLine="540"/>
        <w:jc w:val="both"/>
      </w:pPr>
      <w:r>
        <w:rPr>
          <w:rFonts w:ascii="Arial" w:eastAsia="宋体" w:hAnsi="Arial" w:cs="Arial"/>
          <w:color w:val="000000"/>
          <w:sz w:val="20"/>
          <w:szCs w:val="20"/>
        </w:rPr>
        <w:t>On July 20, 2020, we entered into a definitive agreement to transfer our Classifieds business to Adevinta ASA (“Adevinta”) for $2.5 billion in cash, subject to certain adjustments, and approximately 540 million shares in Adevinta.</w:t>
      </w:r>
      <w:r>
        <w:rPr>
          <w:rFonts w:ascii="Arial" w:eastAsia="宋体" w:hAnsi="Arial" w:cs="Arial"/>
          <w:color w:val="000000"/>
          <w:sz w:val="20"/>
          <w:szCs w:val="20"/>
        </w:rPr>
        <w:t xml:space="preserve"> These shares would represent, approximately 44% of Adevinta’s total outstanding shares and approximately 33% of Adevinta’s outstanding voting shares, based on the number of Adevinta’s outstanding shares as of June 30, 2020. Together, the total considerati</w:t>
      </w:r>
      <w:r>
        <w:rPr>
          <w:rFonts w:ascii="Arial" w:eastAsia="宋体" w:hAnsi="Arial" w:cs="Arial"/>
          <w:color w:val="000000"/>
          <w:sz w:val="20"/>
          <w:szCs w:val="20"/>
        </w:rPr>
        <w:t xml:space="preserve">on payable under the definitive agreement is valued at </w:t>
      </w:r>
    </w:p>
    <w:p w14:paraId="7268F714" w14:textId="77777777" w:rsidR="005F762A" w:rsidRDefault="005F762A">
      <w:pPr>
        <w:jc w:val="center"/>
      </w:pPr>
    </w:p>
    <w:p w14:paraId="7268F715" w14:textId="77777777" w:rsidR="005F762A" w:rsidRDefault="00D74111">
      <w:pPr>
        <w:jc w:val="center"/>
      </w:pPr>
      <w:r>
        <w:rPr>
          <w:rFonts w:ascii="Arial" w:eastAsia="宋体" w:hAnsi="Arial" w:cs="Arial"/>
          <w:color w:val="000000"/>
          <w:sz w:val="20"/>
          <w:szCs w:val="20"/>
        </w:rPr>
        <w:t>30</w:t>
      </w:r>
    </w:p>
    <w:p w14:paraId="7268F716" w14:textId="77777777" w:rsidR="005F762A" w:rsidRDefault="00D74111">
      <w:r>
        <w:pict w14:anchorId="7269015D">
          <v:rect id="_x0000_i1054" style="width:415.3pt;height:1.5pt" o:hralign="center" o:hrstd="t" o:hr="t" fillcolor="#a0a0a0" stroked="f"/>
        </w:pict>
      </w:r>
    </w:p>
    <w:p w14:paraId="7268F717" w14:textId="77777777" w:rsidR="005F762A" w:rsidRDefault="005F762A"/>
    <w:p w14:paraId="7268F718" w14:textId="77777777" w:rsidR="005F762A" w:rsidRDefault="00D74111">
      <w:pPr>
        <w:jc w:val="both"/>
      </w:pPr>
      <w:r>
        <w:rPr>
          <w:rFonts w:ascii="Arial" w:eastAsia="宋体" w:hAnsi="Arial" w:cs="Arial"/>
          <w:color w:val="000000"/>
          <w:sz w:val="20"/>
          <w:szCs w:val="20"/>
        </w:rPr>
        <w:t>approximately $9.2 billion, based on the closing trading price of Adevinta shares on the Oslo Stock Exchange on July 17, 2020. We believe the transaction will close in the second quarter of 2021. Completion of the transaction is subject to certain conditio</w:t>
      </w:r>
      <w:r>
        <w:rPr>
          <w:rFonts w:ascii="Arial" w:eastAsia="宋体" w:hAnsi="Arial" w:cs="Arial"/>
          <w:color w:val="000000"/>
          <w:sz w:val="20"/>
          <w:szCs w:val="20"/>
        </w:rPr>
        <w:t>ns, including receipt of certain regulatory approvals and other customary closing conditions. We have classified the results of our Classifieds business as discontinued operations in our condensed consolidated statement of income for the periods presented.</w:t>
      </w:r>
      <w:r>
        <w:rPr>
          <w:rFonts w:ascii="Arial" w:eastAsia="宋体" w:hAnsi="Arial" w:cs="Arial"/>
          <w:color w:val="000000"/>
          <w:sz w:val="20"/>
          <w:szCs w:val="20"/>
        </w:rPr>
        <w:t xml:space="preserve"> Additionally, the related assets and liabilities associated with the discontinued operations are classified as held for sale in our condensed consolidated balance sheet. See “Note 3 – Discontinued Operations” in our condensed consolidated financial statem</w:t>
      </w:r>
      <w:r>
        <w:rPr>
          <w:rFonts w:ascii="Arial" w:eastAsia="宋体" w:hAnsi="Arial" w:cs="Arial"/>
          <w:color w:val="000000"/>
          <w:sz w:val="20"/>
          <w:szCs w:val="20"/>
        </w:rPr>
        <w:t xml:space="preserve">ents for additional information. </w:t>
      </w:r>
    </w:p>
    <w:p w14:paraId="7268F719" w14:textId="77777777" w:rsidR="005F762A" w:rsidRDefault="005F762A">
      <w:pPr>
        <w:ind w:firstLine="540"/>
        <w:jc w:val="both"/>
      </w:pPr>
    </w:p>
    <w:p w14:paraId="7268F71A" w14:textId="77777777" w:rsidR="005F762A" w:rsidRDefault="00D74111">
      <w:pPr>
        <w:jc w:val="both"/>
      </w:pPr>
      <w:r>
        <w:rPr>
          <w:rFonts w:ascii="Arial" w:eastAsia="宋体" w:hAnsi="Arial" w:cs="Arial"/>
          <w:b/>
          <w:bCs/>
          <w:color w:val="000000"/>
          <w:sz w:val="20"/>
          <w:szCs w:val="20"/>
        </w:rPr>
        <w:t>Presentation</w:t>
      </w:r>
    </w:p>
    <w:p w14:paraId="7268F71B" w14:textId="77777777" w:rsidR="005F762A" w:rsidRDefault="005F762A">
      <w:pPr>
        <w:ind w:firstLine="540"/>
        <w:jc w:val="both"/>
      </w:pPr>
    </w:p>
    <w:p w14:paraId="7268F71C" w14:textId="77777777" w:rsidR="005F762A" w:rsidRDefault="00D74111">
      <w:pPr>
        <w:ind w:firstLine="540"/>
        <w:jc w:val="both"/>
      </w:pPr>
      <w:r>
        <w:rPr>
          <w:rFonts w:ascii="Arial" w:eastAsia="宋体" w:hAnsi="Arial" w:cs="Arial"/>
          <w:color w:val="000000"/>
          <w:sz w:val="20"/>
          <w:szCs w:val="20"/>
        </w:rPr>
        <w:t>In addition to the corresponding measures under generally accepted accounting principles (“GAAP”), management uses non-GAAP measures in reviewing our financial results. The foreign exchange neutral (“FX-Neut</w:t>
      </w:r>
      <w:r>
        <w:rPr>
          <w:rFonts w:ascii="Arial" w:eastAsia="宋体" w:hAnsi="Arial" w:cs="Arial"/>
          <w:color w:val="000000"/>
          <w:sz w:val="20"/>
          <w:szCs w:val="20"/>
        </w:rPr>
        <w:t>ral”), or constant currency, net revenue amounts discussed below are non-GAAP financial measures and are not in accordance with, or an alternative to, measures prepared in accordance with GAAP. Accordingly, the FX-Neutral information appearing in the follo</w:t>
      </w:r>
      <w:r>
        <w:rPr>
          <w:rFonts w:ascii="Arial" w:eastAsia="宋体" w:hAnsi="Arial" w:cs="Arial"/>
          <w:color w:val="000000"/>
          <w:sz w:val="20"/>
          <w:szCs w:val="20"/>
        </w:rPr>
        <w:t>wing discussion of our results of operations should be read in conjunction with the information provided below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xml:space="preserve">,” which includes reconciliations of FX-Neutral financial measures to the most directly comparable </w:t>
      </w:r>
      <w:r>
        <w:rPr>
          <w:rFonts w:ascii="Arial" w:eastAsia="宋体" w:hAnsi="Arial" w:cs="Arial"/>
          <w:color w:val="000000"/>
          <w:sz w:val="20"/>
          <w:szCs w:val="20"/>
        </w:rPr>
        <w:t xml:space="preserve">GAAP measures. We calculate the year-over-year impact of foreign currency movements using prior period foreign currency rates applied to current year transactional currency amounts. </w:t>
      </w:r>
    </w:p>
    <w:p w14:paraId="7268F71D" w14:textId="77777777" w:rsidR="005F762A" w:rsidRDefault="005F762A">
      <w:pPr>
        <w:ind w:firstLine="495"/>
        <w:jc w:val="both"/>
      </w:pPr>
    </w:p>
    <w:p w14:paraId="7268F71E" w14:textId="77777777" w:rsidR="005F762A" w:rsidRDefault="00D74111">
      <w:pPr>
        <w:jc w:val="both"/>
      </w:pPr>
      <w:r>
        <w:rPr>
          <w:rFonts w:ascii="Arial" w:eastAsia="宋体" w:hAnsi="Arial" w:cs="Arial"/>
          <w:b/>
          <w:bCs/>
          <w:color w:val="000000"/>
          <w:sz w:val="20"/>
          <w:szCs w:val="20"/>
        </w:rPr>
        <w:t>Quarter Highlights</w:t>
      </w:r>
    </w:p>
    <w:p w14:paraId="7268F71F" w14:textId="77777777" w:rsidR="005F762A" w:rsidRDefault="005F762A">
      <w:pPr>
        <w:ind w:firstLine="540"/>
        <w:jc w:val="both"/>
      </w:pPr>
    </w:p>
    <w:p w14:paraId="7268F720" w14:textId="77777777" w:rsidR="005F762A" w:rsidRDefault="00D74111">
      <w:pPr>
        <w:ind w:firstLine="540"/>
        <w:jc w:val="both"/>
      </w:pPr>
      <w:r>
        <w:rPr>
          <w:rFonts w:ascii="Arial" w:eastAsia="宋体" w:hAnsi="Arial" w:cs="Arial"/>
          <w:color w:val="000000"/>
          <w:sz w:val="20"/>
          <w:szCs w:val="20"/>
        </w:rPr>
        <w:t>Net revenues increased 42% to $3.0 billion during th</w:t>
      </w:r>
      <w:r>
        <w:rPr>
          <w:rFonts w:ascii="Arial" w:eastAsia="宋体" w:hAnsi="Arial" w:cs="Arial"/>
          <w:color w:val="000000"/>
          <w:sz w:val="20"/>
          <w:szCs w:val="20"/>
        </w:rPr>
        <w:t>e three months ended March 31, 2021 compared to the same period in 2020. FX-Neutral net revenue increased 38% during the three months ended March 31, 2021 compared to the same period in 2020. Operating margin increased to 27.9% for the three months ended M</w:t>
      </w:r>
      <w:r>
        <w:rPr>
          <w:rFonts w:ascii="Arial" w:eastAsia="宋体" w:hAnsi="Arial" w:cs="Arial"/>
          <w:color w:val="000000"/>
          <w:sz w:val="20"/>
          <w:szCs w:val="20"/>
        </w:rPr>
        <w:t xml:space="preserve">arch 31, 2021 compared to 26.5% for the same period in 2020. Diluted earnings per share from continuing operations increased to $0.82 during the three months ended March 31, 2021 compared to $0.57 in the same period in 2020. </w:t>
      </w:r>
    </w:p>
    <w:p w14:paraId="7268F721" w14:textId="77777777" w:rsidR="005F762A" w:rsidRDefault="005F762A">
      <w:pPr>
        <w:ind w:firstLine="540"/>
        <w:jc w:val="both"/>
      </w:pPr>
    </w:p>
    <w:p w14:paraId="7268F722" w14:textId="77777777" w:rsidR="005F762A" w:rsidRDefault="00D74111">
      <w:pPr>
        <w:ind w:firstLine="540"/>
        <w:jc w:val="both"/>
      </w:pPr>
      <w:r>
        <w:rPr>
          <w:rFonts w:ascii="Arial" w:eastAsia="宋体" w:hAnsi="Arial" w:cs="Arial"/>
          <w:color w:val="000000"/>
          <w:sz w:val="20"/>
          <w:szCs w:val="20"/>
        </w:rPr>
        <w:t>We generated cash flow from c</w:t>
      </w:r>
      <w:r>
        <w:rPr>
          <w:rFonts w:ascii="Arial" w:eastAsia="宋体" w:hAnsi="Arial" w:cs="Arial"/>
          <w:color w:val="000000"/>
          <w:sz w:val="20"/>
          <w:szCs w:val="20"/>
        </w:rPr>
        <w:t xml:space="preserve">ontinuing operating activities of $938 million during the three months ended March 31, 2021 compared to $614 million in the same period in 2020. </w:t>
      </w:r>
    </w:p>
    <w:p w14:paraId="7268F723" w14:textId="77777777" w:rsidR="005F762A" w:rsidRDefault="005F762A">
      <w:pPr>
        <w:ind w:firstLine="540"/>
        <w:jc w:val="both"/>
      </w:pPr>
    </w:p>
    <w:p w14:paraId="7268F724" w14:textId="77777777" w:rsidR="005F762A" w:rsidRDefault="00D74111">
      <w:pPr>
        <w:ind w:firstLine="540"/>
        <w:jc w:val="both"/>
      </w:pPr>
      <w:r>
        <w:rPr>
          <w:rFonts w:ascii="Arial" w:eastAsia="宋体" w:hAnsi="Arial" w:cs="Arial"/>
          <w:color w:val="000000"/>
          <w:sz w:val="20"/>
          <w:szCs w:val="20"/>
        </w:rPr>
        <w:t>During the three months ended March 31, 2021, we repaid approximately $1.1 billion of debt comprising of $750</w:t>
      </w:r>
      <w:r>
        <w:rPr>
          <w:rFonts w:ascii="Arial" w:eastAsia="宋体" w:hAnsi="Arial" w:cs="Arial"/>
          <w:color w:val="000000"/>
          <w:sz w:val="20"/>
          <w:szCs w:val="20"/>
        </w:rPr>
        <w:t xml:space="preserve"> million for the 6.000% senior notes due 2056 and $395 million of the 2.600% senior fixed rates notes due 2022, paid $292 million for repurchases of common stock and paid $122 million in cash dividends. </w:t>
      </w:r>
    </w:p>
    <w:p w14:paraId="7268F725" w14:textId="77777777" w:rsidR="005F762A" w:rsidRDefault="005F762A">
      <w:pPr>
        <w:ind w:firstLine="540"/>
        <w:jc w:val="both"/>
      </w:pPr>
    </w:p>
    <w:p w14:paraId="7268F726" w14:textId="77777777" w:rsidR="005F762A" w:rsidRDefault="00D74111">
      <w:pPr>
        <w:jc w:val="both"/>
      </w:pPr>
      <w:r>
        <w:rPr>
          <w:rFonts w:ascii="Arial" w:eastAsia="宋体" w:hAnsi="Arial" w:cs="Arial"/>
          <w:b/>
          <w:bCs/>
          <w:color w:val="000000"/>
          <w:sz w:val="20"/>
          <w:szCs w:val="20"/>
        </w:rPr>
        <w:t>RESULTS OF OPERATIONS</w:t>
      </w:r>
    </w:p>
    <w:p w14:paraId="7268F727" w14:textId="77777777" w:rsidR="005F762A" w:rsidRDefault="005F762A">
      <w:pPr>
        <w:ind w:firstLine="540"/>
        <w:jc w:val="both"/>
      </w:pPr>
    </w:p>
    <w:p w14:paraId="7268F728" w14:textId="77777777" w:rsidR="005F762A" w:rsidRDefault="00D74111">
      <w:pPr>
        <w:ind w:firstLine="540"/>
        <w:jc w:val="both"/>
      </w:pPr>
      <w:r>
        <w:rPr>
          <w:rFonts w:ascii="Arial" w:eastAsia="宋体" w:hAnsi="Arial" w:cs="Arial"/>
          <w:color w:val="000000"/>
          <w:sz w:val="20"/>
          <w:szCs w:val="20"/>
        </w:rPr>
        <w:t>We have one reportable segme</w:t>
      </w:r>
      <w:r>
        <w:rPr>
          <w:rFonts w:ascii="Arial" w:eastAsia="宋体" w:hAnsi="Arial" w:cs="Arial"/>
          <w:color w:val="000000"/>
          <w:sz w:val="20"/>
          <w:szCs w:val="20"/>
        </w:rPr>
        <w:t>nt to reflect the way management and our chief operating decision maker (“CODM”) review and assess performance of the business. Our reportable segment is Marketplace, which includes our online marketplace located at www.ebay.com, its localized counterparts</w:t>
      </w:r>
      <w:r>
        <w:rPr>
          <w:rFonts w:ascii="Arial" w:eastAsia="宋体" w:hAnsi="Arial" w:cs="Arial"/>
          <w:color w:val="000000"/>
          <w:sz w:val="20"/>
          <w:szCs w:val="20"/>
        </w:rPr>
        <w:t xml:space="preserve"> and the eBay suite of mobile apps. The accounting policies of our segment are the same as those described in “Note 1 – The Company and Summary of Significant Accounting Policies” in our condensed consolidated financial statements included elsewhere in thi</w:t>
      </w:r>
      <w:r>
        <w:rPr>
          <w:rFonts w:ascii="Arial" w:eastAsia="宋体" w:hAnsi="Arial" w:cs="Arial"/>
          <w:color w:val="000000"/>
          <w:sz w:val="20"/>
          <w:szCs w:val="20"/>
        </w:rPr>
        <w:t xml:space="preserve">s report. Prior period segment information has been reclassified to conform to the current period segment presentation. </w:t>
      </w:r>
    </w:p>
    <w:p w14:paraId="7268F729" w14:textId="77777777" w:rsidR="005F762A" w:rsidRDefault="005F762A">
      <w:pPr>
        <w:jc w:val="center"/>
      </w:pPr>
    </w:p>
    <w:p w14:paraId="7268F72A" w14:textId="77777777" w:rsidR="005F762A" w:rsidRDefault="00D74111">
      <w:pPr>
        <w:jc w:val="center"/>
      </w:pPr>
      <w:r>
        <w:rPr>
          <w:rFonts w:ascii="Arial" w:eastAsia="宋体" w:hAnsi="Arial" w:cs="Arial"/>
          <w:color w:val="000000"/>
          <w:sz w:val="20"/>
          <w:szCs w:val="20"/>
        </w:rPr>
        <w:t>31</w:t>
      </w:r>
    </w:p>
    <w:p w14:paraId="7268F72B" w14:textId="77777777" w:rsidR="005F762A" w:rsidRDefault="00D74111">
      <w:r>
        <w:pict w14:anchorId="7269015E">
          <v:rect id="_x0000_i1055" style="width:415.3pt;height:1.5pt" o:hralign="center" o:hrstd="t" o:hr="t" fillcolor="#a0a0a0" stroked="f"/>
        </w:pict>
      </w:r>
    </w:p>
    <w:p w14:paraId="7268F72C" w14:textId="77777777" w:rsidR="005F762A" w:rsidRDefault="005F762A"/>
    <w:p w14:paraId="7268F72D" w14:textId="77777777" w:rsidR="005F762A" w:rsidRDefault="005F762A">
      <w:pPr>
        <w:jc w:val="both"/>
      </w:pPr>
    </w:p>
    <w:p w14:paraId="7268F72E" w14:textId="77777777" w:rsidR="005F762A" w:rsidRDefault="00D74111">
      <w:pPr>
        <w:jc w:val="both"/>
      </w:pPr>
      <w:r>
        <w:rPr>
          <w:rFonts w:ascii="Arial" w:eastAsia="宋体" w:hAnsi="Arial" w:cs="Arial"/>
          <w:b/>
          <w:bCs/>
          <w:color w:val="000000"/>
          <w:sz w:val="20"/>
          <w:szCs w:val="20"/>
        </w:rPr>
        <w:t>Net Revenues</w:t>
      </w:r>
    </w:p>
    <w:p w14:paraId="7268F72F" w14:textId="77777777" w:rsidR="005F762A" w:rsidRDefault="005F762A">
      <w:pPr>
        <w:ind w:firstLine="270"/>
        <w:jc w:val="both"/>
      </w:pPr>
    </w:p>
    <w:p w14:paraId="7268F730" w14:textId="77777777" w:rsidR="005F762A" w:rsidRDefault="00D74111">
      <w:pPr>
        <w:ind w:firstLine="270"/>
        <w:jc w:val="both"/>
      </w:pPr>
      <w:r>
        <w:rPr>
          <w:rFonts w:ascii="Arial" w:eastAsia="宋体" w:hAnsi="Arial" w:cs="Arial"/>
          <w:b/>
          <w:bCs/>
          <w:color w:val="000000"/>
          <w:sz w:val="20"/>
          <w:szCs w:val="20"/>
        </w:rPr>
        <w:t>Seasonality</w:t>
      </w:r>
    </w:p>
    <w:p w14:paraId="7268F731" w14:textId="77777777" w:rsidR="005F762A" w:rsidRDefault="005F762A">
      <w:pPr>
        <w:ind w:hanging="90"/>
        <w:jc w:val="both"/>
      </w:pPr>
    </w:p>
    <w:p w14:paraId="7268F732" w14:textId="77777777" w:rsidR="005F762A" w:rsidRDefault="00D74111">
      <w:pPr>
        <w:ind w:firstLine="540"/>
        <w:jc w:val="both"/>
      </w:pPr>
      <w:r>
        <w:rPr>
          <w:rFonts w:ascii="Arial" w:eastAsia="宋体" w:hAnsi="Arial" w:cs="Arial"/>
          <w:color w:val="000000"/>
          <w:sz w:val="20"/>
          <w:szCs w:val="20"/>
        </w:rPr>
        <w:t xml:space="preserve">We expect transaction activity patterns on our platforms to mirror general consumer buying </w:t>
      </w:r>
      <w:r>
        <w:rPr>
          <w:rFonts w:ascii="Arial" w:eastAsia="宋体" w:hAnsi="Arial" w:cs="Arial"/>
          <w:color w:val="000000"/>
          <w:sz w:val="20"/>
          <w:szCs w:val="20"/>
        </w:rPr>
        <w:t>patterns and expect that these trends will continue. As we introduce new products and platforms, such as managed payments, we expect net revenues to fluctuate. In addition, macroeconomic conditions, such as the ongoing COVID-19 pandemic, may also contribut</w:t>
      </w:r>
      <w:r>
        <w:rPr>
          <w:rFonts w:ascii="Arial" w:eastAsia="宋体" w:hAnsi="Arial" w:cs="Arial"/>
          <w:color w:val="000000"/>
          <w:sz w:val="20"/>
          <w:szCs w:val="20"/>
        </w:rPr>
        <w:t>e to fluctuations in revenues and margins. The following table sets forth sequential quarterly movements of our total net revenues for the periods presented (in millions, except percentages):</w:t>
      </w:r>
    </w:p>
    <w:p w14:paraId="7268F733" w14:textId="77777777" w:rsidR="005F762A" w:rsidRDefault="005F762A">
      <w:pPr>
        <w:ind w:firstLine="540"/>
        <w:jc w:val="both"/>
      </w:pPr>
    </w:p>
    <w:tbl>
      <w:tblPr>
        <w:tblW w:w="4993" w:type="pct"/>
        <w:tblCellMar>
          <w:top w:w="15" w:type="dxa"/>
          <w:left w:w="15" w:type="dxa"/>
          <w:bottom w:w="15" w:type="dxa"/>
          <w:right w:w="15" w:type="dxa"/>
        </w:tblCellMar>
        <w:tblLook w:val="04A0" w:firstRow="1" w:lastRow="0" w:firstColumn="1" w:lastColumn="0" w:noHBand="0" w:noVBand="1"/>
      </w:tblPr>
      <w:tblGrid>
        <w:gridCol w:w="38"/>
        <w:gridCol w:w="3652"/>
        <w:gridCol w:w="36"/>
        <w:gridCol w:w="109"/>
        <w:gridCol w:w="867"/>
        <w:gridCol w:w="163"/>
        <w:gridCol w:w="36"/>
        <w:gridCol w:w="36"/>
        <w:gridCol w:w="36"/>
        <w:gridCol w:w="109"/>
        <w:gridCol w:w="772"/>
        <w:gridCol w:w="163"/>
        <w:gridCol w:w="36"/>
        <w:gridCol w:w="36"/>
        <w:gridCol w:w="36"/>
        <w:gridCol w:w="110"/>
        <w:gridCol w:w="772"/>
        <w:gridCol w:w="163"/>
        <w:gridCol w:w="36"/>
        <w:gridCol w:w="36"/>
        <w:gridCol w:w="36"/>
        <w:gridCol w:w="109"/>
        <w:gridCol w:w="774"/>
        <w:gridCol w:w="163"/>
      </w:tblGrid>
      <w:tr w:rsidR="005F762A" w14:paraId="7268F74C" w14:textId="77777777">
        <w:tc>
          <w:tcPr>
            <w:tcW w:w="50" w:type="pct"/>
            <w:shd w:val="clear" w:color="auto" w:fill="auto"/>
          </w:tcPr>
          <w:p w14:paraId="7268F734" w14:textId="77777777" w:rsidR="005F762A" w:rsidRDefault="005F762A">
            <w:pPr>
              <w:rPr>
                <w:rFonts w:ascii="宋体"/>
              </w:rPr>
            </w:pPr>
          </w:p>
        </w:tc>
        <w:tc>
          <w:tcPr>
            <w:tcW w:w="2287" w:type="pct"/>
            <w:shd w:val="clear" w:color="auto" w:fill="auto"/>
          </w:tcPr>
          <w:p w14:paraId="7268F735" w14:textId="77777777" w:rsidR="005F762A" w:rsidRDefault="005F762A">
            <w:pPr>
              <w:rPr>
                <w:rFonts w:ascii="宋体"/>
              </w:rPr>
            </w:pPr>
          </w:p>
        </w:tc>
        <w:tc>
          <w:tcPr>
            <w:tcW w:w="5" w:type="pct"/>
            <w:shd w:val="clear" w:color="auto" w:fill="auto"/>
          </w:tcPr>
          <w:p w14:paraId="7268F736" w14:textId="77777777" w:rsidR="005F762A" w:rsidRDefault="005F762A">
            <w:pPr>
              <w:rPr>
                <w:rFonts w:ascii="宋体"/>
              </w:rPr>
            </w:pPr>
          </w:p>
        </w:tc>
        <w:tc>
          <w:tcPr>
            <w:tcW w:w="50" w:type="pct"/>
            <w:shd w:val="clear" w:color="auto" w:fill="auto"/>
          </w:tcPr>
          <w:p w14:paraId="7268F737" w14:textId="77777777" w:rsidR="005F762A" w:rsidRDefault="005F762A">
            <w:pPr>
              <w:rPr>
                <w:rFonts w:ascii="宋体"/>
              </w:rPr>
            </w:pPr>
          </w:p>
        </w:tc>
        <w:tc>
          <w:tcPr>
            <w:tcW w:w="581" w:type="pct"/>
            <w:shd w:val="clear" w:color="auto" w:fill="auto"/>
          </w:tcPr>
          <w:p w14:paraId="7268F738" w14:textId="77777777" w:rsidR="005F762A" w:rsidRDefault="005F762A">
            <w:pPr>
              <w:rPr>
                <w:rFonts w:ascii="宋体"/>
              </w:rPr>
            </w:pPr>
          </w:p>
        </w:tc>
        <w:tc>
          <w:tcPr>
            <w:tcW w:w="5" w:type="pct"/>
            <w:shd w:val="clear" w:color="auto" w:fill="auto"/>
          </w:tcPr>
          <w:p w14:paraId="7268F739" w14:textId="77777777" w:rsidR="005F762A" w:rsidRDefault="005F762A">
            <w:pPr>
              <w:rPr>
                <w:rFonts w:ascii="宋体"/>
              </w:rPr>
            </w:pPr>
          </w:p>
        </w:tc>
        <w:tc>
          <w:tcPr>
            <w:tcW w:w="5" w:type="pct"/>
            <w:shd w:val="clear" w:color="auto" w:fill="auto"/>
          </w:tcPr>
          <w:p w14:paraId="7268F73A" w14:textId="77777777" w:rsidR="005F762A" w:rsidRDefault="005F762A">
            <w:pPr>
              <w:rPr>
                <w:rFonts w:ascii="宋体"/>
              </w:rPr>
            </w:pPr>
          </w:p>
        </w:tc>
        <w:tc>
          <w:tcPr>
            <w:tcW w:w="26" w:type="pct"/>
            <w:shd w:val="clear" w:color="auto" w:fill="auto"/>
          </w:tcPr>
          <w:p w14:paraId="7268F73B" w14:textId="77777777" w:rsidR="005F762A" w:rsidRDefault="005F762A">
            <w:pPr>
              <w:rPr>
                <w:rFonts w:ascii="宋体"/>
              </w:rPr>
            </w:pPr>
          </w:p>
        </w:tc>
        <w:tc>
          <w:tcPr>
            <w:tcW w:w="5" w:type="pct"/>
            <w:shd w:val="clear" w:color="auto" w:fill="auto"/>
          </w:tcPr>
          <w:p w14:paraId="7268F73C" w14:textId="77777777" w:rsidR="005F762A" w:rsidRDefault="005F762A">
            <w:pPr>
              <w:rPr>
                <w:rFonts w:ascii="宋体"/>
              </w:rPr>
            </w:pPr>
          </w:p>
        </w:tc>
        <w:tc>
          <w:tcPr>
            <w:tcW w:w="50" w:type="pct"/>
            <w:shd w:val="clear" w:color="auto" w:fill="auto"/>
          </w:tcPr>
          <w:p w14:paraId="7268F73D" w14:textId="77777777" w:rsidR="005F762A" w:rsidRDefault="005F762A">
            <w:pPr>
              <w:rPr>
                <w:rFonts w:ascii="宋体"/>
              </w:rPr>
            </w:pPr>
          </w:p>
        </w:tc>
        <w:tc>
          <w:tcPr>
            <w:tcW w:w="581" w:type="pct"/>
            <w:shd w:val="clear" w:color="auto" w:fill="auto"/>
          </w:tcPr>
          <w:p w14:paraId="7268F73E" w14:textId="77777777" w:rsidR="005F762A" w:rsidRDefault="005F762A">
            <w:pPr>
              <w:rPr>
                <w:rFonts w:ascii="宋体"/>
              </w:rPr>
            </w:pPr>
          </w:p>
        </w:tc>
        <w:tc>
          <w:tcPr>
            <w:tcW w:w="5" w:type="pct"/>
            <w:shd w:val="clear" w:color="auto" w:fill="auto"/>
          </w:tcPr>
          <w:p w14:paraId="7268F73F" w14:textId="77777777" w:rsidR="005F762A" w:rsidRDefault="005F762A">
            <w:pPr>
              <w:rPr>
                <w:rFonts w:ascii="宋体"/>
              </w:rPr>
            </w:pPr>
          </w:p>
        </w:tc>
        <w:tc>
          <w:tcPr>
            <w:tcW w:w="5" w:type="pct"/>
            <w:shd w:val="clear" w:color="auto" w:fill="auto"/>
          </w:tcPr>
          <w:p w14:paraId="7268F740" w14:textId="77777777" w:rsidR="005F762A" w:rsidRDefault="005F762A">
            <w:pPr>
              <w:rPr>
                <w:rFonts w:ascii="宋体"/>
              </w:rPr>
            </w:pPr>
          </w:p>
        </w:tc>
        <w:tc>
          <w:tcPr>
            <w:tcW w:w="26" w:type="pct"/>
            <w:shd w:val="clear" w:color="auto" w:fill="auto"/>
          </w:tcPr>
          <w:p w14:paraId="7268F741" w14:textId="77777777" w:rsidR="005F762A" w:rsidRDefault="005F762A">
            <w:pPr>
              <w:rPr>
                <w:rFonts w:ascii="宋体"/>
              </w:rPr>
            </w:pPr>
          </w:p>
        </w:tc>
        <w:tc>
          <w:tcPr>
            <w:tcW w:w="5" w:type="pct"/>
            <w:shd w:val="clear" w:color="auto" w:fill="auto"/>
          </w:tcPr>
          <w:p w14:paraId="7268F742" w14:textId="77777777" w:rsidR="005F762A" w:rsidRDefault="005F762A">
            <w:pPr>
              <w:rPr>
                <w:rFonts w:ascii="宋体"/>
              </w:rPr>
            </w:pPr>
          </w:p>
        </w:tc>
        <w:tc>
          <w:tcPr>
            <w:tcW w:w="50" w:type="pct"/>
            <w:shd w:val="clear" w:color="auto" w:fill="auto"/>
          </w:tcPr>
          <w:p w14:paraId="7268F743" w14:textId="77777777" w:rsidR="005F762A" w:rsidRDefault="005F762A">
            <w:pPr>
              <w:rPr>
                <w:rFonts w:ascii="宋体"/>
              </w:rPr>
            </w:pPr>
          </w:p>
        </w:tc>
        <w:tc>
          <w:tcPr>
            <w:tcW w:w="581" w:type="pct"/>
            <w:shd w:val="clear" w:color="auto" w:fill="auto"/>
          </w:tcPr>
          <w:p w14:paraId="7268F744" w14:textId="77777777" w:rsidR="005F762A" w:rsidRDefault="005F762A">
            <w:pPr>
              <w:rPr>
                <w:rFonts w:ascii="宋体"/>
              </w:rPr>
            </w:pPr>
          </w:p>
        </w:tc>
        <w:tc>
          <w:tcPr>
            <w:tcW w:w="5" w:type="pct"/>
            <w:shd w:val="clear" w:color="auto" w:fill="auto"/>
          </w:tcPr>
          <w:p w14:paraId="7268F745" w14:textId="77777777" w:rsidR="005F762A" w:rsidRDefault="005F762A">
            <w:pPr>
              <w:rPr>
                <w:rFonts w:ascii="宋体"/>
              </w:rPr>
            </w:pPr>
          </w:p>
        </w:tc>
        <w:tc>
          <w:tcPr>
            <w:tcW w:w="5" w:type="pct"/>
            <w:shd w:val="clear" w:color="auto" w:fill="auto"/>
          </w:tcPr>
          <w:p w14:paraId="7268F746" w14:textId="77777777" w:rsidR="005F762A" w:rsidRDefault="005F762A">
            <w:pPr>
              <w:rPr>
                <w:rFonts w:ascii="宋体"/>
              </w:rPr>
            </w:pPr>
          </w:p>
        </w:tc>
        <w:tc>
          <w:tcPr>
            <w:tcW w:w="26" w:type="pct"/>
            <w:shd w:val="clear" w:color="auto" w:fill="auto"/>
          </w:tcPr>
          <w:p w14:paraId="7268F747" w14:textId="77777777" w:rsidR="005F762A" w:rsidRDefault="005F762A">
            <w:pPr>
              <w:rPr>
                <w:rFonts w:ascii="宋体"/>
              </w:rPr>
            </w:pPr>
          </w:p>
        </w:tc>
        <w:tc>
          <w:tcPr>
            <w:tcW w:w="5" w:type="pct"/>
            <w:shd w:val="clear" w:color="auto" w:fill="auto"/>
          </w:tcPr>
          <w:p w14:paraId="7268F748" w14:textId="77777777" w:rsidR="005F762A" w:rsidRDefault="005F762A">
            <w:pPr>
              <w:rPr>
                <w:rFonts w:ascii="宋体"/>
              </w:rPr>
            </w:pPr>
          </w:p>
        </w:tc>
        <w:tc>
          <w:tcPr>
            <w:tcW w:w="50" w:type="pct"/>
            <w:shd w:val="clear" w:color="auto" w:fill="auto"/>
          </w:tcPr>
          <w:p w14:paraId="7268F749" w14:textId="77777777" w:rsidR="005F762A" w:rsidRDefault="005F762A">
            <w:pPr>
              <w:rPr>
                <w:rFonts w:ascii="宋体"/>
              </w:rPr>
            </w:pPr>
          </w:p>
        </w:tc>
        <w:tc>
          <w:tcPr>
            <w:tcW w:w="582" w:type="pct"/>
            <w:shd w:val="clear" w:color="auto" w:fill="auto"/>
          </w:tcPr>
          <w:p w14:paraId="7268F74A" w14:textId="77777777" w:rsidR="005F762A" w:rsidRDefault="005F762A">
            <w:pPr>
              <w:rPr>
                <w:rFonts w:ascii="宋体"/>
              </w:rPr>
            </w:pPr>
          </w:p>
        </w:tc>
        <w:tc>
          <w:tcPr>
            <w:tcW w:w="5" w:type="pct"/>
            <w:shd w:val="clear" w:color="auto" w:fill="auto"/>
          </w:tcPr>
          <w:p w14:paraId="7268F74B" w14:textId="77777777" w:rsidR="005F762A" w:rsidRDefault="005F762A">
            <w:pPr>
              <w:rPr>
                <w:rFonts w:ascii="宋体"/>
              </w:rPr>
            </w:pPr>
          </w:p>
        </w:tc>
      </w:tr>
      <w:tr w:rsidR="005F762A" w14:paraId="7268F74F" w14:textId="77777777">
        <w:tc>
          <w:tcPr>
            <w:tcW w:w="0" w:type="auto"/>
            <w:gridSpan w:val="3"/>
            <w:shd w:val="clear" w:color="auto" w:fill="auto"/>
            <w:tcMar>
              <w:top w:w="40" w:type="dxa"/>
              <w:left w:w="20" w:type="dxa"/>
              <w:bottom w:w="40" w:type="dxa"/>
              <w:right w:w="20" w:type="dxa"/>
            </w:tcMar>
            <w:vAlign w:val="bottom"/>
          </w:tcPr>
          <w:p w14:paraId="7268F74D" w14:textId="77777777" w:rsidR="005F762A" w:rsidRDefault="00D74111">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7268F74E" w14:textId="77777777" w:rsidR="005F762A" w:rsidRDefault="00D74111">
            <w:pPr>
              <w:jc w:val="center"/>
              <w:textAlignment w:val="bottom"/>
            </w:pPr>
            <w:r>
              <w:rPr>
                <w:rFonts w:ascii="Arial" w:eastAsia="宋体" w:hAnsi="Arial" w:cs="Arial"/>
                <w:b/>
                <w:bCs/>
                <w:color w:val="000000"/>
                <w:sz w:val="14"/>
                <w:szCs w:val="14"/>
              </w:rPr>
              <w:t>Quarter Ended</w:t>
            </w:r>
          </w:p>
        </w:tc>
      </w:tr>
      <w:tr w:rsidR="005F762A" w14:paraId="7268F758" w14:textId="77777777">
        <w:tc>
          <w:tcPr>
            <w:tcW w:w="0" w:type="auto"/>
            <w:gridSpan w:val="3"/>
            <w:shd w:val="clear" w:color="auto" w:fill="auto"/>
            <w:tcMar>
              <w:top w:w="40" w:type="dxa"/>
              <w:left w:w="20" w:type="dxa"/>
              <w:bottom w:w="40" w:type="dxa"/>
              <w:right w:w="20" w:type="dxa"/>
            </w:tcMar>
            <w:vAlign w:val="bottom"/>
          </w:tcPr>
          <w:p w14:paraId="7268F750" w14:textId="77777777" w:rsidR="005F762A" w:rsidRDefault="00D74111">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751" w14:textId="77777777" w:rsidR="005F762A" w:rsidRDefault="00D74111">
            <w:pPr>
              <w:jc w:val="center"/>
              <w:textAlignment w:val="bottom"/>
            </w:pPr>
            <w:r>
              <w:rPr>
                <w:rFonts w:ascii="Arial" w:eastAsia="宋体" w:hAnsi="Arial" w:cs="Arial"/>
                <w:b/>
                <w:bCs/>
                <w:color w:val="000000"/>
                <w:sz w:val="14"/>
                <w:szCs w:val="14"/>
              </w:rPr>
              <w:t>March 31</w:t>
            </w:r>
          </w:p>
        </w:tc>
        <w:tc>
          <w:tcPr>
            <w:tcW w:w="0" w:type="auto"/>
            <w:gridSpan w:val="3"/>
            <w:tcBorders>
              <w:top w:val="single" w:sz="8" w:space="0" w:color="000000"/>
            </w:tcBorders>
            <w:shd w:val="clear" w:color="auto" w:fill="auto"/>
            <w:tcMar>
              <w:top w:w="0" w:type="dxa"/>
              <w:left w:w="20" w:type="dxa"/>
              <w:bottom w:w="0" w:type="dxa"/>
              <w:right w:w="20" w:type="dxa"/>
            </w:tcMar>
          </w:tcPr>
          <w:p w14:paraId="7268F75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753" w14:textId="77777777" w:rsidR="005F762A" w:rsidRDefault="00D74111">
            <w:pPr>
              <w:jc w:val="center"/>
              <w:textAlignment w:val="bottom"/>
            </w:pPr>
            <w:r>
              <w:rPr>
                <w:rFonts w:ascii="Arial" w:eastAsia="宋体" w:hAnsi="Arial" w:cs="Arial"/>
                <w:b/>
                <w:bCs/>
                <w:color w:val="000000"/>
                <w:sz w:val="14"/>
                <w:szCs w:val="14"/>
              </w:rPr>
              <w:t>June 30</w:t>
            </w:r>
          </w:p>
        </w:tc>
        <w:tc>
          <w:tcPr>
            <w:tcW w:w="0" w:type="auto"/>
            <w:gridSpan w:val="3"/>
            <w:tcBorders>
              <w:top w:val="single" w:sz="8" w:space="0" w:color="000000"/>
            </w:tcBorders>
            <w:shd w:val="clear" w:color="auto" w:fill="auto"/>
            <w:tcMar>
              <w:top w:w="0" w:type="dxa"/>
              <w:left w:w="20" w:type="dxa"/>
              <w:bottom w:w="0" w:type="dxa"/>
              <w:right w:w="20" w:type="dxa"/>
            </w:tcMar>
          </w:tcPr>
          <w:p w14:paraId="7268F75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755" w14:textId="77777777" w:rsidR="005F762A" w:rsidRDefault="00D74111">
            <w:pPr>
              <w:jc w:val="center"/>
              <w:textAlignment w:val="bottom"/>
            </w:pPr>
            <w:r>
              <w:rPr>
                <w:rFonts w:ascii="Arial" w:eastAsia="宋体" w:hAnsi="Arial" w:cs="Arial"/>
                <w:b/>
                <w:bCs/>
                <w:color w:val="000000"/>
                <w:sz w:val="14"/>
                <w:szCs w:val="14"/>
              </w:rPr>
              <w:t>September 30</w:t>
            </w:r>
          </w:p>
        </w:tc>
        <w:tc>
          <w:tcPr>
            <w:tcW w:w="0" w:type="auto"/>
            <w:gridSpan w:val="3"/>
            <w:tcBorders>
              <w:top w:val="single" w:sz="8" w:space="0" w:color="000000"/>
            </w:tcBorders>
            <w:shd w:val="clear" w:color="auto" w:fill="auto"/>
            <w:tcMar>
              <w:top w:w="0" w:type="dxa"/>
              <w:left w:w="20" w:type="dxa"/>
              <w:bottom w:w="0" w:type="dxa"/>
              <w:right w:w="20" w:type="dxa"/>
            </w:tcMar>
          </w:tcPr>
          <w:p w14:paraId="7268F75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757" w14:textId="77777777" w:rsidR="005F762A" w:rsidRDefault="00D74111">
            <w:pPr>
              <w:jc w:val="center"/>
              <w:textAlignment w:val="bottom"/>
            </w:pPr>
            <w:r>
              <w:rPr>
                <w:rFonts w:ascii="Arial" w:eastAsia="宋体" w:hAnsi="Arial" w:cs="Arial"/>
                <w:b/>
                <w:bCs/>
                <w:color w:val="000000"/>
                <w:sz w:val="14"/>
                <w:szCs w:val="14"/>
              </w:rPr>
              <w:t>December 31</w:t>
            </w:r>
          </w:p>
        </w:tc>
      </w:tr>
      <w:tr w:rsidR="005F762A" w14:paraId="7268F761" w14:textId="77777777">
        <w:tc>
          <w:tcPr>
            <w:tcW w:w="0" w:type="auto"/>
            <w:gridSpan w:val="3"/>
            <w:shd w:val="clear" w:color="auto" w:fill="E1E1E1"/>
            <w:tcMar>
              <w:top w:w="40" w:type="dxa"/>
              <w:left w:w="20" w:type="dxa"/>
              <w:bottom w:w="40" w:type="dxa"/>
              <w:right w:w="20" w:type="dxa"/>
            </w:tcMar>
            <w:vAlign w:val="bottom"/>
          </w:tcPr>
          <w:p w14:paraId="7268F759" w14:textId="77777777" w:rsidR="005F762A" w:rsidRDefault="00D74111">
            <w:pP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E1E1E1"/>
            <w:tcMar>
              <w:top w:w="0" w:type="dxa"/>
              <w:left w:w="20" w:type="dxa"/>
              <w:bottom w:w="0" w:type="dxa"/>
              <w:right w:w="20" w:type="dxa"/>
            </w:tcMar>
          </w:tcPr>
          <w:p w14:paraId="7268F75A"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5B" w14:textId="77777777" w:rsidR="005F762A" w:rsidRDefault="005F762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F75C"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5D" w14:textId="77777777" w:rsidR="005F762A" w:rsidRDefault="005F762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F75E"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5F" w14:textId="77777777" w:rsidR="005F762A" w:rsidRDefault="005F762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tcPr>
          <w:p w14:paraId="7268F760" w14:textId="77777777" w:rsidR="005F762A" w:rsidRDefault="005F762A">
            <w:pPr>
              <w:rPr>
                <w:rFonts w:ascii="宋体"/>
              </w:rPr>
            </w:pPr>
          </w:p>
        </w:tc>
      </w:tr>
      <w:tr w:rsidR="005F762A" w14:paraId="7268F772" w14:textId="77777777">
        <w:tc>
          <w:tcPr>
            <w:tcW w:w="0" w:type="auto"/>
            <w:gridSpan w:val="3"/>
            <w:shd w:val="clear" w:color="auto" w:fill="FFFFFF"/>
            <w:tcMar>
              <w:top w:w="40" w:type="dxa"/>
              <w:left w:w="155" w:type="dxa"/>
              <w:bottom w:w="40" w:type="dxa"/>
              <w:right w:w="20" w:type="dxa"/>
            </w:tcMar>
            <w:vAlign w:val="bottom"/>
          </w:tcPr>
          <w:p w14:paraId="7268F762" w14:textId="77777777" w:rsidR="005F762A" w:rsidRDefault="00D74111">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right w:w="0" w:type="dxa"/>
            </w:tcMar>
            <w:vAlign w:val="bottom"/>
          </w:tcPr>
          <w:p w14:paraId="7268F763"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64" w14:textId="77777777" w:rsidR="005F762A" w:rsidRDefault="00D74111">
            <w:pPr>
              <w:jc w:val="right"/>
              <w:textAlignment w:val="bottom"/>
            </w:pPr>
            <w:r>
              <w:rPr>
                <w:rFonts w:ascii="Arial" w:eastAsia="宋体" w:hAnsi="Arial" w:cs="Arial"/>
                <w:color w:val="000000"/>
                <w:sz w:val="16"/>
                <w:szCs w:val="16"/>
              </w:rPr>
              <w:t>2,161 </w:t>
            </w:r>
          </w:p>
        </w:tc>
        <w:tc>
          <w:tcPr>
            <w:tcW w:w="0" w:type="auto"/>
            <w:shd w:val="clear" w:color="auto" w:fill="FFFFFF"/>
            <w:tcMar>
              <w:top w:w="40" w:type="dxa"/>
              <w:left w:w="0" w:type="dxa"/>
              <w:bottom w:w="40" w:type="dxa"/>
              <w:right w:w="20" w:type="dxa"/>
            </w:tcMar>
            <w:vAlign w:val="bottom"/>
          </w:tcPr>
          <w:p w14:paraId="7268F76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66"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67"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68" w14:textId="77777777" w:rsidR="005F762A" w:rsidRDefault="00D74111">
            <w:pPr>
              <w:jc w:val="right"/>
              <w:textAlignment w:val="bottom"/>
            </w:pPr>
            <w:r>
              <w:rPr>
                <w:rFonts w:ascii="Arial" w:eastAsia="宋体" w:hAnsi="Arial" w:cs="Arial"/>
                <w:color w:val="000000"/>
                <w:sz w:val="16"/>
                <w:szCs w:val="16"/>
              </w:rPr>
              <w:t>2,156 </w:t>
            </w:r>
          </w:p>
        </w:tc>
        <w:tc>
          <w:tcPr>
            <w:tcW w:w="0" w:type="auto"/>
            <w:shd w:val="clear" w:color="auto" w:fill="FFFFFF"/>
            <w:tcMar>
              <w:top w:w="40" w:type="dxa"/>
              <w:left w:w="0" w:type="dxa"/>
              <w:bottom w:w="40" w:type="dxa"/>
              <w:right w:w="20" w:type="dxa"/>
            </w:tcMar>
            <w:vAlign w:val="bottom"/>
          </w:tcPr>
          <w:p w14:paraId="7268F76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6A"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6B"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6C" w14:textId="77777777" w:rsidR="005F762A" w:rsidRDefault="00D74111">
            <w:pPr>
              <w:jc w:val="right"/>
              <w:textAlignment w:val="bottom"/>
            </w:pPr>
            <w:r>
              <w:rPr>
                <w:rFonts w:ascii="Arial" w:eastAsia="宋体" w:hAnsi="Arial" w:cs="Arial"/>
                <w:color w:val="000000"/>
                <w:sz w:val="16"/>
                <w:szCs w:val="16"/>
              </w:rPr>
              <w:t>2,083 </w:t>
            </w:r>
          </w:p>
        </w:tc>
        <w:tc>
          <w:tcPr>
            <w:tcW w:w="0" w:type="auto"/>
            <w:shd w:val="clear" w:color="auto" w:fill="FFFFFF"/>
            <w:tcMar>
              <w:top w:w="40" w:type="dxa"/>
              <w:left w:w="0" w:type="dxa"/>
              <w:bottom w:w="40" w:type="dxa"/>
              <w:right w:w="20" w:type="dxa"/>
            </w:tcMar>
            <w:vAlign w:val="bottom"/>
          </w:tcPr>
          <w:p w14:paraId="7268F76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6E"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6F"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70" w14:textId="77777777" w:rsidR="005F762A" w:rsidRDefault="00D74111">
            <w:pPr>
              <w:jc w:val="right"/>
              <w:textAlignment w:val="bottom"/>
            </w:pPr>
            <w:r>
              <w:rPr>
                <w:rFonts w:ascii="Arial" w:eastAsia="宋体" w:hAnsi="Arial" w:cs="Arial"/>
                <w:color w:val="000000"/>
                <w:sz w:val="16"/>
                <w:szCs w:val="16"/>
              </w:rPr>
              <w:t>2,236 </w:t>
            </w:r>
          </w:p>
        </w:tc>
        <w:tc>
          <w:tcPr>
            <w:tcW w:w="0" w:type="auto"/>
            <w:shd w:val="clear" w:color="auto" w:fill="FFFFFF"/>
            <w:tcMar>
              <w:top w:w="40" w:type="dxa"/>
              <w:left w:w="0" w:type="dxa"/>
              <w:bottom w:w="40" w:type="dxa"/>
              <w:right w:w="20" w:type="dxa"/>
            </w:tcMar>
            <w:vAlign w:val="bottom"/>
          </w:tcPr>
          <w:p w14:paraId="7268F771" w14:textId="77777777" w:rsidR="005F762A" w:rsidRDefault="005F762A">
            <w:pPr>
              <w:jc w:val="right"/>
              <w:rPr>
                <w:rFonts w:ascii="宋体"/>
              </w:rPr>
            </w:pPr>
          </w:p>
        </w:tc>
      </w:tr>
      <w:tr w:rsidR="005F762A" w14:paraId="7268F77F" w14:textId="77777777">
        <w:tc>
          <w:tcPr>
            <w:tcW w:w="0" w:type="auto"/>
            <w:gridSpan w:val="3"/>
            <w:shd w:val="clear" w:color="auto" w:fill="E1E1E1"/>
            <w:tcMar>
              <w:top w:w="40" w:type="dxa"/>
              <w:left w:w="155" w:type="dxa"/>
              <w:bottom w:w="40" w:type="dxa"/>
              <w:right w:w="20" w:type="dxa"/>
            </w:tcMar>
            <w:vAlign w:val="bottom"/>
          </w:tcPr>
          <w:p w14:paraId="7268F773" w14:textId="77777777" w:rsidR="005F762A" w:rsidRDefault="00D74111">
            <w:pPr>
              <w:textAlignment w:val="bottom"/>
            </w:pPr>
            <w:r>
              <w:rPr>
                <w:rFonts w:ascii="Arial" w:eastAsia="宋体" w:hAnsi="Arial" w:cs="Arial"/>
                <w:i/>
                <w:iCs/>
                <w:color w:val="000000"/>
                <w:sz w:val="16"/>
                <w:szCs w:val="16"/>
              </w:rPr>
              <w:t>% change from prior quarter</w:t>
            </w:r>
          </w:p>
        </w:tc>
        <w:tc>
          <w:tcPr>
            <w:tcW w:w="0" w:type="auto"/>
            <w:gridSpan w:val="2"/>
            <w:shd w:val="clear" w:color="auto" w:fill="E1E1E1"/>
            <w:tcMar>
              <w:top w:w="40" w:type="dxa"/>
              <w:left w:w="20" w:type="dxa"/>
              <w:bottom w:w="40" w:type="dxa"/>
              <w:right w:w="0" w:type="dxa"/>
            </w:tcMar>
            <w:vAlign w:val="bottom"/>
          </w:tcPr>
          <w:p w14:paraId="7268F774" w14:textId="77777777" w:rsidR="005F762A" w:rsidRDefault="00D74111">
            <w:pPr>
              <w:jc w:val="right"/>
              <w:textAlignment w:val="bottom"/>
            </w:pPr>
            <w:r>
              <w:rPr>
                <w:rFonts w:ascii="Arial" w:eastAsia="宋体" w:hAnsi="Arial" w:cs="Arial"/>
                <w:i/>
                <w:iCs/>
                <w:color w:val="000000"/>
                <w:sz w:val="16"/>
                <w:szCs w:val="16"/>
              </w:rPr>
              <w:t>(6)</w:t>
            </w:r>
          </w:p>
        </w:tc>
        <w:tc>
          <w:tcPr>
            <w:tcW w:w="0" w:type="auto"/>
            <w:shd w:val="clear" w:color="auto" w:fill="E1E1E1"/>
            <w:tcMar>
              <w:top w:w="40" w:type="dxa"/>
              <w:left w:w="0" w:type="dxa"/>
              <w:bottom w:w="40" w:type="dxa"/>
              <w:right w:w="20" w:type="dxa"/>
            </w:tcMar>
            <w:vAlign w:val="bottom"/>
          </w:tcPr>
          <w:p w14:paraId="7268F775"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tcPr>
          <w:p w14:paraId="7268F776"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777" w14:textId="77777777" w:rsidR="005F762A" w:rsidRDefault="00D74111">
            <w:pPr>
              <w:jc w:val="right"/>
              <w:textAlignment w:val="bottom"/>
            </w:pPr>
            <w:r>
              <w:rPr>
                <w:rFonts w:ascii="Arial" w:eastAsia="宋体" w:hAnsi="Arial" w:cs="Arial"/>
                <w:i/>
                <w:iCs/>
                <w:color w:val="000000"/>
                <w:sz w:val="16"/>
                <w:szCs w:val="16"/>
              </w:rPr>
              <w:t>— </w:t>
            </w:r>
          </w:p>
        </w:tc>
        <w:tc>
          <w:tcPr>
            <w:tcW w:w="0" w:type="auto"/>
            <w:shd w:val="clear" w:color="auto" w:fill="E1E1E1"/>
            <w:tcMar>
              <w:top w:w="40" w:type="dxa"/>
              <w:left w:w="0" w:type="dxa"/>
              <w:bottom w:w="40" w:type="dxa"/>
              <w:right w:w="20" w:type="dxa"/>
            </w:tcMar>
            <w:vAlign w:val="bottom"/>
          </w:tcPr>
          <w:p w14:paraId="7268F778"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tcPr>
          <w:p w14:paraId="7268F779"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77A" w14:textId="77777777" w:rsidR="005F762A" w:rsidRDefault="00D74111">
            <w:pPr>
              <w:jc w:val="right"/>
              <w:textAlignment w:val="bottom"/>
            </w:pPr>
            <w:r>
              <w:rPr>
                <w:rFonts w:ascii="Arial" w:eastAsia="宋体" w:hAnsi="Arial" w:cs="Arial"/>
                <w:i/>
                <w:iCs/>
                <w:color w:val="000000"/>
                <w:sz w:val="16"/>
                <w:szCs w:val="16"/>
              </w:rPr>
              <w:t>(3)</w:t>
            </w:r>
          </w:p>
        </w:tc>
        <w:tc>
          <w:tcPr>
            <w:tcW w:w="0" w:type="auto"/>
            <w:shd w:val="clear" w:color="auto" w:fill="E1E1E1"/>
            <w:tcMar>
              <w:top w:w="40" w:type="dxa"/>
              <w:left w:w="0" w:type="dxa"/>
              <w:bottom w:w="40" w:type="dxa"/>
              <w:right w:w="20" w:type="dxa"/>
            </w:tcMar>
            <w:vAlign w:val="bottom"/>
          </w:tcPr>
          <w:p w14:paraId="7268F77B"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tcPr>
          <w:p w14:paraId="7268F77C"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77D" w14:textId="77777777" w:rsidR="005F762A" w:rsidRDefault="00D74111">
            <w:pPr>
              <w:jc w:val="right"/>
              <w:textAlignment w:val="bottom"/>
            </w:pPr>
            <w:r>
              <w:rPr>
                <w:rFonts w:ascii="Arial" w:eastAsia="宋体" w:hAnsi="Arial" w:cs="Arial"/>
                <w:i/>
                <w:iCs/>
                <w:color w:val="000000"/>
                <w:sz w:val="16"/>
                <w:szCs w:val="16"/>
              </w:rPr>
              <w:t>7 </w:t>
            </w:r>
          </w:p>
        </w:tc>
        <w:tc>
          <w:tcPr>
            <w:tcW w:w="0" w:type="auto"/>
            <w:shd w:val="clear" w:color="auto" w:fill="E1E1E1"/>
            <w:tcMar>
              <w:top w:w="40" w:type="dxa"/>
              <w:left w:w="0" w:type="dxa"/>
              <w:bottom w:w="40" w:type="dxa"/>
              <w:right w:w="20" w:type="dxa"/>
            </w:tcMar>
            <w:vAlign w:val="bottom"/>
          </w:tcPr>
          <w:p w14:paraId="7268F77E" w14:textId="77777777" w:rsidR="005F762A" w:rsidRDefault="00D74111">
            <w:pPr>
              <w:jc w:val="right"/>
              <w:textAlignment w:val="bottom"/>
            </w:pPr>
            <w:r>
              <w:rPr>
                <w:rFonts w:ascii="Arial" w:eastAsia="宋体" w:hAnsi="Arial" w:cs="Arial"/>
                <w:i/>
                <w:iCs/>
                <w:color w:val="000000"/>
                <w:sz w:val="16"/>
                <w:szCs w:val="16"/>
              </w:rPr>
              <w:t>%</w:t>
            </w:r>
          </w:p>
        </w:tc>
      </w:tr>
      <w:tr w:rsidR="005F762A" w14:paraId="7268F788" w14:textId="77777777">
        <w:tc>
          <w:tcPr>
            <w:tcW w:w="0" w:type="auto"/>
            <w:gridSpan w:val="3"/>
            <w:shd w:val="clear" w:color="auto" w:fill="FFFFFF"/>
            <w:tcMar>
              <w:top w:w="40" w:type="dxa"/>
              <w:left w:w="20" w:type="dxa"/>
              <w:bottom w:w="40" w:type="dxa"/>
              <w:right w:w="20" w:type="dxa"/>
            </w:tcMar>
            <w:vAlign w:val="bottom"/>
          </w:tcPr>
          <w:p w14:paraId="7268F780" w14:textId="77777777" w:rsidR="005F762A" w:rsidRDefault="00D74111">
            <w:pPr>
              <w:textAlignment w:val="bottom"/>
            </w:pPr>
            <w:r>
              <w:rPr>
                <w:rFonts w:ascii="Arial" w:eastAsia="宋体" w:hAnsi="Arial" w:cs="Arial"/>
                <w:b/>
                <w:bCs/>
                <w:color w:val="000000"/>
                <w:sz w:val="16"/>
                <w:szCs w:val="16"/>
              </w:rPr>
              <w:t>2020</w:t>
            </w:r>
          </w:p>
        </w:tc>
        <w:tc>
          <w:tcPr>
            <w:tcW w:w="0" w:type="auto"/>
            <w:gridSpan w:val="3"/>
            <w:shd w:val="clear" w:color="auto" w:fill="FFFFFF"/>
            <w:tcMar>
              <w:top w:w="0" w:type="dxa"/>
              <w:left w:w="20" w:type="dxa"/>
              <w:bottom w:w="0" w:type="dxa"/>
              <w:right w:w="20" w:type="dxa"/>
            </w:tcMar>
          </w:tcPr>
          <w:p w14:paraId="7268F78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787" w14:textId="77777777" w:rsidR="005F762A" w:rsidRDefault="005F762A">
            <w:pPr>
              <w:rPr>
                <w:rFonts w:ascii="宋体"/>
              </w:rPr>
            </w:pPr>
          </w:p>
        </w:tc>
      </w:tr>
      <w:tr w:rsidR="005F762A" w14:paraId="7268F799" w14:textId="77777777">
        <w:tc>
          <w:tcPr>
            <w:tcW w:w="0" w:type="auto"/>
            <w:gridSpan w:val="3"/>
            <w:shd w:val="clear" w:color="auto" w:fill="E1E1E1"/>
            <w:tcMar>
              <w:top w:w="40" w:type="dxa"/>
              <w:left w:w="155" w:type="dxa"/>
              <w:bottom w:w="40" w:type="dxa"/>
              <w:right w:w="20" w:type="dxa"/>
            </w:tcMar>
            <w:vAlign w:val="bottom"/>
          </w:tcPr>
          <w:p w14:paraId="7268F789" w14:textId="77777777" w:rsidR="005F762A" w:rsidRDefault="00D74111">
            <w:pPr>
              <w:textAlignment w:val="bottom"/>
            </w:pPr>
            <w:r>
              <w:rPr>
                <w:rFonts w:ascii="Arial" w:eastAsia="宋体" w:hAnsi="Arial" w:cs="Arial"/>
                <w:color w:val="000000"/>
                <w:sz w:val="16"/>
                <w:szCs w:val="16"/>
              </w:rPr>
              <w:t>Net revenues</w:t>
            </w:r>
          </w:p>
        </w:tc>
        <w:tc>
          <w:tcPr>
            <w:tcW w:w="0" w:type="auto"/>
            <w:shd w:val="clear" w:color="auto" w:fill="E1E1E1"/>
            <w:tcMar>
              <w:top w:w="40" w:type="dxa"/>
              <w:left w:w="20" w:type="dxa"/>
              <w:bottom w:w="40" w:type="dxa"/>
              <w:right w:w="0" w:type="dxa"/>
            </w:tcMar>
            <w:vAlign w:val="bottom"/>
          </w:tcPr>
          <w:p w14:paraId="7268F78A"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78B" w14:textId="77777777" w:rsidR="005F762A" w:rsidRDefault="00D74111">
            <w:pPr>
              <w:jc w:val="right"/>
              <w:textAlignment w:val="bottom"/>
            </w:pPr>
            <w:r>
              <w:rPr>
                <w:rFonts w:ascii="Arial" w:eastAsia="宋体" w:hAnsi="Arial" w:cs="Arial"/>
                <w:color w:val="000000"/>
                <w:sz w:val="16"/>
                <w:szCs w:val="16"/>
              </w:rPr>
              <w:t>2,129 </w:t>
            </w:r>
          </w:p>
        </w:tc>
        <w:tc>
          <w:tcPr>
            <w:tcW w:w="0" w:type="auto"/>
            <w:shd w:val="clear" w:color="auto" w:fill="E1E1E1"/>
            <w:tcMar>
              <w:top w:w="40" w:type="dxa"/>
              <w:left w:w="0" w:type="dxa"/>
              <w:bottom w:w="40" w:type="dxa"/>
              <w:right w:w="20" w:type="dxa"/>
            </w:tcMar>
            <w:vAlign w:val="bottom"/>
          </w:tcPr>
          <w:p w14:paraId="7268F78C"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78D"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78E"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78F" w14:textId="77777777" w:rsidR="005F762A" w:rsidRDefault="00D74111">
            <w:pPr>
              <w:jc w:val="right"/>
              <w:textAlignment w:val="bottom"/>
            </w:pPr>
            <w:r>
              <w:rPr>
                <w:rFonts w:ascii="Arial" w:eastAsia="宋体" w:hAnsi="Arial" w:cs="Arial"/>
                <w:color w:val="000000"/>
                <w:sz w:val="16"/>
                <w:szCs w:val="16"/>
              </w:rPr>
              <w:t>2,668 </w:t>
            </w:r>
          </w:p>
        </w:tc>
        <w:tc>
          <w:tcPr>
            <w:tcW w:w="0" w:type="auto"/>
            <w:shd w:val="clear" w:color="auto" w:fill="E1E1E1"/>
            <w:tcMar>
              <w:top w:w="40" w:type="dxa"/>
              <w:left w:w="0" w:type="dxa"/>
              <w:bottom w:w="40" w:type="dxa"/>
              <w:right w:w="20" w:type="dxa"/>
            </w:tcMar>
            <w:vAlign w:val="bottom"/>
          </w:tcPr>
          <w:p w14:paraId="7268F790"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791"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792"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793" w14:textId="77777777" w:rsidR="005F762A" w:rsidRDefault="00D74111">
            <w:pPr>
              <w:jc w:val="right"/>
              <w:textAlignment w:val="bottom"/>
            </w:pPr>
            <w:r>
              <w:rPr>
                <w:rFonts w:ascii="Arial" w:eastAsia="宋体" w:hAnsi="Arial" w:cs="Arial"/>
                <w:color w:val="000000"/>
                <w:sz w:val="16"/>
                <w:szCs w:val="16"/>
              </w:rPr>
              <w:t>2,606 </w:t>
            </w:r>
          </w:p>
        </w:tc>
        <w:tc>
          <w:tcPr>
            <w:tcW w:w="0" w:type="auto"/>
            <w:shd w:val="clear" w:color="auto" w:fill="E1E1E1"/>
            <w:tcMar>
              <w:top w:w="40" w:type="dxa"/>
              <w:left w:w="0" w:type="dxa"/>
              <w:bottom w:w="40" w:type="dxa"/>
              <w:right w:w="20" w:type="dxa"/>
            </w:tcMar>
            <w:vAlign w:val="bottom"/>
          </w:tcPr>
          <w:p w14:paraId="7268F794"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795"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796"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797" w14:textId="77777777" w:rsidR="005F762A" w:rsidRDefault="00D74111">
            <w:pPr>
              <w:jc w:val="right"/>
              <w:textAlignment w:val="bottom"/>
            </w:pPr>
            <w:r>
              <w:rPr>
                <w:rFonts w:ascii="Arial" w:eastAsia="宋体" w:hAnsi="Arial" w:cs="Arial"/>
                <w:color w:val="000000"/>
                <w:sz w:val="16"/>
                <w:szCs w:val="16"/>
              </w:rPr>
              <w:t>2,868 </w:t>
            </w:r>
          </w:p>
        </w:tc>
        <w:tc>
          <w:tcPr>
            <w:tcW w:w="0" w:type="auto"/>
            <w:shd w:val="clear" w:color="auto" w:fill="E1E1E1"/>
            <w:tcMar>
              <w:top w:w="40" w:type="dxa"/>
              <w:left w:w="0" w:type="dxa"/>
              <w:bottom w:w="40" w:type="dxa"/>
              <w:right w:w="20" w:type="dxa"/>
            </w:tcMar>
            <w:vAlign w:val="bottom"/>
          </w:tcPr>
          <w:p w14:paraId="7268F798" w14:textId="77777777" w:rsidR="005F762A" w:rsidRDefault="005F762A">
            <w:pPr>
              <w:jc w:val="right"/>
              <w:rPr>
                <w:rFonts w:ascii="宋体"/>
              </w:rPr>
            </w:pPr>
          </w:p>
        </w:tc>
      </w:tr>
      <w:tr w:rsidR="005F762A" w14:paraId="7268F7A6" w14:textId="77777777">
        <w:tc>
          <w:tcPr>
            <w:tcW w:w="0" w:type="auto"/>
            <w:gridSpan w:val="3"/>
            <w:shd w:val="clear" w:color="auto" w:fill="FFFFFF"/>
            <w:tcMar>
              <w:top w:w="40" w:type="dxa"/>
              <w:left w:w="155" w:type="dxa"/>
              <w:bottom w:w="40" w:type="dxa"/>
              <w:right w:w="20" w:type="dxa"/>
            </w:tcMar>
            <w:vAlign w:val="bottom"/>
          </w:tcPr>
          <w:p w14:paraId="7268F79A" w14:textId="77777777" w:rsidR="005F762A" w:rsidRDefault="00D74111">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7268F79B" w14:textId="77777777" w:rsidR="005F762A" w:rsidRDefault="00D74111">
            <w:pPr>
              <w:jc w:val="right"/>
              <w:textAlignment w:val="bottom"/>
            </w:pPr>
            <w:r>
              <w:rPr>
                <w:rFonts w:ascii="Arial" w:eastAsia="宋体" w:hAnsi="Arial" w:cs="Arial"/>
                <w:i/>
                <w:iCs/>
                <w:color w:val="000000"/>
                <w:sz w:val="16"/>
                <w:szCs w:val="16"/>
              </w:rPr>
              <w:t>(5)</w:t>
            </w:r>
          </w:p>
        </w:tc>
        <w:tc>
          <w:tcPr>
            <w:tcW w:w="0" w:type="auto"/>
            <w:shd w:val="clear" w:color="auto" w:fill="FFFFFF"/>
            <w:tcMar>
              <w:top w:w="40" w:type="dxa"/>
              <w:left w:w="0" w:type="dxa"/>
              <w:bottom w:w="40" w:type="dxa"/>
              <w:right w:w="20" w:type="dxa"/>
            </w:tcMar>
            <w:vAlign w:val="bottom"/>
          </w:tcPr>
          <w:p w14:paraId="7268F79C"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79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79E" w14:textId="77777777" w:rsidR="005F762A" w:rsidRDefault="00D74111">
            <w:pPr>
              <w:jc w:val="right"/>
              <w:textAlignment w:val="bottom"/>
            </w:pPr>
            <w:r>
              <w:rPr>
                <w:rFonts w:ascii="Arial" w:eastAsia="宋体" w:hAnsi="Arial" w:cs="Arial"/>
                <w:i/>
                <w:iCs/>
                <w:color w:val="000000"/>
                <w:sz w:val="16"/>
                <w:szCs w:val="16"/>
              </w:rPr>
              <w:t>25 </w:t>
            </w:r>
          </w:p>
        </w:tc>
        <w:tc>
          <w:tcPr>
            <w:tcW w:w="0" w:type="auto"/>
            <w:shd w:val="clear" w:color="auto" w:fill="FFFFFF"/>
            <w:tcMar>
              <w:top w:w="40" w:type="dxa"/>
              <w:left w:w="0" w:type="dxa"/>
              <w:bottom w:w="40" w:type="dxa"/>
              <w:right w:w="20" w:type="dxa"/>
            </w:tcMar>
            <w:vAlign w:val="bottom"/>
          </w:tcPr>
          <w:p w14:paraId="7268F79F"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7A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7A1" w14:textId="77777777" w:rsidR="005F762A" w:rsidRDefault="00D74111">
            <w:pPr>
              <w:jc w:val="right"/>
              <w:textAlignment w:val="bottom"/>
            </w:pPr>
            <w:r>
              <w:rPr>
                <w:rFonts w:ascii="Arial" w:eastAsia="宋体" w:hAnsi="Arial" w:cs="Arial"/>
                <w:i/>
                <w:iCs/>
                <w:color w:val="000000"/>
                <w:sz w:val="16"/>
                <w:szCs w:val="16"/>
              </w:rPr>
              <w:t>(2)</w:t>
            </w:r>
          </w:p>
        </w:tc>
        <w:tc>
          <w:tcPr>
            <w:tcW w:w="0" w:type="auto"/>
            <w:shd w:val="clear" w:color="auto" w:fill="FFFFFF"/>
            <w:tcMar>
              <w:top w:w="40" w:type="dxa"/>
              <w:left w:w="0" w:type="dxa"/>
              <w:bottom w:w="40" w:type="dxa"/>
              <w:right w:w="20" w:type="dxa"/>
            </w:tcMar>
            <w:vAlign w:val="bottom"/>
          </w:tcPr>
          <w:p w14:paraId="7268F7A2"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7A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7A4" w14:textId="77777777" w:rsidR="005F762A" w:rsidRDefault="00D74111">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left w:w="0" w:type="dxa"/>
              <w:bottom w:w="40" w:type="dxa"/>
              <w:right w:w="20" w:type="dxa"/>
            </w:tcMar>
            <w:vAlign w:val="bottom"/>
          </w:tcPr>
          <w:p w14:paraId="7268F7A5" w14:textId="77777777" w:rsidR="005F762A" w:rsidRDefault="00D74111">
            <w:pPr>
              <w:jc w:val="right"/>
              <w:textAlignment w:val="bottom"/>
            </w:pPr>
            <w:r>
              <w:rPr>
                <w:rFonts w:ascii="Arial" w:eastAsia="宋体" w:hAnsi="Arial" w:cs="Arial"/>
                <w:i/>
                <w:iCs/>
                <w:color w:val="000000"/>
                <w:sz w:val="16"/>
                <w:szCs w:val="16"/>
              </w:rPr>
              <w:t>%</w:t>
            </w:r>
          </w:p>
        </w:tc>
      </w:tr>
      <w:tr w:rsidR="005F762A" w14:paraId="7268F7AF" w14:textId="77777777">
        <w:tc>
          <w:tcPr>
            <w:tcW w:w="0" w:type="auto"/>
            <w:gridSpan w:val="3"/>
            <w:shd w:val="clear" w:color="auto" w:fill="E1E1E1"/>
            <w:tcMar>
              <w:top w:w="40" w:type="dxa"/>
              <w:left w:w="20" w:type="dxa"/>
              <w:bottom w:w="40" w:type="dxa"/>
              <w:right w:w="20" w:type="dxa"/>
            </w:tcMar>
            <w:vAlign w:val="bottom"/>
          </w:tcPr>
          <w:p w14:paraId="7268F7A7" w14:textId="77777777" w:rsidR="005F762A" w:rsidRDefault="00D74111">
            <w:pPr>
              <w:textAlignment w:val="bottom"/>
            </w:pPr>
            <w:r>
              <w:rPr>
                <w:rFonts w:ascii="Arial" w:eastAsia="宋体" w:hAnsi="Arial" w:cs="Arial"/>
                <w:b/>
                <w:bCs/>
                <w:color w:val="000000"/>
                <w:sz w:val="16"/>
                <w:szCs w:val="16"/>
              </w:rPr>
              <w:t>2021</w:t>
            </w:r>
          </w:p>
        </w:tc>
        <w:tc>
          <w:tcPr>
            <w:tcW w:w="0" w:type="auto"/>
            <w:gridSpan w:val="3"/>
            <w:shd w:val="clear" w:color="auto" w:fill="E1E1E1"/>
            <w:tcMar>
              <w:top w:w="0" w:type="dxa"/>
              <w:left w:w="20" w:type="dxa"/>
              <w:bottom w:w="0" w:type="dxa"/>
              <w:right w:w="20" w:type="dxa"/>
            </w:tcMar>
          </w:tcPr>
          <w:p w14:paraId="7268F7A8"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9"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A"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B"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C"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D"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AE" w14:textId="77777777" w:rsidR="005F762A" w:rsidRDefault="005F762A">
            <w:pPr>
              <w:rPr>
                <w:rFonts w:ascii="宋体"/>
              </w:rPr>
            </w:pPr>
          </w:p>
        </w:tc>
      </w:tr>
      <w:tr w:rsidR="005F762A" w14:paraId="7268F7C0" w14:textId="77777777">
        <w:tc>
          <w:tcPr>
            <w:tcW w:w="0" w:type="auto"/>
            <w:gridSpan w:val="3"/>
            <w:shd w:val="clear" w:color="auto" w:fill="FFFFFF"/>
            <w:tcMar>
              <w:top w:w="40" w:type="dxa"/>
              <w:left w:w="155" w:type="dxa"/>
              <w:bottom w:w="40" w:type="dxa"/>
              <w:right w:w="20" w:type="dxa"/>
            </w:tcMar>
            <w:vAlign w:val="bottom"/>
          </w:tcPr>
          <w:p w14:paraId="7268F7B0" w14:textId="77777777" w:rsidR="005F762A" w:rsidRDefault="00D74111">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right w:w="0" w:type="dxa"/>
            </w:tcMar>
            <w:vAlign w:val="bottom"/>
          </w:tcPr>
          <w:p w14:paraId="7268F7B1"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B2" w14:textId="77777777" w:rsidR="005F762A" w:rsidRDefault="00D74111">
            <w:pPr>
              <w:jc w:val="right"/>
              <w:textAlignment w:val="bottom"/>
            </w:pPr>
            <w:r>
              <w:rPr>
                <w:rFonts w:ascii="Arial" w:eastAsia="宋体" w:hAnsi="Arial" w:cs="Arial"/>
                <w:color w:val="000000"/>
                <w:sz w:val="16"/>
                <w:szCs w:val="16"/>
              </w:rPr>
              <w:t>3,023 </w:t>
            </w:r>
          </w:p>
        </w:tc>
        <w:tc>
          <w:tcPr>
            <w:tcW w:w="0" w:type="auto"/>
            <w:shd w:val="clear" w:color="auto" w:fill="FFFFFF"/>
            <w:tcMar>
              <w:top w:w="40" w:type="dxa"/>
              <w:left w:w="0" w:type="dxa"/>
              <w:bottom w:w="40" w:type="dxa"/>
              <w:right w:w="20" w:type="dxa"/>
            </w:tcMar>
            <w:vAlign w:val="bottom"/>
          </w:tcPr>
          <w:p w14:paraId="7268F7B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B4"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B5"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B6"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7B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B8"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B9"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BA"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7B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7BC"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7BD"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7BE"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268F7BF" w14:textId="77777777" w:rsidR="005F762A" w:rsidRDefault="005F762A">
            <w:pPr>
              <w:jc w:val="right"/>
              <w:rPr>
                <w:rFonts w:ascii="宋体"/>
              </w:rPr>
            </w:pPr>
          </w:p>
        </w:tc>
      </w:tr>
      <w:tr w:rsidR="005F762A" w14:paraId="7268F7CA" w14:textId="77777777">
        <w:tc>
          <w:tcPr>
            <w:tcW w:w="0" w:type="auto"/>
            <w:gridSpan w:val="3"/>
            <w:shd w:val="clear" w:color="auto" w:fill="E1E1E1"/>
            <w:tcMar>
              <w:top w:w="40" w:type="dxa"/>
              <w:left w:w="155" w:type="dxa"/>
              <w:bottom w:w="40" w:type="dxa"/>
              <w:right w:w="20" w:type="dxa"/>
            </w:tcMar>
            <w:vAlign w:val="bottom"/>
          </w:tcPr>
          <w:p w14:paraId="7268F7C1" w14:textId="77777777" w:rsidR="005F762A" w:rsidRDefault="00D74111">
            <w:pPr>
              <w:textAlignment w:val="bottom"/>
            </w:pPr>
            <w:r>
              <w:rPr>
                <w:rFonts w:ascii="Arial" w:eastAsia="宋体" w:hAnsi="Arial" w:cs="Arial"/>
                <w:i/>
                <w:iCs/>
                <w:color w:val="000000"/>
                <w:sz w:val="16"/>
                <w:szCs w:val="16"/>
              </w:rPr>
              <w:t>% change from prior quarter</w:t>
            </w:r>
          </w:p>
        </w:tc>
        <w:tc>
          <w:tcPr>
            <w:tcW w:w="0" w:type="auto"/>
            <w:gridSpan w:val="2"/>
            <w:shd w:val="clear" w:color="auto" w:fill="E1E1E1"/>
            <w:tcMar>
              <w:top w:w="40" w:type="dxa"/>
              <w:left w:w="20" w:type="dxa"/>
              <w:bottom w:w="40" w:type="dxa"/>
              <w:right w:w="0" w:type="dxa"/>
            </w:tcMar>
            <w:vAlign w:val="bottom"/>
          </w:tcPr>
          <w:p w14:paraId="7268F7C2" w14:textId="77777777" w:rsidR="005F762A" w:rsidRDefault="00D74111">
            <w:pPr>
              <w:jc w:val="right"/>
              <w:textAlignment w:val="bottom"/>
            </w:pPr>
            <w:r>
              <w:rPr>
                <w:rFonts w:ascii="Arial" w:eastAsia="宋体" w:hAnsi="Arial" w:cs="Arial"/>
                <w:i/>
                <w:iCs/>
                <w:color w:val="000000"/>
                <w:sz w:val="16"/>
                <w:szCs w:val="16"/>
              </w:rPr>
              <w:t>5 </w:t>
            </w:r>
          </w:p>
        </w:tc>
        <w:tc>
          <w:tcPr>
            <w:tcW w:w="0" w:type="auto"/>
            <w:shd w:val="clear" w:color="auto" w:fill="E1E1E1"/>
            <w:tcMar>
              <w:top w:w="40" w:type="dxa"/>
              <w:left w:w="0" w:type="dxa"/>
              <w:bottom w:w="40" w:type="dxa"/>
              <w:right w:w="20" w:type="dxa"/>
            </w:tcMar>
            <w:vAlign w:val="bottom"/>
          </w:tcPr>
          <w:p w14:paraId="7268F7C3"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tcPr>
          <w:p w14:paraId="7268F7C4"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C5"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C6"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C7"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C8"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7C9" w14:textId="77777777" w:rsidR="005F762A" w:rsidRDefault="005F762A">
            <w:pPr>
              <w:rPr>
                <w:rFonts w:ascii="宋体"/>
              </w:rPr>
            </w:pPr>
          </w:p>
        </w:tc>
      </w:tr>
    </w:tbl>
    <w:p w14:paraId="7268F7CB" w14:textId="77777777" w:rsidR="005F762A" w:rsidRDefault="005F762A">
      <w:pPr>
        <w:ind w:firstLine="270"/>
        <w:jc w:val="both"/>
      </w:pPr>
    </w:p>
    <w:p w14:paraId="7268F7CC" w14:textId="77777777" w:rsidR="005F762A" w:rsidRDefault="00D74111">
      <w:pPr>
        <w:ind w:firstLine="270"/>
        <w:jc w:val="both"/>
      </w:pPr>
      <w:r>
        <w:rPr>
          <w:rFonts w:ascii="Arial" w:eastAsia="宋体" w:hAnsi="Arial" w:cs="Arial"/>
          <w:b/>
          <w:bCs/>
          <w:color w:val="000000"/>
          <w:sz w:val="20"/>
          <w:szCs w:val="20"/>
        </w:rPr>
        <w:t>Net Revenues by Geography</w:t>
      </w:r>
    </w:p>
    <w:p w14:paraId="7268F7CD" w14:textId="77777777" w:rsidR="005F762A" w:rsidRDefault="005F762A">
      <w:pPr>
        <w:ind w:firstLine="540"/>
        <w:jc w:val="both"/>
      </w:pPr>
    </w:p>
    <w:p w14:paraId="7268F7CE" w14:textId="77777777" w:rsidR="005F762A" w:rsidRDefault="00D74111">
      <w:pPr>
        <w:ind w:firstLine="540"/>
        <w:jc w:val="both"/>
      </w:pPr>
      <w:r>
        <w:rPr>
          <w:rFonts w:ascii="Arial" w:eastAsia="宋体" w:hAnsi="Arial" w:cs="Arial"/>
          <w:color w:val="000000"/>
          <w:sz w:val="20"/>
          <w:szCs w:val="20"/>
        </w:rPr>
        <w:t xml:space="preserve">Revenues are attributed to U.S. and international geographies primarily based upon </w:t>
      </w:r>
      <w:r>
        <w:rPr>
          <w:rFonts w:ascii="Arial" w:eastAsia="宋体" w:hAnsi="Arial" w:cs="Arial"/>
          <w:color w:val="000000"/>
          <w:sz w:val="20"/>
          <w:szCs w:val="20"/>
        </w:rPr>
        <w:t>the country in which the seller, platform that displays advertising, other service provider or customer, as the case may be, is located. The following table presents net revenues by geography for the periods presented (in millions, except percentages):</w:t>
      </w:r>
    </w:p>
    <w:p w14:paraId="7268F7CF" w14:textId="77777777" w:rsidR="005F762A" w:rsidRDefault="005F762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5101"/>
        <w:gridCol w:w="37"/>
        <w:gridCol w:w="36"/>
        <w:gridCol w:w="36"/>
        <w:gridCol w:w="36"/>
        <w:gridCol w:w="46"/>
        <w:gridCol w:w="36"/>
        <w:gridCol w:w="36"/>
        <w:gridCol w:w="36"/>
        <w:gridCol w:w="36"/>
        <w:gridCol w:w="109"/>
        <w:gridCol w:w="570"/>
        <w:gridCol w:w="163"/>
        <w:gridCol w:w="37"/>
        <w:gridCol w:w="94"/>
        <w:gridCol w:w="36"/>
        <w:gridCol w:w="109"/>
        <w:gridCol w:w="660"/>
        <w:gridCol w:w="163"/>
        <w:gridCol w:w="36"/>
        <w:gridCol w:w="36"/>
        <w:gridCol w:w="36"/>
        <w:gridCol w:w="62"/>
        <w:gridCol w:w="587"/>
        <w:gridCol w:w="163"/>
      </w:tblGrid>
      <w:tr w:rsidR="005F762A" w14:paraId="7268F7EA" w14:textId="77777777">
        <w:tc>
          <w:tcPr>
            <w:tcW w:w="50" w:type="pct"/>
            <w:shd w:val="clear" w:color="auto" w:fill="auto"/>
          </w:tcPr>
          <w:p w14:paraId="7268F7D0" w14:textId="77777777" w:rsidR="005F762A" w:rsidRDefault="005F762A">
            <w:pPr>
              <w:rPr>
                <w:rFonts w:ascii="宋体"/>
              </w:rPr>
            </w:pPr>
          </w:p>
        </w:tc>
        <w:tc>
          <w:tcPr>
            <w:tcW w:w="3234" w:type="pct"/>
            <w:shd w:val="clear" w:color="auto" w:fill="auto"/>
          </w:tcPr>
          <w:p w14:paraId="7268F7D1" w14:textId="77777777" w:rsidR="005F762A" w:rsidRDefault="005F762A">
            <w:pPr>
              <w:rPr>
                <w:rFonts w:ascii="宋体"/>
              </w:rPr>
            </w:pPr>
          </w:p>
        </w:tc>
        <w:tc>
          <w:tcPr>
            <w:tcW w:w="5" w:type="pct"/>
            <w:shd w:val="clear" w:color="auto" w:fill="auto"/>
          </w:tcPr>
          <w:p w14:paraId="7268F7D2" w14:textId="77777777" w:rsidR="005F762A" w:rsidRDefault="005F762A">
            <w:pPr>
              <w:rPr>
                <w:rFonts w:ascii="宋体"/>
              </w:rPr>
            </w:pPr>
          </w:p>
        </w:tc>
        <w:tc>
          <w:tcPr>
            <w:tcW w:w="0" w:type="auto"/>
            <w:shd w:val="clear" w:color="auto" w:fill="auto"/>
          </w:tcPr>
          <w:p w14:paraId="7268F7D3" w14:textId="77777777" w:rsidR="005F762A" w:rsidRDefault="005F762A">
            <w:pPr>
              <w:rPr>
                <w:rFonts w:ascii="宋体"/>
                <w:vanish/>
              </w:rPr>
            </w:pPr>
          </w:p>
        </w:tc>
        <w:tc>
          <w:tcPr>
            <w:tcW w:w="0" w:type="auto"/>
            <w:shd w:val="clear" w:color="auto" w:fill="auto"/>
          </w:tcPr>
          <w:p w14:paraId="7268F7D4" w14:textId="77777777" w:rsidR="005F762A" w:rsidRDefault="005F762A">
            <w:pPr>
              <w:rPr>
                <w:rFonts w:ascii="宋体"/>
                <w:vanish/>
              </w:rPr>
            </w:pPr>
          </w:p>
        </w:tc>
        <w:tc>
          <w:tcPr>
            <w:tcW w:w="0" w:type="auto"/>
            <w:shd w:val="clear" w:color="auto" w:fill="auto"/>
          </w:tcPr>
          <w:p w14:paraId="7268F7D5" w14:textId="77777777" w:rsidR="005F762A" w:rsidRDefault="005F762A">
            <w:pPr>
              <w:rPr>
                <w:rFonts w:ascii="宋体"/>
                <w:vanish/>
              </w:rPr>
            </w:pPr>
          </w:p>
        </w:tc>
        <w:tc>
          <w:tcPr>
            <w:tcW w:w="0" w:type="auto"/>
            <w:shd w:val="clear" w:color="auto" w:fill="auto"/>
          </w:tcPr>
          <w:p w14:paraId="7268F7D6" w14:textId="77777777" w:rsidR="005F762A" w:rsidRDefault="005F762A">
            <w:pPr>
              <w:rPr>
                <w:rFonts w:ascii="宋体"/>
                <w:vanish/>
              </w:rPr>
            </w:pPr>
          </w:p>
        </w:tc>
        <w:tc>
          <w:tcPr>
            <w:tcW w:w="0" w:type="auto"/>
            <w:shd w:val="clear" w:color="auto" w:fill="auto"/>
          </w:tcPr>
          <w:p w14:paraId="7268F7D7" w14:textId="77777777" w:rsidR="005F762A" w:rsidRDefault="005F762A">
            <w:pPr>
              <w:rPr>
                <w:rFonts w:ascii="宋体"/>
                <w:vanish/>
              </w:rPr>
            </w:pPr>
          </w:p>
        </w:tc>
        <w:tc>
          <w:tcPr>
            <w:tcW w:w="5" w:type="pct"/>
            <w:shd w:val="clear" w:color="auto" w:fill="auto"/>
          </w:tcPr>
          <w:p w14:paraId="7268F7D8" w14:textId="77777777" w:rsidR="005F762A" w:rsidRDefault="005F762A">
            <w:pPr>
              <w:rPr>
                <w:rFonts w:ascii="宋体"/>
              </w:rPr>
            </w:pPr>
          </w:p>
        </w:tc>
        <w:tc>
          <w:tcPr>
            <w:tcW w:w="26" w:type="pct"/>
            <w:shd w:val="clear" w:color="auto" w:fill="auto"/>
          </w:tcPr>
          <w:p w14:paraId="7268F7D9" w14:textId="77777777" w:rsidR="005F762A" w:rsidRDefault="005F762A">
            <w:pPr>
              <w:rPr>
                <w:rFonts w:ascii="宋体"/>
              </w:rPr>
            </w:pPr>
          </w:p>
        </w:tc>
        <w:tc>
          <w:tcPr>
            <w:tcW w:w="5" w:type="pct"/>
            <w:shd w:val="clear" w:color="auto" w:fill="auto"/>
          </w:tcPr>
          <w:p w14:paraId="7268F7DA" w14:textId="77777777" w:rsidR="005F762A" w:rsidRDefault="005F762A">
            <w:pPr>
              <w:rPr>
                <w:rFonts w:ascii="宋体"/>
              </w:rPr>
            </w:pPr>
          </w:p>
        </w:tc>
        <w:tc>
          <w:tcPr>
            <w:tcW w:w="50" w:type="pct"/>
            <w:shd w:val="clear" w:color="auto" w:fill="auto"/>
          </w:tcPr>
          <w:p w14:paraId="7268F7DB" w14:textId="77777777" w:rsidR="005F762A" w:rsidRDefault="005F762A">
            <w:pPr>
              <w:rPr>
                <w:rFonts w:ascii="宋体"/>
              </w:rPr>
            </w:pPr>
          </w:p>
        </w:tc>
        <w:tc>
          <w:tcPr>
            <w:tcW w:w="478" w:type="pct"/>
            <w:shd w:val="clear" w:color="auto" w:fill="auto"/>
          </w:tcPr>
          <w:p w14:paraId="7268F7DC" w14:textId="77777777" w:rsidR="005F762A" w:rsidRDefault="005F762A">
            <w:pPr>
              <w:rPr>
                <w:rFonts w:ascii="宋体"/>
              </w:rPr>
            </w:pPr>
          </w:p>
        </w:tc>
        <w:tc>
          <w:tcPr>
            <w:tcW w:w="5" w:type="pct"/>
            <w:shd w:val="clear" w:color="auto" w:fill="auto"/>
          </w:tcPr>
          <w:p w14:paraId="7268F7DD" w14:textId="77777777" w:rsidR="005F762A" w:rsidRDefault="005F762A">
            <w:pPr>
              <w:rPr>
                <w:rFonts w:ascii="宋体"/>
              </w:rPr>
            </w:pPr>
          </w:p>
        </w:tc>
        <w:tc>
          <w:tcPr>
            <w:tcW w:w="5" w:type="pct"/>
            <w:shd w:val="clear" w:color="auto" w:fill="auto"/>
          </w:tcPr>
          <w:p w14:paraId="7268F7DE" w14:textId="77777777" w:rsidR="005F762A" w:rsidRDefault="005F762A">
            <w:pPr>
              <w:rPr>
                <w:rFonts w:ascii="宋体"/>
              </w:rPr>
            </w:pPr>
          </w:p>
        </w:tc>
        <w:tc>
          <w:tcPr>
            <w:tcW w:w="26" w:type="pct"/>
            <w:shd w:val="clear" w:color="auto" w:fill="auto"/>
          </w:tcPr>
          <w:p w14:paraId="7268F7DF" w14:textId="77777777" w:rsidR="005F762A" w:rsidRDefault="005F762A">
            <w:pPr>
              <w:rPr>
                <w:rFonts w:ascii="宋体"/>
              </w:rPr>
            </w:pPr>
          </w:p>
        </w:tc>
        <w:tc>
          <w:tcPr>
            <w:tcW w:w="5" w:type="pct"/>
            <w:shd w:val="clear" w:color="auto" w:fill="auto"/>
          </w:tcPr>
          <w:p w14:paraId="7268F7E0" w14:textId="77777777" w:rsidR="005F762A" w:rsidRDefault="005F762A">
            <w:pPr>
              <w:rPr>
                <w:rFonts w:ascii="宋体"/>
              </w:rPr>
            </w:pPr>
          </w:p>
        </w:tc>
        <w:tc>
          <w:tcPr>
            <w:tcW w:w="50" w:type="pct"/>
            <w:shd w:val="clear" w:color="auto" w:fill="auto"/>
          </w:tcPr>
          <w:p w14:paraId="7268F7E1" w14:textId="77777777" w:rsidR="005F762A" w:rsidRDefault="005F762A">
            <w:pPr>
              <w:rPr>
                <w:rFonts w:ascii="宋体"/>
              </w:rPr>
            </w:pPr>
          </w:p>
        </w:tc>
        <w:tc>
          <w:tcPr>
            <w:tcW w:w="478" w:type="pct"/>
            <w:shd w:val="clear" w:color="auto" w:fill="auto"/>
          </w:tcPr>
          <w:p w14:paraId="7268F7E2" w14:textId="77777777" w:rsidR="005F762A" w:rsidRDefault="005F762A">
            <w:pPr>
              <w:rPr>
                <w:rFonts w:ascii="宋体"/>
              </w:rPr>
            </w:pPr>
          </w:p>
        </w:tc>
        <w:tc>
          <w:tcPr>
            <w:tcW w:w="5" w:type="pct"/>
            <w:shd w:val="clear" w:color="auto" w:fill="auto"/>
          </w:tcPr>
          <w:p w14:paraId="7268F7E3" w14:textId="77777777" w:rsidR="005F762A" w:rsidRDefault="005F762A">
            <w:pPr>
              <w:rPr>
                <w:rFonts w:ascii="宋体"/>
              </w:rPr>
            </w:pPr>
          </w:p>
        </w:tc>
        <w:tc>
          <w:tcPr>
            <w:tcW w:w="5" w:type="pct"/>
            <w:shd w:val="clear" w:color="auto" w:fill="auto"/>
          </w:tcPr>
          <w:p w14:paraId="7268F7E4" w14:textId="77777777" w:rsidR="005F762A" w:rsidRDefault="005F762A">
            <w:pPr>
              <w:rPr>
                <w:rFonts w:ascii="宋体"/>
              </w:rPr>
            </w:pPr>
          </w:p>
        </w:tc>
        <w:tc>
          <w:tcPr>
            <w:tcW w:w="26" w:type="pct"/>
            <w:shd w:val="clear" w:color="auto" w:fill="auto"/>
          </w:tcPr>
          <w:p w14:paraId="7268F7E5" w14:textId="77777777" w:rsidR="005F762A" w:rsidRDefault="005F762A">
            <w:pPr>
              <w:rPr>
                <w:rFonts w:ascii="宋体"/>
              </w:rPr>
            </w:pPr>
          </w:p>
        </w:tc>
        <w:tc>
          <w:tcPr>
            <w:tcW w:w="5" w:type="pct"/>
            <w:shd w:val="clear" w:color="auto" w:fill="auto"/>
          </w:tcPr>
          <w:p w14:paraId="7268F7E6" w14:textId="77777777" w:rsidR="005F762A" w:rsidRDefault="005F762A">
            <w:pPr>
              <w:rPr>
                <w:rFonts w:ascii="宋体"/>
              </w:rPr>
            </w:pPr>
          </w:p>
        </w:tc>
        <w:tc>
          <w:tcPr>
            <w:tcW w:w="50" w:type="pct"/>
            <w:shd w:val="clear" w:color="auto" w:fill="auto"/>
          </w:tcPr>
          <w:p w14:paraId="7268F7E7" w14:textId="77777777" w:rsidR="005F762A" w:rsidRDefault="005F762A">
            <w:pPr>
              <w:rPr>
                <w:rFonts w:ascii="宋体"/>
              </w:rPr>
            </w:pPr>
          </w:p>
        </w:tc>
        <w:tc>
          <w:tcPr>
            <w:tcW w:w="478" w:type="pct"/>
            <w:shd w:val="clear" w:color="auto" w:fill="auto"/>
          </w:tcPr>
          <w:p w14:paraId="7268F7E8" w14:textId="77777777" w:rsidR="005F762A" w:rsidRDefault="005F762A">
            <w:pPr>
              <w:rPr>
                <w:rFonts w:ascii="宋体"/>
              </w:rPr>
            </w:pPr>
          </w:p>
        </w:tc>
        <w:tc>
          <w:tcPr>
            <w:tcW w:w="5" w:type="pct"/>
            <w:shd w:val="clear" w:color="auto" w:fill="auto"/>
          </w:tcPr>
          <w:p w14:paraId="7268F7E9" w14:textId="77777777" w:rsidR="005F762A" w:rsidRDefault="005F762A">
            <w:pPr>
              <w:rPr>
                <w:rFonts w:ascii="宋体"/>
              </w:rPr>
            </w:pPr>
          </w:p>
        </w:tc>
      </w:tr>
      <w:tr w:rsidR="005F762A" w14:paraId="7268F7F9" w14:textId="77777777">
        <w:tc>
          <w:tcPr>
            <w:tcW w:w="0" w:type="auto"/>
            <w:gridSpan w:val="3"/>
            <w:shd w:val="clear" w:color="auto" w:fill="auto"/>
            <w:tcMar>
              <w:top w:w="40" w:type="dxa"/>
              <w:left w:w="380" w:type="dxa"/>
              <w:bottom w:w="40" w:type="dxa"/>
              <w:right w:w="20" w:type="dxa"/>
            </w:tcMar>
            <w:vAlign w:val="bottom"/>
          </w:tcPr>
          <w:p w14:paraId="7268F7EB"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7EC" w14:textId="77777777" w:rsidR="005F762A" w:rsidRDefault="005F762A">
            <w:pPr>
              <w:rPr>
                <w:rFonts w:ascii="宋体"/>
                <w:vanish/>
              </w:rPr>
            </w:pPr>
          </w:p>
        </w:tc>
        <w:tc>
          <w:tcPr>
            <w:tcW w:w="0" w:type="auto"/>
            <w:shd w:val="clear" w:color="auto" w:fill="auto"/>
          </w:tcPr>
          <w:p w14:paraId="7268F7ED" w14:textId="77777777" w:rsidR="005F762A" w:rsidRDefault="005F762A">
            <w:pPr>
              <w:rPr>
                <w:rFonts w:ascii="宋体"/>
                <w:vanish/>
              </w:rPr>
            </w:pPr>
          </w:p>
        </w:tc>
        <w:tc>
          <w:tcPr>
            <w:tcW w:w="0" w:type="auto"/>
            <w:shd w:val="clear" w:color="auto" w:fill="auto"/>
          </w:tcPr>
          <w:p w14:paraId="7268F7EE"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7EF"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7F0"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7F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7F2" w14:textId="77777777" w:rsidR="005F762A" w:rsidRDefault="00D74111">
            <w:pPr>
              <w:jc w:val="center"/>
              <w:textAlignment w:val="bottom"/>
            </w:pPr>
            <w:r>
              <w:rPr>
                <w:rFonts w:ascii="Arial" w:eastAsia="宋体" w:hAnsi="Arial" w:cs="Arial"/>
                <w:b/>
                <w:bCs/>
                <w:color w:val="000000"/>
                <w:sz w:val="14"/>
                <w:szCs w:val="14"/>
              </w:rPr>
              <w:t>% Change</w:t>
            </w:r>
          </w:p>
        </w:tc>
        <w:tc>
          <w:tcPr>
            <w:tcW w:w="0" w:type="auto"/>
            <w:shd w:val="clear" w:color="auto" w:fill="auto"/>
          </w:tcPr>
          <w:p w14:paraId="7268F7F3" w14:textId="77777777" w:rsidR="005F762A" w:rsidRDefault="005F762A">
            <w:pPr>
              <w:rPr>
                <w:rFonts w:ascii="宋体"/>
              </w:rPr>
            </w:pPr>
          </w:p>
        </w:tc>
        <w:tc>
          <w:tcPr>
            <w:tcW w:w="0" w:type="auto"/>
            <w:shd w:val="clear" w:color="auto" w:fill="auto"/>
          </w:tcPr>
          <w:p w14:paraId="7268F7F4" w14:textId="77777777" w:rsidR="005F762A" w:rsidRDefault="005F762A">
            <w:pPr>
              <w:rPr>
                <w:rFonts w:ascii="宋体"/>
              </w:rPr>
            </w:pPr>
          </w:p>
        </w:tc>
        <w:tc>
          <w:tcPr>
            <w:tcW w:w="0" w:type="auto"/>
            <w:shd w:val="clear" w:color="auto" w:fill="auto"/>
          </w:tcPr>
          <w:p w14:paraId="7268F7F5" w14:textId="77777777" w:rsidR="005F762A" w:rsidRDefault="005F762A">
            <w:pPr>
              <w:rPr>
                <w:rFonts w:ascii="宋体"/>
              </w:rPr>
            </w:pPr>
          </w:p>
        </w:tc>
        <w:tc>
          <w:tcPr>
            <w:tcW w:w="0" w:type="auto"/>
            <w:shd w:val="clear" w:color="auto" w:fill="auto"/>
          </w:tcPr>
          <w:p w14:paraId="7268F7F6" w14:textId="77777777" w:rsidR="005F762A" w:rsidRDefault="005F762A">
            <w:pPr>
              <w:rPr>
                <w:rFonts w:ascii="宋体"/>
              </w:rPr>
            </w:pPr>
          </w:p>
        </w:tc>
        <w:tc>
          <w:tcPr>
            <w:tcW w:w="0" w:type="auto"/>
            <w:shd w:val="clear" w:color="auto" w:fill="auto"/>
          </w:tcPr>
          <w:p w14:paraId="7268F7F7" w14:textId="77777777" w:rsidR="005F762A" w:rsidRDefault="005F762A">
            <w:pPr>
              <w:rPr>
                <w:rFonts w:ascii="宋体"/>
              </w:rPr>
            </w:pPr>
          </w:p>
        </w:tc>
        <w:tc>
          <w:tcPr>
            <w:tcW w:w="0" w:type="auto"/>
            <w:shd w:val="clear" w:color="auto" w:fill="auto"/>
          </w:tcPr>
          <w:p w14:paraId="7268F7F8" w14:textId="77777777" w:rsidR="005F762A" w:rsidRDefault="005F762A">
            <w:pPr>
              <w:rPr>
                <w:rFonts w:ascii="宋体"/>
              </w:rPr>
            </w:pPr>
          </w:p>
        </w:tc>
      </w:tr>
      <w:tr w:rsidR="005F762A" w14:paraId="7268F806" w14:textId="77777777">
        <w:tc>
          <w:tcPr>
            <w:tcW w:w="0" w:type="auto"/>
            <w:gridSpan w:val="3"/>
            <w:shd w:val="clear" w:color="auto" w:fill="auto"/>
            <w:tcMar>
              <w:top w:w="40" w:type="dxa"/>
              <w:left w:w="20" w:type="dxa"/>
              <w:bottom w:w="40" w:type="dxa"/>
              <w:right w:w="20" w:type="dxa"/>
            </w:tcMar>
            <w:vAlign w:val="bottom"/>
          </w:tcPr>
          <w:p w14:paraId="7268F7FA" w14:textId="77777777" w:rsidR="005F762A" w:rsidRDefault="00D74111">
            <w:pPr>
              <w:jc w:val="center"/>
              <w:textAlignment w:val="bottom"/>
            </w:pPr>
            <w:r>
              <w:rPr>
                <w:rFonts w:ascii="Arial" w:eastAsia="宋体" w:hAnsi="Arial" w:cs="Arial"/>
                <w:color w:val="000000"/>
                <w:sz w:val="14"/>
                <w:szCs w:val="14"/>
              </w:rPr>
              <w:t> </w:t>
            </w:r>
          </w:p>
        </w:tc>
        <w:tc>
          <w:tcPr>
            <w:tcW w:w="0" w:type="auto"/>
            <w:shd w:val="clear" w:color="auto" w:fill="auto"/>
          </w:tcPr>
          <w:p w14:paraId="7268F7FB" w14:textId="77777777" w:rsidR="005F762A" w:rsidRDefault="005F762A">
            <w:pPr>
              <w:rPr>
                <w:rFonts w:ascii="宋体"/>
                <w:vanish/>
              </w:rPr>
            </w:pPr>
          </w:p>
        </w:tc>
        <w:tc>
          <w:tcPr>
            <w:tcW w:w="0" w:type="auto"/>
            <w:shd w:val="clear" w:color="auto" w:fill="auto"/>
          </w:tcPr>
          <w:p w14:paraId="7268F7FC" w14:textId="77777777" w:rsidR="005F762A" w:rsidRDefault="005F762A">
            <w:pPr>
              <w:rPr>
                <w:rFonts w:ascii="宋体"/>
                <w:vanish/>
              </w:rPr>
            </w:pPr>
          </w:p>
        </w:tc>
        <w:tc>
          <w:tcPr>
            <w:tcW w:w="0" w:type="auto"/>
            <w:shd w:val="clear" w:color="auto" w:fill="auto"/>
          </w:tcPr>
          <w:p w14:paraId="7268F7FD" w14:textId="77777777" w:rsidR="005F762A" w:rsidRDefault="005F762A">
            <w:pPr>
              <w:rPr>
                <w:rFonts w:ascii="宋体"/>
                <w:vanish/>
              </w:rPr>
            </w:pPr>
          </w:p>
        </w:tc>
        <w:tc>
          <w:tcPr>
            <w:tcW w:w="0" w:type="auto"/>
            <w:shd w:val="clear" w:color="auto" w:fill="auto"/>
          </w:tcPr>
          <w:p w14:paraId="7268F7FE" w14:textId="77777777" w:rsidR="005F762A" w:rsidRDefault="005F762A">
            <w:pPr>
              <w:rPr>
                <w:rFonts w:ascii="宋体"/>
                <w:vanish/>
              </w:rPr>
            </w:pPr>
          </w:p>
        </w:tc>
        <w:tc>
          <w:tcPr>
            <w:tcW w:w="0" w:type="auto"/>
            <w:shd w:val="clear" w:color="auto" w:fill="auto"/>
          </w:tcPr>
          <w:p w14:paraId="7268F7FF"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800"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801"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80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803"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80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805" w14:textId="77777777" w:rsidR="005F762A" w:rsidRDefault="00D74111">
            <w:pPr>
              <w:jc w:val="center"/>
              <w:textAlignment w:val="bottom"/>
            </w:pPr>
            <w:r>
              <w:rPr>
                <w:rFonts w:ascii="Arial" w:eastAsia="宋体" w:hAnsi="Arial" w:cs="Arial"/>
                <w:b/>
                <w:bCs/>
                <w:color w:val="000000"/>
                <w:sz w:val="14"/>
                <w:szCs w:val="14"/>
              </w:rPr>
              <w:t>As Reported</w:t>
            </w:r>
          </w:p>
        </w:tc>
      </w:tr>
      <w:tr w:rsidR="005F762A" w14:paraId="7268F818" w14:textId="77777777">
        <w:tc>
          <w:tcPr>
            <w:tcW w:w="0" w:type="auto"/>
            <w:gridSpan w:val="3"/>
            <w:shd w:val="clear" w:color="auto" w:fill="E2E2E2"/>
            <w:tcMar>
              <w:top w:w="40" w:type="dxa"/>
              <w:left w:w="20" w:type="dxa"/>
              <w:bottom w:w="40" w:type="dxa"/>
              <w:right w:w="20" w:type="dxa"/>
            </w:tcMar>
            <w:vAlign w:val="bottom"/>
          </w:tcPr>
          <w:p w14:paraId="7268F807" w14:textId="77777777" w:rsidR="005F762A" w:rsidRDefault="00D74111">
            <w:pPr>
              <w:textAlignment w:val="bottom"/>
            </w:pPr>
            <w:r>
              <w:rPr>
                <w:rFonts w:ascii="Arial" w:eastAsia="宋体" w:hAnsi="Arial" w:cs="Arial"/>
                <w:color w:val="000000"/>
                <w:sz w:val="16"/>
                <w:szCs w:val="16"/>
              </w:rPr>
              <w:t>U.S.</w:t>
            </w:r>
          </w:p>
        </w:tc>
        <w:tc>
          <w:tcPr>
            <w:tcW w:w="0" w:type="auto"/>
            <w:shd w:val="clear" w:color="auto" w:fill="auto"/>
          </w:tcPr>
          <w:p w14:paraId="7268F808" w14:textId="77777777" w:rsidR="005F762A" w:rsidRDefault="005F762A">
            <w:pPr>
              <w:rPr>
                <w:rFonts w:ascii="宋体"/>
                <w:vanish/>
              </w:rPr>
            </w:pPr>
          </w:p>
        </w:tc>
        <w:tc>
          <w:tcPr>
            <w:tcW w:w="0" w:type="auto"/>
            <w:shd w:val="clear" w:color="auto" w:fill="auto"/>
          </w:tcPr>
          <w:p w14:paraId="7268F809" w14:textId="77777777" w:rsidR="005F762A" w:rsidRDefault="005F762A">
            <w:pPr>
              <w:rPr>
                <w:rFonts w:ascii="宋体"/>
                <w:vanish/>
              </w:rPr>
            </w:pPr>
          </w:p>
        </w:tc>
        <w:tc>
          <w:tcPr>
            <w:tcW w:w="0" w:type="auto"/>
            <w:shd w:val="clear" w:color="auto" w:fill="auto"/>
          </w:tcPr>
          <w:p w14:paraId="7268F80A" w14:textId="77777777" w:rsidR="005F762A" w:rsidRDefault="005F762A">
            <w:pPr>
              <w:rPr>
                <w:rFonts w:ascii="宋体"/>
                <w:vanish/>
              </w:rPr>
            </w:pPr>
          </w:p>
        </w:tc>
        <w:tc>
          <w:tcPr>
            <w:tcW w:w="0" w:type="auto"/>
            <w:shd w:val="clear" w:color="auto" w:fill="auto"/>
          </w:tcPr>
          <w:p w14:paraId="7268F80B" w14:textId="77777777" w:rsidR="005F762A" w:rsidRDefault="005F762A">
            <w:pPr>
              <w:rPr>
                <w:rFonts w:ascii="宋体"/>
                <w:vanish/>
              </w:rPr>
            </w:pPr>
          </w:p>
        </w:tc>
        <w:tc>
          <w:tcPr>
            <w:tcW w:w="0" w:type="auto"/>
            <w:shd w:val="clear" w:color="auto" w:fill="auto"/>
          </w:tcPr>
          <w:p w14:paraId="7268F80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80D"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80E"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80F" w14:textId="77777777" w:rsidR="005F762A" w:rsidRDefault="00D74111">
            <w:pPr>
              <w:jc w:val="right"/>
              <w:textAlignment w:val="bottom"/>
            </w:pPr>
            <w:r>
              <w:rPr>
                <w:rFonts w:ascii="Arial" w:eastAsia="宋体" w:hAnsi="Arial" w:cs="Arial"/>
                <w:color w:val="000000"/>
                <w:sz w:val="16"/>
                <w:szCs w:val="16"/>
              </w:rPr>
              <w:t>1,296 </w:t>
            </w:r>
          </w:p>
        </w:tc>
        <w:tc>
          <w:tcPr>
            <w:tcW w:w="0" w:type="auto"/>
            <w:shd w:val="clear" w:color="auto" w:fill="E2E2E2"/>
            <w:tcMar>
              <w:top w:w="40" w:type="dxa"/>
              <w:left w:w="0" w:type="dxa"/>
              <w:bottom w:w="40" w:type="dxa"/>
              <w:right w:w="20" w:type="dxa"/>
            </w:tcMar>
            <w:vAlign w:val="bottom"/>
          </w:tcPr>
          <w:p w14:paraId="7268F810" w14:textId="77777777" w:rsidR="005F762A" w:rsidRDefault="005F762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7268F811"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20" w:type="dxa"/>
              <w:bottom w:w="40" w:type="dxa"/>
              <w:right w:w="0" w:type="dxa"/>
            </w:tcMar>
            <w:vAlign w:val="bottom"/>
          </w:tcPr>
          <w:p w14:paraId="7268F812"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813" w14:textId="77777777" w:rsidR="005F762A" w:rsidRDefault="00D74111">
            <w:pPr>
              <w:jc w:val="right"/>
              <w:textAlignment w:val="bottom"/>
            </w:pPr>
            <w:r>
              <w:rPr>
                <w:rFonts w:ascii="Arial" w:eastAsia="宋体" w:hAnsi="Arial" w:cs="Arial"/>
                <w:color w:val="000000"/>
                <w:sz w:val="16"/>
                <w:szCs w:val="16"/>
              </w:rPr>
              <w:t>822 </w:t>
            </w:r>
          </w:p>
        </w:tc>
        <w:tc>
          <w:tcPr>
            <w:tcW w:w="0" w:type="auto"/>
            <w:shd w:val="clear" w:color="auto" w:fill="E2E2E2"/>
            <w:tcMar>
              <w:top w:w="40" w:type="dxa"/>
              <w:left w:w="0" w:type="dxa"/>
              <w:bottom w:w="40" w:type="dxa"/>
              <w:right w:w="20" w:type="dxa"/>
            </w:tcMar>
            <w:vAlign w:val="bottom"/>
          </w:tcPr>
          <w:p w14:paraId="7268F81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81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816" w14:textId="77777777" w:rsidR="005F762A" w:rsidRDefault="00D74111">
            <w:pPr>
              <w:jc w:val="right"/>
              <w:textAlignment w:val="bottom"/>
            </w:pPr>
            <w:r>
              <w:rPr>
                <w:rFonts w:ascii="Arial" w:eastAsia="宋体" w:hAnsi="Arial" w:cs="Arial"/>
                <w:color w:val="000000"/>
                <w:sz w:val="16"/>
                <w:szCs w:val="16"/>
              </w:rPr>
              <w:t>58 </w:t>
            </w:r>
          </w:p>
        </w:tc>
        <w:tc>
          <w:tcPr>
            <w:tcW w:w="0" w:type="auto"/>
            <w:shd w:val="clear" w:color="auto" w:fill="E2E2E2"/>
            <w:tcMar>
              <w:top w:w="40" w:type="dxa"/>
              <w:left w:w="0" w:type="dxa"/>
              <w:bottom w:w="40" w:type="dxa"/>
              <w:right w:w="20" w:type="dxa"/>
            </w:tcMar>
            <w:vAlign w:val="bottom"/>
          </w:tcPr>
          <w:p w14:paraId="7268F817" w14:textId="77777777" w:rsidR="005F762A" w:rsidRDefault="00D74111">
            <w:pPr>
              <w:jc w:val="right"/>
              <w:textAlignment w:val="bottom"/>
            </w:pPr>
            <w:r>
              <w:rPr>
                <w:rFonts w:ascii="Arial" w:eastAsia="宋体" w:hAnsi="Arial" w:cs="Arial"/>
                <w:color w:val="000000"/>
                <w:sz w:val="16"/>
                <w:szCs w:val="16"/>
              </w:rPr>
              <w:t>%</w:t>
            </w:r>
          </w:p>
        </w:tc>
      </w:tr>
      <w:tr w:rsidR="005F762A" w14:paraId="7268F827" w14:textId="77777777">
        <w:tc>
          <w:tcPr>
            <w:tcW w:w="0" w:type="auto"/>
            <w:gridSpan w:val="3"/>
            <w:shd w:val="clear" w:color="auto" w:fill="FFFFFF"/>
            <w:tcMar>
              <w:top w:w="40" w:type="dxa"/>
              <w:left w:w="20" w:type="dxa"/>
              <w:bottom w:w="40" w:type="dxa"/>
              <w:right w:w="20" w:type="dxa"/>
            </w:tcMar>
            <w:vAlign w:val="bottom"/>
          </w:tcPr>
          <w:p w14:paraId="7268F819"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81A" w14:textId="77777777" w:rsidR="005F762A" w:rsidRDefault="005F762A">
            <w:pPr>
              <w:rPr>
                <w:rFonts w:ascii="宋体"/>
                <w:vanish/>
              </w:rPr>
            </w:pPr>
          </w:p>
        </w:tc>
        <w:tc>
          <w:tcPr>
            <w:tcW w:w="0" w:type="auto"/>
            <w:shd w:val="clear" w:color="auto" w:fill="auto"/>
          </w:tcPr>
          <w:p w14:paraId="7268F81B" w14:textId="77777777" w:rsidR="005F762A" w:rsidRDefault="005F762A">
            <w:pPr>
              <w:rPr>
                <w:rFonts w:ascii="宋体"/>
                <w:vanish/>
              </w:rPr>
            </w:pPr>
          </w:p>
        </w:tc>
        <w:tc>
          <w:tcPr>
            <w:tcW w:w="0" w:type="auto"/>
            <w:shd w:val="clear" w:color="auto" w:fill="auto"/>
          </w:tcPr>
          <w:p w14:paraId="7268F81C" w14:textId="77777777" w:rsidR="005F762A" w:rsidRDefault="005F762A">
            <w:pPr>
              <w:rPr>
                <w:rFonts w:ascii="宋体"/>
                <w:vanish/>
              </w:rPr>
            </w:pPr>
          </w:p>
        </w:tc>
        <w:tc>
          <w:tcPr>
            <w:tcW w:w="0" w:type="auto"/>
            <w:shd w:val="clear" w:color="auto" w:fill="auto"/>
          </w:tcPr>
          <w:p w14:paraId="7268F81D" w14:textId="77777777" w:rsidR="005F762A" w:rsidRDefault="005F762A">
            <w:pPr>
              <w:rPr>
                <w:rFonts w:ascii="宋体"/>
                <w:vanish/>
              </w:rPr>
            </w:pPr>
          </w:p>
        </w:tc>
        <w:tc>
          <w:tcPr>
            <w:tcW w:w="0" w:type="auto"/>
            <w:shd w:val="clear" w:color="auto" w:fill="auto"/>
          </w:tcPr>
          <w:p w14:paraId="7268F81E"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81F"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20" w14:textId="77777777" w:rsidR="005F762A" w:rsidRDefault="00D74111">
            <w:pPr>
              <w:jc w:val="right"/>
              <w:textAlignment w:val="bottom"/>
            </w:pPr>
            <w:r>
              <w:rPr>
                <w:rFonts w:ascii="Arial" w:eastAsia="宋体" w:hAnsi="Arial" w:cs="Arial"/>
                <w:i/>
                <w:iCs/>
                <w:color w:val="000000"/>
                <w:sz w:val="16"/>
                <w:szCs w:val="16"/>
              </w:rPr>
              <w:t>43 </w:t>
            </w:r>
          </w:p>
        </w:tc>
        <w:tc>
          <w:tcPr>
            <w:tcW w:w="0" w:type="auto"/>
            <w:shd w:val="clear" w:color="auto" w:fill="FFFFFF"/>
            <w:tcMar>
              <w:top w:w="40" w:type="dxa"/>
              <w:left w:w="0" w:type="dxa"/>
              <w:bottom w:w="40" w:type="dxa"/>
              <w:right w:w="20" w:type="dxa"/>
            </w:tcMar>
            <w:vAlign w:val="bottom"/>
          </w:tcPr>
          <w:p w14:paraId="7268F821"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82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23" w14:textId="77777777" w:rsidR="005F762A" w:rsidRDefault="00D74111">
            <w:pPr>
              <w:jc w:val="right"/>
              <w:textAlignment w:val="bottom"/>
            </w:pPr>
            <w:r>
              <w:rPr>
                <w:rFonts w:ascii="Arial" w:eastAsia="宋体" w:hAnsi="Arial" w:cs="Arial"/>
                <w:i/>
                <w:iCs/>
                <w:color w:val="000000"/>
                <w:sz w:val="16"/>
                <w:szCs w:val="16"/>
              </w:rPr>
              <w:t>39 </w:t>
            </w:r>
          </w:p>
        </w:tc>
        <w:tc>
          <w:tcPr>
            <w:tcW w:w="0" w:type="auto"/>
            <w:shd w:val="clear" w:color="auto" w:fill="FFFFFF"/>
            <w:tcMar>
              <w:top w:w="40" w:type="dxa"/>
              <w:left w:w="0" w:type="dxa"/>
              <w:bottom w:w="40" w:type="dxa"/>
              <w:right w:w="20" w:type="dxa"/>
            </w:tcMar>
            <w:vAlign w:val="bottom"/>
          </w:tcPr>
          <w:p w14:paraId="7268F824"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82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26" w14:textId="77777777" w:rsidR="005F762A" w:rsidRDefault="005F762A">
            <w:pPr>
              <w:rPr>
                <w:rFonts w:ascii="宋体"/>
              </w:rPr>
            </w:pPr>
          </w:p>
        </w:tc>
      </w:tr>
      <w:tr w:rsidR="005F762A" w14:paraId="7268F834" w14:textId="77777777">
        <w:trPr>
          <w:trHeight w:val="240"/>
        </w:trPr>
        <w:tc>
          <w:tcPr>
            <w:tcW w:w="0" w:type="auto"/>
            <w:gridSpan w:val="3"/>
            <w:shd w:val="clear" w:color="auto" w:fill="E2E2E2"/>
            <w:tcMar>
              <w:top w:w="0" w:type="dxa"/>
              <w:left w:w="20" w:type="dxa"/>
              <w:bottom w:w="0" w:type="dxa"/>
              <w:right w:w="20" w:type="dxa"/>
            </w:tcMar>
          </w:tcPr>
          <w:p w14:paraId="7268F828" w14:textId="77777777" w:rsidR="005F762A" w:rsidRDefault="005F762A">
            <w:pPr>
              <w:rPr>
                <w:rFonts w:ascii="宋体"/>
              </w:rPr>
            </w:pPr>
          </w:p>
        </w:tc>
        <w:tc>
          <w:tcPr>
            <w:tcW w:w="0" w:type="auto"/>
            <w:shd w:val="clear" w:color="auto" w:fill="auto"/>
          </w:tcPr>
          <w:p w14:paraId="7268F829" w14:textId="77777777" w:rsidR="005F762A" w:rsidRDefault="005F762A">
            <w:pPr>
              <w:rPr>
                <w:rFonts w:ascii="宋体"/>
                <w:vanish/>
              </w:rPr>
            </w:pPr>
          </w:p>
        </w:tc>
        <w:tc>
          <w:tcPr>
            <w:tcW w:w="0" w:type="auto"/>
            <w:shd w:val="clear" w:color="auto" w:fill="auto"/>
          </w:tcPr>
          <w:p w14:paraId="7268F82A" w14:textId="77777777" w:rsidR="005F762A" w:rsidRDefault="005F762A">
            <w:pPr>
              <w:rPr>
                <w:rFonts w:ascii="宋体"/>
                <w:vanish/>
              </w:rPr>
            </w:pPr>
          </w:p>
        </w:tc>
        <w:tc>
          <w:tcPr>
            <w:tcW w:w="0" w:type="auto"/>
            <w:shd w:val="clear" w:color="auto" w:fill="auto"/>
          </w:tcPr>
          <w:p w14:paraId="7268F82B" w14:textId="77777777" w:rsidR="005F762A" w:rsidRDefault="005F762A">
            <w:pPr>
              <w:rPr>
                <w:rFonts w:ascii="宋体"/>
                <w:vanish/>
              </w:rPr>
            </w:pPr>
          </w:p>
        </w:tc>
        <w:tc>
          <w:tcPr>
            <w:tcW w:w="0" w:type="auto"/>
            <w:shd w:val="clear" w:color="auto" w:fill="auto"/>
          </w:tcPr>
          <w:p w14:paraId="7268F82C" w14:textId="77777777" w:rsidR="005F762A" w:rsidRDefault="005F762A">
            <w:pPr>
              <w:rPr>
                <w:rFonts w:ascii="宋体"/>
                <w:vanish/>
              </w:rPr>
            </w:pPr>
          </w:p>
        </w:tc>
        <w:tc>
          <w:tcPr>
            <w:tcW w:w="0" w:type="auto"/>
            <w:shd w:val="clear" w:color="auto" w:fill="auto"/>
          </w:tcPr>
          <w:p w14:paraId="7268F82D"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82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2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3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3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3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33" w14:textId="77777777" w:rsidR="005F762A" w:rsidRDefault="005F762A">
            <w:pPr>
              <w:rPr>
                <w:rFonts w:ascii="宋体"/>
              </w:rPr>
            </w:pPr>
          </w:p>
        </w:tc>
      </w:tr>
      <w:tr w:rsidR="005F762A" w14:paraId="7268F844" w14:textId="77777777">
        <w:tc>
          <w:tcPr>
            <w:tcW w:w="0" w:type="auto"/>
            <w:gridSpan w:val="3"/>
            <w:shd w:val="clear" w:color="auto" w:fill="FFFFFF"/>
            <w:tcMar>
              <w:top w:w="40" w:type="dxa"/>
              <w:left w:w="20" w:type="dxa"/>
              <w:bottom w:w="40" w:type="dxa"/>
              <w:right w:w="20" w:type="dxa"/>
            </w:tcMar>
            <w:vAlign w:val="bottom"/>
          </w:tcPr>
          <w:p w14:paraId="7268F835" w14:textId="77777777" w:rsidR="005F762A" w:rsidRDefault="00D74111">
            <w:pPr>
              <w:textAlignment w:val="bottom"/>
            </w:pPr>
            <w:r>
              <w:rPr>
                <w:rFonts w:ascii="Arial" w:eastAsia="宋体" w:hAnsi="Arial" w:cs="Arial"/>
                <w:color w:val="000000"/>
                <w:sz w:val="16"/>
                <w:szCs w:val="16"/>
              </w:rPr>
              <w:t>International</w:t>
            </w:r>
          </w:p>
        </w:tc>
        <w:tc>
          <w:tcPr>
            <w:tcW w:w="0" w:type="auto"/>
            <w:shd w:val="clear" w:color="auto" w:fill="auto"/>
          </w:tcPr>
          <w:p w14:paraId="7268F836" w14:textId="77777777" w:rsidR="005F762A" w:rsidRDefault="005F762A">
            <w:pPr>
              <w:rPr>
                <w:rFonts w:ascii="宋体"/>
                <w:vanish/>
              </w:rPr>
            </w:pPr>
          </w:p>
        </w:tc>
        <w:tc>
          <w:tcPr>
            <w:tcW w:w="0" w:type="auto"/>
            <w:shd w:val="clear" w:color="auto" w:fill="auto"/>
          </w:tcPr>
          <w:p w14:paraId="7268F837" w14:textId="77777777" w:rsidR="005F762A" w:rsidRDefault="005F762A">
            <w:pPr>
              <w:rPr>
                <w:rFonts w:ascii="宋体"/>
                <w:vanish/>
              </w:rPr>
            </w:pPr>
          </w:p>
        </w:tc>
        <w:tc>
          <w:tcPr>
            <w:tcW w:w="0" w:type="auto"/>
            <w:shd w:val="clear" w:color="auto" w:fill="auto"/>
          </w:tcPr>
          <w:p w14:paraId="7268F838" w14:textId="77777777" w:rsidR="005F762A" w:rsidRDefault="005F762A">
            <w:pPr>
              <w:rPr>
                <w:rFonts w:ascii="宋体"/>
                <w:vanish/>
              </w:rPr>
            </w:pPr>
          </w:p>
        </w:tc>
        <w:tc>
          <w:tcPr>
            <w:tcW w:w="0" w:type="auto"/>
            <w:shd w:val="clear" w:color="auto" w:fill="auto"/>
          </w:tcPr>
          <w:p w14:paraId="7268F839" w14:textId="77777777" w:rsidR="005F762A" w:rsidRDefault="005F762A">
            <w:pPr>
              <w:rPr>
                <w:rFonts w:ascii="宋体"/>
                <w:vanish/>
              </w:rPr>
            </w:pPr>
          </w:p>
        </w:tc>
        <w:tc>
          <w:tcPr>
            <w:tcW w:w="0" w:type="auto"/>
            <w:shd w:val="clear" w:color="auto" w:fill="auto"/>
          </w:tcPr>
          <w:p w14:paraId="7268F83A"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83B"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3C" w14:textId="77777777" w:rsidR="005F762A" w:rsidRDefault="00D74111">
            <w:pPr>
              <w:jc w:val="right"/>
              <w:textAlignment w:val="bottom"/>
            </w:pPr>
            <w:r>
              <w:rPr>
                <w:rFonts w:ascii="Arial" w:eastAsia="宋体" w:hAnsi="Arial" w:cs="Arial"/>
                <w:color w:val="000000"/>
                <w:sz w:val="16"/>
                <w:szCs w:val="16"/>
              </w:rPr>
              <w:t>1,727 </w:t>
            </w:r>
          </w:p>
        </w:tc>
        <w:tc>
          <w:tcPr>
            <w:tcW w:w="0" w:type="auto"/>
            <w:shd w:val="clear" w:color="auto" w:fill="FFFFFF"/>
            <w:tcMar>
              <w:top w:w="40" w:type="dxa"/>
              <w:left w:w="0" w:type="dxa"/>
              <w:bottom w:w="40" w:type="dxa"/>
              <w:right w:w="20" w:type="dxa"/>
            </w:tcMar>
            <w:vAlign w:val="bottom"/>
          </w:tcPr>
          <w:p w14:paraId="7268F83D"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83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3F" w14:textId="77777777" w:rsidR="005F762A" w:rsidRDefault="00D74111">
            <w:pPr>
              <w:jc w:val="right"/>
              <w:textAlignment w:val="bottom"/>
            </w:pPr>
            <w:r>
              <w:rPr>
                <w:rFonts w:ascii="Arial" w:eastAsia="宋体" w:hAnsi="Arial" w:cs="Arial"/>
                <w:color w:val="000000"/>
                <w:sz w:val="16"/>
                <w:szCs w:val="16"/>
              </w:rPr>
              <w:t>1,307 </w:t>
            </w:r>
          </w:p>
        </w:tc>
        <w:tc>
          <w:tcPr>
            <w:tcW w:w="0" w:type="auto"/>
            <w:shd w:val="clear" w:color="auto" w:fill="FFFFFF"/>
            <w:tcMar>
              <w:top w:w="40" w:type="dxa"/>
              <w:left w:w="0" w:type="dxa"/>
              <w:bottom w:w="40" w:type="dxa"/>
              <w:right w:w="20" w:type="dxa"/>
            </w:tcMar>
            <w:vAlign w:val="bottom"/>
          </w:tcPr>
          <w:p w14:paraId="7268F84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84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42" w14:textId="77777777" w:rsidR="005F762A" w:rsidRDefault="00D74111">
            <w:pPr>
              <w:jc w:val="right"/>
              <w:textAlignment w:val="bottom"/>
            </w:pPr>
            <w:r>
              <w:rPr>
                <w:rFonts w:ascii="Arial" w:eastAsia="宋体" w:hAnsi="Arial" w:cs="Arial"/>
                <w:color w:val="000000"/>
                <w:sz w:val="16"/>
                <w:szCs w:val="16"/>
              </w:rPr>
              <w:t>32 </w:t>
            </w:r>
          </w:p>
        </w:tc>
        <w:tc>
          <w:tcPr>
            <w:tcW w:w="0" w:type="auto"/>
            <w:shd w:val="clear" w:color="auto" w:fill="FFFFFF"/>
            <w:tcMar>
              <w:top w:w="40" w:type="dxa"/>
              <w:left w:w="0" w:type="dxa"/>
              <w:bottom w:w="40" w:type="dxa"/>
              <w:right w:w="20" w:type="dxa"/>
            </w:tcMar>
            <w:vAlign w:val="bottom"/>
          </w:tcPr>
          <w:p w14:paraId="7268F843" w14:textId="77777777" w:rsidR="005F762A" w:rsidRDefault="00D74111">
            <w:pPr>
              <w:jc w:val="right"/>
              <w:textAlignment w:val="bottom"/>
            </w:pPr>
            <w:r>
              <w:rPr>
                <w:rFonts w:ascii="Arial" w:eastAsia="宋体" w:hAnsi="Arial" w:cs="Arial"/>
                <w:color w:val="000000"/>
                <w:sz w:val="16"/>
                <w:szCs w:val="16"/>
              </w:rPr>
              <w:t>%</w:t>
            </w:r>
          </w:p>
        </w:tc>
      </w:tr>
      <w:tr w:rsidR="005F762A" w14:paraId="7268F853" w14:textId="77777777">
        <w:tc>
          <w:tcPr>
            <w:tcW w:w="0" w:type="auto"/>
            <w:gridSpan w:val="3"/>
            <w:shd w:val="clear" w:color="auto" w:fill="E2E2E2"/>
            <w:tcMar>
              <w:top w:w="40" w:type="dxa"/>
              <w:left w:w="20" w:type="dxa"/>
              <w:bottom w:w="40" w:type="dxa"/>
              <w:right w:w="20" w:type="dxa"/>
            </w:tcMar>
            <w:vAlign w:val="bottom"/>
          </w:tcPr>
          <w:p w14:paraId="7268F845"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846" w14:textId="77777777" w:rsidR="005F762A" w:rsidRDefault="005F762A">
            <w:pPr>
              <w:rPr>
                <w:rFonts w:ascii="宋体"/>
                <w:vanish/>
              </w:rPr>
            </w:pPr>
          </w:p>
        </w:tc>
        <w:tc>
          <w:tcPr>
            <w:tcW w:w="0" w:type="auto"/>
            <w:shd w:val="clear" w:color="auto" w:fill="auto"/>
          </w:tcPr>
          <w:p w14:paraId="7268F847" w14:textId="77777777" w:rsidR="005F762A" w:rsidRDefault="005F762A">
            <w:pPr>
              <w:rPr>
                <w:rFonts w:ascii="宋体"/>
                <w:vanish/>
              </w:rPr>
            </w:pPr>
          </w:p>
        </w:tc>
        <w:tc>
          <w:tcPr>
            <w:tcW w:w="0" w:type="auto"/>
            <w:shd w:val="clear" w:color="auto" w:fill="auto"/>
          </w:tcPr>
          <w:p w14:paraId="7268F848" w14:textId="77777777" w:rsidR="005F762A" w:rsidRDefault="005F762A">
            <w:pPr>
              <w:rPr>
                <w:rFonts w:ascii="宋体"/>
                <w:vanish/>
              </w:rPr>
            </w:pPr>
          </w:p>
        </w:tc>
        <w:tc>
          <w:tcPr>
            <w:tcW w:w="0" w:type="auto"/>
            <w:shd w:val="clear" w:color="auto" w:fill="auto"/>
          </w:tcPr>
          <w:p w14:paraId="7268F849" w14:textId="77777777" w:rsidR="005F762A" w:rsidRDefault="005F762A">
            <w:pPr>
              <w:rPr>
                <w:rFonts w:ascii="宋体"/>
                <w:vanish/>
              </w:rPr>
            </w:pPr>
          </w:p>
        </w:tc>
        <w:tc>
          <w:tcPr>
            <w:tcW w:w="0" w:type="auto"/>
            <w:shd w:val="clear" w:color="auto" w:fill="auto"/>
          </w:tcPr>
          <w:p w14:paraId="7268F84A"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84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84C" w14:textId="77777777" w:rsidR="005F762A" w:rsidRDefault="00D74111">
            <w:pPr>
              <w:jc w:val="right"/>
              <w:textAlignment w:val="bottom"/>
            </w:pPr>
            <w:r>
              <w:rPr>
                <w:rFonts w:ascii="Arial" w:eastAsia="宋体" w:hAnsi="Arial" w:cs="Arial"/>
                <w:i/>
                <w:iCs/>
                <w:color w:val="000000"/>
                <w:sz w:val="16"/>
                <w:szCs w:val="16"/>
              </w:rPr>
              <w:t>57 </w:t>
            </w:r>
          </w:p>
        </w:tc>
        <w:tc>
          <w:tcPr>
            <w:tcW w:w="0" w:type="auto"/>
            <w:shd w:val="clear" w:color="auto" w:fill="E2E2E2"/>
            <w:tcMar>
              <w:top w:w="40" w:type="dxa"/>
              <w:left w:w="0" w:type="dxa"/>
              <w:bottom w:w="40" w:type="dxa"/>
              <w:right w:w="20" w:type="dxa"/>
            </w:tcMar>
            <w:vAlign w:val="bottom"/>
          </w:tcPr>
          <w:p w14:paraId="7268F84D"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7268F84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84F" w14:textId="77777777" w:rsidR="005F762A" w:rsidRDefault="00D74111">
            <w:pPr>
              <w:jc w:val="right"/>
              <w:textAlignment w:val="bottom"/>
            </w:pPr>
            <w:r>
              <w:rPr>
                <w:rFonts w:ascii="Arial" w:eastAsia="宋体" w:hAnsi="Arial" w:cs="Arial"/>
                <w:i/>
                <w:iCs/>
                <w:color w:val="000000"/>
                <w:sz w:val="16"/>
                <w:szCs w:val="16"/>
              </w:rPr>
              <w:t>61 </w:t>
            </w:r>
          </w:p>
        </w:tc>
        <w:tc>
          <w:tcPr>
            <w:tcW w:w="0" w:type="auto"/>
            <w:shd w:val="clear" w:color="auto" w:fill="E2E2E2"/>
            <w:tcMar>
              <w:top w:w="40" w:type="dxa"/>
              <w:left w:w="0" w:type="dxa"/>
              <w:bottom w:w="40" w:type="dxa"/>
              <w:right w:w="20" w:type="dxa"/>
            </w:tcMar>
            <w:vAlign w:val="bottom"/>
          </w:tcPr>
          <w:p w14:paraId="7268F850"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tcPr>
          <w:p w14:paraId="7268F85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852" w14:textId="77777777" w:rsidR="005F762A" w:rsidRDefault="005F762A">
            <w:pPr>
              <w:rPr>
                <w:rFonts w:ascii="宋体"/>
              </w:rPr>
            </w:pPr>
          </w:p>
        </w:tc>
      </w:tr>
      <w:tr w:rsidR="005F762A" w14:paraId="7268F860" w14:textId="77777777">
        <w:trPr>
          <w:trHeight w:val="240"/>
        </w:trPr>
        <w:tc>
          <w:tcPr>
            <w:tcW w:w="0" w:type="auto"/>
            <w:gridSpan w:val="3"/>
            <w:shd w:val="clear" w:color="auto" w:fill="FFFFFF"/>
            <w:tcMar>
              <w:top w:w="0" w:type="dxa"/>
              <w:left w:w="20" w:type="dxa"/>
              <w:bottom w:w="0" w:type="dxa"/>
              <w:right w:w="20" w:type="dxa"/>
            </w:tcMar>
          </w:tcPr>
          <w:p w14:paraId="7268F854" w14:textId="77777777" w:rsidR="005F762A" w:rsidRDefault="005F762A">
            <w:pPr>
              <w:rPr>
                <w:rFonts w:ascii="宋体"/>
              </w:rPr>
            </w:pPr>
          </w:p>
        </w:tc>
        <w:tc>
          <w:tcPr>
            <w:tcW w:w="0" w:type="auto"/>
            <w:shd w:val="clear" w:color="auto" w:fill="auto"/>
          </w:tcPr>
          <w:p w14:paraId="7268F855" w14:textId="77777777" w:rsidR="005F762A" w:rsidRDefault="005F762A">
            <w:pPr>
              <w:rPr>
                <w:rFonts w:ascii="宋体"/>
                <w:vanish/>
              </w:rPr>
            </w:pPr>
          </w:p>
        </w:tc>
        <w:tc>
          <w:tcPr>
            <w:tcW w:w="0" w:type="auto"/>
            <w:shd w:val="clear" w:color="auto" w:fill="auto"/>
          </w:tcPr>
          <w:p w14:paraId="7268F856" w14:textId="77777777" w:rsidR="005F762A" w:rsidRDefault="005F762A">
            <w:pPr>
              <w:rPr>
                <w:rFonts w:ascii="宋体"/>
                <w:vanish/>
              </w:rPr>
            </w:pPr>
          </w:p>
        </w:tc>
        <w:tc>
          <w:tcPr>
            <w:tcW w:w="0" w:type="auto"/>
            <w:shd w:val="clear" w:color="auto" w:fill="auto"/>
          </w:tcPr>
          <w:p w14:paraId="7268F857" w14:textId="77777777" w:rsidR="005F762A" w:rsidRDefault="005F762A">
            <w:pPr>
              <w:rPr>
                <w:rFonts w:ascii="宋体"/>
                <w:vanish/>
              </w:rPr>
            </w:pPr>
          </w:p>
        </w:tc>
        <w:tc>
          <w:tcPr>
            <w:tcW w:w="0" w:type="auto"/>
            <w:shd w:val="clear" w:color="auto" w:fill="auto"/>
          </w:tcPr>
          <w:p w14:paraId="7268F858" w14:textId="77777777" w:rsidR="005F762A" w:rsidRDefault="005F762A">
            <w:pPr>
              <w:rPr>
                <w:rFonts w:ascii="宋体"/>
                <w:vanish/>
              </w:rPr>
            </w:pPr>
          </w:p>
        </w:tc>
        <w:tc>
          <w:tcPr>
            <w:tcW w:w="0" w:type="auto"/>
            <w:shd w:val="clear" w:color="auto" w:fill="auto"/>
          </w:tcPr>
          <w:p w14:paraId="7268F859"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85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5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5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5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5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5F" w14:textId="77777777" w:rsidR="005F762A" w:rsidRDefault="005F762A">
            <w:pPr>
              <w:rPr>
                <w:rFonts w:ascii="宋体"/>
              </w:rPr>
            </w:pPr>
          </w:p>
        </w:tc>
      </w:tr>
      <w:tr w:rsidR="005F762A" w14:paraId="7268F872" w14:textId="77777777">
        <w:tc>
          <w:tcPr>
            <w:tcW w:w="0" w:type="auto"/>
            <w:gridSpan w:val="3"/>
            <w:shd w:val="clear" w:color="auto" w:fill="E2E2E2"/>
            <w:tcMar>
              <w:top w:w="40" w:type="dxa"/>
              <w:left w:w="155" w:type="dxa"/>
              <w:bottom w:w="40" w:type="dxa"/>
              <w:right w:w="20" w:type="dxa"/>
            </w:tcMar>
            <w:vAlign w:val="bottom"/>
          </w:tcPr>
          <w:p w14:paraId="7268F861" w14:textId="77777777" w:rsidR="005F762A" w:rsidRDefault="00D74111">
            <w:pPr>
              <w:textAlignment w:val="bottom"/>
            </w:pPr>
            <w:r>
              <w:rPr>
                <w:rFonts w:ascii="Arial" w:eastAsia="宋体" w:hAnsi="Arial" w:cs="Arial"/>
                <w:color w:val="000000"/>
                <w:sz w:val="16"/>
                <w:szCs w:val="16"/>
              </w:rPr>
              <w:t>Total net revenues</w:t>
            </w:r>
          </w:p>
        </w:tc>
        <w:tc>
          <w:tcPr>
            <w:tcW w:w="0" w:type="auto"/>
            <w:shd w:val="clear" w:color="auto" w:fill="auto"/>
          </w:tcPr>
          <w:p w14:paraId="7268F862" w14:textId="77777777" w:rsidR="005F762A" w:rsidRDefault="005F762A">
            <w:pPr>
              <w:rPr>
                <w:rFonts w:ascii="宋体"/>
                <w:vanish/>
              </w:rPr>
            </w:pPr>
          </w:p>
        </w:tc>
        <w:tc>
          <w:tcPr>
            <w:tcW w:w="0" w:type="auto"/>
            <w:shd w:val="clear" w:color="auto" w:fill="auto"/>
          </w:tcPr>
          <w:p w14:paraId="7268F863" w14:textId="77777777" w:rsidR="005F762A" w:rsidRDefault="005F762A">
            <w:pPr>
              <w:rPr>
                <w:rFonts w:ascii="宋体"/>
                <w:vanish/>
              </w:rPr>
            </w:pPr>
          </w:p>
        </w:tc>
        <w:tc>
          <w:tcPr>
            <w:tcW w:w="0" w:type="auto"/>
            <w:shd w:val="clear" w:color="auto" w:fill="auto"/>
          </w:tcPr>
          <w:p w14:paraId="7268F864" w14:textId="77777777" w:rsidR="005F762A" w:rsidRDefault="005F762A">
            <w:pPr>
              <w:rPr>
                <w:rFonts w:ascii="宋体"/>
                <w:vanish/>
              </w:rPr>
            </w:pPr>
          </w:p>
        </w:tc>
        <w:tc>
          <w:tcPr>
            <w:tcW w:w="0" w:type="auto"/>
            <w:shd w:val="clear" w:color="auto" w:fill="auto"/>
          </w:tcPr>
          <w:p w14:paraId="7268F865" w14:textId="77777777" w:rsidR="005F762A" w:rsidRDefault="005F762A">
            <w:pPr>
              <w:rPr>
                <w:rFonts w:ascii="宋体"/>
                <w:vanish/>
              </w:rPr>
            </w:pPr>
          </w:p>
        </w:tc>
        <w:tc>
          <w:tcPr>
            <w:tcW w:w="0" w:type="auto"/>
            <w:shd w:val="clear" w:color="auto" w:fill="auto"/>
          </w:tcPr>
          <w:p w14:paraId="7268F866"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867"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868"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869" w14:textId="77777777" w:rsidR="005F762A" w:rsidRDefault="00D74111">
            <w:pPr>
              <w:jc w:val="right"/>
              <w:textAlignment w:val="bottom"/>
            </w:pPr>
            <w:r>
              <w:rPr>
                <w:rFonts w:ascii="Arial" w:eastAsia="宋体" w:hAnsi="Arial" w:cs="Arial"/>
                <w:color w:val="000000"/>
                <w:sz w:val="16"/>
                <w:szCs w:val="16"/>
              </w:rPr>
              <w:t>3,023 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86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86B"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86C"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86D" w14:textId="77777777" w:rsidR="005F762A" w:rsidRDefault="00D74111">
            <w:pPr>
              <w:jc w:val="right"/>
              <w:textAlignment w:val="bottom"/>
            </w:pPr>
            <w:r>
              <w:rPr>
                <w:rFonts w:ascii="Arial" w:eastAsia="宋体" w:hAnsi="Arial" w:cs="Arial"/>
                <w:color w:val="000000"/>
                <w:sz w:val="16"/>
                <w:szCs w:val="16"/>
              </w:rPr>
              <w:t>2,129 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86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86F"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870" w14:textId="77777777" w:rsidR="005F762A" w:rsidRDefault="00D74111">
            <w:pPr>
              <w:jc w:val="right"/>
              <w:textAlignment w:val="bottom"/>
            </w:pPr>
            <w:r>
              <w:rPr>
                <w:rFonts w:ascii="Arial" w:eastAsia="宋体" w:hAnsi="Arial" w:cs="Arial"/>
                <w:color w:val="000000"/>
                <w:sz w:val="16"/>
                <w:szCs w:val="16"/>
              </w:rPr>
              <w:t>42 </w:t>
            </w:r>
          </w:p>
        </w:tc>
        <w:tc>
          <w:tcPr>
            <w:tcW w:w="0" w:type="auto"/>
            <w:shd w:val="clear" w:color="auto" w:fill="E2E2E2"/>
            <w:tcMar>
              <w:top w:w="40" w:type="dxa"/>
              <w:left w:w="0" w:type="dxa"/>
              <w:bottom w:w="40" w:type="dxa"/>
              <w:right w:w="20" w:type="dxa"/>
            </w:tcMar>
            <w:vAlign w:val="bottom"/>
          </w:tcPr>
          <w:p w14:paraId="7268F871" w14:textId="77777777" w:rsidR="005F762A" w:rsidRDefault="00D74111">
            <w:pPr>
              <w:jc w:val="right"/>
              <w:textAlignment w:val="bottom"/>
            </w:pPr>
            <w:r>
              <w:rPr>
                <w:rFonts w:ascii="Arial" w:eastAsia="宋体" w:hAnsi="Arial" w:cs="Arial"/>
                <w:color w:val="000000"/>
                <w:sz w:val="16"/>
                <w:szCs w:val="16"/>
              </w:rPr>
              <w:t>%</w:t>
            </w:r>
          </w:p>
        </w:tc>
      </w:tr>
    </w:tbl>
    <w:p w14:paraId="7268F873" w14:textId="77777777" w:rsidR="005F762A" w:rsidRDefault="005F762A">
      <w:pPr>
        <w:ind w:firstLine="540"/>
        <w:jc w:val="both"/>
      </w:pPr>
    </w:p>
    <w:p w14:paraId="7268F874" w14:textId="77777777" w:rsidR="005F762A" w:rsidRDefault="00D74111">
      <w:pPr>
        <w:ind w:firstLine="540"/>
        <w:jc w:val="both"/>
      </w:pPr>
      <w:r>
        <w:rPr>
          <w:rFonts w:ascii="Arial" w:eastAsia="宋体" w:hAnsi="Arial" w:cs="Arial"/>
          <w:color w:val="000000"/>
          <w:sz w:val="20"/>
          <w:szCs w:val="20"/>
        </w:rPr>
        <w:t>Our commerce platforms operate globally, resulting in certain revenues that are denominated in foreign currencies, including the British pound, euro and Korean won. In</w:t>
      </w:r>
      <w:r>
        <w:rPr>
          <w:rFonts w:ascii="Arial" w:eastAsia="宋体" w:hAnsi="Arial" w:cs="Arial"/>
          <w:color w:val="000000"/>
          <w:sz w:val="20"/>
          <w:szCs w:val="20"/>
        </w:rPr>
        <w:t xml:space="preserve"> addition, as shown in the table above, we generate a majority of our net revenues internationally. Because of these factors, we are subject to the risks related to doing business in foreign countries as discussed in “Part I - Item 1A: Risk Factors” of the</w:t>
      </w:r>
      <w:r>
        <w:rPr>
          <w:rFonts w:ascii="Arial" w:eastAsia="宋体" w:hAnsi="Arial" w:cs="Arial"/>
          <w:color w:val="000000"/>
          <w:sz w:val="20"/>
          <w:szCs w:val="20"/>
        </w:rPr>
        <w:t xml:space="preserve"> 2020 Form 10-K.</w:t>
      </w:r>
    </w:p>
    <w:p w14:paraId="7268F875" w14:textId="77777777" w:rsidR="005F762A" w:rsidRDefault="005F762A">
      <w:pPr>
        <w:ind w:firstLine="540"/>
        <w:jc w:val="both"/>
      </w:pPr>
    </w:p>
    <w:p w14:paraId="7268F876" w14:textId="77777777" w:rsidR="005F762A" w:rsidRDefault="00D74111">
      <w:pPr>
        <w:ind w:firstLine="540"/>
        <w:jc w:val="both"/>
      </w:pPr>
      <w:r>
        <w:rPr>
          <w:rFonts w:ascii="Arial" w:eastAsia="宋体" w:hAnsi="Arial" w:cs="Arial"/>
          <w:color w:val="000000"/>
          <w:sz w:val="20"/>
          <w:szCs w:val="20"/>
        </w:rPr>
        <w:t xml:space="preserve">Net revenues included $28 million of hedging losses during the three ended March 31, 2021, as compared to immaterial hedging gains during the same period in 2020. The hedging activity in net revenues specifically relates to hedges of net </w:t>
      </w:r>
      <w:r>
        <w:rPr>
          <w:rFonts w:ascii="Arial" w:eastAsia="宋体" w:hAnsi="Arial" w:cs="Arial"/>
          <w:color w:val="000000"/>
          <w:sz w:val="20"/>
          <w:szCs w:val="20"/>
        </w:rPr>
        <w:t>transaction revenues. Foreign currency movements relative to the U.S. dollar had a favorable impact of $80 million on net revenues during the three months ended March 31, 2021 compared to an unfavorable impact of $35 million during the same period in 2020.</w:t>
      </w:r>
      <w:r>
        <w:rPr>
          <w:rFonts w:ascii="Arial" w:eastAsia="宋体" w:hAnsi="Arial" w:cs="Arial"/>
          <w:color w:val="000000"/>
          <w:sz w:val="20"/>
          <w:szCs w:val="20"/>
        </w:rPr>
        <w:t xml:space="preserve"> </w:t>
      </w:r>
    </w:p>
    <w:p w14:paraId="7268F877" w14:textId="77777777" w:rsidR="005F762A" w:rsidRDefault="005F762A">
      <w:pPr>
        <w:ind w:firstLine="540"/>
        <w:jc w:val="both"/>
      </w:pPr>
    </w:p>
    <w:p w14:paraId="7268F878" w14:textId="77777777" w:rsidR="005F762A" w:rsidRDefault="00D74111">
      <w:pPr>
        <w:ind w:firstLine="540"/>
        <w:jc w:val="both"/>
      </w:pPr>
      <w:r>
        <w:rPr>
          <w:rFonts w:ascii="Arial" w:eastAsia="宋体" w:hAnsi="Arial" w:cs="Arial"/>
          <w:color w:val="000000"/>
          <w:sz w:val="20"/>
          <w:szCs w:val="20"/>
        </w:rPr>
        <w:t xml:space="preserve">The effect of foreign currency exchange rate movements during the three months ended March 31, 2021 compared to the same period in 2020 was primarily attributable to the weakening of the U.S. dollar against the euro, British pound and Korean won. </w:t>
      </w:r>
    </w:p>
    <w:p w14:paraId="7268F879" w14:textId="77777777" w:rsidR="005F762A" w:rsidRDefault="005F762A">
      <w:pPr>
        <w:jc w:val="both"/>
      </w:pPr>
    </w:p>
    <w:p w14:paraId="7268F87A" w14:textId="77777777" w:rsidR="005F762A" w:rsidRDefault="005F762A">
      <w:pPr>
        <w:jc w:val="center"/>
      </w:pPr>
    </w:p>
    <w:p w14:paraId="7268F87B" w14:textId="77777777" w:rsidR="005F762A" w:rsidRDefault="00D74111">
      <w:pPr>
        <w:jc w:val="center"/>
      </w:pPr>
      <w:r>
        <w:rPr>
          <w:rFonts w:ascii="Arial" w:eastAsia="宋体" w:hAnsi="Arial" w:cs="Arial"/>
          <w:color w:val="000000"/>
          <w:sz w:val="20"/>
          <w:szCs w:val="20"/>
        </w:rPr>
        <w:t>32</w:t>
      </w:r>
    </w:p>
    <w:p w14:paraId="7268F87C" w14:textId="77777777" w:rsidR="005F762A" w:rsidRDefault="00D74111">
      <w:r>
        <w:pict w14:anchorId="7269015F">
          <v:rect id="_x0000_i1056" style="width:415.3pt;height:1.5pt" o:hralign="center" o:hrstd="t" o:hr="t" fillcolor="#a0a0a0" stroked="f"/>
        </w:pict>
      </w:r>
    </w:p>
    <w:p w14:paraId="7268F87D" w14:textId="77777777" w:rsidR="005F762A" w:rsidRDefault="005F762A"/>
    <w:p w14:paraId="7268F87E" w14:textId="77777777" w:rsidR="005F762A" w:rsidRDefault="00D74111">
      <w:pPr>
        <w:ind w:firstLine="270"/>
        <w:jc w:val="both"/>
      </w:pPr>
      <w:r>
        <w:rPr>
          <w:rFonts w:ascii="Arial" w:eastAsia="宋体" w:hAnsi="Arial" w:cs="Arial"/>
          <w:b/>
          <w:bCs/>
          <w:color w:val="000000"/>
          <w:sz w:val="20"/>
          <w:szCs w:val="20"/>
        </w:rPr>
        <w:t xml:space="preserve">Net Revenues by Type </w:t>
      </w:r>
    </w:p>
    <w:p w14:paraId="7268F87F" w14:textId="77777777" w:rsidR="005F762A" w:rsidRDefault="005F762A">
      <w:pPr>
        <w:ind w:firstLine="495"/>
        <w:jc w:val="both"/>
      </w:pPr>
    </w:p>
    <w:p w14:paraId="7268F880" w14:textId="77777777" w:rsidR="005F762A" w:rsidRDefault="00D74111">
      <w:pPr>
        <w:ind w:firstLine="540"/>
        <w:jc w:val="both"/>
      </w:pPr>
      <w:r>
        <w:rPr>
          <w:rFonts w:ascii="Arial" w:eastAsia="宋体" w:hAnsi="Arial" w:cs="Arial"/>
          <w:color w:val="000000"/>
          <w:sz w:val="20"/>
          <w:szCs w:val="20"/>
        </w:rPr>
        <w:t xml:space="preserve">We generate two types of net revenues: </w:t>
      </w:r>
    </w:p>
    <w:p w14:paraId="7268F881" w14:textId="77777777" w:rsidR="005F762A" w:rsidRDefault="005F762A">
      <w:pPr>
        <w:ind w:firstLine="540"/>
        <w:jc w:val="both"/>
      </w:pPr>
    </w:p>
    <w:p w14:paraId="7268F882" w14:textId="77777777" w:rsidR="005F762A" w:rsidRDefault="00D74111">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include store subscription and other fees, often from large enterprise sellers. Our net</w:t>
      </w:r>
      <w:r>
        <w:rPr>
          <w:rFonts w:ascii="Arial" w:eastAsia="宋体" w:hAnsi="Arial" w:cs="Arial"/>
          <w:color w:val="000000"/>
          <w:sz w:val="20"/>
          <w:szCs w:val="20"/>
        </w:rPr>
        <w:t xml:space="preserve"> transaction revenues are reduced by incentives, including discounts, coupons and rewards, provided to our customers.</w:t>
      </w:r>
    </w:p>
    <w:p w14:paraId="7268F883" w14:textId="77777777" w:rsidR="005F762A" w:rsidRDefault="005F762A">
      <w:pPr>
        <w:jc w:val="both"/>
      </w:pPr>
    </w:p>
    <w:p w14:paraId="7268F884" w14:textId="77777777" w:rsidR="005F762A" w:rsidRDefault="00D74111">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from the sale of advertisements, revenue sharing arrangeme</w:t>
      </w:r>
      <w:r>
        <w:rPr>
          <w:rFonts w:ascii="Arial" w:eastAsia="宋体" w:hAnsi="Arial" w:cs="Arial"/>
          <w:color w:val="000000"/>
          <w:sz w:val="20"/>
          <w:szCs w:val="20"/>
        </w:rPr>
        <w:t xml:space="preserve">nts and first-party inventory programs. </w:t>
      </w:r>
    </w:p>
    <w:p w14:paraId="7268F885" w14:textId="77777777" w:rsidR="005F762A" w:rsidRDefault="005F762A">
      <w:pPr>
        <w:jc w:val="both"/>
      </w:pPr>
    </w:p>
    <w:p w14:paraId="7268F886" w14:textId="77777777" w:rsidR="005F762A" w:rsidRDefault="00D74111">
      <w:pPr>
        <w:ind w:firstLine="540"/>
        <w:jc w:val="both"/>
      </w:pPr>
      <w:r>
        <w:rPr>
          <w:rFonts w:ascii="Arial" w:eastAsia="宋体" w:hAnsi="Arial" w:cs="Arial"/>
          <w:color w:val="000000"/>
          <w:sz w:val="20"/>
          <w:szCs w:val="20"/>
        </w:rPr>
        <w:t>The following table presents net revenues by type (in millions, except percentages):</w:t>
      </w:r>
    </w:p>
    <w:p w14:paraId="7268F887" w14:textId="77777777" w:rsidR="005F762A" w:rsidRDefault="005F762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5213"/>
        <w:gridCol w:w="37"/>
        <w:gridCol w:w="36"/>
        <w:gridCol w:w="36"/>
        <w:gridCol w:w="36"/>
        <w:gridCol w:w="46"/>
        <w:gridCol w:w="36"/>
        <w:gridCol w:w="36"/>
        <w:gridCol w:w="36"/>
        <w:gridCol w:w="36"/>
        <w:gridCol w:w="109"/>
        <w:gridCol w:w="683"/>
        <w:gridCol w:w="36"/>
        <w:gridCol w:w="36"/>
        <w:gridCol w:w="36"/>
        <w:gridCol w:w="36"/>
        <w:gridCol w:w="109"/>
        <w:gridCol w:w="683"/>
        <w:gridCol w:w="36"/>
        <w:gridCol w:w="36"/>
        <w:gridCol w:w="36"/>
        <w:gridCol w:w="36"/>
        <w:gridCol w:w="52"/>
        <w:gridCol w:w="662"/>
        <w:gridCol w:w="163"/>
      </w:tblGrid>
      <w:tr w:rsidR="005F762A" w14:paraId="7268F8A2" w14:textId="77777777">
        <w:tc>
          <w:tcPr>
            <w:tcW w:w="50" w:type="pct"/>
            <w:shd w:val="clear" w:color="auto" w:fill="auto"/>
          </w:tcPr>
          <w:p w14:paraId="7268F888" w14:textId="77777777" w:rsidR="005F762A" w:rsidRDefault="005F762A">
            <w:pPr>
              <w:rPr>
                <w:rFonts w:ascii="宋体"/>
              </w:rPr>
            </w:pPr>
          </w:p>
        </w:tc>
        <w:tc>
          <w:tcPr>
            <w:tcW w:w="3234" w:type="pct"/>
            <w:shd w:val="clear" w:color="auto" w:fill="auto"/>
          </w:tcPr>
          <w:p w14:paraId="7268F889" w14:textId="77777777" w:rsidR="005F762A" w:rsidRDefault="005F762A">
            <w:pPr>
              <w:rPr>
                <w:rFonts w:ascii="宋体"/>
              </w:rPr>
            </w:pPr>
          </w:p>
        </w:tc>
        <w:tc>
          <w:tcPr>
            <w:tcW w:w="5" w:type="pct"/>
            <w:shd w:val="clear" w:color="auto" w:fill="auto"/>
          </w:tcPr>
          <w:p w14:paraId="7268F88A" w14:textId="77777777" w:rsidR="005F762A" w:rsidRDefault="005F762A">
            <w:pPr>
              <w:rPr>
                <w:rFonts w:ascii="宋体"/>
              </w:rPr>
            </w:pPr>
          </w:p>
        </w:tc>
        <w:tc>
          <w:tcPr>
            <w:tcW w:w="0" w:type="auto"/>
            <w:shd w:val="clear" w:color="auto" w:fill="auto"/>
          </w:tcPr>
          <w:p w14:paraId="7268F88B" w14:textId="77777777" w:rsidR="005F762A" w:rsidRDefault="005F762A">
            <w:pPr>
              <w:rPr>
                <w:rFonts w:ascii="宋体"/>
                <w:vanish/>
              </w:rPr>
            </w:pPr>
          </w:p>
        </w:tc>
        <w:tc>
          <w:tcPr>
            <w:tcW w:w="0" w:type="auto"/>
            <w:shd w:val="clear" w:color="auto" w:fill="auto"/>
          </w:tcPr>
          <w:p w14:paraId="7268F88C" w14:textId="77777777" w:rsidR="005F762A" w:rsidRDefault="005F762A">
            <w:pPr>
              <w:rPr>
                <w:rFonts w:ascii="宋体"/>
                <w:vanish/>
              </w:rPr>
            </w:pPr>
          </w:p>
        </w:tc>
        <w:tc>
          <w:tcPr>
            <w:tcW w:w="0" w:type="auto"/>
            <w:shd w:val="clear" w:color="auto" w:fill="auto"/>
          </w:tcPr>
          <w:p w14:paraId="7268F88D" w14:textId="77777777" w:rsidR="005F762A" w:rsidRDefault="005F762A">
            <w:pPr>
              <w:rPr>
                <w:rFonts w:ascii="宋体"/>
                <w:vanish/>
              </w:rPr>
            </w:pPr>
          </w:p>
        </w:tc>
        <w:tc>
          <w:tcPr>
            <w:tcW w:w="0" w:type="auto"/>
            <w:shd w:val="clear" w:color="auto" w:fill="auto"/>
          </w:tcPr>
          <w:p w14:paraId="7268F88E" w14:textId="77777777" w:rsidR="005F762A" w:rsidRDefault="005F762A">
            <w:pPr>
              <w:rPr>
                <w:rFonts w:ascii="宋体"/>
                <w:vanish/>
              </w:rPr>
            </w:pPr>
          </w:p>
        </w:tc>
        <w:tc>
          <w:tcPr>
            <w:tcW w:w="0" w:type="auto"/>
            <w:shd w:val="clear" w:color="auto" w:fill="auto"/>
          </w:tcPr>
          <w:p w14:paraId="7268F88F" w14:textId="77777777" w:rsidR="005F762A" w:rsidRDefault="005F762A">
            <w:pPr>
              <w:rPr>
                <w:rFonts w:ascii="宋体"/>
                <w:vanish/>
              </w:rPr>
            </w:pPr>
          </w:p>
        </w:tc>
        <w:tc>
          <w:tcPr>
            <w:tcW w:w="5" w:type="pct"/>
            <w:shd w:val="clear" w:color="auto" w:fill="auto"/>
          </w:tcPr>
          <w:p w14:paraId="7268F890" w14:textId="77777777" w:rsidR="005F762A" w:rsidRDefault="005F762A">
            <w:pPr>
              <w:rPr>
                <w:rFonts w:ascii="宋体"/>
              </w:rPr>
            </w:pPr>
          </w:p>
        </w:tc>
        <w:tc>
          <w:tcPr>
            <w:tcW w:w="26" w:type="pct"/>
            <w:shd w:val="clear" w:color="auto" w:fill="auto"/>
          </w:tcPr>
          <w:p w14:paraId="7268F891" w14:textId="77777777" w:rsidR="005F762A" w:rsidRDefault="005F762A">
            <w:pPr>
              <w:rPr>
                <w:rFonts w:ascii="宋体"/>
              </w:rPr>
            </w:pPr>
          </w:p>
        </w:tc>
        <w:tc>
          <w:tcPr>
            <w:tcW w:w="5" w:type="pct"/>
            <w:shd w:val="clear" w:color="auto" w:fill="auto"/>
          </w:tcPr>
          <w:p w14:paraId="7268F892" w14:textId="77777777" w:rsidR="005F762A" w:rsidRDefault="005F762A">
            <w:pPr>
              <w:rPr>
                <w:rFonts w:ascii="宋体"/>
              </w:rPr>
            </w:pPr>
          </w:p>
        </w:tc>
        <w:tc>
          <w:tcPr>
            <w:tcW w:w="50" w:type="pct"/>
            <w:shd w:val="clear" w:color="auto" w:fill="auto"/>
          </w:tcPr>
          <w:p w14:paraId="7268F893" w14:textId="77777777" w:rsidR="005F762A" w:rsidRDefault="005F762A">
            <w:pPr>
              <w:rPr>
                <w:rFonts w:ascii="宋体"/>
              </w:rPr>
            </w:pPr>
          </w:p>
        </w:tc>
        <w:tc>
          <w:tcPr>
            <w:tcW w:w="478" w:type="pct"/>
            <w:shd w:val="clear" w:color="auto" w:fill="auto"/>
          </w:tcPr>
          <w:p w14:paraId="7268F894" w14:textId="77777777" w:rsidR="005F762A" w:rsidRDefault="005F762A">
            <w:pPr>
              <w:rPr>
                <w:rFonts w:ascii="宋体"/>
              </w:rPr>
            </w:pPr>
          </w:p>
        </w:tc>
        <w:tc>
          <w:tcPr>
            <w:tcW w:w="5" w:type="pct"/>
            <w:shd w:val="clear" w:color="auto" w:fill="auto"/>
          </w:tcPr>
          <w:p w14:paraId="7268F895" w14:textId="77777777" w:rsidR="005F762A" w:rsidRDefault="005F762A">
            <w:pPr>
              <w:rPr>
                <w:rFonts w:ascii="宋体"/>
              </w:rPr>
            </w:pPr>
          </w:p>
        </w:tc>
        <w:tc>
          <w:tcPr>
            <w:tcW w:w="5" w:type="pct"/>
            <w:shd w:val="clear" w:color="auto" w:fill="auto"/>
          </w:tcPr>
          <w:p w14:paraId="7268F896" w14:textId="77777777" w:rsidR="005F762A" w:rsidRDefault="005F762A">
            <w:pPr>
              <w:rPr>
                <w:rFonts w:ascii="宋体"/>
              </w:rPr>
            </w:pPr>
          </w:p>
        </w:tc>
        <w:tc>
          <w:tcPr>
            <w:tcW w:w="26" w:type="pct"/>
            <w:shd w:val="clear" w:color="auto" w:fill="auto"/>
          </w:tcPr>
          <w:p w14:paraId="7268F897" w14:textId="77777777" w:rsidR="005F762A" w:rsidRDefault="005F762A">
            <w:pPr>
              <w:rPr>
                <w:rFonts w:ascii="宋体"/>
              </w:rPr>
            </w:pPr>
          </w:p>
        </w:tc>
        <w:tc>
          <w:tcPr>
            <w:tcW w:w="5" w:type="pct"/>
            <w:shd w:val="clear" w:color="auto" w:fill="auto"/>
          </w:tcPr>
          <w:p w14:paraId="7268F898" w14:textId="77777777" w:rsidR="005F762A" w:rsidRDefault="005F762A">
            <w:pPr>
              <w:rPr>
                <w:rFonts w:ascii="宋体"/>
              </w:rPr>
            </w:pPr>
          </w:p>
        </w:tc>
        <w:tc>
          <w:tcPr>
            <w:tcW w:w="50" w:type="pct"/>
            <w:shd w:val="clear" w:color="auto" w:fill="auto"/>
          </w:tcPr>
          <w:p w14:paraId="7268F899" w14:textId="77777777" w:rsidR="005F762A" w:rsidRDefault="005F762A">
            <w:pPr>
              <w:rPr>
                <w:rFonts w:ascii="宋体"/>
              </w:rPr>
            </w:pPr>
          </w:p>
        </w:tc>
        <w:tc>
          <w:tcPr>
            <w:tcW w:w="478" w:type="pct"/>
            <w:shd w:val="clear" w:color="auto" w:fill="auto"/>
          </w:tcPr>
          <w:p w14:paraId="7268F89A" w14:textId="77777777" w:rsidR="005F762A" w:rsidRDefault="005F762A">
            <w:pPr>
              <w:rPr>
                <w:rFonts w:ascii="宋体"/>
              </w:rPr>
            </w:pPr>
          </w:p>
        </w:tc>
        <w:tc>
          <w:tcPr>
            <w:tcW w:w="5" w:type="pct"/>
            <w:shd w:val="clear" w:color="auto" w:fill="auto"/>
          </w:tcPr>
          <w:p w14:paraId="7268F89B" w14:textId="77777777" w:rsidR="005F762A" w:rsidRDefault="005F762A">
            <w:pPr>
              <w:rPr>
                <w:rFonts w:ascii="宋体"/>
              </w:rPr>
            </w:pPr>
          </w:p>
        </w:tc>
        <w:tc>
          <w:tcPr>
            <w:tcW w:w="5" w:type="pct"/>
            <w:shd w:val="clear" w:color="auto" w:fill="auto"/>
          </w:tcPr>
          <w:p w14:paraId="7268F89C" w14:textId="77777777" w:rsidR="005F762A" w:rsidRDefault="005F762A">
            <w:pPr>
              <w:rPr>
                <w:rFonts w:ascii="宋体"/>
              </w:rPr>
            </w:pPr>
          </w:p>
        </w:tc>
        <w:tc>
          <w:tcPr>
            <w:tcW w:w="26" w:type="pct"/>
            <w:shd w:val="clear" w:color="auto" w:fill="auto"/>
          </w:tcPr>
          <w:p w14:paraId="7268F89D" w14:textId="77777777" w:rsidR="005F762A" w:rsidRDefault="005F762A">
            <w:pPr>
              <w:rPr>
                <w:rFonts w:ascii="宋体"/>
              </w:rPr>
            </w:pPr>
          </w:p>
        </w:tc>
        <w:tc>
          <w:tcPr>
            <w:tcW w:w="5" w:type="pct"/>
            <w:shd w:val="clear" w:color="auto" w:fill="auto"/>
          </w:tcPr>
          <w:p w14:paraId="7268F89E" w14:textId="77777777" w:rsidR="005F762A" w:rsidRDefault="005F762A">
            <w:pPr>
              <w:rPr>
                <w:rFonts w:ascii="宋体"/>
              </w:rPr>
            </w:pPr>
          </w:p>
        </w:tc>
        <w:tc>
          <w:tcPr>
            <w:tcW w:w="50" w:type="pct"/>
            <w:shd w:val="clear" w:color="auto" w:fill="auto"/>
          </w:tcPr>
          <w:p w14:paraId="7268F89F" w14:textId="77777777" w:rsidR="005F762A" w:rsidRDefault="005F762A">
            <w:pPr>
              <w:rPr>
                <w:rFonts w:ascii="宋体"/>
              </w:rPr>
            </w:pPr>
          </w:p>
        </w:tc>
        <w:tc>
          <w:tcPr>
            <w:tcW w:w="478" w:type="pct"/>
            <w:shd w:val="clear" w:color="auto" w:fill="auto"/>
          </w:tcPr>
          <w:p w14:paraId="7268F8A0" w14:textId="77777777" w:rsidR="005F762A" w:rsidRDefault="005F762A">
            <w:pPr>
              <w:rPr>
                <w:rFonts w:ascii="宋体"/>
              </w:rPr>
            </w:pPr>
          </w:p>
        </w:tc>
        <w:tc>
          <w:tcPr>
            <w:tcW w:w="5" w:type="pct"/>
            <w:shd w:val="clear" w:color="auto" w:fill="auto"/>
          </w:tcPr>
          <w:p w14:paraId="7268F8A1" w14:textId="77777777" w:rsidR="005F762A" w:rsidRDefault="005F762A">
            <w:pPr>
              <w:rPr>
                <w:rFonts w:ascii="宋体"/>
              </w:rPr>
            </w:pPr>
          </w:p>
        </w:tc>
      </w:tr>
      <w:tr w:rsidR="005F762A" w14:paraId="7268F8B1" w14:textId="77777777">
        <w:tc>
          <w:tcPr>
            <w:tcW w:w="0" w:type="auto"/>
            <w:gridSpan w:val="3"/>
            <w:shd w:val="clear" w:color="auto" w:fill="auto"/>
            <w:tcMar>
              <w:top w:w="40" w:type="dxa"/>
              <w:left w:w="245" w:type="dxa"/>
              <w:bottom w:w="40" w:type="dxa"/>
              <w:right w:w="20" w:type="dxa"/>
            </w:tcMar>
            <w:vAlign w:val="bottom"/>
          </w:tcPr>
          <w:p w14:paraId="7268F8A3"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8A4" w14:textId="77777777" w:rsidR="005F762A" w:rsidRDefault="005F762A">
            <w:pPr>
              <w:rPr>
                <w:rFonts w:ascii="宋体"/>
                <w:vanish/>
              </w:rPr>
            </w:pPr>
          </w:p>
        </w:tc>
        <w:tc>
          <w:tcPr>
            <w:tcW w:w="0" w:type="auto"/>
            <w:shd w:val="clear" w:color="auto" w:fill="auto"/>
          </w:tcPr>
          <w:p w14:paraId="7268F8A5" w14:textId="77777777" w:rsidR="005F762A" w:rsidRDefault="005F762A">
            <w:pPr>
              <w:rPr>
                <w:rFonts w:ascii="宋体"/>
                <w:vanish/>
              </w:rPr>
            </w:pPr>
          </w:p>
        </w:tc>
        <w:tc>
          <w:tcPr>
            <w:tcW w:w="0" w:type="auto"/>
            <w:shd w:val="clear" w:color="auto" w:fill="auto"/>
          </w:tcPr>
          <w:p w14:paraId="7268F8A6"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8A7"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8A8"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8A9"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8AA" w14:textId="77777777" w:rsidR="005F762A" w:rsidRDefault="005F762A">
            <w:pPr>
              <w:rPr>
                <w:rFonts w:ascii="宋体"/>
              </w:rPr>
            </w:pPr>
          </w:p>
        </w:tc>
        <w:tc>
          <w:tcPr>
            <w:tcW w:w="0" w:type="auto"/>
            <w:shd w:val="clear" w:color="auto" w:fill="auto"/>
          </w:tcPr>
          <w:p w14:paraId="7268F8AB" w14:textId="77777777" w:rsidR="005F762A" w:rsidRDefault="005F762A">
            <w:pPr>
              <w:rPr>
                <w:rFonts w:ascii="宋体"/>
              </w:rPr>
            </w:pPr>
          </w:p>
        </w:tc>
        <w:tc>
          <w:tcPr>
            <w:tcW w:w="0" w:type="auto"/>
            <w:shd w:val="clear" w:color="auto" w:fill="auto"/>
          </w:tcPr>
          <w:p w14:paraId="7268F8AC" w14:textId="77777777" w:rsidR="005F762A" w:rsidRDefault="005F762A">
            <w:pPr>
              <w:rPr>
                <w:rFonts w:ascii="宋体"/>
              </w:rPr>
            </w:pPr>
          </w:p>
        </w:tc>
        <w:tc>
          <w:tcPr>
            <w:tcW w:w="0" w:type="auto"/>
            <w:shd w:val="clear" w:color="auto" w:fill="auto"/>
          </w:tcPr>
          <w:p w14:paraId="7268F8AD" w14:textId="77777777" w:rsidR="005F762A" w:rsidRDefault="005F762A">
            <w:pPr>
              <w:rPr>
                <w:rFonts w:ascii="宋体"/>
              </w:rPr>
            </w:pPr>
          </w:p>
        </w:tc>
        <w:tc>
          <w:tcPr>
            <w:tcW w:w="0" w:type="auto"/>
            <w:shd w:val="clear" w:color="auto" w:fill="auto"/>
          </w:tcPr>
          <w:p w14:paraId="7268F8AE" w14:textId="77777777" w:rsidR="005F762A" w:rsidRDefault="005F762A">
            <w:pPr>
              <w:rPr>
                <w:rFonts w:ascii="宋体"/>
              </w:rPr>
            </w:pPr>
          </w:p>
        </w:tc>
        <w:tc>
          <w:tcPr>
            <w:tcW w:w="0" w:type="auto"/>
            <w:shd w:val="clear" w:color="auto" w:fill="auto"/>
          </w:tcPr>
          <w:p w14:paraId="7268F8AF" w14:textId="77777777" w:rsidR="005F762A" w:rsidRDefault="005F762A">
            <w:pPr>
              <w:rPr>
                <w:rFonts w:ascii="宋体"/>
              </w:rPr>
            </w:pPr>
          </w:p>
        </w:tc>
        <w:tc>
          <w:tcPr>
            <w:tcW w:w="0" w:type="auto"/>
            <w:shd w:val="clear" w:color="auto" w:fill="auto"/>
          </w:tcPr>
          <w:p w14:paraId="7268F8B0" w14:textId="77777777" w:rsidR="005F762A" w:rsidRDefault="005F762A">
            <w:pPr>
              <w:rPr>
                <w:rFonts w:ascii="宋体"/>
              </w:rPr>
            </w:pPr>
          </w:p>
        </w:tc>
      </w:tr>
      <w:tr w:rsidR="005F762A" w14:paraId="7268F8BE" w14:textId="77777777">
        <w:tc>
          <w:tcPr>
            <w:tcW w:w="0" w:type="auto"/>
            <w:gridSpan w:val="3"/>
            <w:shd w:val="clear" w:color="auto" w:fill="auto"/>
            <w:tcMar>
              <w:top w:w="40" w:type="dxa"/>
              <w:left w:w="20" w:type="dxa"/>
              <w:bottom w:w="40" w:type="dxa"/>
              <w:right w:w="20" w:type="dxa"/>
            </w:tcMar>
            <w:vAlign w:val="bottom"/>
          </w:tcPr>
          <w:p w14:paraId="7268F8B2" w14:textId="77777777" w:rsidR="005F762A" w:rsidRDefault="00D74111">
            <w:pPr>
              <w:jc w:val="center"/>
              <w:textAlignment w:val="bottom"/>
            </w:pPr>
            <w:r>
              <w:rPr>
                <w:rFonts w:ascii="Arial" w:eastAsia="宋体" w:hAnsi="Arial" w:cs="Arial"/>
                <w:color w:val="000000"/>
                <w:sz w:val="14"/>
                <w:szCs w:val="14"/>
              </w:rPr>
              <w:t> </w:t>
            </w:r>
          </w:p>
        </w:tc>
        <w:tc>
          <w:tcPr>
            <w:tcW w:w="0" w:type="auto"/>
            <w:shd w:val="clear" w:color="auto" w:fill="auto"/>
          </w:tcPr>
          <w:p w14:paraId="7268F8B3" w14:textId="77777777" w:rsidR="005F762A" w:rsidRDefault="005F762A">
            <w:pPr>
              <w:rPr>
                <w:rFonts w:ascii="宋体"/>
                <w:vanish/>
              </w:rPr>
            </w:pPr>
          </w:p>
        </w:tc>
        <w:tc>
          <w:tcPr>
            <w:tcW w:w="0" w:type="auto"/>
            <w:shd w:val="clear" w:color="auto" w:fill="auto"/>
          </w:tcPr>
          <w:p w14:paraId="7268F8B4" w14:textId="77777777" w:rsidR="005F762A" w:rsidRDefault="005F762A">
            <w:pPr>
              <w:rPr>
                <w:rFonts w:ascii="宋体"/>
                <w:vanish/>
              </w:rPr>
            </w:pPr>
          </w:p>
        </w:tc>
        <w:tc>
          <w:tcPr>
            <w:tcW w:w="0" w:type="auto"/>
            <w:shd w:val="clear" w:color="auto" w:fill="auto"/>
          </w:tcPr>
          <w:p w14:paraId="7268F8B5" w14:textId="77777777" w:rsidR="005F762A" w:rsidRDefault="005F762A">
            <w:pPr>
              <w:rPr>
                <w:rFonts w:ascii="宋体"/>
                <w:vanish/>
              </w:rPr>
            </w:pPr>
          </w:p>
        </w:tc>
        <w:tc>
          <w:tcPr>
            <w:tcW w:w="0" w:type="auto"/>
            <w:shd w:val="clear" w:color="auto" w:fill="auto"/>
          </w:tcPr>
          <w:p w14:paraId="7268F8B6" w14:textId="77777777" w:rsidR="005F762A" w:rsidRDefault="005F762A">
            <w:pPr>
              <w:rPr>
                <w:rFonts w:ascii="宋体"/>
                <w:vanish/>
              </w:rPr>
            </w:pPr>
          </w:p>
        </w:tc>
        <w:tc>
          <w:tcPr>
            <w:tcW w:w="0" w:type="auto"/>
            <w:shd w:val="clear" w:color="auto" w:fill="auto"/>
          </w:tcPr>
          <w:p w14:paraId="7268F8B7"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8B8"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8B9"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8BA"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8BB"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8B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8BD" w14:textId="77777777" w:rsidR="005F762A" w:rsidRDefault="00D74111">
            <w:pPr>
              <w:jc w:val="center"/>
              <w:textAlignment w:val="bottom"/>
            </w:pPr>
            <w:r>
              <w:rPr>
                <w:rFonts w:ascii="Arial" w:eastAsia="宋体" w:hAnsi="Arial" w:cs="Arial"/>
                <w:b/>
                <w:bCs/>
                <w:color w:val="000000"/>
                <w:sz w:val="14"/>
                <w:szCs w:val="14"/>
              </w:rPr>
              <w:t>% Change</w:t>
            </w:r>
          </w:p>
        </w:tc>
      </w:tr>
      <w:tr w:rsidR="005F762A" w14:paraId="7268F8CB" w14:textId="77777777">
        <w:trPr>
          <w:trHeight w:val="240"/>
        </w:trPr>
        <w:tc>
          <w:tcPr>
            <w:tcW w:w="0" w:type="auto"/>
            <w:gridSpan w:val="3"/>
            <w:shd w:val="clear" w:color="auto" w:fill="FFFFFF"/>
            <w:tcMar>
              <w:top w:w="0" w:type="dxa"/>
              <w:left w:w="20" w:type="dxa"/>
              <w:bottom w:w="0" w:type="dxa"/>
              <w:right w:w="20" w:type="dxa"/>
            </w:tcMar>
          </w:tcPr>
          <w:p w14:paraId="7268F8BF" w14:textId="77777777" w:rsidR="005F762A" w:rsidRDefault="005F762A">
            <w:pPr>
              <w:rPr>
                <w:rFonts w:ascii="宋体"/>
              </w:rPr>
            </w:pPr>
          </w:p>
        </w:tc>
        <w:tc>
          <w:tcPr>
            <w:tcW w:w="0" w:type="auto"/>
            <w:shd w:val="clear" w:color="auto" w:fill="auto"/>
          </w:tcPr>
          <w:p w14:paraId="7268F8C0" w14:textId="77777777" w:rsidR="005F762A" w:rsidRDefault="005F762A">
            <w:pPr>
              <w:rPr>
                <w:rFonts w:ascii="宋体"/>
                <w:vanish/>
              </w:rPr>
            </w:pPr>
          </w:p>
        </w:tc>
        <w:tc>
          <w:tcPr>
            <w:tcW w:w="0" w:type="auto"/>
            <w:shd w:val="clear" w:color="auto" w:fill="auto"/>
          </w:tcPr>
          <w:p w14:paraId="7268F8C1" w14:textId="77777777" w:rsidR="005F762A" w:rsidRDefault="005F762A">
            <w:pPr>
              <w:rPr>
                <w:rFonts w:ascii="宋体"/>
                <w:vanish/>
              </w:rPr>
            </w:pPr>
          </w:p>
        </w:tc>
        <w:tc>
          <w:tcPr>
            <w:tcW w:w="0" w:type="auto"/>
            <w:shd w:val="clear" w:color="auto" w:fill="auto"/>
          </w:tcPr>
          <w:p w14:paraId="7268F8C2" w14:textId="77777777" w:rsidR="005F762A" w:rsidRDefault="005F762A">
            <w:pPr>
              <w:rPr>
                <w:rFonts w:ascii="宋体"/>
                <w:vanish/>
              </w:rPr>
            </w:pPr>
          </w:p>
        </w:tc>
        <w:tc>
          <w:tcPr>
            <w:tcW w:w="0" w:type="auto"/>
            <w:shd w:val="clear" w:color="auto" w:fill="auto"/>
          </w:tcPr>
          <w:p w14:paraId="7268F8C3" w14:textId="77777777" w:rsidR="005F762A" w:rsidRDefault="005F762A">
            <w:pPr>
              <w:rPr>
                <w:rFonts w:ascii="宋体"/>
                <w:vanish/>
              </w:rPr>
            </w:pPr>
          </w:p>
        </w:tc>
        <w:tc>
          <w:tcPr>
            <w:tcW w:w="0" w:type="auto"/>
            <w:shd w:val="clear" w:color="auto" w:fill="auto"/>
          </w:tcPr>
          <w:p w14:paraId="7268F8C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8C5"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8C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C7"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8C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8C9" w14:textId="77777777" w:rsidR="005F762A" w:rsidRDefault="005F762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268F8CA" w14:textId="77777777" w:rsidR="005F762A" w:rsidRDefault="005F762A">
            <w:pPr>
              <w:rPr>
                <w:rFonts w:ascii="宋体"/>
              </w:rPr>
            </w:pPr>
          </w:p>
        </w:tc>
      </w:tr>
      <w:tr w:rsidR="005F762A" w14:paraId="7268F8DD" w14:textId="77777777">
        <w:tc>
          <w:tcPr>
            <w:tcW w:w="0" w:type="auto"/>
            <w:gridSpan w:val="3"/>
            <w:shd w:val="clear" w:color="auto" w:fill="E2E2E2"/>
            <w:tcMar>
              <w:top w:w="40" w:type="dxa"/>
              <w:left w:w="155" w:type="dxa"/>
              <w:bottom w:w="40" w:type="dxa"/>
              <w:right w:w="20" w:type="dxa"/>
            </w:tcMar>
            <w:vAlign w:val="bottom"/>
          </w:tcPr>
          <w:p w14:paraId="7268F8CC" w14:textId="77777777" w:rsidR="005F762A" w:rsidRDefault="00D74111">
            <w:pPr>
              <w:textAlignment w:val="bottom"/>
            </w:pPr>
            <w:r>
              <w:rPr>
                <w:rFonts w:ascii="Arial" w:eastAsia="宋体" w:hAnsi="Arial" w:cs="Arial"/>
                <w:color w:val="000000"/>
                <w:sz w:val="16"/>
                <w:szCs w:val="16"/>
              </w:rPr>
              <w:t>Net transaction revenue</w:t>
            </w:r>
          </w:p>
        </w:tc>
        <w:tc>
          <w:tcPr>
            <w:tcW w:w="0" w:type="auto"/>
            <w:shd w:val="clear" w:color="auto" w:fill="auto"/>
          </w:tcPr>
          <w:p w14:paraId="7268F8CD" w14:textId="77777777" w:rsidR="005F762A" w:rsidRDefault="005F762A">
            <w:pPr>
              <w:rPr>
                <w:rFonts w:ascii="宋体"/>
                <w:vanish/>
              </w:rPr>
            </w:pPr>
          </w:p>
        </w:tc>
        <w:tc>
          <w:tcPr>
            <w:tcW w:w="0" w:type="auto"/>
            <w:shd w:val="clear" w:color="auto" w:fill="auto"/>
          </w:tcPr>
          <w:p w14:paraId="7268F8CE" w14:textId="77777777" w:rsidR="005F762A" w:rsidRDefault="005F762A">
            <w:pPr>
              <w:rPr>
                <w:rFonts w:ascii="宋体"/>
                <w:vanish/>
              </w:rPr>
            </w:pPr>
          </w:p>
        </w:tc>
        <w:tc>
          <w:tcPr>
            <w:tcW w:w="0" w:type="auto"/>
            <w:shd w:val="clear" w:color="auto" w:fill="auto"/>
          </w:tcPr>
          <w:p w14:paraId="7268F8CF" w14:textId="77777777" w:rsidR="005F762A" w:rsidRDefault="005F762A">
            <w:pPr>
              <w:rPr>
                <w:rFonts w:ascii="宋体"/>
                <w:vanish/>
              </w:rPr>
            </w:pPr>
          </w:p>
        </w:tc>
        <w:tc>
          <w:tcPr>
            <w:tcW w:w="0" w:type="auto"/>
            <w:shd w:val="clear" w:color="auto" w:fill="auto"/>
          </w:tcPr>
          <w:p w14:paraId="7268F8D0" w14:textId="77777777" w:rsidR="005F762A" w:rsidRDefault="005F762A">
            <w:pPr>
              <w:rPr>
                <w:rFonts w:ascii="宋体"/>
                <w:vanish/>
              </w:rPr>
            </w:pPr>
          </w:p>
        </w:tc>
        <w:tc>
          <w:tcPr>
            <w:tcW w:w="0" w:type="auto"/>
            <w:shd w:val="clear" w:color="auto" w:fill="auto"/>
          </w:tcPr>
          <w:p w14:paraId="7268F8D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8D2"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8D3"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8D4" w14:textId="77777777" w:rsidR="005F762A" w:rsidRDefault="00D74111">
            <w:pPr>
              <w:jc w:val="right"/>
              <w:textAlignment w:val="bottom"/>
            </w:pPr>
            <w:r>
              <w:rPr>
                <w:rFonts w:ascii="Arial" w:eastAsia="宋体" w:hAnsi="Arial" w:cs="Arial"/>
                <w:color w:val="000000"/>
                <w:sz w:val="16"/>
                <w:szCs w:val="16"/>
              </w:rPr>
              <w:t>2,732 </w:t>
            </w:r>
          </w:p>
        </w:tc>
        <w:tc>
          <w:tcPr>
            <w:tcW w:w="0" w:type="auto"/>
            <w:shd w:val="clear" w:color="auto" w:fill="E2E2E2"/>
            <w:tcMar>
              <w:top w:w="40" w:type="dxa"/>
              <w:left w:w="0" w:type="dxa"/>
              <w:bottom w:w="40" w:type="dxa"/>
              <w:right w:w="20" w:type="dxa"/>
            </w:tcMar>
            <w:vAlign w:val="bottom"/>
          </w:tcPr>
          <w:p w14:paraId="7268F8D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8D6"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8D7"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8D8" w14:textId="77777777" w:rsidR="005F762A" w:rsidRDefault="00D74111">
            <w:pPr>
              <w:jc w:val="right"/>
              <w:textAlignment w:val="bottom"/>
            </w:pPr>
            <w:r>
              <w:rPr>
                <w:rFonts w:ascii="Arial" w:eastAsia="宋体" w:hAnsi="Arial" w:cs="Arial"/>
                <w:color w:val="000000"/>
                <w:sz w:val="16"/>
                <w:szCs w:val="16"/>
              </w:rPr>
              <w:t>1,900 </w:t>
            </w:r>
          </w:p>
        </w:tc>
        <w:tc>
          <w:tcPr>
            <w:tcW w:w="0" w:type="auto"/>
            <w:shd w:val="clear" w:color="auto" w:fill="E2E2E2"/>
            <w:tcMar>
              <w:top w:w="40" w:type="dxa"/>
              <w:left w:w="0" w:type="dxa"/>
              <w:bottom w:w="40" w:type="dxa"/>
              <w:right w:w="20" w:type="dxa"/>
            </w:tcMar>
            <w:vAlign w:val="bottom"/>
          </w:tcPr>
          <w:p w14:paraId="7268F8D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8D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8DB" w14:textId="77777777" w:rsidR="005F762A" w:rsidRDefault="00D74111">
            <w:pPr>
              <w:jc w:val="right"/>
              <w:textAlignment w:val="bottom"/>
            </w:pPr>
            <w:r>
              <w:rPr>
                <w:rFonts w:ascii="Arial" w:eastAsia="宋体" w:hAnsi="Arial" w:cs="Arial"/>
                <w:color w:val="000000"/>
                <w:sz w:val="16"/>
                <w:szCs w:val="16"/>
              </w:rPr>
              <w:t>44 </w:t>
            </w:r>
          </w:p>
        </w:tc>
        <w:tc>
          <w:tcPr>
            <w:tcW w:w="0" w:type="auto"/>
            <w:shd w:val="clear" w:color="auto" w:fill="E2E2E2"/>
            <w:tcMar>
              <w:top w:w="40" w:type="dxa"/>
              <w:left w:w="0" w:type="dxa"/>
              <w:bottom w:w="40" w:type="dxa"/>
              <w:right w:w="20" w:type="dxa"/>
            </w:tcMar>
            <w:vAlign w:val="bottom"/>
          </w:tcPr>
          <w:p w14:paraId="7268F8DC" w14:textId="77777777" w:rsidR="005F762A" w:rsidRDefault="00D74111">
            <w:pPr>
              <w:jc w:val="right"/>
              <w:textAlignment w:val="bottom"/>
            </w:pPr>
            <w:r>
              <w:rPr>
                <w:rFonts w:ascii="Arial" w:eastAsia="宋体" w:hAnsi="Arial" w:cs="Arial"/>
                <w:color w:val="000000"/>
                <w:sz w:val="16"/>
                <w:szCs w:val="16"/>
              </w:rPr>
              <w:t>%</w:t>
            </w:r>
          </w:p>
        </w:tc>
      </w:tr>
      <w:tr w:rsidR="005F762A" w14:paraId="7268F8EA" w14:textId="77777777">
        <w:trPr>
          <w:hidden/>
        </w:trPr>
        <w:tc>
          <w:tcPr>
            <w:tcW w:w="0" w:type="auto"/>
            <w:gridSpan w:val="3"/>
            <w:shd w:val="clear" w:color="auto" w:fill="auto"/>
          </w:tcPr>
          <w:p w14:paraId="7268F8DE" w14:textId="77777777" w:rsidR="005F762A" w:rsidRDefault="005F762A">
            <w:pPr>
              <w:rPr>
                <w:rFonts w:ascii="宋体"/>
                <w:vanish/>
              </w:rPr>
            </w:pPr>
          </w:p>
        </w:tc>
        <w:tc>
          <w:tcPr>
            <w:tcW w:w="0" w:type="auto"/>
            <w:shd w:val="clear" w:color="auto" w:fill="auto"/>
          </w:tcPr>
          <w:p w14:paraId="7268F8DF" w14:textId="77777777" w:rsidR="005F762A" w:rsidRDefault="005F762A">
            <w:pPr>
              <w:rPr>
                <w:rFonts w:ascii="宋体"/>
                <w:vanish/>
              </w:rPr>
            </w:pPr>
          </w:p>
        </w:tc>
        <w:tc>
          <w:tcPr>
            <w:tcW w:w="0" w:type="auto"/>
            <w:shd w:val="clear" w:color="auto" w:fill="auto"/>
          </w:tcPr>
          <w:p w14:paraId="7268F8E0" w14:textId="77777777" w:rsidR="005F762A" w:rsidRDefault="005F762A">
            <w:pPr>
              <w:rPr>
                <w:rFonts w:ascii="宋体"/>
                <w:vanish/>
              </w:rPr>
            </w:pPr>
          </w:p>
        </w:tc>
        <w:tc>
          <w:tcPr>
            <w:tcW w:w="0" w:type="auto"/>
            <w:shd w:val="clear" w:color="auto" w:fill="auto"/>
          </w:tcPr>
          <w:p w14:paraId="7268F8E1" w14:textId="77777777" w:rsidR="005F762A" w:rsidRDefault="005F762A">
            <w:pPr>
              <w:rPr>
                <w:rFonts w:ascii="宋体"/>
                <w:vanish/>
              </w:rPr>
            </w:pPr>
          </w:p>
        </w:tc>
        <w:tc>
          <w:tcPr>
            <w:tcW w:w="0" w:type="auto"/>
            <w:shd w:val="clear" w:color="auto" w:fill="auto"/>
          </w:tcPr>
          <w:p w14:paraId="7268F8E2" w14:textId="77777777" w:rsidR="005F762A" w:rsidRDefault="005F762A">
            <w:pPr>
              <w:rPr>
                <w:rFonts w:ascii="宋体"/>
                <w:vanish/>
              </w:rPr>
            </w:pPr>
          </w:p>
        </w:tc>
        <w:tc>
          <w:tcPr>
            <w:tcW w:w="0" w:type="auto"/>
            <w:shd w:val="clear" w:color="auto" w:fill="auto"/>
          </w:tcPr>
          <w:p w14:paraId="7268F8E3" w14:textId="77777777" w:rsidR="005F762A" w:rsidRDefault="005F762A">
            <w:pPr>
              <w:rPr>
                <w:rFonts w:ascii="宋体"/>
                <w:vanish/>
              </w:rPr>
            </w:pPr>
          </w:p>
        </w:tc>
        <w:tc>
          <w:tcPr>
            <w:tcW w:w="0" w:type="auto"/>
            <w:gridSpan w:val="3"/>
            <w:shd w:val="clear" w:color="auto" w:fill="auto"/>
          </w:tcPr>
          <w:p w14:paraId="7268F8E4" w14:textId="77777777" w:rsidR="005F762A" w:rsidRDefault="005F762A">
            <w:pPr>
              <w:rPr>
                <w:rFonts w:ascii="宋体"/>
                <w:vanish/>
              </w:rPr>
            </w:pPr>
          </w:p>
        </w:tc>
        <w:tc>
          <w:tcPr>
            <w:tcW w:w="0" w:type="auto"/>
            <w:gridSpan w:val="3"/>
            <w:shd w:val="clear" w:color="auto" w:fill="auto"/>
          </w:tcPr>
          <w:p w14:paraId="7268F8E5" w14:textId="77777777" w:rsidR="005F762A" w:rsidRDefault="005F762A">
            <w:pPr>
              <w:rPr>
                <w:rFonts w:ascii="宋体"/>
                <w:vanish/>
              </w:rPr>
            </w:pPr>
          </w:p>
        </w:tc>
        <w:tc>
          <w:tcPr>
            <w:tcW w:w="0" w:type="auto"/>
            <w:gridSpan w:val="3"/>
            <w:shd w:val="clear" w:color="auto" w:fill="auto"/>
          </w:tcPr>
          <w:p w14:paraId="7268F8E6" w14:textId="77777777" w:rsidR="005F762A" w:rsidRDefault="005F762A">
            <w:pPr>
              <w:rPr>
                <w:rFonts w:ascii="宋体"/>
                <w:vanish/>
              </w:rPr>
            </w:pPr>
          </w:p>
        </w:tc>
        <w:tc>
          <w:tcPr>
            <w:tcW w:w="0" w:type="auto"/>
            <w:gridSpan w:val="3"/>
            <w:shd w:val="clear" w:color="auto" w:fill="auto"/>
          </w:tcPr>
          <w:p w14:paraId="7268F8E7" w14:textId="77777777" w:rsidR="005F762A" w:rsidRDefault="005F762A">
            <w:pPr>
              <w:rPr>
                <w:rFonts w:ascii="宋体"/>
                <w:vanish/>
              </w:rPr>
            </w:pPr>
          </w:p>
        </w:tc>
        <w:tc>
          <w:tcPr>
            <w:tcW w:w="0" w:type="auto"/>
            <w:gridSpan w:val="3"/>
            <w:shd w:val="clear" w:color="auto" w:fill="auto"/>
          </w:tcPr>
          <w:p w14:paraId="7268F8E8" w14:textId="77777777" w:rsidR="005F762A" w:rsidRDefault="005F762A">
            <w:pPr>
              <w:rPr>
                <w:rFonts w:ascii="宋体"/>
                <w:vanish/>
              </w:rPr>
            </w:pPr>
          </w:p>
        </w:tc>
        <w:tc>
          <w:tcPr>
            <w:tcW w:w="0" w:type="auto"/>
            <w:gridSpan w:val="3"/>
            <w:shd w:val="clear" w:color="auto" w:fill="auto"/>
          </w:tcPr>
          <w:p w14:paraId="7268F8E9" w14:textId="77777777" w:rsidR="005F762A" w:rsidRDefault="005F762A">
            <w:pPr>
              <w:rPr>
                <w:rFonts w:ascii="宋体"/>
                <w:vanish/>
              </w:rPr>
            </w:pPr>
          </w:p>
        </w:tc>
      </w:tr>
      <w:tr w:rsidR="005F762A" w14:paraId="7268F8F7" w14:textId="77777777">
        <w:trPr>
          <w:hidden/>
        </w:trPr>
        <w:tc>
          <w:tcPr>
            <w:tcW w:w="0" w:type="auto"/>
            <w:gridSpan w:val="3"/>
            <w:shd w:val="clear" w:color="auto" w:fill="auto"/>
          </w:tcPr>
          <w:p w14:paraId="7268F8EB" w14:textId="77777777" w:rsidR="005F762A" w:rsidRDefault="005F762A">
            <w:pPr>
              <w:rPr>
                <w:rFonts w:ascii="宋体"/>
                <w:vanish/>
              </w:rPr>
            </w:pPr>
          </w:p>
        </w:tc>
        <w:tc>
          <w:tcPr>
            <w:tcW w:w="0" w:type="auto"/>
            <w:shd w:val="clear" w:color="auto" w:fill="auto"/>
          </w:tcPr>
          <w:p w14:paraId="7268F8EC" w14:textId="77777777" w:rsidR="005F762A" w:rsidRDefault="005F762A">
            <w:pPr>
              <w:rPr>
                <w:rFonts w:ascii="宋体"/>
                <w:vanish/>
              </w:rPr>
            </w:pPr>
          </w:p>
        </w:tc>
        <w:tc>
          <w:tcPr>
            <w:tcW w:w="0" w:type="auto"/>
            <w:shd w:val="clear" w:color="auto" w:fill="auto"/>
          </w:tcPr>
          <w:p w14:paraId="7268F8ED" w14:textId="77777777" w:rsidR="005F762A" w:rsidRDefault="005F762A">
            <w:pPr>
              <w:rPr>
                <w:rFonts w:ascii="宋体"/>
                <w:vanish/>
              </w:rPr>
            </w:pPr>
          </w:p>
        </w:tc>
        <w:tc>
          <w:tcPr>
            <w:tcW w:w="0" w:type="auto"/>
            <w:shd w:val="clear" w:color="auto" w:fill="auto"/>
          </w:tcPr>
          <w:p w14:paraId="7268F8EE" w14:textId="77777777" w:rsidR="005F762A" w:rsidRDefault="005F762A">
            <w:pPr>
              <w:rPr>
                <w:rFonts w:ascii="宋体"/>
                <w:vanish/>
              </w:rPr>
            </w:pPr>
          </w:p>
        </w:tc>
        <w:tc>
          <w:tcPr>
            <w:tcW w:w="0" w:type="auto"/>
            <w:shd w:val="clear" w:color="auto" w:fill="auto"/>
          </w:tcPr>
          <w:p w14:paraId="7268F8EF" w14:textId="77777777" w:rsidR="005F762A" w:rsidRDefault="005F762A">
            <w:pPr>
              <w:rPr>
                <w:rFonts w:ascii="宋体"/>
                <w:vanish/>
              </w:rPr>
            </w:pPr>
          </w:p>
        </w:tc>
        <w:tc>
          <w:tcPr>
            <w:tcW w:w="0" w:type="auto"/>
            <w:shd w:val="clear" w:color="auto" w:fill="auto"/>
          </w:tcPr>
          <w:p w14:paraId="7268F8F0" w14:textId="77777777" w:rsidR="005F762A" w:rsidRDefault="005F762A">
            <w:pPr>
              <w:rPr>
                <w:rFonts w:ascii="宋体"/>
                <w:vanish/>
              </w:rPr>
            </w:pPr>
          </w:p>
        </w:tc>
        <w:tc>
          <w:tcPr>
            <w:tcW w:w="0" w:type="auto"/>
            <w:gridSpan w:val="3"/>
            <w:shd w:val="clear" w:color="auto" w:fill="auto"/>
          </w:tcPr>
          <w:p w14:paraId="7268F8F1" w14:textId="77777777" w:rsidR="005F762A" w:rsidRDefault="005F762A">
            <w:pPr>
              <w:rPr>
                <w:rFonts w:ascii="宋体"/>
                <w:vanish/>
              </w:rPr>
            </w:pPr>
          </w:p>
        </w:tc>
        <w:tc>
          <w:tcPr>
            <w:tcW w:w="0" w:type="auto"/>
            <w:gridSpan w:val="3"/>
            <w:shd w:val="clear" w:color="auto" w:fill="auto"/>
          </w:tcPr>
          <w:p w14:paraId="7268F8F2" w14:textId="77777777" w:rsidR="005F762A" w:rsidRDefault="005F762A">
            <w:pPr>
              <w:rPr>
                <w:rFonts w:ascii="宋体"/>
                <w:vanish/>
              </w:rPr>
            </w:pPr>
          </w:p>
        </w:tc>
        <w:tc>
          <w:tcPr>
            <w:tcW w:w="0" w:type="auto"/>
            <w:gridSpan w:val="3"/>
            <w:shd w:val="clear" w:color="auto" w:fill="auto"/>
          </w:tcPr>
          <w:p w14:paraId="7268F8F3" w14:textId="77777777" w:rsidR="005F762A" w:rsidRDefault="005F762A">
            <w:pPr>
              <w:rPr>
                <w:rFonts w:ascii="宋体"/>
                <w:vanish/>
              </w:rPr>
            </w:pPr>
          </w:p>
        </w:tc>
        <w:tc>
          <w:tcPr>
            <w:tcW w:w="0" w:type="auto"/>
            <w:gridSpan w:val="3"/>
            <w:shd w:val="clear" w:color="auto" w:fill="auto"/>
          </w:tcPr>
          <w:p w14:paraId="7268F8F4" w14:textId="77777777" w:rsidR="005F762A" w:rsidRDefault="005F762A">
            <w:pPr>
              <w:rPr>
                <w:rFonts w:ascii="宋体"/>
                <w:vanish/>
              </w:rPr>
            </w:pPr>
          </w:p>
        </w:tc>
        <w:tc>
          <w:tcPr>
            <w:tcW w:w="0" w:type="auto"/>
            <w:gridSpan w:val="3"/>
            <w:shd w:val="clear" w:color="auto" w:fill="auto"/>
          </w:tcPr>
          <w:p w14:paraId="7268F8F5" w14:textId="77777777" w:rsidR="005F762A" w:rsidRDefault="005F762A">
            <w:pPr>
              <w:rPr>
                <w:rFonts w:ascii="宋体"/>
                <w:vanish/>
              </w:rPr>
            </w:pPr>
          </w:p>
        </w:tc>
        <w:tc>
          <w:tcPr>
            <w:tcW w:w="0" w:type="auto"/>
            <w:gridSpan w:val="3"/>
            <w:shd w:val="clear" w:color="auto" w:fill="auto"/>
          </w:tcPr>
          <w:p w14:paraId="7268F8F6" w14:textId="77777777" w:rsidR="005F762A" w:rsidRDefault="005F762A">
            <w:pPr>
              <w:rPr>
                <w:rFonts w:ascii="宋体"/>
                <w:vanish/>
              </w:rPr>
            </w:pPr>
          </w:p>
        </w:tc>
      </w:tr>
      <w:tr w:rsidR="005F762A" w14:paraId="7268F907" w14:textId="77777777">
        <w:tc>
          <w:tcPr>
            <w:tcW w:w="0" w:type="auto"/>
            <w:gridSpan w:val="3"/>
            <w:shd w:val="clear" w:color="auto" w:fill="FFFFFF"/>
            <w:tcMar>
              <w:top w:w="40" w:type="dxa"/>
              <w:left w:w="155" w:type="dxa"/>
              <w:bottom w:w="40" w:type="dxa"/>
              <w:right w:w="20" w:type="dxa"/>
            </w:tcMar>
            <w:vAlign w:val="bottom"/>
          </w:tcPr>
          <w:p w14:paraId="7268F8F8" w14:textId="77777777" w:rsidR="005F762A" w:rsidRDefault="00D74111">
            <w:pPr>
              <w:textAlignment w:val="bottom"/>
            </w:pPr>
            <w:r>
              <w:rPr>
                <w:rFonts w:ascii="Arial" w:eastAsia="宋体" w:hAnsi="Arial" w:cs="Arial"/>
                <w:color w:val="000000"/>
                <w:sz w:val="16"/>
                <w:szCs w:val="16"/>
              </w:rPr>
              <w:t>Marketing services and other revenues</w:t>
            </w:r>
          </w:p>
        </w:tc>
        <w:tc>
          <w:tcPr>
            <w:tcW w:w="0" w:type="auto"/>
            <w:shd w:val="clear" w:color="auto" w:fill="auto"/>
          </w:tcPr>
          <w:p w14:paraId="7268F8F9" w14:textId="77777777" w:rsidR="005F762A" w:rsidRDefault="005F762A">
            <w:pPr>
              <w:rPr>
                <w:rFonts w:ascii="宋体"/>
                <w:vanish/>
              </w:rPr>
            </w:pPr>
          </w:p>
        </w:tc>
        <w:tc>
          <w:tcPr>
            <w:tcW w:w="0" w:type="auto"/>
            <w:shd w:val="clear" w:color="auto" w:fill="auto"/>
          </w:tcPr>
          <w:p w14:paraId="7268F8FA" w14:textId="77777777" w:rsidR="005F762A" w:rsidRDefault="005F762A">
            <w:pPr>
              <w:rPr>
                <w:rFonts w:ascii="宋体"/>
                <w:vanish/>
              </w:rPr>
            </w:pPr>
          </w:p>
        </w:tc>
        <w:tc>
          <w:tcPr>
            <w:tcW w:w="0" w:type="auto"/>
            <w:shd w:val="clear" w:color="auto" w:fill="auto"/>
          </w:tcPr>
          <w:p w14:paraId="7268F8FB" w14:textId="77777777" w:rsidR="005F762A" w:rsidRDefault="005F762A">
            <w:pPr>
              <w:rPr>
                <w:rFonts w:ascii="宋体"/>
                <w:vanish/>
              </w:rPr>
            </w:pPr>
          </w:p>
        </w:tc>
        <w:tc>
          <w:tcPr>
            <w:tcW w:w="0" w:type="auto"/>
            <w:shd w:val="clear" w:color="auto" w:fill="auto"/>
          </w:tcPr>
          <w:p w14:paraId="7268F8FC" w14:textId="77777777" w:rsidR="005F762A" w:rsidRDefault="005F762A">
            <w:pPr>
              <w:rPr>
                <w:rFonts w:ascii="宋体"/>
                <w:vanish/>
              </w:rPr>
            </w:pPr>
          </w:p>
        </w:tc>
        <w:tc>
          <w:tcPr>
            <w:tcW w:w="0" w:type="auto"/>
            <w:shd w:val="clear" w:color="auto" w:fill="auto"/>
          </w:tcPr>
          <w:p w14:paraId="7268F8F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8FE"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8FF" w14:textId="77777777" w:rsidR="005F762A" w:rsidRDefault="00D74111">
            <w:pPr>
              <w:jc w:val="right"/>
              <w:textAlignment w:val="bottom"/>
            </w:pPr>
            <w:r>
              <w:rPr>
                <w:rFonts w:ascii="Arial" w:eastAsia="宋体" w:hAnsi="Arial" w:cs="Arial"/>
                <w:color w:val="000000"/>
                <w:sz w:val="16"/>
                <w:szCs w:val="16"/>
              </w:rPr>
              <w:t>291 </w:t>
            </w:r>
          </w:p>
        </w:tc>
        <w:tc>
          <w:tcPr>
            <w:tcW w:w="0" w:type="auto"/>
            <w:shd w:val="clear" w:color="auto" w:fill="FFFFFF"/>
            <w:tcMar>
              <w:top w:w="40" w:type="dxa"/>
              <w:left w:w="0" w:type="dxa"/>
              <w:bottom w:w="40" w:type="dxa"/>
              <w:right w:w="20" w:type="dxa"/>
            </w:tcMar>
            <w:vAlign w:val="bottom"/>
          </w:tcPr>
          <w:p w14:paraId="7268F900"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90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902" w14:textId="77777777" w:rsidR="005F762A" w:rsidRDefault="00D74111">
            <w:pPr>
              <w:jc w:val="right"/>
              <w:textAlignment w:val="bottom"/>
            </w:pPr>
            <w:r>
              <w:rPr>
                <w:rFonts w:ascii="Arial" w:eastAsia="宋体" w:hAnsi="Arial" w:cs="Arial"/>
                <w:color w:val="000000"/>
                <w:sz w:val="16"/>
                <w:szCs w:val="16"/>
              </w:rPr>
              <w:t>229 </w:t>
            </w:r>
          </w:p>
        </w:tc>
        <w:tc>
          <w:tcPr>
            <w:tcW w:w="0" w:type="auto"/>
            <w:shd w:val="clear" w:color="auto" w:fill="FFFFFF"/>
            <w:tcMar>
              <w:top w:w="40" w:type="dxa"/>
              <w:left w:w="0" w:type="dxa"/>
              <w:bottom w:w="40" w:type="dxa"/>
              <w:right w:w="20" w:type="dxa"/>
            </w:tcMar>
            <w:vAlign w:val="bottom"/>
          </w:tcPr>
          <w:p w14:paraId="7268F903"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90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905" w14:textId="77777777" w:rsidR="005F762A" w:rsidRDefault="00D74111">
            <w:pPr>
              <w:jc w:val="right"/>
              <w:textAlignment w:val="bottom"/>
            </w:pPr>
            <w:r>
              <w:rPr>
                <w:rFonts w:ascii="Arial" w:eastAsia="宋体" w:hAnsi="Arial" w:cs="Arial"/>
                <w:color w:val="000000"/>
                <w:sz w:val="16"/>
                <w:szCs w:val="16"/>
              </w:rPr>
              <w:t>27 </w:t>
            </w:r>
          </w:p>
        </w:tc>
        <w:tc>
          <w:tcPr>
            <w:tcW w:w="0" w:type="auto"/>
            <w:shd w:val="clear" w:color="auto" w:fill="FFFFFF"/>
            <w:tcMar>
              <w:top w:w="40" w:type="dxa"/>
              <w:left w:w="0" w:type="dxa"/>
              <w:bottom w:w="40" w:type="dxa"/>
              <w:right w:w="20" w:type="dxa"/>
            </w:tcMar>
            <w:vAlign w:val="bottom"/>
          </w:tcPr>
          <w:p w14:paraId="7268F906" w14:textId="77777777" w:rsidR="005F762A" w:rsidRDefault="00D74111">
            <w:pPr>
              <w:jc w:val="right"/>
              <w:textAlignment w:val="bottom"/>
            </w:pPr>
            <w:r>
              <w:rPr>
                <w:rFonts w:ascii="Arial" w:eastAsia="宋体" w:hAnsi="Arial" w:cs="Arial"/>
                <w:color w:val="000000"/>
                <w:sz w:val="16"/>
                <w:szCs w:val="16"/>
              </w:rPr>
              <w:t>%</w:t>
            </w:r>
          </w:p>
        </w:tc>
      </w:tr>
      <w:tr w:rsidR="005F762A" w14:paraId="7268F914" w14:textId="77777777">
        <w:trPr>
          <w:hidden/>
        </w:trPr>
        <w:tc>
          <w:tcPr>
            <w:tcW w:w="0" w:type="auto"/>
            <w:gridSpan w:val="3"/>
            <w:shd w:val="clear" w:color="auto" w:fill="auto"/>
          </w:tcPr>
          <w:p w14:paraId="7268F908" w14:textId="77777777" w:rsidR="005F762A" w:rsidRDefault="005F762A">
            <w:pPr>
              <w:rPr>
                <w:rFonts w:ascii="宋体"/>
                <w:vanish/>
              </w:rPr>
            </w:pPr>
          </w:p>
        </w:tc>
        <w:tc>
          <w:tcPr>
            <w:tcW w:w="0" w:type="auto"/>
            <w:shd w:val="clear" w:color="auto" w:fill="auto"/>
          </w:tcPr>
          <w:p w14:paraId="7268F909" w14:textId="77777777" w:rsidR="005F762A" w:rsidRDefault="005F762A">
            <w:pPr>
              <w:rPr>
                <w:rFonts w:ascii="宋体"/>
                <w:vanish/>
              </w:rPr>
            </w:pPr>
          </w:p>
        </w:tc>
        <w:tc>
          <w:tcPr>
            <w:tcW w:w="0" w:type="auto"/>
            <w:shd w:val="clear" w:color="auto" w:fill="auto"/>
          </w:tcPr>
          <w:p w14:paraId="7268F90A" w14:textId="77777777" w:rsidR="005F762A" w:rsidRDefault="005F762A">
            <w:pPr>
              <w:rPr>
                <w:rFonts w:ascii="宋体"/>
                <w:vanish/>
              </w:rPr>
            </w:pPr>
          </w:p>
        </w:tc>
        <w:tc>
          <w:tcPr>
            <w:tcW w:w="0" w:type="auto"/>
            <w:shd w:val="clear" w:color="auto" w:fill="auto"/>
          </w:tcPr>
          <w:p w14:paraId="7268F90B" w14:textId="77777777" w:rsidR="005F762A" w:rsidRDefault="005F762A">
            <w:pPr>
              <w:rPr>
                <w:rFonts w:ascii="宋体"/>
                <w:vanish/>
              </w:rPr>
            </w:pPr>
          </w:p>
        </w:tc>
        <w:tc>
          <w:tcPr>
            <w:tcW w:w="0" w:type="auto"/>
            <w:shd w:val="clear" w:color="auto" w:fill="auto"/>
          </w:tcPr>
          <w:p w14:paraId="7268F90C" w14:textId="77777777" w:rsidR="005F762A" w:rsidRDefault="005F762A">
            <w:pPr>
              <w:rPr>
                <w:rFonts w:ascii="宋体"/>
                <w:vanish/>
              </w:rPr>
            </w:pPr>
          </w:p>
        </w:tc>
        <w:tc>
          <w:tcPr>
            <w:tcW w:w="0" w:type="auto"/>
            <w:shd w:val="clear" w:color="auto" w:fill="auto"/>
          </w:tcPr>
          <w:p w14:paraId="7268F90D" w14:textId="77777777" w:rsidR="005F762A" w:rsidRDefault="005F762A">
            <w:pPr>
              <w:rPr>
                <w:rFonts w:ascii="宋体"/>
                <w:vanish/>
              </w:rPr>
            </w:pPr>
          </w:p>
        </w:tc>
        <w:tc>
          <w:tcPr>
            <w:tcW w:w="0" w:type="auto"/>
            <w:gridSpan w:val="3"/>
            <w:shd w:val="clear" w:color="auto" w:fill="auto"/>
          </w:tcPr>
          <w:p w14:paraId="7268F90E" w14:textId="77777777" w:rsidR="005F762A" w:rsidRDefault="005F762A">
            <w:pPr>
              <w:rPr>
                <w:rFonts w:ascii="宋体"/>
                <w:vanish/>
              </w:rPr>
            </w:pPr>
          </w:p>
        </w:tc>
        <w:tc>
          <w:tcPr>
            <w:tcW w:w="0" w:type="auto"/>
            <w:gridSpan w:val="3"/>
            <w:shd w:val="clear" w:color="auto" w:fill="auto"/>
          </w:tcPr>
          <w:p w14:paraId="7268F90F" w14:textId="77777777" w:rsidR="005F762A" w:rsidRDefault="005F762A">
            <w:pPr>
              <w:rPr>
                <w:rFonts w:ascii="宋体"/>
                <w:vanish/>
              </w:rPr>
            </w:pPr>
          </w:p>
        </w:tc>
        <w:tc>
          <w:tcPr>
            <w:tcW w:w="0" w:type="auto"/>
            <w:gridSpan w:val="3"/>
            <w:shd w:val="clear" w:color="auto" w:fill="auto"/>
          </w:tcPr>
          <w:p w14:paraId="7268F910" w14:textId="77777777" w:rsidR="005F762A" w:rsidRDefault="005F762A">
            <w:pPr>
              <w:rPr>
                <w:rFonts w:ascii="宋体"/>
                <w:vanish/>
              </w:rPr>
            </w:pPr>
          </w:p>
        </w:tc>
        <w:tc>
          <w:tcPr>
            <w:tcW w:w="0" w:type="auto"/>
            <w:gridSpan w:val="3"/>
            <w:shd w:val="clear" w:color="auto" w:fill="auto"/>
          </w:tcPr>
          <w:p w14:paraId="7268F911" w14:textId="77777777" w:rsidR="005F762A" w:rsidRDefault="005F762A">
            <w:pPr>
              <w:rPr>
                <w:rFonts w:ascii="宋体"/>
                <w:vanish/>
              </w:rPr>
            </w:pPr>
          </w:p>
        </w:tc>
        <w:tc>
          <w:tcPr>
            <w:tcW w:w="0" w:type="auto"/>
            <w:gridSpan w:val="3"/>
            <w:shd w:val="clear" w:color="auto" w:fill="auto"/>
          </w:tcPr>
          <w:p w14:paraId="7268F912" w14:textId="77777777" w:rsidR="005F762A" w:rsidRDefault="005F762A">
            <w:pPr>
              <w:rPr>
                <w:rFonts w:ascii="宋体"/>
                <w:vanish/>
              </w:rPr>
            </w:pPr>
          </w:p>
        </w:tc>
        <w:tc>
          <w:tcPr>
            <w:tcW w:w="0" w:type="auto"/>
            <w:gridSpan w:val="3"/>
            <w:shd w:val="clear" w:color="auto" w:fill="auto"/>
          </w:tcPr>
          <w:p w14:paraId="7268F913" w14:textId="77777777" w:rsidR="005F762A" w:rsidRDefault="005F762A">
            <w:pPr>
              <w:rPr>
                <w:rFonts w:ascii="宋体"/>
                <w:vanish/>
              </w:rPr>
            </w:pPr>
          </w:p>
        </w:tc>
      </w:tr>
      <w:tr w:rsidR="005F762A" w14:paraId="7268F921" w14:textId="77777777">
        <w:trPr>
          <w:hidden/>
        </w:trPr>
        <w:tc>
          <w:tcPr>
            <w:tcW w:w="0" w:type="auto"/>
            <w:gridSpan w:val="3"/>
            <w:shd w:val="clear" w:color="auto" w:fill="auto"/>
          </w:tcPr>
          <w:p w14:paraId="7268F915" w14:textId="77777777" w:rsidR="005F762A" w:rsidRDefault="005F762A">
            <w:pPr>
              <w:rPr>
                <w:rFonts w:ascii="宋体"/>
                <w:vanish/>
              </w:rPr>
            </w:pPr>
          </w:p>
        </w:tc>
        <w:tc>
          <w:tcPr>
            <w:tcW w:w="0" w:type="auto"/>
            <w:shd w:val="clear" w:color="auto" w:fill="auto"/>
          </w:tcPr>
          <w:p w14:paraId="7268F916" w14:textId="77777777" w:rsidR="005F762A" w:rsidRDefault="005F762A">
            <w:pPr>
              <w:rPr>
                <w:rFonts w:ascii="宋体"/>
                <w:vanish/>
              </w:rPr>
            </w:pPr>
          </w:p>
        </w:tc>
        <w:tc>
          <w:tcPr>
            <w:tcW w:w="0" w:type="auto"/>
            <w:shd w:val="clear" w:color="auto" w:fill="auto"/>
          </w:tcPr>
          <w:p w14:paraId="7268F917" w14:textId="77777777" w:rsidR="005F762A" w:rsidRDefault="005F762A">
            <w:pPr>
              <w:rPr>
                <w:rFonts w:ascii="宋体"/>
                <w:vanish/>
              </w:rPr>
            </w:pPr>
          </w:p>
        </w:tc>
        <w:tc>
          <w:tcPr>
            <w:tcW w:w="0" w:type="auto"/>
            <w:shd w:val="clear" w:color="auto" w:fill="auto"/>
          </w:tcPr>
          <w:p w14:paraId="7268F918" w14:textId="77777777" w:rsidR="005F762A" w:rsidRDefault="005F762A">
            <w:pPr>
              <w:rPr>
                <w:rFonts w:ascii="宋体"/>
                <w:vanish/>
              </w:rPr>
            </w:pPr>
          </w:p>
        </w:tc>
        <w:tc>
          <w:tcPr>
            <w:tcW w:w="0" w:type="auto"/>
            <w:shd w:val="clear" w:color="auto" w:fill="auto"/>
          </w:tcPr>
          <w:p w14:paraId="7268F919" w14:textId="77777777" w:rsidR="005F762A" w:rsidRDefault="005F762A">
            <w:pPr>
              <w:rPr>
                <w:rFonts w:ascii="宋体"/>
                <w:vanish/>
              </w:rPr>
            </w:pPr>
          </w:p>
        </w:tc>
        <w:tc>
          <w:tcPr>
            <w:tcW w:w="0" w:type="auto"/>
            <w:shd w:val="clear" w:color="auto" w:fill="auto"/>
          </w:tcPr>
          <w:p w14:paraId="7268F91A" w14:textId="77777777" w:rsidR="005F762A" w:rsidRDefault="005F762A">
            <w:pPr>
              <w:rPr>
                <w:rFonts w:ascii="宋体"/>
                <w:vanish/>
              </w:rPr>
            </w:pPr>
          </w:p>
        </w:tc>
        <w:tc>
          <w:tcPr>
            <w:tcW w:w="0" w:type="auto"/>
            <w:gridSpan w:val="3"/>
            <w:shd w:val="clear" w:color="auto" w:fill="auto"/>
          </w:tcPr>
          <w:p w14:paraId="7268F91B" w14:textId="77777777" w:rsidR="005F762A" w:rsidRDefault="005F762A">
            <w:pPr>
              <w:rPr>
                <w:rFonts w:ascii="宋体"/>
                <w:vanish/>
              </w:rPr>
            </w:pPr>
          </w:p>
        </w:tc>
        <w:tc>
          <w:tcPr>
            <w:tcW w:w="0" w:type="auto"/>
            <w:gridSpan w:val="3"/>
            <w:shd w:val="clear" w:color="auto" w:fill="auto"/>
          </w:tcPr>
          <w:p w14:paraId="7268F91C" w14:textId="77777777" w:rsidR="005F762A" w:rsidRDefault="005F762A">
            <w:pPr>
              <w:rPr>
                <w:rFonts w:ascii="宋体"/>
                <w:vanish/>
              </w:rPr>
            </w:pPr>
          </w:p>
        </w:tc>
        <w:tc>
          <w:tcPr>
            <w:tcW w:w="0" w:type="auto"/>
            <w:gridSpan w:val="3"/>
            <w:shd w:val="clear" w:color="auto" w:fill="auto"/>
          </w:tcPr>
          <w:p w14:paraId="7268F91D" w14:textId="77777777" w:rsidR="005F762A" w:rsidRDefault="005F762A">
            <w:pPr>
              <w:rPr>
                <w:rFonts w:ascii="宋体"/>
                <w:vanish/>
              </w:rPr>
            </w:pPr>
          </w:p>
        </w:tc>
        <w:tc>
          <w:tcPr>
            <w:tcW w:w="0" w:type="auto"/>
            <w:gridSpan w:val="3"/>
            <w:shd w:val="clear" w:color="auto" w:fill="auto"/>
          </w:tcPr>
          <w:p w14:paraId="7268F91E" w14:textId="77777777" w:rsidR="005F762A" w:rsidRDefault="005F762A">
            <w:pPr>
              <w:rPr>
                <w:rFonts w:ascii="宋体"/>
                <w:vanish/>
              </w:rPr>
            </w:pPr>
          </w:p>
        </w:tc>
        <w:tc>
          <w:tcPr>
            <w:tcW w:w="0" w:type="auto"/>
            <w:gridSpan w:val="3"/>
            <w:shd w:val="clear" w:color="auto" w:fill="auto"/>
          </w:tcPr>
          <w:p w14:paraId="7268F91F" w14:textId="77777777" w:rsidR="005F762A" w:rsidRDefault="005F762A">
            <w:pPr>
              <w:rPr>
                <w:rFonts w:ascii="宋体"/>
                <w:vanish/>
              </w:rPr>
            </w:pPr>
          </w:p>
        </w:tc>
        <w:tc>
          <w:tcPr>
            <w:tcW w:w="0" w:type="auto"/>
            <w:gridSpan w:val="3"/>
            <w:shd w:val="clear" w:color="auto" w:fill="auto"/>
          </w:tcPr>
          <w:p w14:paraId="7268F920" w14:textId="77777777" w:rsidR="005F762A" w:rsidRDefault="005F762A">
            <w:pPr>
              <w:rPr>
                <w:rFonts w:ascii="宋体"/>
                <w:vanish/>
              </w:rPr>
            </w:pPr>
          </w:p>
        </w:tc>
      </w:tr>
      <w:tr w:rsidR="005F762A" w14:paraId="7268F92E" w14:textId="77777777">
        <w:trPr>
          <w:hidden/>
        </w:trPr>
        <w:tc>
          <w:tcPr>
            <w:tcW w:w="0" w:type="auto"/>
            <w:gridSpan w:val="3"/>
            <w:shd w:val="clear" w:color="auto" w:fill="auto"/>
          </w:tcPr>
          <w:p w14:paraId="7268F922" w14:textId="77777777" w:rsidR="005F762A" w:rsidRDefault="005F762A">
            <w:pPr>
              <w:rPr>
                <w:rFonts w:ascii="宋体"/>
                <w:vanish/>
              </w:rPr>
            </w:pPr>
          </w:p>
        </w:tc>
        <w:tc>
          <w:tcPr>
            <w:tcW w:w="0" w:type="auto"/>
            <w:shd w:val="clear" w:color="auto" w:fill="auto"/>
          </w:tcPr>
          <w:p w14:paraId="7268F923" w14:textId="77777777" w:rsidR="005F762A" w:rsidRDefault="005F762A">
            <w:pPr>
              <w:rPr>
                <w:rFonts w:ascii="宋体"/>
                <w:vanish/>
              </w:rPr>
            </w:pPr>
          </w:p>
        </w:tc>
        <w:tc>
          <w:tcPr>
            <w:tcW w:w="0" w:type="auto"/>
            <w:shd w:val="clear" w:color="auto" w:fill="auto"/>
          </w:tcPr>
          <w:p w14:paraId="7268F924" w14:textId="77777777" w:rsidR="005F762A" w:rsidRDefault="005F762A">
            <w:pPr>
              <w:rPr>
                <w:rFonts w:ascii="宋体"/>
                <w:vanish/>
              </w:rPr>
            </w:pPr>
          </w:p>
        </w:tc>
        <w:tc>
          <w:tcPr>
            <w:tcW w:w="0" w:type="auto"/>
            <w:shd w:val="clear" w:color="auto" w:fill="auto"/>
          </w:tcPr>
          <w:p w14:paraId="7268F925" w14:textId="77777777" w:rsidR="005F762A" w:rsidRDefault="005F762A">
            <w:pPr>
              <w:rPr>
                <w:rFonts w:ascii="宋体"/>
                <w:vanish/>
              </w:rPr>
            </w:pPr>
          </w:p>
        </w:tc>
        <w:tc>
          <w:tcPr>
            <w:tcW w:w="0" w:type="auto"/>
            <w:shd w:val="clear" w:color="auto" w:fill="auto"/>
          </w:tcPr>
          <w:p w14:paraId="7268F926" w14:textId="77777777" w:rsidR="005F762A" w:rsidRDefault="005F762A">
            <w:pPr>
              <w:rPr>
                <w:rFonts w:ascii="宋体"/>
                <w:vanish/>
              </w:rPr>
            </w:pPr>
          </w:p>
        </w:tc>
        <w:tc>
          <w:tcPr>
            <w:tcW w:w="0" w:type="auto"/>
            <w:shd w:val="clear" w:color="auto" w:fill="auto"/>
          </w:tcPr>
          <w:p w14:paraId="7268F927" w14:textId="77777777" w:rsidR="005F762A" w:rsidRDefault="005F762A">
            <w:pPr>
              <w:rPr>
                <w:rFonts w:ascii="宋体"/>
                <w:vanish/>
              </w:rPr>
            </w:pPr>
          </w:p>
        </w:tc>
        <w:tc>
          <w:tcPr>
            <w:tcW w:w="0" w:type="auto"/>
            <w:gridSpan w:val="3"/>
            <w:shd w:val="clear" w:color="auto" w:fill="auto"/>
          </w:tcPr>
          <w:p w14:paraId="7268F928" w14:textId="77777777" w:rsidR="005F762A" w:rsidRDefault="005F762A">
            <w:pPr>
              <w:rPr>
                <w:rFonts w:ascii="宋体"/>
                <w:vanish/>
              </w:rPr>
            </w:pPr>
          </w:p>
        </w:tc>
        <w:tc>
          <w:tcPr>
            <w:tcW w:w="0" w:type="auto"/>
            <w:gridSpan w:val="3"/>
            <w:shd w:val="clear" w:color="auto" w:fill="auto"/>
          </w:tcPr>
          <w:p w14:paraId="7268F929" w14:textId="77777777" w:rsidR="005F762A" w:rsidRDefault="005F762A">
            <w:pPr>
              <w:rPr>
                <w:rFonts w:ascii="宋体"/>
                <w:vanish/>
              </w:rPr>
            </w:pPr>
          </w:p>
        </w:tc>
        <w:tc>
          <w:tcPr>
            <w:tcW w:w="0" w:type="auto"/>
            <w:gridSpan w:val="3"/>
            <w:shd w:val="clear" w:color="auto" w:fill="auto"/>
          </w:tcPr>
          <w:p w14:paraId="7268F92A" w14:textId="77777777" w:rsidR="005F762A" w:rsidRDefault="005F762A">
            <w:pPr>
              <w:rPr>
                <w:rFonts w:ascii="宋体"/>
                <w:vanish/>
              </w:rPr>
            </w:pPr>
          </w:p>
        </w:tc>
        <w:tc>
          <w:tcPr>
            <w:tcW w:w="0" w:type="auto"/>
            <w:gridSpan w:val="3"/>
            <w:shd w:val="clear" w:color="auto" w:fill="auto"/>
          </w:tcPr>
          <w:p w14:paraId="7268F92B" w14:textId="77777777" w:rsidR="005F762A" w:rsidRDefault="005F762A">
            <w:pPr>
              <w:rPr>
                <w:rFonts w:ascii="宋体"/>
                <w:vanish/>
              </w:rPr>
            </w:pPr>
          </w:p>
        </w:tc>
        <w:tc>
          <w:tcPr>
            <w:tcW w:w="0" w:type="auto"/>
            <w:gridSpan w:val="3"/>
            <w:shd w:val="clear" w:color="auto" w:fill="auto"/>
          </w:tcPr>
          <w:p w14:paraId="7268F92C" w14:textId="77777777" w:rsidR="005F762A" w:rsidRDefault="005F762A">
            <w:pPr>
              <w:rPr>
                <w:rFonts w:ascii="宋体"/>
                <w:vanish/>
              </w:rPr>
            </w:pPr>
          </w:p>
        </w:tc>
        <w:tc>
          <w:tcPr>
            <w:tcW w:w="0" w:type="auto"/>
            <w:gridSpan w:val="3"/>
            <w:shd w:val="clear" w:color="auto" w:fill="auto"/>
          </w:tcPr>
          <w:p w14:paraId="7268F92D" w14:textId="77777777" w:rsidR="005F762A" w:rsidRDefault="005F762A">
            <w:pPr>
              <w:rPr>
                <w:rFonts w:ascii="宋体"/>
                <w:vanish/>
              </w:rPr>
            </w:pPr>
          </w:p>
        </w:tc>
      </w:tr>
      <w:tr w:rsidR="005F762A" w14:paraId="7268F93B" w14:textId="77777777">
        <w:trPr>
          <w:hidden/>
        </w:trPr>
        <w:tc>
          <w:tcPr>
            <w:tcW w:w="0" w:type="auto"/>
            <w:gridSpan w:val="3"/>
            <w:shd w:val="clear" w:color="auto" w:fill="auto"/>
          </w:tcPr>
          <w:p w14:paraId="7268F92F" w14:textId="77777777" w:rsidR="005F762A" w:rsidRDefault="005F762A">
            <w:pPr>
              <w:rPr>
                <w:rFonts w:ascii="宋体"/>
                <w:vanish/>
              </w:rPr>
            </w:pPr>
          </w:p>
        </w:tc>
        <w:tc>
          <w:tcPr>
            <w:tcW w:w="0" w:type="auto"/>
            <w:shd w:val="clear" w:color="auto" w:fill="auto"/>
          </w:tcPr>
          <w:p w14:paraId="7268F930" w14:textId="77777777" w:rsidR="005F762A" w:rsidRDefault="005F762A">
            <w:pPr>
              <w:rPr>
                <w:rFonts w:ascii="宋体"/>
                <w:vanish/>
              </w:rPr>
            </w:pPr>
          </w:p>
        </w:tc>
        <w:tc>
          <w:tcPr>
            <w:tcW w:w="0" w:type="auto"/>
            <w:shd w:val="clear" w:color="auto" w:fill="auto"/>
          </w:tcPr>
          <w:p w14:paraId="7268F931" w14:textId="77777777" w:rsidR="005F762A" w:rsidRDefault="005F762A">
            <w:pPr>
              <w:rPr>
                <w:rFonts w:ascii="宋体"/>
                <w:vanish/>
              </w:rPr>
            </w:pPr>
          </w:p>
        </w:tc>
        <w:tc>
          <w:tcPr>
            <w:tcW w:w="0" w:type="auto"/>
            <w:shd w:val="clear" w:color="auto" w:fill="auto"/>
          </w:tcPr>
          <w:p w14:paraId="7268F932" w14:textId="77777777" w:rsidR="005F762A" w:rsidRDefault="005F762A">
            <w:pPr>
              <w:rPr>
                <w:rFonts w:ascii="宋体"/>
                <w:vanish/>
              </w:rPr>
            </w:pPr>
          </w:p>
        </w:tc>
        <w:tc>
          <w:tcPr>
            <w:tcW w:w="0" w:type="auto"/>
            <w:shd w:val="clear" w:color="auto" w:fill="auto"/>
          </w:tcPr>
          <w:p w14:paraId="7268F933" w14:textId="77777777" w:rsidR="005F762A" w:rsidRDefault="005F762A">
            <w:pPr>
              <w:rPr>
                <w:rFonts w:ascii="宋体"/>
                <w:vanish/>
              </w:rPr>
            </w:pPr>
          </w:p>
        </w:tc>
        <w:tc>
          <w:tcPr>
            <w:tcW w:w="0" w:type="auto"/>
            <w:shd w:val="clear" w:color="auto" w:fill="auto"/>
          </w:tcPr>
          <w:p w14:paraId="7268F934" w14:textId="77777777" w:rsidR="005F762A" w:rsidRDefault="005F762A">
            <w:pPr>
              <w:rPr>
                <w:rFonts w:ascii="宋体"/>
                <w:vanish/>
              </w:rPr>
            </w:pPr>
          </w:p>
        </w:tc>
        <w:tc>
          <w:tcPr>
            <w:tcW w:w="0" w:type="auto"/>
            <w:gridSpan w:val="3"/>
            <w:shd w:val="clear" w:color="auto" w:fill="auto"/>
          </w:tcPr>
          <w:p w14:paraId="7268F935" w14:textId="77777777" w:rsidR="005F762A" w:rsidRDefault="005F762A">
            <w:pPr>
              <w:rPr>
                <w:rFonts w:ascii="宋体"/>
                <w:vanish/>
              </w:rPr>
            </w:pPr>
          </w:p>
        </w:tc>
        <w:tc>
          <w:tcPr>
            <w:tcW w:w="0" w:type="auto"/>
            <w:gridSpan w:val="3"/>
            <w:shd w:val="clear" w:color="auto" w:fill="auto"/>
          </w:tcPr>
          <w:p w14:paraId="7268F936" w14:textId="77777777" w:rsidR="005F762A" w:rsidRDefault="005F762A">
            <w:pPr>
              <w:rPr>
                <w:rFonts w:ascii="宋体"/>
                <w:vanish/>
              </w:rPr>
            </w:pPr>
          </w:p>
        </w:tc>
        <w:tc>
          <w:tcPr>
            <w:tcW w:w="0" w:type="auto"/>
            <w:gridSpan w:val="3"/>
            <w:shd w:val="clear" w:color="auto" w:fill="auto"/>
          </w:tcPr>
          <w:p w14:paraId="7268F937" w14:textId="77777777" w:rsidR="005F762A" w:rsidRDefault="005F762A">
            <w:pPr>
              <w:rPr>
                <w:rFonts w:ascii="宋体"/>
                <w:vanish/>
              </w:rPr>
            </w:pPr>
          </w:p>
        </w:tc>
        <w:tc>
          <w:tcPr>
            <w:tcW w:w="0" w:type="auto"/>
            <w:gridSpan w:val="3"/>
            <w:shd w:val="clear" w:color="auto" w:fill="auto"/>
          </w:tcPr>
          <w:p w14:paraId="7268F938" w14:textId="77777777" w:rsidR="005F762A" w:rsidRDefault="005F762A">
            <w:pPr>
              <w:rPr>
                <w:rFonts w:ascii="宋体"/>
                <w:vanish/>
              </w:rPr>
            </w:pPr>
          </w:p>
        </w:tc>
        <w:tc>
          <w:tcPr>
            <w:tcW w:w="0" w:type="auto"/>
            <w:gridSpan w:val="3"/>
            <w:shd w:val="clear" w:color="auto" w:fill="auto"/>
          </w:tcPr>
          <w:p w14:paraId="7268F939" w14:textId="77777777" w:rsidR="005F762A" w:rsidRDefault="005F762A">
            <w:pPr>
              <w:rPr>
                <w:rFonts w:ascii="宋体"/>
                <w:vanish/>
              </w:rPr>
            </w:pPr>
          </w:p>
        </w:tc>
        <w:tc>
          <w:tcPr>
            <w:tcW w:w="0" w:type="auto"/>
            <w:gridSpan w:val="3"/>
            <w:shd w:val="clear" w:color="auto" w:fill="auto"/>
          </w:tcPr>
          <w:p w14:paraId="7268F93A" w14:textId="77777777" w:rsidR="005F762A" w:rsidRDefault="005F762A">
            <w:pPr>
              <w:rPr>
                <w:rFonts w:ascii="宋体"/>
                <w:vanish/>
              </w:rPr>
            </w:pPr>
          </w:p>
        </w:tc>
      </w:tr>
      <w:tr w:rsidR="005F762A" w14:paraId="7268F94D" w14:textId="77777777">
        <w:tc>
          <w:tcPr>
            <w:tcW w:w="0" w:type="auto"/>
            <w:gridSpan w:val="3"/>
            <w:shd w:val="clear" w:color="auto" w:fill="E2E2E2"/>
            <w:tcMar>
              <w:top w:w="40" w:type="dxa"/>
              <w:left w:w="380" w:type="dxa"/>
              <w:bottom w:w="40" w:type="dxa"/>
              <w:right w:w="20" w:type="dxa"/>
            </w:tcMar>
            <w:vAlign w:val="bottom"/>
          </w:tcPr>
          <w:p w14:paraId="7268F93C" w14:textId="77777777" w:rsidR="005F762A" w:rsidRDefault="00D74111">
            <w:pPr>
              <w:textAlignment w:val="bottom"/>
            </w:pPr>
            <w:r>
              <w:rPr>
                <w:rFonts w:ascii="Arial" w:eastAsia="宋体" w:hAnsi="Arial" w:cs="Arial"/>
                <w:color w:val="000000"/>
                <w:sz w:val="16"/>
                <w:szCs w:val="16"/>
              </w:rPr>
              <w:t>Total net revenues</w:t>
            </w:r>
          </w:p>
        </w:tc>
        <w:tc>
          <w:tcPr>
            <w:tcW w:w="0" w:type="auto"/>
            <w:shd w:val="clear" w:color="auto" w:fill="auto"/>
          </w:tcPr>
          <w:p w14:paraId="7268F93D" w14:textId="77777777" w:rsidR="005F762A" w:rsidRDefault="005F762A">
            <w:pPr>
              <w:rPr>
                <w:rFonts w:ascii="宋体"/>
                <w:vanish/>
              </w:rPr>
            </w:pPr>
          </w:p>
        </w:tc>
        <w:tc>
          <w:tcPr>
            <w:tcW w:w="0" w:type="auto"/>
            <w:shd w:val="clear" w:color="auto" w:fill="auto"/>
          </w:tcPr>
          <w:p w14:paraId="7268F93E" w14:textId="77777777" w:rsidR="005F762A" w:rsidRDefault="005F762A">
            <w:pPr>
              <w:rPr>
                <w:rFonts w:ascii="宋体"/>
                <w:vanish/>
              </w:rPr>
            </w:pPr>
          </w:p>
        </w:tc>
        <w:tc>
          <w:tcPr>
            <w:tcW w:w="0" w:type="auto"/>
            <w:shd w:val="clear" w:color="auto" w:fill="auto"/>
          </w:tcPr>
          <w:p w14:paraId="7268F93F" w14:textId="77777777" w:rsidR="005F762A" w:rsidRDefault="005F762A">
            <w:pPr>
              <w:rPr>
                <w:rFonts w:ascii="宋体"/>
                <w:vanish/>
              </w:rPr>
            </w:pPr>
          </w:p>
        </w:tc>
        <w:tc>
          <w:tcPr>
            <w:tcW w:w="0" w:type="auto"/>
            <w:shd w:val="clear" w:color="auto" w:fill="auto"/>
          </w:tcPr>
          <w:p w14:paraId="7268F940" w14:textId="77777777" w:rsidR="005F762A" w:rsidRDefault="005F762A">
            <w:pPr>
              <w:rPr>
                <w:rFonts w:ascii="宋体"/>
                <w:vanish/>
              </w:rPr>
            </w:pPr>
          </w:p>
        </w:tc>
        <w:tc>
          <w:tcPr>
            <w:tcW w:w="0" w:type="auto"/>
            <w:shd w:val="clear" w:color="auto" w:fill="auto"/>
          </w:tcPr>
          <w:p w14:paraId="7268F94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942"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943"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944" w14:textId="77777777" w:rsidR="005F762A" w:rsidRDefault="00D74111">
            <w:pPr>
              <w:jc w:val="right"/>
              <w:textAlignment w:val="bottom"/>
            </w:pPr>
            <w:r>
              <w:rPr>
                <w:rFonts w:ascii="Arial" w:eastAsia="宋体" w:hAnsi="Arial" w:cs="Arial"/>
                <w:color w:val="000000"/>
                <w:sz w:val="16"/>
                <w:szCs w:val="16"/>
              </w:rPr>
              <w:t>3,023 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94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946"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947"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948" w14:textId="77777777" w:rsidR="005F762A" w:rsidRDefault="00D74111">
            <w:pPr>
              <w:jc w:val="right"/>
              <w:textAlignment w:val="bottom"/>
            </w:pPr>
            <w:r>
              <w:rPr>
                <w:rFonts w:ascii="Arial" w:eastAsia="宋体" w:hAnsi="Arial" w:cs="Arial"/>
                <w:color w:val="000000"/>
                <w:sz w:val="16"/>
                <w:szCs w:val="16"/>
              </w:rPr>
              <w:t>2,129 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94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94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94B" w14:textId="77777777" w:rsidR="005F762A" w:rsidRDefault="00D74111">
            <w:pPr>
              <w:jc w:val="right"/>
              <w:textAlignment w:val="bottom"/>
            </w:pPr>
            <w:r>
              <w:rPr>
                <w:rFonts w:ascii="Arial" w:eastAsia="宋体" w:hAnsi="Arial" w:cs="Arial"/>
                <w:color w:val="000000"/>
                <w:sz w:val="16"/>
                <w:szCs w:val="16"/>
              </w:rPr>
              <w:t>42 </w:t>
            </w:r>
          </w:p>
        </w:tc>
        <w:tc>
          <w:tcPr>
            <w:tcW w:w="0" w:type="auto"/>
            <w:shd w:val="clear" w:color="auto" w:fill="E2E2E2"/>
            <w:tcMar>
              <w:top w:w="40" w:type="dxa"/>
              <w:left w:w="0" w:type="dxa"/>
              <w:bottom w:w="40" w:type="dxa"/>
              <w:right w:w="20" w:type="dxa"/>
            </w:tcMar>
            <w:vAlign w:val="bottom"/>
          </w:tcPr>
          <w:p w14:paraId="7268F94C" w14:textId="77777777" w:rsidR="005F762A" w:rsidRDefault="00D74111">
            <w:pPr>
              <w:jc w:val="right"/>
              <w:textAlignment w:val="bottom"/>
            </w:pPr>
            <w:r>
              <w:rPr>
                <w:rFonts w:ascii="Arial" w:eastAsia="宋体" w:hAnsi="Arial" w:cs="Arial"/>
                <w:color w:val="000000"/>
                <w:sz w:val="16"/>
                <w:szCs w:val="16"/>
              </w:rPr>
              <w:t>%</w:t>
            </w:r>
          </w:p>
        </w:tc>
      </w:tr>
    </w:tbl>
    <w:p w14:paraId="7268F94E" w14:textId="77777777" w:rsidR="005F762A" w:rsidRDefault="005F762A">
      <w:pPr>
        <w:jc w:val="both"/>
      </w:pPr>
    </w:p>
    <w:p w14:paraId="7268F94F" w14:textId="77777777" w:rsidR="005F762A" w:rsidRDefault="00D74111">
      <w:pPr>
        <w:ind w:firstLine="270"/>
        <w:jc w:val="both"/>
      </w:pPr>
      <w:r>
        <w:rPr>
          <w:rFonts w:ascii="Arial" w:eastAsia="宋体" w:hAnsi="Arial" w:cs="Arial"/>
          <w:b/>
          <w:bCs/>
          <w:i/>
          <w:iCs/>
          <w:color w:val="000000"/>
          <w:sz w:val="20"/>
          <w:szCs w:val="20"/>
        </w:rPr>
        <w:t>Net Transaction Revenues</w:t>
      </w:r>
    </w:p>
    <w:p w14:paraId="7268F950" w14:textId="77777777" w:rsidR="005F762A" w:rsidRDefault="005F762A">
      <w:pPr>
        <w:ind w:firstLine="540"/>
        <w:jc w:val="both"/>
      </w:pPr>
    </w:p>
    <w:p w14:paraId="7268F951" w14:textId="77777777" w:rsidR="005F762A" w:rsidRDefault="00D74111">
      <w:pPr>
        <w:ind w:firstLine="270"/>
        <w:jc w:val="both"/>
      </w:pPr>
      <w:r>
        <w:rPr>
          <w:rFonts w:ascii="Arial" w:eastAsia="宋体" w:hAnsi="Arial" w:cs="Arial"/>
          <w:i/>
          <w:iCs/>
          <w:color w:val="000000"/>
          <w:sz w:val="20"/>
          <w:szCs w:val="20"/>
        </w:rPr>
        <w:t>Key Operating Metrics</w:t>
      </w:r>
    </w:p>
    <w:p w14:paraId="7268F952" w14:textId="77777777" w:rsidR="005F762A" w:rsidRDefault="005F762A">
      <w:pPr>
        <w:ind w:firstLine="540"/>
        <w:jc w:val="both"/>
      </w:pPr>
    </w:p>
    <w:p w14:paraId="7268F953" w14:textId="77777777" w:rsidR="005F762A" w:rsidRDefault="00D74111">
      <w:pPr>
        <w:ind w:firstLine="540"/>
        <w:jc w:val="both"/>
      </w:pPr>
      <w:r>
        <w:rPr>
          <w:rFonts w:ascii="Arial" w:eastAsia="宋体" w:hAnsi="Arial" w:cs="Arial"/>
          <w:color w:val="000000"/>
          <w:sz w:val="20"/>
          <w:szCs w:val="20"/>
        </w:rPr>
        <w:t xml:space="preserve">Gross Merchandise Volume (“GMV”) and take rate are significant factors that we believe affect our net </w:t>
      </w:r>
      <w:r>
        <w:rPr>
          <w:rFonts w:ascii="Arial" w:eastAsia="宋体" w:hAnsi="Arial" w:cs="Arial"/>
          <w:color w:val="000000"/>
          <w:sz w:val="20"/>
          <w:szCs w:val="20"/>
        </w:rPr>
        <w:t>transaction revenues.</w:t>
      </w:r>
    </w:p>
    <w:p w14:paraId="7268F954" w14:textId="77777777" w:rsidR="005F762A" w:rsidRDefault="005F762A"/>
    <w:p w14:paraId="7268F955" w14:textId="77777777" w:rsidR="005F762A" w:rsidRDefault="00D74111">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platforms during the applicable period, regardless of whether the buyer and seller actually consummated the transaction. Despite GMV’s diver</w:t>
      </w:r>
      <w:r>
        <w:rPr>
          <w:rFonts w:ascii="Arial" w:eastAsia="宋体" w:hAnsi="Arial" w:cs="Arial"/>
          <w:color w:val="000000"/>
          <w:sz w:val="20"/>
          <w:szCs w:val="20"/>
        </w:rPr>
        <w:t>gence from revenue, we still believe that GMV provides a useful measure of the overall volume of closed transactions that flow through our platforms in a given period, notwithstanding the inclusion in GMV of closed transactions that are not ultimately cons</w:t>
      </w:r>
      <w:r>
        <w:rPr>
          <w:rFonts w:ascii="Arial" w:eastAsia="宋体" w:hAnsi="Arial" w:cs="Arial"/>
          <w:color w:val="000000"/>
          <w:sz w:val="20"/>
          <w:szCs w:val="20"/>
        </w:rPr>
        <w:t>ummated.</w:t>
      </w:r>
    </w:p>
    <w:p w14:paraId="7268F956" w14:textId="77777777" w:rsidR="005F762A" w:rsidRDefault="005F762A">
      <w:pPr>
        <w:ind w:hanging="540"/>
        <w:jc w:val="both"/>
      </w:pPr>
    </w:p>
    <w:p w14:paraId="7268F957" w14:textId="77777777" w:rsidR="005F762A" w:rsidRDefault="00D74111">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divided by GMV.</w:t>
      </w:r>
    </w:p>
    <w:p w14:paraId="7268F958" w14:textId="77777777" w:rsidR="005F762A" w:rsidRDefault="005F762A">
      <w:pPr>
        <w:jc w:val="both"/>
      </w:pPr>
    </w:p>
    <w:p w14:paraId="7268F959" w14:textId="77777777" w:rsidR="005F762A" w:rsidRDefault="00D74111">
      <w:pPr>
        <w:spacing w:after="160"/>
        <w:ind w:firstLine="27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38"/>
        <w:gridCol w:w="3811"/>
        <w:gridCol w:w="37"/>
        <w:gridCol w:w="36"/>
        <w:gridCol w:w="36"/>
        <w:gridCol w:w="36"/>
        <w:gridCol w:w="46"/>
        <w:gridCol w:w="180"/>
        <w:gridCol w:w="179"/>
        <w:gridCol w:w="179"/>
        <w:gridCol w:w="36"/>
        <w:gridCol w:w="36"/>
        <w:gridCol w:w="36"/>
        <w:gridCol w:w="109"/>
        <w:gridCol w:w="534"/>
        <w:gridCol w:w="163"/>
        <w:gridCol w:w="36"/>
        <w:gridCol w:w="36"/>
        <w:gridCol w:w="36"/>
        <w:gridCol w:w="109"/>
        <w:gridCol w:w="534"/>
        <w:gridCol w:w="163"/>
        <w:gridCol w:w="36"/>
        <w:gridCol w:w="36"/>
        <w:gridCol w:w="36"/>
        <w:gridCol w:w="72"/>
        <w:gridCol w:w="576"/>
        <w:gridCol w:w="163"/>
        <w:gridCol w:w="36"/>
        <w:gridCol w:w="36"/>
        <w:gridCol w:w="36"/>
        <w:gridCol w:w="82"/>
        <w:gridCol w:w="658"/>
        <w:gridCol w:w="163"/>
      </w:tblGrid>
      <w:tr w:rsidR="005F762A" w14:paraId="7268F97C" w14:textId="77777777">
        <w:tc>
          <w:tcPr>
            <w:tcW w:w="50" w:type="pct"/>
            <w:shd w:val="clear" w:color="auto" w:fill="auto"/>
          </w:tcPr>
          <w:p w14:paraId="7268F95A" w14:textId="77777777" w:rsidR="005F762A" w:rsidRDefault="005F762A">
            <w:pPr>
              <w:rPr>
                <w:rFonts w:ascii="宋体"/>
              </w:rPr>
            </w:pPr>
          </w:p>
        </w:tc>
        <w:tc>
          <w:tcPr>
            <w:tcW w:w="2956" w:type="pct"/>
            <w:shd w:val="clear" w:color="auto" w:fill="auto"/>
          </w:tcPr>
          <w:p w14:paraId="7268F95B" w14:textId="77777777" w:rsidR="005F762A" w:rsidRDefault="005F762A">
            <w:pPr>
              <w:rPr>
                <w:rFonts w:ascii="宋体"/>
              </w:rPr>
            </w:pPr>
          </w:p>
        </w:tc>
        <w:tc>
          <w:tcPr>
            <w:tcW w:w="5" w:type="pct"/>
            <w:shd w:val="clear" w:color="auto" w:fill="auto"/>
          </w:tcPr>
          <w:p w14:paraId="7268F95C" w14:textId="77777777" w:rsidR="005F762A" w:rsidRDefault="005F762A">
            <w:pPr>
              <w:rPr>
                <w:rFonts w:ascii="宋体"/>
              </w:rPr>
            </w:pPr>
          </w:p>
        </w:tc>
        <w:tc>
          <w:tcPr>
            <w:tcW w:w="0" w:type="auto"/>
            <w:shd w:val="clear" w:color="auto" w:fill="auto"/>
          </w:tcPr>
          <w:p w14:paraId="7268F95D" w14:textId="77777777" w:rsidR="005F762A" w:rsidRDefault="005F762A">
            <w:pPr>
              <w:rPr>
                <w:rFonts w:ascii="宋体"/>
                <w:vanish/>
              </w:rPr>
            </w:pPr>
          </w:p>
        </w:tc>
        <w:tc>
          <w:tcPr>
            <w:tcW w:w="0" w:type="auto"/>
            <w:shd w:val="clear" w:color="auto" w:fill="auto"/>
          </w:tcPr>
          <w:p w14:paraId="7268F95E" w14:textId="77777777" w:rsidR="005F762A" w:rsidRDefault="005F762A">
            <w:pPr>
              <w:rPr>
                <w:rFonts w:ascii="宋体"/>
                <w:vanish/>
              </w:rPr>
            </w:pPr>
          </w:p>
        </w:tc>
        <w:tc>
          <w:tcPr>
            <w:tcW w:w="0" w:type="auto"/>
            <w:shd w:val="clear" w:color="auto" w:fill="auto"/>
          </w:tcPr>
          <w:p w14:paraId="7268F95F" w14:textId="77777777" w:rsidR="005F762A" w:rsidRDefault="005F762A">
            <w:pPr>
              <w:rPr>
                <w:rFonts w:ascii="宋体"/>
                <w:vanish/>
              </w:rPr>
            </w:pPr>
          </w:p>
        </w:tc>
        <w:tc>
          <w:tcPr>
            <w:tcW w:w="0" w:type="auto"/>
            <w:shd w:val="clear" w:color="auto" w:fill="auto"/>
          </w:tcPr>
          <w:p w14:paraId="7268F960" w14:textId="77777777" w:rsidR="005F762A" w:rsidRDefault="005F762A">
            <w:pPr>
              <w:rPr>
                <w:rFonts w:ascii="宋体"/>
                <w:vanish/>
              </w:rPr>
            </w:pPr>
          </w:p>
        </w:tc>
        <w:tc>
          <w:tcPr>
            <w:tcW w:w="0" w:type="auto"/>
            <w:shd w:val="clear" w:color="auto" w:fill="auto"/>
          </w:tcPr>
          <w:p w14:paraId="7268F961" w14:textId="77777777" w:rsidR="005F762A" w:rsidRDefault="005F762A">
            <w:pPr>
              <w:rPr>
                <w:rFonts w:ascii="宋体"/>
                <w:vanish/>
              </w:rPr>
            </w:pPr>
          </w:p>
        </w:tc>
        <w:tc>
          <w:tcPr>
            <w:tcW w:w="0" w:type="auto"/>
            <w:shd w:val="clear" w:color="auto" w:fill="auto"/>
          </w:tcPr>
          <w:p w14:paraId="7268F962" w14:textId="77777777" w:rsidR="005F762A" w:rsidRDefault="005F762A">
            <w:pPr>
              <w:rPr>
                <w:rFonts w:ascii="宋体"/>
                <w:vanish/>
              </w:rPr>
            </w:pPr>
          </w:p>
        </w:tc>
        <w:tc>
          <w:tcPr>
            <w:tcW w:w="0" w:type="auto"/>
            <w:shd w:val="clear" w:color="auto" w:fill="auto"/>
          </w:tcPr>
          <w:p w14:paraId="7268F963" w14:textId="77777777" w:rsidR="005F762A" w:rsidRDefault="005F762A">
            <w:pPr>
              <w:rPr>
                <w:rFonts w:ascii="宋体"/>
                <w:vanish/>
              </w:rPr>
            </w:pPr>
          </w:p>
        </w:tc>
        <w:tc>
          <w:tcPr>
            <w:tcW w:w="5" w:type="pct"/>
            <w:shd w:val="clear" w:color="auto" w:fill="auto"/>
          </w:tcPr>
          <w:p w14:paraId="7268F964" w14:textId="77777777" w:rsidR="005F762A" w:rsidRDefault="005F762A">
            <w:pPr>
              <w:rPr>
                <w:rFonts w:ascii="宋体"/>
              </w:rPr>
            </w:pPr>
          </w:p>
        </w:tc>
        <w:tc>
          <w:tcPr>
            <w:tcW w:w="26" w:type="pct"/>
            <w:shd w:val="clear" w:color="auto" w:fill="auto"/>
          </w:tcPr>
          <w:p w14:paraId="7268F965" w14:textId="77777777" w:rsidR="005F762A" w:rsidRDefault="005F762A">
            <w:pPr>
              <w:rPr>
                <w:rFonts w:ascii="宋体"/>
              </w:rPr>
            </w:pPr>
          </w:p>
        </w:tc>
        <w:tc>
          <w:tcPr>
            <w:tcW w:w="5" w:type="pct"/>
            <w:shd w:val="clear" w:color="auto" w:fill="auto"/>
          </w:tcPr>
          <w:p w14:paraId="7268F966" w14:textId="77777777" w:rsidR="005F762A" w:rsidRDefault="005F762A">
            <w:pPr>
              <w:rPr>
                <w:rFonts w:ascii="宋体"/>
              </w:rPr>
            </w:pPr>
          </w:p>
        </w:tc>
        <w:tc>
          <w:tcPr>
            <w:tcW w:w="50" w:type="pct"/>
            <w:shd w:val="clear" w:color="auto" w:fill="auto"/>
          </w:tcPr>
          <w:p w14:paraId="7268F967" w14:textId="77777777" w:rsidR="005F762A" w:rsidRDefault="005F762A">
            <w:pPr>
              <w:rPr>
                <w:rFonts w:ascii="宋体"/>
              </w:rPr>
            </w:pPr>
          </w:p>
        </w:tc>
        <w:tc>
          <w:tcPr>
            <w:tcW w:w="405" w:type="pct"/>
            <w:shd w:val="clear" w:color="auto" w:fill="auto"/>
          </w:tcPr>
          <w:p w14:paraId="7268F968" w14:textId="77777777" w:rsidR="005F762A" w:rsidRDefault="005F762A">
            <w:pPr>
              <w:rPr>
                <w:rFonts w:ascii="宋体"/>
              </w:rPr>
            </w:pPr>
          </w:p>
        </w:tc>
        <w:tc>
          <w:tcPr>
            <w:tcW w:w="5" w:type="pct"/>
            <w:shd w:val="clear" w:color="auto" w:fill="auto"/>
          </w:tcPr>
          <w:p w14:paraId="7268F969" w14:textId="77777777" w:rsidR="005F762A" w:rsidRDefault="005F762A">
            <w:pPr>
              <w:rPr>
                <w:rFonts w:ascii="宋体"/>
              </w:rPr>
            </w:pPr>
          </w:p>
        </w:tc>
        <w:tc>
          <w:tcPr>
            <w:tcW w:w="5" w:type="pct"/>
            <w:shd w:val="clear" w:color="auto" w:fill="auto"/>
          </w:tcPr>
          <w:p w14:paraId="7268F96A" w14:textId="77777777" w:rsidR="005F762A" w:rsidRDefault="005F762A">
            <w:pPr>
              <w:rPr>
                <w:rFonts w:ascii="宋体"/>
              </w:rPr>
            </w:pPr>
          </w:p>
        </w:tc>
        <w:tc>
          <w:tcPr>
            <w:tcW w:w="26" w:type="pct"/>
            <w:shd w:val="clear" w:color="auto" w:fill="auto"/>
          </w:tcPr>
          <w:p w14:paraId="7268F96B" w14:textId="77777777" w:rsidR="005F762A" w:rsidRDefault="005F762A">
            <w:pPr>
              <w:rPr>
                <w:rFonts w:ascii="宋体"/>
              </w:rPr>
            </w:pPr>
          </w:p>
        </w:tc>
        <w:tc>
          <w:tcPr>
            <w:tcW w:w="5" w:type="pct"/>
            <w:shd w:val="clear" w:color="auto" w:fill="auto"/>
          </w:tcPr>
          <w:p w14:paraId="7268F96C" w14:textId="77777777" w:rsidR="005F762A" w:rsidRDefault="005F762A">
            <w:pPr>
              <w:rPr>
                <w:rFonts w:ascii="宋体"/>
              </w:rPr>
            </w:pPr>
          </w:p>
        </w:tc>
        <w:tc>
          <w:tcPr>
            <w:tcW w:w="50" w:type="pct"/>
            <w:shd w:val="clear" w:color="auto" w:fill="auto"/>
          </w:tcPr>
          <w:p w14:paraId="7268F96D" w14:textId="77777777" w:rsidR="005F762A" w:rsidRDefault="005F762A">
            <w:pPr>
              <w:rPr>
                <w:rFonts w:ascii="宋体"/>
              </w:rPr>
            </w:pPr>
          </w:p>
        </w:tc>
        <w:tc>
          <w:tcPr>
            <w:tcW w:w="405" w:type="pct"/>
            <w:shd w:val="clear" w:color="auto" w:fill="auto"/>
          </w:tcPr>
          <w:p w14:paraId="7268F96E" w14:textId="77777777" w:rsidR="005F762A" w:rsidRDefault="005F762A">
            <w:pPr>
              <w:rPr>
                <w:rFonts w:ascii="宋体"/>
              </w:rPr>
            </w:pPr>
          </w:p>
        </w:tc>
        <w:tc>
          <w:tcPr>
            <w:tcW w:w="5" w:type="pct"/>
            <w:shd w:val="clear" w:color="auto" w:fill="auto"/>
          </w:tcPr>
          <w:p w14:paraId="7268F96F" w14:textId="77777777" w:rsidR="005F762A" w:rsidRDefault="005F762A">
            <w:pPr>
              <w:rPr>
                <w:rFonts w:ascii="宋体"/>
              </w:rPr>
            </w:pPr>
          </w:p>
        </w:tc>
        <w:tc>
          <w:tcPr>
            <w:tcW w:w="5" w:type="pct"/>
            <w:shd w:val="clear" w:color="auto" w:fill="auto"/>
          </w:tcPr>
          <w:p w14:paraId="7268F970" w14:textId="77777777" w:rsidR="005F762A" w:rsidRDefault="005F762A">
            <w:pPr>
              <w:rPr>
                <w:rFonts w:ascii="宋体"/>
              </w:rPr>
            </w:pPr>
          </w:p>
        </w:tc>
        <w:tc>
          <w:tcPr>
            <w:tcW w:w="26" w:type="pct"/>
            <w:shd w:val="clear" w:color="auto" w:fill="auto"/>
          </w:tcPr>
          <w:p w14:paraId="7268F971" w14:textId="77777777" w:rsidR="005F762A" w:rsidRDefault="005F762A">
            <w:pPr>
              <w:rPr>
                <w:rFonts w:ascii="宋体"/>
              </w:rPr>
            </w:pPr>
          </w:p>
        </w:tc>
        <w:tc>
          <w:tcPr>
            <w:tcW w:w="5" w:type="pct"/>
            <w:shd w:val="clear" w:color="auto" w:fill="auto"/>
          </w:tcPr>
          <w:p w14:paraId="7268F972" w14:textId="77777777" w:rsidR="005F762A" w:rsidRDefault="005F762A">
            <w:pPr>
              <w:rPr>
                <w:rFonts w:ascii="宋体"/>
              </w:rPr>
            </w:pPr>
          </w:p>
        </w:tc>
        <w:tc>
          <w:tcPr>
            <w:tcW w:w="50" w:type="pct"/>
            <w:shd w:val="clear" w:color="auto" w:fill="auto"/>
          </w:tcPr>
          <w:p w14:paraId="7268F973" w14:textId="77777777" w:rsidR="005F762A" w:rsidRDefault="005F762A">
            <w:pPr>
              <w:rPr>
                <w:rFonts w:ascii="宋体"/>
              </w:rPr>
            </w:pPr>
          </w:p>
        </w:tc>
        <w:tc>
          <w:tcPr>
            <w:tcW w:w="405" w:type="pct"/>
            <w:shd w:val="clear" w:color="auto" w:fill="auto"/>
          </w:tcPr>
          <w:p w14:paraId="7268F974" w14:textId="77777777" w:rsidR="005F762A" w:rsidRDefault="005F762A">
            <w:pPr>
              <w:rPr>
                <w:rFonts w:ascii="宋体"/>
              </w:rPr>
            </w:pPr>
          </w:p>
        </w:tc>
        <w:tc>
          <w:tcPr>
            <w:tcW w:w="5" w:type="pct"/>
            <w:shd w:val="clear" w:color="auto" w:fill="auto"/>
          </w:tcPr>
          <w:p w14:paraId="7268F975" w14:textId="77777777" w:rsidR="005F762A" w:rsidRDefault="005F762A">
            <w:pPr>
              <w:rPr>
                <w:rFonts w:ascii="宋体"/>
              </w:rPr>
            </w:pPr>
          </w:p>
        </w:tc>
        <w:tc>
          <w:tcPr>
            <w:tcW w:w="5" w:type="pct"/>
            <w:shd w:val="clear" w:color="auto" w:fill="auto"/>
          </w:tcPr>
          <w:p w14:paraId="7268F976" w14:textId="77777777" w:rsidR="005F762A" w:rsidRDefault="005F762A">
            <w:pPr>
              <w:rPr>
                <w:rFonts w:ascii="宋体"/>
              </w:rPr>
            </w:pPr>
          </w:p>
        </w:tc>
        <w:tc>
          <w:tcPr>
            <w:tcW w:w="26" w:type="pct"/>
            <w:shd w:val="clear" w:color="auto" w:fill="auto"/>
          </w:tcPr>
          <w:p w14:paraId="7268F977" w14:textId="77777777" w:rsidR="005F762A" w:rsidRDefault="005F762A">
            <w:pPr>
              <w:rPr>
                <w:rFonts w:ascii="宋体"/>
              </w:rPr>
            </w:pPr>
          </w:p>
        </w:tc>
        <w:tc>
          <w:tcPr>
            <w:tcW w:w="5" w:type="pct"/>
            <w:shd w:val="clear" w:color="auto" w:fill="auto"/>
          </w:tcPr>
          <w:p w14:paraId="7268F978" w14:textId="77777777" w:rsidR="005F762A" w:rsidRDefault="005F762A">
            <w:pPr>
              <w:rPr>
                <w:rFonts w:ascii="宋体"/>
              </w:rPr>
            </w:pPr>
          </w:p>
        </w:tc>
        <w:tc>
          <w:tcPr>
            <w:tcW w:w="50" w:type="pct"/>
            <w:shd w:val="clear" w:color="auto" w:fill="auto"/>
          </w:tcPr>
          <w:p w14:paraId="7268F979" w14:textId="77777777" w:rsidR="005F762A" w:rsidRDefault="005F762A">
            <w:pPr>
              <w:rPr>
                <w:rFonts w:ascii="宋体"/>
              </w:rPr>
            </w:pPr>
          </w:p>
        </w:tc>
        <w:tc>
          <w:tcPr>
            <w:tcW w:w="405" w:type="pct"/>
            <w:shd w:val="clear" w:color="auto" w:fill="auto"/>
          </w:tcPr>
          <w:p w14:paraId="7268F97A" w14:textId="77777777" w:rsidR="005F762A" w:rsidRDefault="005F762A">
            <w:pPr>
              <w:rPr>
                <w:rFonts w:ascii="宋体"/>
              </w:rPr>
            </w:pPr>
          </w:p>
        </w:tc>
        <w:tc>
          <w:tcPr>
            <w:tcW w:w="5" w:type="pct"/>
            <w:shd w:val="clear" w:color="auto" w:fill="auto"/>
          </w:tcPr>
          <w:p w14:paraId="7268F97B" w14:textId="77777777" w:rsidR="005F762A" w:rsidRDefault="005F762A">
            <w:pPr>
              <w:rPr>
                <w:rFonts w:ascii="宋体"/>
              </w:rPr>
            </w:pPr>
          </w:p>
        </w:tc>
      </w:tr>
      <w:tr w:rsidR="005F762A" w14:paraId="7268F991" w14:textId="77777777">
        <w:tc>
          <w:tcPr>
            <w:tcW w:w="0" w:type="auto"/>
            <w:gridSpan w:val="3"/>
            <w:shd w:val="clear" w:color="auto" w:fill="auto"/>
            <w:tcMar>
              <w:top w:w="0" w:type="dxa"/>
              <w:left w:w="20" w:type="dxa"/>
              <w:bottom w:w="0" w:type="dxa"/>
              <w:right w:w="20" w:type="dxa"/>
            </w:tcMar>
          </w:tcPr>
          <w:p w14:paraId="7268F97D" w14:textId="77777777" w:rsidR="005F762A" w:rsidRDefault="005F762A">
            <w:pPr>
              <w:rPr>
                <w:rFonts w:ascii="宋体"/>
              </w:rPr>
            </w:pPr>
          </w:p>
        </w:tc>
        <w:tc>
          <w:tcPr>
            <w:tcW w:w="0" w:type="auto"/>
            <w:shd w:val="clear" w:color="auto" w:fill="auto"/>
          </w:tcPr>
          <w:p w14:paraId="7268F97E" w14:textId="77777777" w:rsidR="005F762A" w:rsidRDefault="005F762A">
            <w:pPr>
              <w:rPr>
                <w:rFonts w:ascii="宋体"/>
                <w:vanish/>
              </w:rPr>
            </w:pPr>
          </w:p>
        </w:tc>
        <w:tc>
          <w:tcPr>
            <w:tcW w:w="0" w:type="auto"/>
            <w:shd w:val="clear" w:color="auto" w:fill="auto"/>
          </w:tcPr>
          <w:p w14:paraId="7268F97F" w14:textId="77777777" w:rsidR="005F762A" w:rsidRDefault="005F762A">
            <w:pPr>
              <w:rPr>
                <w:rFonts w:ascii="宋体"/>
                <w:vanish/>
              </w:rPr>
            </w:pPr>
          </w:p>
        </w:tc>
        <w:tc>
          <w:tcPr>
            <w:tcW w:w="0" w:type="auto"/>
            <w:shd w:val="clear" w:color="auto" w:fill="auto"/>
          </w:tcPr>
          <w:p w14:paraId="7268F980"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98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982"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983" w14:textId="77777777" w:rsidR="005F762A" w:rsidRDefault="005F762A">
            <w:pPr>
              <w:rPr>
                <w:rFonts w:ascii="宋体"/>
              </w:rPr>
            </w:pPr>
          </w:p>
        </w:tc>
        <w:tc>
          <w:tcPr>
            <w:tcW w:w="0" w:type="auto"/>
            <w:gridSpan w:val="9"/>
            <w:shd w:val="clear" w:color="auto" w:fill="auto"/>
            <w:tcMar>
              <w:top w:w="40" w:type="dxa"/>
              <w:left w:w="20" w:type="dxa"/>
              <w:bottom w:w="40" w:type="dxa"/>
              <w:right w:w="20" w:type="dxa"/>
            </w:tcMar>
            <w:vAlign w:val="bottom"/>
          </w:tcPr>
          <w:p w14:paraId="7268F984" w14:textId="77777777" w:rsidR="005F762A" w:rsidRDefault="00D74111">
            <w:pPr>
              <w:jc w:val="center"/>
              <w:textAlignment w:val="bottom"/>
            </w:pPr>
            <w:r>
              <w:rPr>
                <w:rFonts w:ascii="Arial" w:eastAsia="宋体" w:hAnsi="Arial" w:cs="Arial"/>
                <w:b/>
                <w:bCs/>
                <w:color w:val="000000"/>
                <w:sz w:val="14"/>
                <w:szCs w:val="14"/>
              </w:rPr>
              <w:t>Change</w:t>
            </w:r>
          </w:p>
        </w:tc>
        <w:tc>
          <w:tcPr>
            <w:tcW w:w="0" w:type="auto"/>
            <w:shd w:val="clear" w:color="auto" w:fill="auto"/>
          </w:tcPr>
          <w:p w14:paraId="7268F985" w14:textId="77777777" w:rsidR="005F762A" w:rsidRDefault="005F762A">
            <w:pPr>
              <w:rPr>
                <w:rFonts w:ascii="宋体"/>
              </w:rPr>
            </w:pPr>
          </w:p>
        </w:tc>
        <w:tc>
          <w:tcPr>
            <w:tcW w:w="0" w:type="auto"/>
            <w:shd w:val="clear" w:color="auto" w:fill="auto"/>
          </w:tcPr>
          <w:p w14:paraId="7268F986" w14:textId="77777777" w:rsidR="005F762A" w:rsidRDefault="005F762A">
            <w:pPr>
              <w:rPr>
                <w:rFonts w:ascii="宋体"/>
              </w:rPr>
            </w:pPr>
          </w:p>
        </w:tc>
        <w:tc>
          <w:tcPr>
            <w:tcW w:w="0" w:type="auto"/>
            <w:shd w:val="clear" w:color="auto" w:fill="auto"/>
          </w:tcPr>
          <w:p w14:paraId="7268F987" w14:textId="77777777" w:rsidR="005F762A" w:rsidRDefault="005F762A">
            <w:pPr>
              <w:rPr>
                <w:rFonts w:ascii="宋体"/>
              </w:rPr>
            </w:pPr>
          </w:p>
        </w:tc>
        <w:tc>
          <w:tcPr>
            <w:tcW w:w="0" w:type="auto"/>
            <w:shd w:val="clear" w:color="auto" w:fill="auto"/>
          </w:tcPr>
          <w:p w14:paraId="7268F988" w14:textId="77777777" w:rsidR="005F762A" w:rsidRDefault="005F762A">
            <w:pPr>
              <w:rPr>
                <w:rFonts w:ascii="宋体"/>
              </w:rPr>
            </w:pPr>
          </w:p>
        </w:tc>
        <w:tc>
          <w:tcPr>
            <w:tcW w:w="0" w:type="auto"/>
            <w:shd w:val="clear" w:color="auto" w:fill="auto"/>
          </w:tcPr>
          <w:p w14:paraId="7268F989" w14:textId="77777777" w:rsidR="005F762A" w:rsidRDefault="005F762A">
            <w:pPr>
              <w:rPr>
                <w:rFonts w:ascii="宋体"/>
              </w:rPr>
            </w:pPr>
          </w:p>
        </w:tc>
        <w:tc>
          <w:tcPr>
            <w:tcW w:w="0" w:type="auto"/>
            <w:shd w:val="clear" w:color="auto" w:fill="auto"/>
          </w:tcPr>
          <w:p w14:paraId="7268F98A" w14:textId="77777777" w:rsidR="005F762A" w:rsidRDefault="005F762A">
            <w:pPr>
              <w:rPr>
                <w:rFonts w:ascii="宋体"/>
              </w:rPr>
            </w:pPr>
          </w:p>
        </w:tc>
        <w:tc>
          <w:tcPr>
            <w:tcW w:w="0" w:type="auto"/>
            <w:shd w:val="clear" w:color="auto" w:fill="auto"/>
          </w:tcPr>
          <w:p w14:paraId="7268F98B" w14:textId="77777777" w:rsidR="005F762A" w:rsidRDefault="005F762A">
            <w:pPr>
              <w:rPr>
                <w:rFonts w:ascii="宋体"/>
              </w:rPr>
            </w:pPr>
          </w:p>
        </w:tc>
        <w:tc>
          <w:tcPr>
            <w:tcW w:w="0" w:type="auto"/>
            <w:shd w:val="clear" w:color="auto" w:fill="auto"/>
          </w:tcPr>
          <w:p w14:paraId="7268F98C" w14:textId="77777777" w:rsidR="005F762A" w:rsidRDefault="005F762A">
            <w:pPr>
              <w:rPr>
                <w:rFonts w:ascii="宋体"/>
              </w:rPr>
            </w:pPr>
          </w:p>
        </w:tc>
        <w:tc>
          <w:tcPr>
            <w:tcW w:w="0" w:type="auto"/>
            <w:shd w:val="clear" w:color="auto" w:fill="auto"/>
          </w:tcPr>
          <w:p w14:paraId="7268F98D" w14:textId="77777777" w:rsidR="005F762A" w:rsidRDefault="005F762A">
            <w:pPr>
              <w:rPr>
                <w:rFonts w:ascii="宋体"/>
              </w:rPr>
            </w:pPr>
          </w:p>
        </w:tc>
        <w:tc>
          <w:tcPr>
            <w:tcW w:w="0" w:type="auto"/>
            <w:shd w:val="clear" w:color="auto" w:fill="auto"/>
          </w:tcPr>
          <w:p w14:paraId="7268F98E" w14:textId="77777777" w:rsidR="005F762A" w:rsidRDefault="005F762A">
            <w:pPr>
              <w:rPr>
                <w:rFonts w:ascii="宋体"/>
              </w:rPr>
            </w:pPr>
          </w:p>
        </w:tc>
        <w:tc>
          <w:tcPr>
            <w:tcW w:w="0" w:type="auto"/>
            <w:shd w:val="clear" w:color="auto" w:fill="auto"/>
          </w:tcPr>
          <w:p w14:paraId="7268F98F" w14:textId="77777777" w:rsidR="005F762A" w:rsidRDefault="005F762A">
            <w:pPr>
              <w:rPr>
                <w:rFonts w:ascii="宋体"/>
              </w:rPr>
            </w:pPr>
          </w:p>
        </w:tc>
        <w:tc>
          <w:tcPr>
            <w:tcW w:w="0" w:type="auto"/>
            <w:shd w:val="clear" w:color="auto" w:fill="auto"/>
          </w:tcPr>
          <w:p w14:paraId="7268F990" w14:textId="77777777" w:rsidR="005F762A" w:rsidRDefault="005F762A">
            <w:pPr>
              <w:rPr>
                <w:rFonts w:ascii="宋体"/>
              </w:rPr>
            </w:pPr>
          </w:p>
        </w:tc>
      </w:tr>
      <w:tr w:rsidR="005F762A" w14:paraId="7268F9A2" w14:textId="77777777">
        <w:tc>
          <w:tcPr>
            <w:tcW w:w="0" w:type="auto"/>
            <w:gridSpan w:val="3"/>
            <w:shd w:val="clear" w:color="auto" w:fill="auto"/>
            <w:tcMar>
              <w:top w:w="40" w:type="dxa"/>
              <w:left w:w="20" w:type="dxa"/>
              <w:bottom w:w="40" w:type="dxa"/>
              <w:right w:w="20" w:type="dxa"/>
            </w:tcMar>
            <w:vAlign w:val="center"/>
          </w:tcPr>
          <w:p w14:paraId="7268F992" w14:textId="77777777" w:rsidR="005F762A" w:rsidRDefault="00D74111">
            <w:pPr>
              <w:textAlignment w:val="center"/>
            </w:pPr>
            <w:r>
              <w:rPr>
                <w:rFonts w:ascii="Arial" w:eastAsia="宋体" w:hAnsi="Arial" w:cs="Arial"/>
                <w:color w:val="000000"/>
                <w:sz w:val="14"/>
                <w:szCs w:val="14"/>
              </w:rPr>
              <w:t> </w:t>
            </w:r>
          </w:p>
        </w:tc>
        <w:tc>
          <w:tcPr>
            <w:tcW w:w="0" w:type="auto"/>
            <w:shd w:val="clear" w:color="auto" w:fill="auto"/>
          </w:tcPr>
          <w:p w14:paraId="7268F993" w14:textId="77777777" w:rsidR="005F762A" w:rsidRDefault="005F762A">
            <w:pPr>
              <w:rPr>
                <w:rFonts w:ascii="宋体"/>
                <w:vanish/>
              </w:rPr>
            </w:pPr>
          </w:p>
        </w:tc>
        <w:tc>
          <w:tcPr>
            <w:tcW w:w="0" w:type="auto"/>
            <w:shd w:val="clear" w:color="auto" w:fill="auto"/>
          </w:tcPr>
          <w:p w14:paraId="7268F994" w14:textId="77777777" w:rsidR="005F762A" w:rsidRDefault="005F762A">
            <w:pPr>
              <w:rPr>
                <w:rFonts w:ascii="宋体"/>
                <w:vanish/>
              </w:rPr>
            </w:pPr>
          </w:p>
        </w:tc>
        <w:tc>
          <w:tcPr>
            <w:tcW w:w="0" w:type="auto"/>
            <w:shd w:val="clear" w:color="auto" w:fill="auto"/>
          </w:tcPr>
          <w:p w14:paraId="7268F995" w14:textId="77777777" w:rsidR="005F762A" w:rsidRDefault="005F762A">
            <w:pPr>
              <w:rPr>
                <w:rFonts w:ascii="宋体"/>
                <w:vanish/>
              </w:rPr>
            </w:pPr>
          </w:p>
        </w:tc>
        <w:tc>
          <w:tcPr>
            <w:tcW w:w="0" w:type="auto"/>
            <w:shd w:val="clear" w:color="auto" w:fill="auto"/>
          </w:tcPr>
          <w:p w14:paraId="7268F996" w14:textId="77777777" w:rsidR="005F762A" w:rsidRDefault="005F762A">
            <w:pPr>
              <w:rPr>
                <w:rFonts w:ascii="宋体"/>
                <w:vanish/>
              </w:rPr>
            </w:pPr>
          </w:p>
        </w:tc>
        <w:tc>
          <w:tcPr>
            <w:tcW w:w="0" w:type="auto"/>
            <w:shd w:val="clear" w:color="auto" w:fill="auto"/>
          </w:tcPr>
          <w:p w14:paraId="7268F997" w14:textId="77777777" w:rsidR="005F762A" w:rsidRDefault="005F762A">
            <w:pPr>
              <w:rPr>
                <w:rFonts w:ascii="宋体"/>
                <w:vanish/>
              </w:rPr>
            </w:pPr>
          </w:p>
        </w:tc>
        <w:tc>
          <w:tcPr>
            <w:tcW w:w="0" w:type="auto"/>
            <w:shd w:val="clear" w:color="auto" w:fill="auto"/>
          </w:tcPr>
          <w:p w14:paraId="7268F998" w14:textId="77777777" w:rsidR="005F762A" w:rsidRDefault="005F762A">
            <w:pPr>
              <w:rPr>
                <w:rFonts w:ascii="宋体"/>
                <w:vanish/>
              </w:rPr>
            </w:pPr>
          </w:p>
        </w:tc>
        <w:tc>
          <w:tcPr>
            <w:tcW w:w="0" w:type="auto"/>
            <w:shd w:val="clear" w:color="auto" w:fill="auto"/>
          </w:tcPr>
          <w:p w14:paraId="7268F999"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99A"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99B"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99C"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99D"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99E"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99F" w14:textId="77777777" w:rsidR="005F762A" w:rsidRDefault="00D74111">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7268F9A0"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9A1" w14:textId="77777777" w:rsidR="005F762A" w:rsidRDefault="00D74111">
            <w:pPr>
              <w:jc w:val="center"/>
              <w:textAlignment w:val="bottom"/>
            </w:pPr>
            <w:r>
              <w:rPr>
                <w:rFonts w:ascii="Arial" w:eastAsia="宋体" w:hAnsi="Arial" w:cs="Arial"/>
                <w:b/>
                <w:bCs/>
                <w:color w:val="000000"/>
                <w:sz w:val="14"/>
                <w:szCs w:val="14"/>
              </w:rPr>
              <w:t>FX-Neutral</w:t>
            </w:r>
          </w:p>
        </w:tc>
      </w:tr>
      <w:tr w:rsidR="005F762A" w14:paraId="7268F9AC" w14:textId="77777777">
        <w:tc>
          <w:tcPr>
            <w:tcW w:w="0" w:type="auto"/>
            <w:gridSpan w:val="3"/>
            <w:shd w:val="clear" w:color="auto" w:fill="auto"/>
            <w:tcMar>
              <w:top w:w="0" w:type="dxa"/>
              <w:left w:w="20" w:type="dxa"/>
              <w:bottom w:w="0" w:type="dxa"/>
              <w:right w:w="20" w:type="dxa"/>
            </w:tcMar>
          </w:tcPr>
          <w:p w14:paraId="7268F9A3" w14:textId="77777777" w:rsidR="005F762A" w:rsidRDefault="005F762A">
            <w:pPr>
              <w:rPr>
                <w:rFonts w:ascii="宋体"/>
              </w:rPr>
            </w:pPr>
          </w:p>
        </w:tc>
        <w:tc>
          <w:tcPr>
            <w:tcW w:w="0" w:type="auto"/>
            <w:shd w:val="clear" w:color="auto" w:fill="auto"/>
          </w:tcPr>
          <w:p w14:paraId="7268F9A4" w14:textId="77777777" w:rsidR="005F762A" w:rsidRDefault="005F762A">
            <w:pPr>
              <w:rPr>
                <w:rFonts w:ascii="宋体"/>
                <w:vanish/>
              </w:rPr>
            </w:pPr>
          </w:p>
        </w:tc>
        <w:tc>
          <w:tcPr>
            <w:tcW w:w="0" w:type="auto"/>
            <w:shd w:val="clear" w:color="auto" w:fill="auto"/>
          </w:tcPr>
          <w:p w14:paraId="7268F9A5" w14:textId="77777777" w:rsidR="005F762A" w:rsidRDefault="005F762A">
            <w:pPr>
              <w:rPr>
                <w:rFonts w:ascii="宋体"/>
                <w:vanish/>
              </w:rPr>
            </w:pPr>
          </w:p>
        </w:tc>
        <w:tc>
          <w:tcPr>
            <w:tcW w:w="0" w:type="auto"/>
            <w:shd w:val="clear" w:color="auto" w:fill="auto"/>
          </w:tcPr>
          <w:p w14:paraId="7268F9A6" w14:textId="77777777" w:rsidR="005F762A" w:rsidRDefault="005F762A">
            <w:pPr>
              <w:rPr>
                <w:rFonts w:ascii="宋体"/>
                <w:vanish/>
              </w:rPr>
            </w:pPr>
          </w:p>
        </w:tc>
        <w:tc>
          <w:tcPr>
            <w:tcW w:w="0" w:type="auto"/>
            <w:shd w:val="clear" w:color="auto" w:fill="auto"/>
          </w:tcPr>
          <w:p w14:paraId="7268F9A7" w14:textId="77777777" w:rsidR="005F762A" w:rsidRDefault="005F762A">
            <w:pPr>
              <w:rPr>
                <w:rFonts w:ascii="宋体"/>
                <w:vanish/>
              </w:rPr>
            </w:pPr>
          </w:p>
        </w:tc>
        <w:tc>
          <w:tcPr>
            <w:tcW w:w="0" w:type="auto"/>
            <w:shd w:val="clear" w:color="auto" w:fill="auto"/>
          </w:tcPr>
          <w:p w14:paraId="7268F9A8" w14:textId="77777777" w:rsidR="005F762A" w:rsidRDefault="005F762A">
            <w:pPr>
              <w:rPr>
                <w:rFonts w:ascii="宋体"/>
                <w:vanish/>
              </w:rPr>
            </w:pPr>
          </w:p>
        </w:tc>
        <w:tc>
          <w:tcPr>
            <w:tcW w:w="0" w:type="auto"/>
            <w:shd w:val="clear" w:color="auto" w:fill="auto"/>
          </w:tcPr>
          <w:p w14:paraId="7268F9A9" w14:textId="77777777" w:rsidR="005F762A" w:rsidRDefault="005F762A">
            <w:pPr>
              <w:rPr>
                <w:rFonts w:ascii="宋体"/>
                <w:vanish/>
              </w:rPr>
            </w:pPr>
          </w:p>
        </w:tc>
        <w:tc>
          <w:tcPr>
            <w:tcW w:w="0" w:type="auto"/>
            <w:shd w:val="clear" w:color="auto" w:fill="auto"/>
          </w:tcPr>
          <w:p w14:paraId="7268F9AA" w14:textId="77777777" w:rsidR="005F762A" w:rsidRDefault="005F762A">
            <w:pPr>
              <w:rPr>
                <w:rFonts w:ascii="宋体"/>
                <w:vanish/>
              </w:rPr>
            </w:pPr>
          </w:p>
        </w:tc>
        <w:tc>
          <w:tcPr>
            <w:tcW w:w="0" w:type="auto"/>
            <w:gridSpan w:val="24"/>
            <w:shd w:val="clear" w:color="auto" w:fill="FFFFFF"/>
            <w:tcMar>
              <w:top w:w="40" w:type="dxa"/>
              <w:left w:w="20" w:type="dxa"/>
              <w:bottom w:w="40" w:type="dxa"/>
              <w:right w:w="20" w:type="dxa"/>
            </w:tcMar>
            <w:vAlign w:val="bottom"/>
          </w:tcPr>
          <w:p w14:paraId="7268F9AB" w14:textId="77777777" w:rsidR="005F762A" w:rsidRDefault="00D74111">
            <w:pPr>
              <w:jc w:val="center"/>
              <w:textAlignment w:val="bottom"/>
            </w:pPr>
            <w:r>
              <w:rPr>
                <w:rFonts w:ascii="Arial" w:eastAsia="宋体" w:hAnsi="Arial" w:cs="Arial"/>
                <w:color w:val="000000"/>
                <w:sz w:val="16"/>
                <w:szCs w:val="16"/>
              </w:rPr>
              <w:t>(In millions, except percentages)</w:t>
            </w:r>
          </w:p>
        </w:tc>
      </w:tr>
      <w:tr w:rsidR="005F762A" w14:paraId="7268F9C3" w14:textId="77777777">
        <w:tc>
          <w:tcPr>
            <w:tcW w:w="0" w:type="auto"/>
            <w:gridSpan w:val="3"/>
            <w:shd w:val="clear" w:color="auto" w:fill="E2E2E2"/>
            <w:tcMar>
              <w:top w:w="40" w:type="dxa"/>
              <w:left w:w="20" w:type="dxa"/>
              <w:bottom w:w="40" w:type="dxa"/>
              <w:right w:w="20" w:type="dxa"/>
            </w:tcMar>
            <w:vAlign w:val="bottom"/>
          </w:tcPr>
          <w:p w14:paraId="7268F9AD" w14:textId="77777777" w:rsidR="005F762A" w:rsidRDefault="00D74111">
            <w:pPr>
              <w:textAlignment w:val="bottom"/>
            </w:pPr>
            <w:r>
              <w:rPr>
                <w:rFonts w:ascii="Arial" w:eastAsia="宋体" w:hAnsi="Arial" w:cs="Arial"/>
                <w:color w:val="000000"/>
                <w:sz w:val="16"/>
                <w:szCs w:val="16"/>
              </w:rPr>
              <w:t xml:space="preserve">Net transaction revenues </w:t>
            </w:r>
            <w:r>
              <w:rPr>
                <w:rFonts w:ascii="Arial" w:eastAsia="宋体" w:hAnsi="Arial" w:cs="Arial"/>
                <w:color w:val="000000"/>
                <w:sz w:val="10"/>
                <w:szCs w:val="10"/>
              </w:rPr>
              <w:t>(1)</w:t>
            </w:r>
          </w:p>
        </w:tc>
        <w:tc>
          <w:tcPr>
            <w:tcW w:w="0" w:type="auto"/>
            <w:shd w:val="clear" w:color="auto" w:fill="auto"/>
          </w:tcPr>
          <w:p w14:paraId="7268F9AE" w14:textId="77777777" w:rsidR="005F762A" w:rsidRDefault="005F762A">
            <w:pPr>
              <w:rPr>
                <w:rFonts w:ascii="宋体"/>
                <w:vanish/>
              </w:rPr>
            </w:pPr>
          </w:p>
        </w:tc>
        <w:tc>
          <w:tcPr>
            <w:tcW w:w="0" w:type="auto"/>
            <w:shd w:val="clear" w:color="auto" w:fill="auto"/>
          </w:tcPr>
          <w:p w14:paraId="7268F9AF" w14:textId="77777777" w:rsidR="005F762A" w:rsidRDefault="005F762A">
            <w:pPr>
              <w:rPr>
                <w:rFonts w:ascii="宋体"/>
                <w:vanish/>
              </w:rPr>
            </w:pPr>
          </w:p>
        </w:tc>
        <w:tc>
          <w:tcPr>
            <w:tcW w:w="0" w:type="auto"/>
            <w:shd w:val="clear" w:color="auto" w:fill="auto"/>
          </w:tcPr>
          <w:p w14:paraId="7268F9B0" w14:textId="77777777" w:rsidR="005F762A" w:rsidRDefault="005F762A">
            <w:pPr>
              <w:rPr>
                <w:rFonts w:ascii="宋体"/>
                <w:vanish/>
              </w:rPr>
            </w:pPr>
          </w:p>
        </w:tc>
        <w:tc>
          <w:tcPr>
            <w:tcW w:w="0" w:type="auto"/>
            <w:shd w:val="clear" w:color="auto" w:fill="auto"/>
          </w:tcPr>
          <w:p w14:paraId="7268F9B1" w14:textId="77777777" w:rsidR="005F762A" w:rsidRDefault="005F762A">
            <w:pPr>
              <w:rPr>
                <w:rFonts w:ascii="宋体"/>
                <w:vanish/>
              </w:rPr>
            </w:pPr>
          </w:p>
        </w:tc>
        <w:tc>
          <w:tcPr>
            <w:tcW w:w="0" w:type="auto"/>
            <w:shd w:val="clear" w:color="auto" w:fill="auto"/>
          </w:tcPr>
          <w:p w14:paraId="7268F9B2" w14:textId="77777777" w:rsidR="005F762A" w:rsidRDefault="005F762A">
            <w:pPr>
              <w:rPr>
                <w:rFonts w:ascii="宋体"/>
                <w:vanish/>
              </w:rPr>
            </w:pPr>
          </w:p>
        </w:tc>
        <w:tc>
          <w:tcPr>
            <w:tcW w:w="0" w:type="auto"/>
            <w:shd w:val="clear" w:color="auto" w:fill="auto"/>
          </w:tcPr>
          <w:p w14:paraId="7268F9B3" w14:textId="77777777" w:rsidR="005F762A" w:rsidRDefault="005F762A">
            <w:pPr>
              <w:rPr>
                <w:rFonts w:ascii="宋体"/>
                <w:vanish/>
              </w:rPr>
            </w:pPr>
          </w:p>
        </w:tc>
        <w:tc>
          <w:tcPr>
            <w:tcW w:w="0" w:type="auto"/>
            <w:shd w:val="clear" w:color="auto" w:fill="auto"/>
          </w:tcPr>
          <w:p w14:paraId="7268F9B4"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9B5"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9B6"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9B7" w14:textId="77777777" w:rsidR="005F762A" w:rsidRDefault="00D74111">
            <w:pPr>
              <w:jc w:val="right"/>
              <w:textAlignment w:val="bottom"/>
            </w:pPr>
            <w:r>
              <w:rPr>
                <w:rFonts w:ascii="Arial" w:eastAsia="宋体" w:hAnsi="Arial" w:cs="Arial"/>
                <w:color w:val="000000"/>
                <w:sz w:val="16"/>
                <w:szCs w:val="16"/>
              </w:rPr>
              <w:t>2,732 </w:t>
            </w:r>
          </w:p>
        </w:tc>
        <w:tc>
          <w:tcPr>
            <w:tcW w:w="0" w:type="auto"/>
            <w:shd w:val="clear" w:color="auto" w:fill="E2E2E2"/>
            <w:tcMar>
              <w:top w:w="40" w:type="dxa"/>
              <w:left w:w="0" w:type="dxa"/>
              <w:bottom w:w="40" w:type="dxa"/>
              <w:right w:w="20" w:type="dxa"/>
            </w:tcMar>
            <w:vAlign w:val="bottom"/>
          </w:tcPr>
          <w:p w14:paraId="7268F9B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9B9"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9BA"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9BB" w14:textId="77777777" w:rsidR="005F762A" w:rsidRDefault="00D74111">
            <w:pPr>
              <w:jc w:val="right"/>
              <w:textAlignment w:val="bottom"/>
            </w:pPr>
            <w:r>
              <w:rPr>
                <w:rFonts w:ascii="Arial" w:eastAsia="宋体" w:hAnsi="Arial" w:cs="Arial"/>
                <w:color w:val="000000"/>
                <w:sz w:val="16"/>
                <w:szCs w:val="16"/>
              </w:rPr>
              <w:t>1,900 </w:t>
            </w:r>
          </w:p>
        </w:tc>
        <w:tc>
          <w:tcPr>
            <w:tcW w:w="0" w:type="auto"/>
            <w:shd w:val="clear" w:color="auto" w:fill="E2E2E2"/>
            <w:tcMar>
              <w:top w:w="40" w:type="dxa"/>
              <w:left w:w="0" w:type="dxa"/>
              <w:bottom w:w="40" w:type="dxa"/>
              <w:right w:w="20" w:type="dxa"/>
            </w:tcMar>
            <w:vAlign w:val="bottom"/>
          </w:tcPr>
          <w:p w14:paraId="7268F9B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9BD"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9BE" w14:textId="77777777" w:rsidR="005F762A" w:rsidRDefault="00D74111">
            <w:pPr>
              <w:jc w:val="right"/>
              <w:textAlignment w:val="bottom"/>
            </w:pPr>
            <w:r>
              <w:rPr>
                <w:rFonts w:ascii="Arial" w:eastAsia="宋体" w:hAnsi="Arial" w:cs="Arial"/>
                <w:color w:val="000000"/>
                <w:sz w:val="16"/>
                <w:szCs w:val="16"/>
              </w:rPr>
              <w:t>44 </w:t>
            </w:r>
          </w:p>
        </w:tc>
        <w:tc>
          <w:tcPr>
            <w:tcW w:w="0" w:type="auto"/>
            <w:shd w:val="clear" w:color="auto" w:fill="E2E2E2"/>
            <w:tcMar>
              <w:top w:w="40" w:type="dxa"/>
              <w:left w:w="0" w:type="dxa"/>
              <w:bottom w:w="40" w:type="dxa"/>
              <w:right w:w="20" w:type="dxa"/>
            </w:tcMar>
            <w:vAlign w:val="bottom"/>
          </w:tcPr>
          <w:p w14:paraId="7268F9BF"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9C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9C1" w14:textId="77777777" w:rsidR="005F762A" w:rsidRDefault="00D74111">
            <w:pPr>
              <w:jc w:val="right"/>
              <w:textAlignment w:val="bottom"/>
            </w:pPr>
            <w:r>
              <w:rPr>
                <w:rFonts w:ascii="Arial" w:eastAsia="宋体" w:hAnsi="Arial" w:cs="Arial"/>
                <w:color w:val="000000"/>
                <w:sz w:val="16"/>
                <w:szCs w:val="16"/>
              </w:rPr>
              <w:t>40 </w:t>
            </w:r>
          </w:p>
        </w:tc>
        <w:tc>
          <w:tcPr>
            <w:tcW w:w="0" w:type="auto"/>
            <w:shd w:val="clear" w:color="auto" w:fill="E2E2E2"/>
            <w:tcMar>
              <w:top w:w="40" w:type="dxa"/>
              <w:left w:w="0" w:type="dxa"/>
              <w:bottom w:w="40" w:type="dxa"/>
              <w:right w:w="20" w:type="dxa"/>
            </w:tcMar>
            <w:vAlign w:val="bottom"/>
          </w:tcPr>
          <w:p w14:paraId="7268F9C2" w14:textId="77777777" w:rsidR="005F762A" w:rsidRDefault="00D74111">
            <w:pPr>
              <w:jc w:val="right"/>
              <w:textAlignment w:val="bottom"/>
            </w:pPr>
            <w:r>
              <w:rPr>
                <w:rFonts w:ascii="Arial" w:eastAsia="宋体" w:hAnsi="Arial" w:cs="Arial"/>
                <w:color w:val="000000"/>
                <w:sz w:val="16"/>
                <w:szCs w:val="16"/>
              </w:rPr>
              <w:t>%</w:t>
            </w:r>
          </w:p>
        </w:tc>
      </w:tr>
      <w:tr w:rsidR="005F762A" w14:paraId="7268F9D4" w14:textId="77777777">
        <w:trPr>
          <w:trHeight w:val="280"/>
        </w:trPr>
        <w:tc>
          <w:tcPr>
            <w:tcW w:w="0" w:type="auto"/>
            <w:gridSpan w:val="3"/>
            <w:shd w:val="clear" w:color="auto" w:fill="FFFFFF"/>
            <w:tcMar>
              <w:top w:w="0" w:type="dxa"/>
              <w:left w:w="20" w:type="dxa"/>
              <w:bottom w:w="0" w:type="dxa"/>
              <w:right w:w="20" w:type="dxa"/>
            </w:tcMar>
          </w:tcPr>
          <w:p w14:paraId="7268F9C4" w14:textId="77777777" w:rsidR="005F762A" w:rsidRDefault="005F762A">
            <w:pPr>
              <w:rPr>
                <w:rFonts w:ascii="宋体"/>
              </w:rPr>
            </w:pPr>
          </w:p>
        </w:tc>
        <w:tc>
          <w:tcPr>
            <w:tcW w:w="0" w:type="auto"/>
            <w:shd w:val="clear" w:color="auto" w:fill="auto"/>
          </w:tcPr>
          <w:p w14:paraId="7268F9C5" w14:textId="77777777" w:rsidR="005F762A" w:rsidRDefault="005F762A">
            <w:pPr>
              <w:rPr>
                <w:rFonts w:ascii="宋体"/>
                <w:vanish/>
              </w:rPr>
            </w:pPr>
          </w:p>
        </w:tc>
        <w:tc>
          <w:tcPr>
            <w:tcW w:w="0" w:type="auto"/>
            <w:shd w:val="clear" w:color="auto" w:fill="auto"/>
          </w:tcPr>
          <w:p w14:paraId="7268F9C6" w14:textId="77777777" w:rsidR="005F762A" w:rsidRDefault="005F762A">
            <w:pPr>
              <w:rPr>
                <w:rFonts w:ascii="宋体"/>
                <w:vanish/>
              </w:rPr>
            </w:pPr>
          </w:p>
        </w:tc>
        <w:tc>
          <w:tcPr>
            <w:tcW w:w="0" w:type="auto"/>
            <w:shd w:val="clear" w:color="auto" w:fill="auto"/>
          </w:tcPr>
          <w:p w14:paraId="7268F9C7" w14:textId="77777777" w:rsidR="005F762A" w:rsidRDefault="005F762A">
            <w:pPr>
              <w:rPr>
                <w:rFonts w:ascii="宋体"/>
                <w:vanish/>
              </w:rPr>
            </w:pPr>
          </w:p>
        </w:tc>
        <w:tc>
          <w:tcPr>
            <w:tcW w:w="0" w:type="auto"/>
            <w:shd w:val="clear" w:color="auto" w:fill="auto"/>
          </w:tcPr>
          <w:p w14:paraId="7268F9C8" w14:textId="77777777" w:rsidR="005F762A" w:rsidRDefault="005F762A">
            <w:pPr>
              <w:rPr>
                <w:rFonts w:ascii="宋体"/>
                <w:vanish/>
              </w:rPr>
            </w:pPr>
          </w:p>
        </w:tc>
        <w:tc>
          <w:tcPr>
            <w:tcW w:w="0" w:type="auto"/>
            <w:shd w:val="clear" w:color="auto" w:fill="auto"/>
          </w:tcPr>
          <w:p w14:paraId="7268F9C9" w14:textId="77777777" w:rsidR="005F762A" w:rsidRDefault="005F762A">
            <w:pPr>
              <w:rPr>
                <w:rFonts w:ascii="宋体"/>
                <w:vanish/>
              </w:rPr>
            </w:pPr>
          </w:p>
        </w:tc>
        <w:tc>
          <w:tcPr>
            <w:tcW w:w="0" w:type="auto"/>
            <w:shd w:val="clear" w:color="auto" w:fill="auto"/>
          </w:tcPr>
          <w:p w14:paraId="7268F9CA" w14:textId="77777777" w:rsidR="005F762A" w:rsidRDefault="005F762A">
            <w:pPr>
              <w:rPr>
                <w:rFonts w:ascii="宋体"/>
                <w:vanish/>
              </w:rPr>
            </w:pPr>
          </w:p>
        </w:tc>
        <w:tc>
          <w:tcPr>
            <w:tcW w:w="0" w:type="auto"/>
            <w:shd w:val="clear" w:color="auto" w:fill="auto"/>
          </w:tcPr>
          <w:p w14:paraId="7268F9CB"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9C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C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C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C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D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D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D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9D3" w14:textId="77777777" w:rsidR="005F762A" w:rsidRDefault="005F762A">
            <w:pPr>
              <w:rPr>
                <w:rFonts w:ascii="宋体"/>
              </w:rPr>
            </w:pPr>
          </w:p>
        </w:tc>
      </w:tr>
      <w:tr w:rsidR="005F762A" w14:paraId="7268F9E5" w14:textId="77777777">
        <w:tc>
          <w:tcPr>
            <w:tcW w:w="0" w:type="auto"/>
            <w:gridSpan w:val="3"/>
            <w:shd w:val="clear" w:color="auto" w:fill="E2E2E2"/>
            <w:tcMar>
              <w:top w:w="40" w:type="dxa"/>
              <w:left w:w="20" w:type="dxa"/>
              <w:bottom w:w="40" w:type="dxa"/>
              <w:right w:w="20" w:type="dxa"/>
            </w:tcMar>
            <w:vAlign w:val="bottom"/>
          </w:tcPr>
          <w:p w14:paraId="7268F9D5" w14:textId="77777777" w:rsidR="005F762A" w:rsidRDefault="00D74111">
            <w:pPr>
              <w:textAlignment w:val="bottom"/>
            </w:pPr>
            <w:r>
              <w:rPr>
                <w:rFonts w:ascii="Arial" w:eastAsia="宋体" w:hAnsi="Arial" w:cs="Arial"/>
                <w:color w:val="000000"/>
                <w:sz w:val="16"/>
                <w:szCs w:val="16"/>
              </w:rPr>
              <w:t>Supplemental data:</w:t>
            </w:r>
          </w:p>
        </w:tc>
        <w:tc>
          <w:tcPr>
            <w:tcW w:w="0" w:type="auto"/>
            <w:shd w:val="clear" w:color="auto" w:fill="auto"/>
          </w:tcPr>
          <w:p w14:paraId="7268F9D6" w14:textId="77777777" w:rsidR="005F762A" w:rsidRDefault="005F762A">
            <w:pPr>
              <w:rPr>
                <w:rFonts w:ascii="宋体"/>
                <w:vanish/>
              </w:rPr>
            </w:pPr>
          </w:p>
        </w:tc>
        <w:tc>
          <w:tcPr>
            <w:tcW w:w="0" w:type="auto"/>
            <w:shd w:val="clear" w:color="auto" w:fill="auto"/>
          </w:tcPr>
          <w:p w14:paraId="7268F9D7" w14:textId="77777777" w:rsidR="005F762A" w:rsidRDefault="005F762A">
            <w:pPr>
              <w:rPr>
                <w:rFonts w:ascii="宋体"/>
                <w:vanish/>
              </w:rPr>
            </w:pPr>
          </w:p>
        </w:tc>
        <w:tc>
          <w:tcPr>
            <w:tcW w:w="0" w:type="auto"/>
            <w:shd w:val="clear" w:color="auto" w:fill="auto"/>
          </w:tcPr>
          <w:p w14:paraId="7268F9D8" w14:textId="77777777" w:rsidR="005F762A" w:rsidRDefault="005F762A">
            <w:pPr>
              <w:rPr>
                <w:rFonts w:ascii="宋体"/>
                <w:vanish/>
              </w:rPr>
            </w:pPr>
          </w:p>
        </w:tc>
        <w:tc>
          <w:tcPr>
            <w:tcW w:w="0" w:type="auto"/>
            <w:shd w:val="clear" w:color="auto" w:fill="auto"/>
          </w:tcPr>
          <w:p w14:paraId="7268F9D9" w14:textId="77777777" w:rsidR="005F762A" w:rsidRDefault="005F762A">
            <w:pPr>
              <w:rPr>
                <w:rFonts w:ascii="宋体"/>
                <w:vanish/>
              </w:rPr>
            </w:pPr>
          </w:p>
        </w:tc>
        <w:tc>
          <w:tcPr>
            <w:tcW w:w="0" w:type="auto"/>
            <w:shd w:val="clear" w:color="auto" w:fill="auto"/>
          </w:tcPr>
          <w:p w14:paraId="7268F9DA" w14:textId="77777777" w:rsidR="005F762A" w:rsidRDefault="005F762A">
            <w:pPr>
              <w:rPr>
                <w:rFonts w:ascii="宋体"/>
                <w:vanish/>
              </w:rPr>
            </w:pPr>
          </w:p>
        </w:tc>
        <w:tc>
          <w:tcPr>
            <w:tcW w:w="0" w:type="auto"/>
            <w:shd w:val="clear" w:color="auto" w:fill="auto"/>
          </w:tcPr>
          <w:p w14:paraId="7268F9DB" w14:textId="77777777" w:rsidR="005F762A" w:rsidRDefault="005F762A">
            <w:pPr>
              <w:rPr>
                <w:rFonts w:ascii="宋体"/>
                <w:vanish/>
              </w:rPr>
            </w:pPr>
          </w:p>
        </w:tc>
        <w:tc>
          <w:tcPr>
            <w:tcW w:w="0" w:type="auto"/>
            <w:shd w:val="clear" w:color="auto" w:fill="auto"/>
          </w:tcPr>
          <w:p w14:paraId="7268F9DC"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9D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D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DF"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E0"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E1"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E2"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E3"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9E4" w14:textId="77777777" w:rsidR="005F762A" w:rsidRDefault="005F762A">
            <w:pPr>
              <w:rPr>
                <w:rFonts w:ascii="宋体"/>
              </w:rPr>
            </w:pPr>
          </w:p>
        </w:tc>
      </w:tr>
      <w:tr w:rsidR="005F762A" w14:paraId="7268F9FC" w14:textId="77777777">
        <w:tc>
          <w:tcPr>
            <w:tcW w:w="0" w:type="auto"/>
            <w:gridSpan w:val="3"/>
            <w:shd w:val="clear" w:color="auto" w:fill="FFFFFF"/>
            <w:tcMar>
              <w:top w:w="40" w:type="dxa"/>
              <w:left w:w="155" w:type="dxa"/>
              <w:bottom w:w="40" w:type="dxa"/>
              <w:right w:w="20" w:type="dxa"/>
            </w:tcMar>
            <w:vAlign w:val="bottom"/>
          </w:tcPr>
          <w:p w14:paraId="7268F9E6" w14:textId="77777777" w:rsidR="005F762A" w:rsidRDefault="00D74111">
            <w:pPr>
              <w:textAlignment w:val="bottom"/>
            </w:pPr>
            <w:r>
              <w:rPr>
                <w:rFonts w:ascii="Arial" w:eastAsia="宋体" w:hAnsi="Arial" w:cs="Arial"/>
                <w:color w:val="000000"/>
                <w:sz w:val="16"/>
                <w:szCs w:val="16"/>
              </w:rPr>
              <w:t>GMV</w:t>
            </w:r>
          </w:p>
        </w:tc>
        <w:tc>
          <w:tcPr>
            <w:tcW w:w="0" w:type="auto"/>
            <w:shd w:val="clear" w:color="auto" w:fill="auto"/>
          </w:tcPr>
          <w:p w14:paraId="7268F9E7" w14:textId="77777777" w:rsidR="005F762A" w:rsidRDefault="005F762A">
            <w:pPr>
              <w:rPr>
                <w:rFonts w:ascii="宋体"/>
                <w:vanish/>
              </w:rPr>
            </w:pPr>
          </w:p>
        </w:tc>
        <w:tc>
          <w:tcPr>
            <w:tcW w:w="0" w:type="auto"/>
            <w:shd w:val="clear" w:color="auto" w:fill="auto"/>
          </w:tcPr>
          <w:p w14:paraId="7268F9E8" w14:textId="77777777" w:rsidR="005F762A" w:rsidRDefault="005F762A">
            <w:pPr>
              <w:rPr>
                <w:rFonts w:ascii="宋体"/>
                <w:vanish/>
              </w:rPr>
            </w:pPr>
          </w:p>
        </w:tc>
        <w:tc>
          <w:tcPr>
            <w:tcW w:w="0" w:type="auto"/>
            <w:shd w:val="clear" w:color="auto" w:fill="auto"/>
          </w:tcPr>
          <w:p w14:paraId="7268F9E9" w14:textId="77777777" w:rsidR="005F762A" w:rsidRDefault="005F762A">
            <w:pPr>
              <w:rPr>
                <w:rFonts w:ascii="宋体"/>
                <w:vanish/>
              </w:rPr>
            </w:pPr>
          </w:p>
        </w:tc>
        <w:tc>
          <w:tcPr>
            <w:tcW w:w="0" w:type="auto"/>
            <w:shd w:val="clear" w:color="auto" w:fill="auto"/>
          </w:tcPr>
          <w:p w14:paraId="7268F9EA" w14:textId="77777777" w:rsidR="005F762A" w:rsidRDefault="005F762A">
            <w:pPr>
              <w:rPr>
                <w:rFonts w:ascii="宋体"/>
                <w:vanish/>
              </w:rPr>
            </w:pPr>
          </w:p>
        </w:tc>
        <w:tc>
          <w:tcPr>
            <w:tcW w:w="0" w:type="auto"/>
            <w:shd w:val="clear" w:color="auto" w:fill="auto"/>
          </w:tcPr>
          <w:p w14:paraId="7268F9EB" w14:textId="77777777" w:rsidR="005F762A" w:rsidRDefault="005F762A">
            <w:pPr>
              <w:rPr>
                <w:rFonts w:ascii="宋体"/>
                <w:vanish/>
              </w:rPr>
            </w:pPr>
          </w:p>
        </w:tc>
        <w:tc>
          <w:tcPr>
            <w:tcW w:w="0" w:type="auto"/>
            <w:shd w:val="clear" w:color="auto" w:fill="auto"/>
          </w:tcPr>
          <w:p w14:paraId="7268F9EC" w14:textId="77777777" w:rsidR="005F762A" w:rsidRDefault="005F762A">
            <w:pPr>
              <w:rPr>
                <w:rFonts w:ascii="宋体"/>
                <w:vanish/>
              </w:rPr>
            </w:pPr>
          </w:p>
        </w:tc>
        <w:tc>
          <w:tcPr>
            <w:tcW w:w="0" w:type="auto"/>
            <w:shd w:val="clear" w:color="auto" w:fill="auto"/>
          </w:tcPr>
          <w:p w14:paraId="7268F9ED"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9EE"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9EF"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9F0" w14:textId="77777777" w:rsidR="005F762A" w:rsidRDefault="00D74111">
            <w:pPr>
              <w:jc w:val="right"/>
              <w:textAlignment w:val="bottom"/>
            </w:pPr>
            <w:r>
              <w:rPr>
                <w:rFonts w:ascii="Arial" w:eastAsia="宋体" w:hAnsi="Arial" w:cs="Arial"/>
                <w:color w:val="000000"/>
                <w:sz w:val="16"/>
                <w:szCs w:val="16"/>
              </w:rPr>
              <w:t>27,460 </w:t>
            </w:r>
          </w:p>
        </w:tc>
        <w:tc>
          <w:tcPr>
            <w:tcW w:w="0" w:type="auto"/>
            <w:shd w:val="clear" w:color="auto" w:fill="FFFFFF"/>
            <w:tcMar>
              <w:top w:w="40" w:type="dxa"/>
              <w:left w:w="0" w:type="dxa"/>
              <w:bottom w:w="40" w:type="dxa"/>
              <w:right w:w="20" w:type="dxa"/>
            </w:tcMar>
            <w:vAlign w:val="bottom"/>
          </w:tcPr>
          <w:p w14:paraId="7268F9F1"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9F2"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9F3" w14:textId="77777777" w:rsidR="005F762A" w:rsidRDefault="00D74111">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7268F9F4" w14:textId="77777777" w:rsidR="005F762A" w:rsidRDefault="00D74111">
            <w:pPr>
              <w:jc w:val="right"/>
              <w:textAlignment w:val="bottom"/>
            </w:pPr>
            <w:r>
              <w:rPr>
                <w:rFonts w:ascii="Arial" w:eastAsia="宋体" w:hAnsi="Arial" w:cs="Arial"/>
                <w:color w:val="000000"/>
                <w:sz w:val="16"/>
                <w:szCs w:val="16"/>
              </w:rPr>
              <w:t>21,259 </w:t>
            </w:r>
          </w:p>
        </w:tc>
        <w:tc>
          <w:tcPr>
            <w:tcW w:w="0" w:type="auto"/>
            <w:shd w:val="clear" w:color="auto" w:fill="FFFFFF"/>
            <w:tcMar>
              <w:top w:w="40" w:type="dxa"/>
              <w:left w:w="0" w:type="dxa"/>
              <w:bottom w:w="40" w:type="dxa"/>
              <w:right w:w="20" w:type="dxa"/>
            </w:tcMar>
            <w:vAlign w:val="bottom"/>
          </w:tcPr>
          <w:p w14:paraId="7268F9F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9F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9F7" w14:textId="77777777" w:rsidR="005F762A" w:rsidRDefault="00D74111">
            <w:pPr>
              <w:jc w:val="right"/>
              <w:textAlignment w:val="bottom"/>
            </w:pPr>
            <w:r>
              <w:rPr>
                <w:rFonts w:ascii="Arial" w:eastAsia="宋体" w:hAnsi="Arial" w:cs="Arial"/>
                <w:color w:val="000000"/>
                <w:sz w:val="16"/>
                <w:szCs w:val="16"/>
              </w:rPr>
              <w:t>29 </w:t>
            </w:r>
          </w:p>
        </w:tc>
        <w:tc>
          <w:tcPr>
            <w:tcW w:w="0" w:type="auto"/>
            <w:shd w:val="clear" w:color="auto" w:fill="FFFFFF"/>
            <w:tcMar>
              <w:top w:w="40" w:type="dxa"/>
              <w:left w:w="0" w:type="dxa"/>
              <w:bottom w:w="40" w:type="dxa"/>
              <w:right w:w="20" w:type="dxa"/>
            </w:tcMar>
            <w:vAlign w:val="bottom"/>
          </w:tcPr>
          <w:p w14:paraId="7268F9F8"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9F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9FA" w14:textId="77777777" w:rsidR="005F762A" w:rsidRDefault="00D74111">
            <w:pPr>
              <w:jc w:val="right"/>
              <w:textAlignment w:val="bottom"/>
            </w:pPr>
            <w:r>
              <w:rPr>
                <w:rFonts w:ascii="Arial" w:eastAsia="宋体" w:hAnsi="Arial" w:cs="Arial"/>
                <w:color w:val="000000"/>
                <w:sz w:val="16"/>
                <w:szCs w:val="16"/>
              </w:rPr>
              <w:t>24 </w:t>
            </w:r>
          </w:p>
        </w:tc>
        <w:tc>
          <w:tcPr>
            <w:tcW w:w="0" w:type="auto"/>
            <w:shd w:val="clear" w:color="auto" w:fill="FFFFFF"/>
            <w:tcMar>
              <w:top w:w="40" w:type="dxa"/>
              <w:left w:w="0" w:type="dxa"/>
              <w:bottom w:w="40" w:type="dxa"/>
              <w:right w:w="20" w:type="dxa"/>
            </w:tcMar>
            <w:vAlign w:val="bottom"/>
          </w:tcPr>
          <w:p w14:paraId="7268F9FB" w14:textId="77777777" w:rsidR="005F762A" w:rsidRDefault="00D74111">
            <w:pPr>
              <w:jc w:val="right"/>
              <w:textAlignment w:val="bottom"/>
            </w:pPr>
            <w:r>
              <w:rPr>
                <w:rFonts w:ascii="Arial" w:eastAsia="宋体" w:hAnsi="Arial" w:cs="Arial"/>
                <w:color w:val="000000"/>
                <w:sz w:val="16"/>
                <w:szCs w:val="16"/>
              </w:rPr>
              <w:t>%</w:t>
            </w:r>
          </w:p>
        </w:tc>
      </w:tr>
      <w:tr w:rsidR="005F762A" w14:paraId="7268FA10" w14:textId="77777777">
        <w:tc>
          <w:tcPr>
            <w:tcW w:w="0" w:type="auto"/>
            <w:gridSpan w:val="3"/>
            <w:shd w:val="clear" w:color="auto" w:fill="E2E2E2"/>
            <w:tcMar>
              <w:top w:w="40" w:type="dxa"/>
              <w:left w:w="155" w:type="dxa"/>
              <w:bottom w:w="40" w:type="dxa"/>
              <w:right w:w="20" w:type="dxa"/>
            </w:tcMar>
            <w:vAlign w:val="bottom"/>
          </w:tcPr>
          <w:p w14:paraId="7268F9FD" w14:textId="77777777" w:rsidR="005F762A" w:rsidRDefault="00D74111">
            <w:pPr>
              <w:textAlignment w:val="bottom"/>
            </w:pPr>
            <w:r>
              <w:rPr>
                <w:rFonts w:ascii="Arial" w:eastAsia="宋体" w:hAnsi="Arial" w:cs="Arial"/>
                <w:color w:val="000000"/>
                <w:sz w:val="16"/>
                <w:szCs w:val="16"/>
              </w:rPr>
              <w:t>Take rate</w:t>
            </w:r>
          </w:p>
        </w:tc>
        <w:tc>
          <w:tcPr>
            <w:tcW w:w="0" w:type="auto"/>
            <w:shd w:val="clear" w:color="auto" w:fill="auto"/>
          </w:tcPr>
          <w:p w14:paraId="7268F9FE" w14:textId="77777777" w:rsidR="005F762A" w:rsidRDefault="005F762A">
            <w:pPr>
              <w:rPr>
                <w:rFonts w:ascii="宋体"/>
                <w:vanish/>
              </w:rPr>
            </w:pPr>
          </w:p>
        </w:tc>
        <w:tc>
          <w:tcPr>
            <w:tcW w:w="0" w:type="auto"/>
            <w:shd w:val="clear" w:color="auto" w:fill="auto"/>
          </w:tcPr>
          <w:p w14:paraId="7268F9FF" w14:textId="77777777" w:rsidR="005F762A" w:rsidRDefault="005F762A">
            <w:pPr>
              <w:rPr>
                <w:rFonts w:ascii="宋体"/>
                <w:vanish/>
              </w:rPr>
            </w:pPr>
          </w:p>
        </w:tc>
        <w:tc>
          <w:tcPr>
            <w:tcW w:w="0" w:type="auto"/>
            <w:shd w:val="clear" w:color="auto" w:fill="auto"/>
          </w:tcPr>
          <w:p w14:paraId="7268FA00" w14:textId="77777777" w:rsidR="005F762A" w:rsidRDefault="005F762A">
            <w:pPr>
              <w:rPr>
                <w:rFonts w:ascii="宋体"/>
                <w:vanish/>
              </w:rPr>
            </w:pPr>
          </w:p>
        </w:tc>
        <w:tc>
          <w:tcPr>
            <w:tcW w:w="0" w:type="auto"/>
            <w:shd w:val="clear" w:color="auto" w:fill="auto"/>
          </w:tcPr>
          <w:p w14:paraId="7268FA01" w14:textId="77777777" w:rsidR="005F762A" w:rsidRDefault="005F762A">
            <w:pPr>
              <w:rPr>
                <w:rFonts w:ascii="宋体"/>
                <w:vanish/>
              </w:rPr>
            </w:pPr>
          </w:p>
        </w:tc>
        <w:tc>
          <w:tcPr>
            <w:tcW w:w="0" w:type="auto"/>
            <w:shd w:val="clear" w:color="auto" w:fill="auto"/>
          </w:tcPr>
          <w:p w14:paraId="7268FA02" w14:textId="77777777" w:rsidR="005F762A" w:rsidRDefault="005F762A">
            <w:pPr>
              <w:rPr>
                <w:rFonts w:ascii="宋体"/>
                <w:vanish/>
              </w:rPr>
            </w:pPr>
          </w:p>
        </w:tc>
        <w:tc>
          <w:tcPr>
            <w:tcW w:w="0" w:type="auto"/>
            <w:shd w:val="clear" w:color="auto" w:fill="auto"/>
          </w:tcPr>
          <w:p w14:paraId="7268FA03" w14:textId="77777777" w:rsidR="005F762A" w:rsidRDefault="005F762A">
            <w:pPr>
              <w:rPr>
                <w:rFonts w:ascii="宋体"/>
                <w:vanish/>
              </w:rPr>
            </w:pPr>
          </w:p>
        </w:tc>
        <w:tc>
          <w:tcPr>
            <w:tcW w:w="0" w:type="auto"/>
            <w:shd w:val="clear" w:color="auto" w:fill="auto"/>
          </w:tcPr>
          <w:p w14:paraId="7268FA04"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A0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A06" w14:textId="77777777" w:rsidR="005F762A" w:rsidRDefault="00D74111">
            <w:pPr>
              <w:jc w:val="right"/>
              <w:textAlignment w:val="bottom"/>
            </w:pPr>
            <w:r>
              <w:rPr>
                <w:rFonts w:ascii="Arial" w:eastAsia="宋体" w:hAnsi="Arial" w:cs="Arial"/>
                <w:color w:val="000000"/>
                <w:sz w:val="16"/>
                <w:szCs w:val="16"/>
              </w:rPr>
              <w:t>9.95 </w:t>
            </w:r>
          </w:p>
        </w:tc>
        <w:tc>
          <w:tcPr>
            <w:tcW w:w="0" w:type="auto"/>
            <w:shd w:val="clear" w:color="auto" w:fill="E2E2E2"/>
            <w:tcMar>
              <w:top w:w="40" w:type="dxa"/>
              <w:left w:w="0" w:type="dxa"/>
              <w:bottom w:w="40" w:type="dxa"/>
              <w:right w:w="20" w:type="dxa"/>
            </w:tcMar>
            <w:vAlign w:val="bottom"/>
          </w:tcPr>
          <w:p w14:paraId="7268FA07"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A0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A09" w14:textId="77777777" w:rsidR="005F762A" w:rsidRDefault="00D74111">
            <w:pPr>
              <w:jc w:val="right"/>
              <w:textAlignment w:val="bottom"/>
            </w:pPr>
            <w:r>
              <w:rPr>
                <w:rFonts w:ascii="Arial" w:eastAsia="宋体" w:hAnsi="Arial" w:cs="Arial"/>
                <w:color w:val="000000"/>
                <w:sz w:val="16"/>
                <w:szCs w:val="16"/>
              </w:rPr>
              <w:t>8.93 </w:t>
            </w:r>
          </w:p>
        </w:tc>
        <w:tc>
          <w:tcPr>
            <w:tcW w:w="0" w:type="auto"/>
            <w:shd w:val="clear" w:color="auto" w:fill="E2E2E2"/>
            <w:tcMar>
              <w:top w:w="40" w:type="dxa"/>
              <w:left w:w="0" w:type="dxa"/>
              <w:bottom w:w="40" w:type="dxa"/>
              <w:right w:w="20" w:type="dxa"/>
            </w:tcMar>
            <w:vAlign w:val="bottom"/>
          </w:tcPr>
          <w:p w14:paraId="7268FA0A"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A0B"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A0C" w14:textId="77777777" w:rsidR="005F762A" w:rsidRDefault="00D74111">
            <w:pPr>
              <w:jc w:val="right"/>
              <w:textAlignment w:val="bottom"/>
            </w:pPr>
            <w:r>
              <w:rPr>
                <w:rFonts w:ascii="Arial" w:eastAsia="宋体" w:hAnsi="Arial" w:cs="Arial"/>
                <w:color w:val="000000"/>
                <w:sz w:val="16"/>
                <w:szCs w:val="16"/>
              </w:rPr>
              <w:t>1.02 </w:t>
            </w:r>
          </w:p>
        </w:tc>
        <w:tc>
          <w:tcPr>
            <w:tcW w:w="0" w:type="auto"/>
            <w:shd w:val="clear" w:color="auto" w:fill="E2E2E2"/>
            <w:tcMar>
              <w:top w:w="40" w:type="dxa"/>
              <w:left w:w="0" w:type="dxa"/>
              <w:bottom w:w="40" w:type="dxa"/>
              <w:right w:w="20" w:type="dxa"/>
            </w:tcMar>
            <w:vAlign w:val="bottom"/>
          </w:tcPr>
          <w:p w14:paraId="7268FA0D"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A0E"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A0F" w14:textId="77777777" w:rsidR="005F762A" w:rsidRDefault="005F762A">
            <w:pPr>
              <w:rPr>
                <w:rFonts w:ascii="宋体"/>
              </w:rPr>
            </w:pPr>
          </w:p>
        </w:tc>
      </w:tr>
    </w:tbl>
    <w:p w14:paraId="7268FA11" w14:textId="77777777" w:rsidR="005F762A" w:rsidRDefault="00D74111">
      <w:pPr>
        <w:spacing w:before="60"/>
        <w:ind w:hanging="360"/>
        <w:jc w:val="both"/>
      </w:pPr>
      <w:r>
        <w:rPr>
          <w:rFonts w:ascii="Arial" w:eastAsia="宋体" w:hAnsi="Arial" w:cs="Arial"/>
          <w:color w:val="000000"/>
          <w:sz w:val="16"/>
          <w:szCs w:val="16"/>
        </w:rPr>
        <w:t xml:space="preserve">(1)Net transaction revenues were net of $28 million hedging activity during the three months ended March 31, 2021 and immaterial hedging activity during the three months ended March 31, 2020, </w:t>
      </w:r>
      <w:r>
        <w:rPr>
          <w:rFonts w:ascii="Arial" w:eastAsia="宋体" w:hAnsi="Arial" w:cs="Arial"/>
          <w:color w:val="000000"/>
          <w:sz w:val="16"/>
          <w:szCs w:val="16"/>
        </w:rPr>
        <w:t xml:space="preserve">respectively. </w:t>
      </w:r>
    </w:p>
    <w:p w14:paraId="7268FA12" w14:textId="77777777" w:rsidR="005F762A" w:rsidRDefault="005F762A">
      <w:pPr>
        <w:spacing w:before="60"/>
        <w:jc w:val="both"/>
      </w:pPr>
    </w:p>
    <w:p w14:paraId="7268FA13" w14:textId="77777777" w:rsidR="005F762A" w:rsidRDefault="00D74111">
      <w:pPr>
        <w:ind w:firstLine="540"/>
        <w:jc w:val="both"/>
      </w:pPr>
      <w:r>
        <w:rPr>
          <w:rFonts w:ascii="Arial" w:eastAsia="宋体" w:hAnsi="Arial" w:cs="Arial"/>
          <w:color w:val="000000"/>
          <w:sz w:val="20"/>
          <w:szCs w:val="20"/>
        </w:rPr>
        <w:t xml:space="preserve">Net transaction revenues increased during the three months ended March 31, 2021 compared to the same period in 2020 primarily due to an increase in GMV and take rate. GMV growth was due to improved traffic and buyer acquisition due to </w:t>
      </w:r>
      <w:r>
        <w:rPr>
          <w:rFonts w:ascii="Arial" w:eastAsia="宋体" w:hAnsi="Arial" w:cs="Arial"/>
          <w:color w:val="000000"/>
          <w:sz w:val="20"/>
          <w:szCs w:val="20"/>
        </w:rPr>
        <w:t>global restrictions implemented to contain the spread of COVID-19 which resulted in consumers engaging in more online shopping during the pandemic.</w:t>
      </w:r>
    </w:p>
    <w:p w14:paraId="7268FA14" w14:textId="77777777" w:rsidR="005F762A" w:rsidRDefault="005F762A">
      <w:pPr>
        <w:jc w:val="center"/>
      </w:pPr>
    </w:p>
    <w:p w14:paraId="7268FA15" w14:textId="77777777" w:rsidR="005F762A" w:rsidRDefault="00D74111">
      <w:pPr>
        <w:jc w:val="center"/>
      </w:pPr>
      <w:r>
        <w:rPr>
          <w:rFonts w:ascii="Arial" w:eastAsia="宋体" w:hAnsi="Arial" w:cs="Arial"/>
          <w:color w:val="000000"/>
          <w:sz w:val="20"/>
          <w:szCs w:val="20"/>
        </w:rPr>
        <w:t>33</w:t>
      </w:r>
    </w:p>
    <w:p w14:paraId="7268FA16" w14:textId="77777777" w:rsidR="005F762A" w:rsidRDefault="00D74111">
      <w:r>
        <w:pict w14:anchorId="72690160">
          <v:rect id="_x0000_i1057" style="width:415.3pt;height:1.5pt" o:hralign="center" o:hrstd="t" o:hr="t" fillcolor="#a0a0a0" stroked="f"/>
        </w:pict>
      </w:r>
    </w:p>
    <w:p w14:paraId="7268FA17" w14:textId="77777777" w:rsidR="005F762A" w:rsidRDefault="005F762A"/>
    <w:p w14:paraId="7268FA18" w14:textId="77777777" w:rsidR="005F762A" w:rsidRDefault="005F762A">
      <w:pPr>
        <w:ind w:firstLine="540"/>
        <w:jc w:val="both"/>
      </w:pPr>
    </w:p>
    <w:p w14:paraId="7268FA19" w14:textId="77777777" w:rsidR="005F762A" w:rsidRDefault="00D74111">
      <w:pPr>
        <w:ind w:firstLine="540"/>
        <w:jc w:val="both"/>
      </w:pPr>
      <w:r>
        <w:rPr>
          <w:rFonts w:ascii="Arial" w:eastAsia="宋体" w:hAnsi="Arial" w:cs="Arial"/>
          <w:color w:val="000000"/>
          <w:sz w:val="20"/>
          <w:szCs w:val="20"/>
        </w:rPr>
        <w:t>Transaction take rate was higher during the three months ended March 31, 2021 compared to the same period in 2020, due to the expansion of managed payments and promoted listings, which along with final value fees are calculated as a percentage of an item’s</w:t>
      </w:r>
      <w:r>
        <w:rPr>
          <w:rFonts w:ascii="Arial" w:eastAsia="宋体" w:hAnsi="Arial" w:cs="Arial"/>
          <w:color w:val="000000"/>
          <w:sz w:val="20"/>
          <w:szCs w:val="20"/>
        </w:rPr>
        <w:t xml:space="preserve"> sale price and category mix. The increase in take rate was partially offset by category mix and hedging activities. </w:t>
      </w:r>
    </w:p>
    <w:p w14:paraId="7268FA1A" w14:textId="77777777" w:rsidR="005F762A" w:rsidRDefault="005F762A"/>
    <w:p w14:paraId="7268FA1B" w14:textId="77777777" w:rsidR="005F762A" w:rsidRDefault="00D74111">
      <w:pPr>
        <w:ind w:firstLine="270"/>
        <w:jc w:val="both"/>
      </w:pPr>
      <w:r>
        <w:rPr>
          <w:rFonts w:ascii="Arial" w:eastAsia="宋体" w:hAnsi="Arial" w:cs="Arial"/>
          <w:b/>
          <w:bCs/>
          <w:i/>
          <w:iCs/>
          <w:color w:val="000000"/>
          <w:sz w:val="20"/>
          <w:szCs w:val="20"/>
        </w:rPr>
        <w:t>Marketing Services and Other Revenues</w:t>
      </w:r>
    </w:p>
    <w:p w14:paraId="7268FA1C" w14:textId="77777777" w:rsidR="005F762A" w:rsidRDefault="005F762A">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7"/>
        <w:gridCol w:w="4336"/>
        <w:gridCol w:w="36"/>
        <w:gridCol w:w="36"/>
        <w:gridCol w:w="36"/>
        <w:gridCol w:w="36"/>
        <w:gridCol w:w="46"/>
        <w:gridCol w:w="180"/>
        <w:gridCol w:w="179"/>
        <w:gridCol w:w="179"/>
        <w:gridCol w:w="36"/>
        <w:gridCol w:w="36"/>
        <w:gridCol w:w="36"/>
        <w:gridCol w:w="109"/>
        <w:gridCol w:w="399"/>
        <w:gridCol w:w="36"/>
        <w:gridCol w:w="36"/>
        <w:gridCol w:w="36"/>
        <w:gridCol w:w="36"/>
        <w:gridCol w:w="109"/>
        <w:gridCol w:w="400"/>
        <w:gridCol w:w="36"/>
        <w:gridCol w:w="36"/>
        <w:gridCol w:w="36"/>
        <w:gridCol w:w="36"/>
        <w:gridCol w:w="72"/>
        <w:gridCol w:w="576"/>
        <w:gridCol w:w="163"/>
        <w:gridCol w:w="36"/>
        <w:gridCol w:w="36"/>
        <w:gridCol w:w="36"/>
        <w:gridCol w:w="82"/>
        <w:gridCol w:w="658"/>
        <w:gridCol w:w="163"/>
      </w:tblGrid>
      <w:tr w:rsidR="005F762A" w14:paraId="7268FA3F" w14:textId="77777777">
        <w:tc>
          <w:tcPr>
            <w:tcW w:w="50" w:type="pct"/>
            <w:shd w:val="clear" w:color="auto" w:fill="auto"/>
          </w:tcPr>
          <w:p w14:paraId="7268FA1D" w14:textId="77777777" w:rsidR="005F762A" w:rsidRDefault="005F762A">
            <w:pPr>
              <w:rPr>
                <w:rFonts w:ascii="宋体"/>
              </w:rPr>
            </w:pPr>
          </w:p>
        </w:tc>
        <w:tc>
          <w:tcPr>
            <w:tcW w:w="2956" w:type="pct"/>
            <w:shd w:val="clear" w:color="auto" w:fill="auto"/>
          </w:tcPr>
          <w:p w14:paraId="7268FA1E" w14:textId="77777777" w:rsidR="005F762A" w:rsidRDefault="005F762A">
            <w:pPr>
              <w:rPr>
                <w:rFonts w:ascii="宋体"/>
              </w:rPr>
            </w:pPr>
          </w:p>
        </w:tc>
        <w:tc>
          <w:tcPr>
            <w:tcW w:w="5" w:type="pct"/>
            <w:shd w:val="clear" w:color="auto" w:fill="auto"/>
          </w:tcPr>
          <w:p w14:paraId="7268FA1F" w14:textId="77777777" w:rsidR="005F762A" w:rsidRDefault="005F762A">
            <w:pPr>
              <w:rPr>
                <w:rFonts w:ascii="宋体"/>
              </w:rPr>
            </w:pPr>
          </w:p>
        </w:tc>
        <w:tc>
          <w:tcPr>
            <w:tcW w:w="0" w:type="auto"/>
            <w:shd w:val="clear" w:color="auto" w:fill="auto"/>
          </w:tcPr>
          <w:p w14:paraId="7268FA20" w14:textId="77777777" w:rsidR="005F762A" w:rsidRDefault="005F762A">
            <w:pPr>
              <w:rPr>
                <w:rFonts w:ascii="宋体"/>
                <w:vanish/>
              </w:rPr>
            </w:pPr>
          </w:p>
        </w:tc>
        <w:tc>
          <w:tcPr>
            <w:tcW w:w="0" w:type="auto"/>
            <w:shd w:val="clear" w:color="auto" w:fill="auto"/>
          </w:tcPr>
          <w:p w14:paraId="7268FA21" w14:textId="77777777" w:rsidR="005F762A" w:rsidRDefault="005F762A">
            <w:pPr>
              <w:rPr>
                <w:rFonts w:ascii="宋体"/>
                <w:vanish/>
              </w:rPr>
            </w:pPr>
          </w:p>
        </w:tc>
        <w:tc>
          <w:tcPr>
            <w:tcW w:w="0" w:type="auto"/>
            <w:shd w:val="clear" w:color="auto" w:fill="auto"/>
          </w:tcPr>
          <w:p w14:paraId="7268FA22" w14:textId="77777777" w:rsidR="005F762A" w:rsidRDefault="005F762A">
            <w:pPr>
              <w:rPr>
                <w:rFonts w:ascii="宋体"/>
                <w:vanish/>
              </w:rPr>
            </w:pPr>
          </w:p>
        </w:tc>
        <w:tc>
          <w:tcPr>
            <w:tcW w:w="0" w:type="auto"/>
            <w:shd w:val="clear" w:color="auto" w:fill="auto"/>
          </w:tcPr>
          <w:p w14:paraId="7268FA23" w14:textId="77777777" w:rsidR="005F762A" w:rsidRDefault="005F762A">
            <w:pPr>
              <w:rPr>
                <w:rFonts w:ascii="宋体"/>
                <w:vanish/>
              </w:rPr>
            </w:pPr>
          </w:p>
        </w:tc>
        <w:tc>
          <w:tcPr>
            <w:tcW w:w="0" w:type="auto"/>
            <w:shd w:val="clear" w:color="auto" w:fill="auto"/>
          </w:tcPr>
          <w:p w14:paraId="7268FA24" w14:textId="77777777" w:rsidR="005F762A" w:rsidRDefault="005F762A">
            <w:pPr>
              <w:rPr>
                <w:rFonts w:ascii="宋体"/>
                <w:vanish/>
              </w:rPr>
            </w:pPr>
          </w:p>
        </w:tc>
        <w:tc>
          <w:tcPr>
            <w:tcW w:w="0" w:type="auto"/>
            <w:shd w:val="clear" w:color="auto" w:fill="auto"/>
          </w:tcPr>
          <w:p w14:paraId="7268FA25" w14:textId="77777777" w:rsidR="005F762A" w:rsidRDefault="005F762A">
            <w:pPr>
              <w:rPr>
                <w:rFonts w:ascii="宋体"/>
                <w:vanish/>
              </w:rPr>
            </w:pPr>
          </w:p>
        </w:tc>
        <w:tc>
          <w:tcPr>
            <w:tcW w:w="0" w:type="auto"/>
            <w:shd w:val="clear" w:color="auto" w:fill="auto"/>
          </w:tcPr>
          <w:p w14:paraId="7268FA26" w14:textId="77777777" w:rsidR="005F762A" w:rsidRDefault="005F762A">
            <w:pPr>
              <w:rPr>
                <w:rFonts w:ascii="宋体"/>
                <w:vanish/>
              </w:rPr>
            </w:pPr>
          </w:p>
        </w:tc>
        <w:tc>
          <w:tcPr>
            <w:tcW w:w="5" w:type="pct"/>
            <w:shd w:val="clear" w:color="auto" w:fill="auto"/>
          </w:tcPr>
          <w:p w14:paraId="7268FA27" w14:textId="77777777" w:rsidR="005F762A" w:rsidRDefault="005F762A">
            <w:pPr>
              <w:rPr>
                <w:rFonts w:ascii="宋体"/>
              </w:rPr>
            </w:pPr>
          </w:p>
        </w:tc>
        <w:tc>
          <w:tcPr>
            <w:tcW w:w="26" w:type="pct"/>
            <w:shd w:val="clear" w:color="auto" w:fill="auto"/>
          </w:tcPr>
          <w:p w14:paraId="7268FA28" w14:textId="77777777" w:rsidR="005F762A" w:rsidRDefault="005F762A">
            <w:pPr>
              <w:rPr>
                <w:rFonts w:ascii="宋体"/>
              </w:rPr>
            </w:pPr>
          </w:p>
        </w:tc>
        <w:tc>
          <w:tcPr>
            <w:tcW w:w="5" w:type="pct"/>
            <w:shd w:val="clear" w:color="auto" w:fill="auto"/>
          </w:tcPr>
          <w:p w14:paraId="7268FA29" w14:textId="77777777" w:rsidR="005F762A" w:rsidRDefault="005F762A">
            <w:pPr>
              <w:rPr>
                <w:rFonts w:ascii="宋体"/>
              </w:rPr>
            </w:pPr>
          </w:p>
        </w:tc>
        <w:tc>
          <w:tcPr>
            <w:tcW w:w="50" w:type="pct"/>
            <w:shd w:val="clear" w:color="auto" w:fill="auto"/>
          </w:tcPr>
          <w:p w14:paraId="7268FA2A" w14:textId="77777777" w:rsidR="005F762A" w:rsidRDefault="005F762A">
            <w:pPr>
              <w:rPr>
                <w:rFonts w:ascii="宋体"/>
              </w:rPr>
            </w:pPr>
          </w:p>
        </w:tc>
        <w:tc>
          <w:tcPr>
            <w:tcW w:w="405" w:type="pct"/>
            <w:shd w:val="clear" w:color="auto" w:fill="auto"/>
          </w:tcPr>
          <w:p w14:paraId="7268FA2B" w14:textId="77777777" w:rsidR="005F762A" w:rsidRDefault="005F762A">
            <w:pPr>
              <w:rPr>
                <w:rFonts w:ascii="宋体"/>
              </w:rPr>
            </w:pPr>
          </w:p>
        </w:tc>
        <w:tc>
          <w:tcPr>
            <w:tcW w:w="5" w:type="pct"/>
            <w:shd w:val="clear" w:color="auto" w:fill="auto"/>
          </w:tcPr>
          <w:p w14:paraId="7268FA2C" w14:textId="77777777" w:rsidR="005F762A" w:rsidRDefault="005F762A">
            <w:pPr>
              <w:rPr>
                <w:rFonts w:ascii="宋体"/>
              </w:rPr>
            </w:pPr>
          </w:p>
        </w:tc>
        <w:tc>
          <w:tcPr>
            <w:tcW w:w="5" w:type="pct"/>
            <w:shd w:val="clear" w:color="auto" w:fill="auto"/>
          </w:tcPr>
          <w:p w14:paraId="7268FA2D" w14:textId="77777777" w:rsidR="005F762A" w:rsidRDefault="005F762A">
            <w:pPr>
              <w:rPr>
                <w:rFonts w:ascii="宋体"/>
              </w:rPr>
            </w:pPr>
          </w:p>
        </w:tc>
        <w:tc>
          <w:tcPr>
            <w:tcW w:w="26" w:type="pct"/>
            <w:shd w:val="clear" w:color="auto" w:fill="auto"/>
          </w:tcPr>
          <w:p w14:paraId="7268FA2E" w14:textId="77777777" w:rsidR="005F762A" w:rsidRDefault="005F762A">
            <w:pPr>
              <w:rPr>
                <w:rFonts w:ascii="宋体"/>
              </w:rPr>
            </w:pPr>
          </w:p>
        </w:tc>
        <w:tc>
          <w:tcPr>
            <w:tcW w:w="5" w:type="pct"/>
            <w:shd w:val="clear" w:color="auto" w:fill="auto"/>
          </w:tcPr>
          <w:p w14:paraId="7268FA2F" w14:textId="77777777" w:rsidR="005F762A" w:rsidRDefault="005F762A">
            <w:pPr>
              <w:rPr>
                <w:rFonts w:ascii="宋体"/>
              </w:rPr>
            </w:pPr>
          </w:p>
        </w:tc>
        <w:tc>
          <w:tcPr>
            <w:tcW w:w="50" w:type="pct"/>
            <w:shd w:val="clear" w:color="auto" w:fill="auto"/>
          </w:tcPr>
          <w:p w14:paraId="7268FA30" w14:textId="77777777" w:rsidR="005F762A" w:rsidRDefault="005F762A">
            <w:pPr>
              <w:rPr>
                <w:rFonts w:ascii="宋体"/>
              </w:rPr>
            </w:pPr>
          </w:p>
        </w:tc>
        <w:tc>
          <w:tcPr>
            <w:tcW w:w="405" w:type="pct"/>
            <w:shd w:val="clear" w:color="auto" w:fill="auto"/>
          </w:tcPr>
          <w:p w14:paraId="7268FA31" w14:textId="77777777" w:rsidR="005F762A" w:rsidRDefault="005F762A">
            <w:pPr>
              <w:rPr>
                <w:rFonts w:ascii="宋体"/>
              </w:rPr>
            </w:pPr>
          </w:p>
        </w:tc>
        <w:tc>
          <w:tcPr>
            <w:tcW w:w="5" w:type="pct"/>
            <w:shd w:val="clear" w:color="auto" w:fill="auto"/>
          </w:tcPr>
          <w:p w14:paraId="7268FA32" w14:textId="77777777" w:rsidR="005F762A" w:rsidRDefault="005F762A">
            <w:pPr>
              <w:rPr>
                <w:rFonts w:ascii="宋体"/>
              </w:rPr>
            </w:pPr>
          </w:p>
        </w:tc>
        <w:tc>
          <w:tcPr>
            <w:tcW w:w="5" w:type="pct"/>
            <w:shd w:val="clear" w:color="auto" w:fill="auto"/>
          </w:tcPr>
          <w:p w14:paraId="7268FA33" w14:textId="77777777" w:rsidR="005F762A" w:rsidRDefault="005F762A">
            <w:pPr>
              <w:rPr>
                <w:rFonts w:ascii="宋体"/>
              </w:rPr>
            </w:pPr>
          </w:p>
        </w:tc>
        <w:tc>
          <w:tcPr>
            <w:tcW w:w="26" w:type="pct"/>
            <w:shd w:val="clear" w:color="auto" w:fill="auto"/>
          </w:tcPr>
          <w:p w14:paraId="7268FA34" w14:textId="77777777" w:rsidR="005F762A" w:rsidRDefault="005F762A">
            <w:pPr>
              <w:rPr>
                <w:rFonts w:ascii="宋体"/>
              </w:rPr>
            </w:pPr>
          </w:p>
        </w:tc>
        <w:tc>
          <w:tcPr>
            <w:tcW w:w="5" w:type="pct"/>
            <w:shd w:val="clear" w:color="auto" w:fill="auto"/>
          </w:tcPr>
          <w:p w14:paraId="7268FA35" w14:textId="77777777" w:rsidR="005F762A" w:rsidRDefault="005F762A">
            <w:pPr>
              <w:rPr>
                <w:rFonts w:ascii="宋体"/>
              </w:rPr>
            </w:pPr>
          </w:p>
        </w:tc>
        <w:tc>
          <w:tcPr>
            <w:tcW w:w="50" w:type="pct"/>
            <w:shd w:val="clear" w:color="auto" w:fill="auto"/>
          </w:tcPr>
          <w:p w14:paraId="7268FA36" w14:textId="77777777" w:rsidR="005F762A" w:rsidRDefault="005F762A">
            <w:pPr>
              <w:rPr>
                <w:rFonts w:ascii="宋体"/>
              </w:rPr>
            </w:pPr>
          </w:p>
        </w:tc>
        <w:tc>
          <w:tcPr>
            <w:tcW w:w="405" w:type="pct"/>
            <w:shd w:val="clear" w:color="auto" w:fill="auto"/>
          </w:tcPr>
          <w:p w14:paraId="7268FA37" w14:textId="77777777" w:rsidR="005F762A" w:rsidRDefault="005F762A">
            <w:pPr>
              <w:rPr>
                <w:rFonts w:ascii="宋体"/>
              </w:rPr>
            </w:pPr>
          </w:p>
        </w:tc>
        <w:tc>
          <w:tcPr>
            <w:tcW w:w="5" w:type="pct"/>
            <w:shd w:val="clear" w:color="auto" w:fill="auto"/>
          </w:tcPr>
          <w:p w14:paraId="7268FA38" w14:textId="77777777" w:rsidR="005F762A" w:rsidRDefault="005F762A">
            <w:pPr>
              <w:rPr>
                <w:rFonts w:ascii="宋体"/>
              </w:rPr>
            </w:pPr>
          </w:p>
        </w:tc>
        <w:tc>
          <w:tcPr>
            <w:tcW w:w="5" w:type="pct"/>
            <w:shd w:val="clear" w:color="auto" w:fill="auto"/>
          </w:tcPr>
          <w:p w14:paraId="7268FA39" w14:textId="77777777" w:rsidR="005F762A" w:rsidRDefault="005F762A">
            <w:pPr>
              <w:rPr>
                <w:rFonts w:ascii="宋体"/>
              </w:rPr>
            </w:pPr>
          </w:p>
        </w:tc>
        <w:tc>
          <w:tcPr>
            <w:tcW w:w="26" w:type="pct"/>
            <w:shd w:val="clear" w:color="auto" w:fill="auto"/>
          </w:tcPr>
          <w:p w14:paraId="7268FA3A" w14:textId="77777777" w:rsidR="005F762A" w:rsidRDefault="005F762A">
            <w:pPr>
              <w:rPr>
                <w:rFonts w:ascii="宋体"/>
              </w:rPr>
            </w:pPr>
          </w:p>
        </w:tc>
        <w:tc>
          <w:tcPr>
            <w:tcW w:w="5" w:type="pct"/>
            <w:shd w:val="clear" w:color="auto" w:fill="auto"/>
          </w:tcPr>
          <w:p w14:paraId="7268FA3B" w14:textId="77777777" w:rsidR="005F762A" w:rsidRDefault="005F762A">
            <w:pPr>
              <w:rPr>
                <w:rFonts w:ascii="宋体"/>
              </w:rPr>
            </w:pPr>
          </w:p>
        </w:tc>
        <w:tc>
          <w:tcPr>
            <w:tcW w:w="50" w:type="pct"/>
            <w:shd w:val="clear" w:color="auto" w:fill="auto"/>
          </w:tcPr>
          <w:p w14:paraId="7268FA3C" w14:textId="77777777" w:rsidR="005F762A" w:rsidRDefault="005F762A">
            <w:pPr>
              <w:rPr>
                <w:rFonts w:ascii="宋体"/>
              </w:rPr>
            </w:pPr>
          </w:p>
        </w:tc>
        <w:tc>
          <w:tcPr>
            <w:tcW w:w="405" w:type="pct"/>
            <w:shd w:val="clear" w:color="auto" w:fill="auto"/>
          </w:tcPr>
          <w:p w14:paraId="7268FA3D" w14:textId="77777777" w:rsidR="005F762A" w:rsidRDefault="005F762A">
            <w:pPr>
              <w:rPr>
                <w:rFonts w:ascii="宋体"/>
              </w:rPr>
            </w:pPr>
          </w:p>
        </w:tc>
        <w:tc>
          <w:tcPr>
            <w:tcW w:w="5" w:type="pct"/>
            <w:shd w:val="clear" w:color="auto" w:fill="auto"/>
          </w:tcPr>
          <w:p w14:paraId="7268FA3E" w14:textId="77777777" w:rsidR="005F762A" w:rsidRDefault="005F762A">
            <w:pPr>
              <w:rPr>
                <w:rFonts w:ascii="宋体"/>
              </w:rPr>
            </w:pPr>
          </w:p>
        </w:tc>
      </w:tr>
      <w:tr w:rsidR="005F762A" w14:paraId="7268FA54" w14:textId="77777777">
        <w:tc>
          <w:tcPr>
            <w:tcW w:w="0" w:type="auto"/>
            <w:gridSpan w:val="3"/>
            <w:shd w:val="clear" w:color="auto" w:fill="auto"/>
            <w:tcMar>
              <w:top w:w="0" w:type="dxa"/>
              <w:left w:w="20" w:type="dxa"/>
              <w:bottom w:w="0" w:type="dxa"/>
              <w:right w:w="20" w:type="dxa"/>
            </w:tcMar>
          </w:tcPr>
          <w:p w14:paraId="7268FA40" w14:textId="77777777" w:rsidR="005F762A" w:rsidRDefault="005F762A">
            <w:pPr>
              <w:rPr>
                <w:rFonts w:ascii="宋体"/>
              </w:rPr>
            </w:pPr>
          </w:p>
        </w:tc>
        <w:tc>
          <w:tcPr>
            <w:tcW w:w="0" w:type="auto"/>
            <w:shd w:val="clear" w:color="auto" w:fill="auto"/>
          </w:tcPr>
          <w:p w14:paraId="7268FA41" w14:textId="77777777" w:rsidR="005F762A" w:rsidRDefault="005F762A">
            <w:pPr>
              <w:rPr>
                <w:rFonts w:ascii="宋体"/>
                <w:vanish/>
              </w:rPr>
            </w:pPr>
          </w:p>
        </w:tc>
        <w:tc>
          <w:tcPr>
            <w:tcW w:w="0" w:type="auto"/>
            <w:shd w:val="clear" w:color="auto" w:fill="auto"/>
          </w:tcPr>
          <w:p w14:paraId="7268FA42" w14:textId="77777777" w:rsidR="005F762A" w:rsidRDefault="005F762A">
            <w:pPr>
              <w:rPr>
                <w:rFonts w:ascii="宋体"/>
                <w:vanish/>
              </w:rPr>
            </w:pPr>
          </w:p>
        </w:tc>
        <w:tc>
          <w:tcPr>
            <w:tcW w:w="0" w:type="auto"/>
            <w:shd w:val="clear" w:color="auto" w:fill="auto"/>
          </w:tcPr>
          <w:p w14:paraId="7268FA43"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A44"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A45"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A46" w14:textId="77777777" w:rsidR="005F762A" w:rsidRDefault="005F762A">
            <w:pPr>
              <w:rPr>
                <w:rFonts w:ascii="宋体"/>
              </w:rPr>
            </w:pPr>
          </w:p>
        </w:tc>
        <w:tc>
          <w:tcPr>
            <w:tcW w:w="0" w:type="auto"/>
            <w:gridSpan w:val="9"/>
            <w:shd w:val="clear" w:color="auto" w:fill="auto"/>
            <w:tcMar>
              <w:top w:w="40" w:type="dxa"/>
              <w:left w:w="20" w:type="dxa"/>
              <w:bottom w:w="40" w:type="dxa"/>
              <w:right w:w="20" w:type="dxa"/>
            </w:tcMar>
            <w:vAlign w:val="bottom"/>
          </w:tcPr>
          <w:p w14:paraId="7268FA47" w14:textId="77777777" w:rsidR="005F762A" w:rsidRDefault="00D74111">
            <w:pPr>
              <w:jc w:val="center"/>
              <w:textAlignment w:val="bottom"/>
            </w:pPr>
            <w:r>
              <w:rPr>
                <w:rFonts w:ascii="Arial" w:eastAsia="宋体" w:hAnsi="Arial" w:cs="Arial"/>
                <w:b/>
                <w:bCs/>
                <w:color w:val="000000"/>
                <w:sz w:val="14"/>
                <w:szCs w:val="14"/>
              </w:rPr>
              <w:t>% Change</w:t>
            </w:r>
          </w:p>
        </w:tc>
        <w:tc>
          <w:tcPr>
            <w:tcW w:w="0" w:type="auto"/>
            <w:shd w:val="clear" w:color="auto" w:fill="auto"/>
          </w:tcPr>
          <w:p w14:paraId="7268FA48" w14:textId="77777777" w:rsidR="005F762A" w:rsidRDefault="005F762A">
            <w:pPr>
              <w:rPr>
                <w:rFonts w:ascii="宋体"/>
              </w:rPr>
            </w:pPr>
          </w:p>
        </w:tc>
        <w:tc>
          <w:tcPr>
            <w:tcW w:w="0" w:type="auto"/>
            <w:shd w:val="clear" w:color="auto" w:fill="auto"/>
          </w:tcPr>
          <w:p w14:paraId="7268FA49" w14:textId="77777777" w:rsidR="005F762A" w:rsidRDefault="005F762A">
            <w:pPr>
              <w:rPr>
                <w:rFonts w:ascii="宋体"/>
              </w:rPr>
            </w:pPr>
          </w:p>
        </w:tc>
        <w:tc>
          <w:tcPr>
            <w:tcW w:w="0" w:type="auto"/>
            <w:shd w:val="clear" w:color="auto" w:fill="auto"/>
          </w:tcPr>
          <w:p w14:paraId="7268FA4A" w14:textId="77777777" w:rsidR="005F762A" w:rsidRDefault="005F762A">
            <w:pPr>
              <w:rPr>
                <w:rFonts w:ascii="宋体"/>
              </w:rPr>
            </w:pPr>
          </w:p>
        </w:tc>
        <w:tc>
          <w:tcPr>
            <w:tcW w:w="0" w:type="auto"/>
            <w:shd w:val="clear" w:color="auto" w:fill="auto"/>
          </w:tcPr>
          <w:p w14:paraId="7268FA4B" w14:textId="77777777" w:rsidR="005F762A" w:rsidRDefault="005F762A">
            <w:pPr>
              <w:rPr>
                <w:rFonts w:ascii="宋体"/>
              </w:rPr>
            </w:pPr>
          </w:p>
        </w:tc>
        <w:tc>
          <w:tcPr>
            <w:tcW w:w="0" w:type="auto"/>
            <w:shd w:val="clear" w:color="auto" w:fill="auto"/>
          </w:tcPr>
          <w:p w14:paraId="7268FA4C" w14:textId="77777777" w:rsidR="005F762A" w:rsidRDefault="005F762A">
            <w:pPr>
              <w:rPr>
                <w:rFonts w:ascii="宋体"/>
              </w:rPr>
            </w:pPr>
          </w:p>
        </w:tc>
        <w:tc>
          <w:tcPr>
            <w:tcW w:w="0" w:type="auto"/>
            <w:shd w:val="clear" w:color="auto" w:fill="auto"/>
          </w:tcPr>
          <w:p w14:paraId="7268FA4D" w14:textId="77777777" w:rsidR="005F762A" w:rsidRDefault="005F762A">
            <w:pPr>
              <w:rPr>
                <w:rFonts w:ascii="宋体"/>
              </w:rPr>
            </w:pPr>
          </w:p>
        </w:tc>
        <w:tc>
          <w:tcPr>
            <w:tcW w:w="0" w:type="auto"/>
            <w:shd w:val="clear" w:color="auto" w:fill="auto"/>
          </w:tcPr>
          <w:p w14:paraId="7268FA4E" w14:textId="77777777" w:rsidR="005F762A" w:rsidRDefault="005F762A">
            <w:pPr>
              <w:rPr>
                <w:rFonts w:ascii="宋体"/>
              </w:rPr>
            </w:pPr>
          </w:p>
        </w:tc>
        <w:tc>
          <w:tcPr>
            <w:tcW w:w="0" w:type="auto"/>
            <w:shd w:val="clear" w:color="auto" w:fill="auto"/>
          </w:tcPr>
          <w:p w14:paraId="7268FA4F" w14:textId="77777777" w:rsidR="005F762A" w:rsidRDefault="005F762A">
            <w:pPr>
              <w:rPr>
                <w:rFonts w:ascii="宋体"/>
              </w:rPr>
            </w:pPr>
          </w:p>
        </w:tc>
        <w:tc>
          <w:tcPr>
            <w:tcW w:w="0" w:type="auto"/>
            <w:shd w:val="clear" w:color="auto" w:fill="auto"/>
          </w:tcPr>
          <w:p w14:paraId="7268FA50" w14:textId="77777777" w:rsidR="005F762A" w:rsidRDefault="005F762A">
            <w:pPr>
              <w:rPr>
                <w:rFonts w:ascii="宋体"/>
              </w:rPr>
            </w:pPr>
          </w:p>
        </w:tc>
        <w:tc>
          <w:tcPr>
            <w:tcW w:w="0" w:type="auto"/>
            <w:shd w:val="clear" w:color="auto" w:fill="auto"/>
          </w:tcPr>
          <w:p w14:paraId="7268FA51" w14:textId="77777777" w:rsidR="005F762A" w:rsidRDefault="005F762A">
            <w:pPr>
              <w:rPr>
                <w:rFonts w:ascii="宋体"/>
              </w:rPr>
            </w:pPr>
          </w:p>
        </w:tc>
        <w:tc>
          <w:tcPr>
            <w:tcW w:w="0" w:type="auto"/>
            <w:shd w:val="clear" w:color="auto" w:fill="auto"/>
          </w:tcPr>
          <w:p w14:paraId="7268FA52" w14:textId="77777777" w:rsidR="005F762A" w:rsidRDefault="005F762A">
            <w:pPr>
              <w:rPr>
                <w:rFonts w:ascii="宋体"/>
              </w:rPr>
            </w:pPr>
          </w:p>
        </w:tc>
        <w:tc>
          <w:tcPr>
            <w:tcW w:w="0" w:type="auto"/>
            <w:shd w:val="clear" w:color="auto" w:fill="auto"/>
          </w:tcPr>
          <w:p w14:paraId="7268FA53" w14:textId="77777777" w:rsidR="005F762A" w:rsidRDefault="005F762A">
            <w:pPr>
              <w:rPr>
                <w:rFonts w:ascii="宋体"/>
              </w:rPr>
            </w:pPr>
          </w:p>
        </w:tc>
      </w:tr>
      <w:tr w:rsidR="005F762A" w14:paraId="7268FA65" w14:textId="77777777">
        <w:tc>
          <w:tcPr>
            <w:tcW w:w="0" w:type="auto"/>
            <w:gridSpan w:val="3"/>
            <w:shd w:val="clear" w:color="auto" w:fill="auto"/>
            <w:tcMar>
              <w:top w:w="40" w:type="dxa"/>
              <w:left w:w="20" w:type="dxa"/>
              <w:bottom w:w="40" w:type="dxa"/>
              <w:right w:w="20" w:type="dxa"/>
            </w:tcMar>
            <w:vAlign w:val="center"/>
          </w:tcPr>
          <w:p w14:paraId="7268FA55" w14:textId="77777777" w:rsidR="005F762A" w:rsidRDefault="00D74111">
            <w:pPr>
              <w:textAlignment w:val="center"/>
            </w:pPr>
            <w:r>
              <w:rPr>
                <w:rFonts w:ascii="Arial" w:eastAsia="宋体" w:hAnsi="Arial" w:cs="Arial"/>
                <w:color w:val="000000"/>
                <w:sz w:val="14"/>
                <w:szCs w:val="14"/>
              </w:rPr>
              <w:t> </w:t>
            </w:r>
          </w:p>
        </w:tc>
        <w:tc>
          <w:tcPr>
            <w:tcW w:w="0" w:type="auto"/>
            <w:shd w:val="clear" w:color="auto" w:fill="auto"/>
          </w:tcPr>
          <w:p w14:paraId="7268FA56" w14:textId="77777777" w:rsidR="005F762A" w:rsidRDefault="005F762A">
            <w:pPr>
              <w:rPr>
                <w:rFonts w:ascii="宋体"/>
                <w:vanish/>
              </w:rPr>
            </w:pPr>
          </w:p>
        </w:tc>
        <w:tc>
          <w:tcPr>
            <w:tcW w:w="0" w:type="auto"/>
            <w:shd w:val="clear" w:color="auto" w:fill="auto"/>
          </w:tcPr>
          <w:p w14:paraId="7268FA57" w14:textId="77777777" w:rsidR="005F762A" w:rsidRDefault="005F762A">
            <w:pPr>
              <w:rPr>
                <w:rFonts w:ascii="宋体"/>
                <w:vanish/>
              </w:rPr>
            </w:pPr>
          </w:p>
        </w:tc>
        <w:tc>
          <w:tcPr>
            <w:tcW w:w="0" w:type="auto"/>
            <w:shd w:val="clear" w:color="auto" w:fill="auto"/>
          </w:tcPr>
          <w:p w14:paraId="7268FA58" w14:textId="77777777" w:rsidR="005F762A" w:rsidRDefault="005F762A">
            <w:pPr>
              <w:rPr>
                <w:rFonts w:ascii="宋体"/>
                <w:vanish/>
              </w:rPr>
            </w:pPr>
          </w:p>
        </w:tc>
        <w:tc>
          <w:tcPr>
            <w:tcW w:w="0" w:type="auto"/>
            <w:shd w:val="clear" w:color="auto" w:fill="auto"/>
          </w:tcPr>
          <w:p w14:paraId="7268FA59" w14:textId="77777777" w:rsidR="005F762A" w:rsidRDefault="005F762A">
            <w:pPr>
              <w:rPr>
                <w:rFonts w:ascii="宋体"/>
                <w:vanish/>
              </w:rPr>
            </w:pPr>
          </w:p>
        </w:tc>
        <w:tc>
          <w:tcPr>
            <w:tcW w:w="0" w:type="auto"/>
            <w:shd w:val="clear" w:color="auto" w:fill="auto"/>
          </w:tcPr>
          <w:p w14:paraId="7268FA5A" w14:textId="77777777" w:rsidR="005F762A" w:rsidRDefault="005F762A">
            <w:pPr>
              <w:rPr>
                <w:rFonts w:ascii="宋体"/>
                <w:vanish/>
              </w:rPr>
            </w:pPr>
          </w:p>
        </w:tc>
        <w:tc>
          <w:tcPr>
            <w:tcW w:w="0" w:type="auto"/>
            <w:shd w:val="clear" w:color="auto" w:fill="auto"/>
          </w:tcPr>
          <w:p w14:paraId="7268FA5B" w14:textId="77777777" w:rsidR="005F762A" w:rsidRDefault="005F762A">
            <w:pPr>
              <w:rPr>
                <w:rFonts w:ascii="宋体"/>
                <w:vanish/>
              </w:rPr>
            </w:pPr>
          </w:p>
        </w:tc>
        <w:tc>
          <w:tcPr>
            <w:tcW w:w="0" w:type="auto"/>
            <w:shd w:val="clear" w:color="auto" w:fill="auto"/>
          </w:tcPr>
          <w:p w14:paraId="7268FA5C"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A5D"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A5E"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A5F"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A60"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A61"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A62" w14:textId="77777777" w:rsidR="005F762A" w:rsidRDefault="00D74111">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268FA63"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A64" w14:textId="77777777" w:rsidR="005F762A" w:rsidRDefault="00D74111">
            <w:pPr>
              <w:jc w:val="center"/>
              <w:textAlignment w:val="bottom"/>
            </w:pPr>
            <w:r>
              <w:rPr>
                <w:rFonts w:ascii="Arial" w:eastAsia="宋体" w:hAnsi="Arial" w:cs="Arial"/>
                <w:b/>
                <w:bCs/>
                <w:color w:val="000000"/>
                <w:sz w:val="14"/>
                <w:szCs w:val="14"/>
              </w:rPr>
              <w:t>FX-Neutral</w:t>
            </w:r>
          </w:p>
        </w:tc>
      </w:tr>
      <w:tr w:rsidR="005F762A" w14:paraId="7268FA6F" w14:textId="77777777">
        <w:tc>
          <w:tcPr>
            <w:tcW w:w="0" w:type="auto"/>
            <w:gridSpan w:val="3"/>
            <w:shd w:val="clear" w:color="auto" w:fill="FFFFFF"/>
            <w:tcMar>
              <w:top w:w="0" w:type="dxa"/>
              <w:left w:w="20" w:type="dxa"/>
              <w:bottom w:w="0" w:type="dxa"/>
              <w:right w:w="20" w:type="dxa"/>
            </w:tcMar>
          </w:tcPr>
          <w:p w14:paraId="7268FA66" w14:textId="77777777" w:rsidR="005F762A" w:rsidRDefault="005F762A">
            <w:pPr>
              <w:rPr>
                <w:rFonts w:ascii="宋体"/>
              </w:rPr>
            </w:pPr>
          </w:p>
        </w:tc>
        <w:tc>
          <w:tcPr>
            <w:tcW w:w="0" w:type="auto"/>
            <w:shd w:val="clear" w:color="auto" w:fill="auto"/>
          </w:tcPr>
          <w:p w14:paraId="7268FA67" w14:textId="77777777" w:rsidR="005F762A" w:rsidRDefault="005F762A">
            <w:pPr>
              <w:rPr>
                <w:rFonts w:ascii="宋体"/>
                <w:vanish/>
              </w:rPr>
            </w:pPr>
          </w:p>
        </w:tc>
        <w:tc>
          <w:tcPr>
            <w:tcW w:w="0" w:type="auto"/>
            <w:shd w:val="clear" w:color="auto" w:fill="auto"/>
          </w:tcPr>
          <w:p w14:paraId="7268FA68" w14:textId="77777777" w:rsidR="005F762A" w:rsidRDefault="005F762A">
            <w:pPr>
              <w:rPr>
                <w:rFonts w:ascii="宋体"/>
                <w:vanish/>
              </w:rPr>
            </w:pPr>
          </w:p>
        </w:tc>
        <w:tc>
          <w:tcPr>
            <w:tcW w:w="0" w:type="auto"/>
            <w:shd w:val="clear" w:color="auto" w:fill="auto"/>
          </w:tcPr>
          <w:p w14:paraId="7268FA69" w14:textId="77777777" w:rsidR="005F762A" w:rsidRDefault="005F762A">
            <w:pPr>
              <w:rPr>
                <w:rFonts w:ascii="宋体"/>
                <w:vanish/>
              </w:rPr>
            </w:pPr>
          </w:p>
        </w:tc>
        <w:tc>
          <w:tcPr>
            <w:tcW w:w="0" w:type="auto"/>
            <w:shd w:val="clear" w:color="auto" w:fill="auto"/>
          </w:tcPr>
          <w:p w14:paraId="7268FA6A" w14:textId="77777777" w:rsidR="005F762A" w:rsidRDefault="005F762A">
            <w:pPr>
              <w:rPr>
                <w:rFonts w:ascii="宋体"/>
                <w:vanish/>
              </w:rPr>
            </w:pPr>
          </w:p>
        </w:tc>
        <w:tc>
          <w:tcPr>
            <w:tcW w:w="0" w:type="auto"/>
            <w:shd w:val="clear" w:color="auto" w:fill="auto"/>
          </w:tcPr>
          <w:p w14:paraId="7268FA6B" w14:textId="77777777" w:rsidR="005F762A" w:rsidRDefault="005F762A">
            <w:pPr>
              <w:rPr>
                <w:rFonts w:ascii="宋体"/>
                <w:vanish/>
              </w:rPr>
            </w:pPr>
          </w:p>
        </w:tc>
        <w:tc>
          <w:tcPr>
            <w:tcW w:w="0" w:type="auto"/>
            <w:shd w:val="clear" w:color="auto" w:fill="auto"/>
          </w:tcPr>
          <w:p w14:paraId="7268FA6C" w14:textId="77777777" w:rsidR="005F762A" w:rsidRDefault="005F762A">
            <w:pPr>
              <w:rPr>
                <w:rFonts w:ascii="宋体"/>
                <w:vanish/>
              </w:rPr>
            </w:pPr>
          </w:p>
        </w:tc>
        <w:tc>
          <w:tcPr>
            <w:tcW w:w="0" w:type="auto"/>
            <w:shd w:val="clear" w:color="auto" w:fill="auto"/>
          </w:tcPr>
          <w:p w14:paraId="7268FA6D" w14:textId="77777777" w:rsidR="005F762A" w:rsidRDefault="005F762A">
            <w:pPr>
              <w:rPr>
                <w:rFonts w:ascii="宋体"/>
                <w:vanish/>
              </w:rPr>
            </w:pPr>
          </w:p>
        </w:tc>
        <w:tc>
          <w:tcPr>
            <w:tcW w:w="0" w:type="auto"/>
            <w:gridSpan w:val="24"/>
            <w:shd w:val="clear" w:color="auto" w:fill="auto"/>
            <w:tcMar>
              <w:top w:w="40" w:type="dxa"/>
              <w:left w:w="20" w:type="dxa"/>
              <w:bottom w:w="40" w:type="dxa"/>
              <w:right w:w="20" w:type="dxa"/>
            </w:tcMar>
            <w:vAlign w:val="bottom"/>
          </w:tcPr>
          <w:p w14:paraId="7268FA6E" w14:textId="77777777" w:rsidR="005F762A" w:rsidRDefault="00D74111">
            <w:pPr>
              <w:jc w:val="center"/>
              <w:textAlignment w:val="bottom"/>
            </w:pPr>
            <w:r>
              <w:rPr>
                <w:rFonts w:ascii="Arial" w:eastAsia="宋体" w:hAnsi="Arial" w:cs="Arial"/>
                <w:color w:val="000000"/>
                <w:sz w:val="16"/>
                <w:szCs w:val="16"/>
              </w:rPr>
              <w:t>(In millions, except percentages)</w:t>
            </w:r>
          </w:p>
        </w:tc>
      </w:tr>
      <w:tr w:rsidR="005F762A" w14:paraId="7268FA86" w14:textId="77777777">
        <w:tc>
          <w:tcPr>
            <w:tcW w:w="0" w:type="auto"/>
            <w:gridSpan w:val="3"/>
            <w:shd w:val="clear" w:color="auto" w:fill="E2E2E2"/>
            <w:tcMar>
              <w:top w:w="40" w:type="dxa"/>
              <w:left w:w="20" w:type="dxa"/>
              <w:bottom w:w="40" w:type="dxa"/>
              <w:right w:w="20" w:type="dxa"/>
            </w:tcMar>
            <w:vAlign w:val="bottom"/>
          </w:tcPr>
          <w:p w14:paraId="7268FA70" w14:textId="77777777" w:rsidR="005F762A" w:rsidRDefault="00D74111">
            <w:pPr>
              <w:textAlignment w:val="bottom"/>
            </w:pPr>
            <w:r>
              <w:rPr>
                <w:rFonts w:ascii="Arial" w:eastAsia="宋体" w:hAnsi="Arial" w:cs="Arial"/>
                <w:color w:val="000000"/>
                <w:sz w:val="16"/>
                <w:szCs w:val="16"/>
              </w:rPr>
              <w:t>MS&amp;O</w:t>
            </w:r>
          </w:p>
        </w:tc>
        <w:tc>
          <w:tcPr>
            <w:tcW w:w="0" w:type="auto"/>
            <w:shd w:val="clear" w:color="auto" w:fill="auto"/>
          </w:tcPr>
          <w:p w14:paraId="7268FA71" w14:textId="77777777" w:rsidR="005F762A" w:rsidRDefault="005F762A">
            <w:pPr>
              <w:rPr>
                <w:rFonts w:ascii="宋体"/>
                <w:vanish/>
              </w:rPr>
            </w:pPr>
          </w:p>
        </w:tc>
        <w:tc>
          <w:tcPr>
            <w:tcW w:w="0" w:type="auto"/>
            <w:shd w:val="clear" w:color="auto" w:fill="auto"/>
          </w:tcPr>
          <w:p w14:paraId="7268FA72" w14:textId="77777777" w:rsidR="005F762A" w:rsidRDefault="005F762A">
            <w:pPr>
              <w:rPr>
                <w:rFonts w:ascii="宋体"/>
                <w:vanish/>
              </w:rPr>
            </w:pPr>
          </w:p>
        </w:tc>
        <w:tc>
          <w:tcPr>
            <w:tcW w:w="0" w:type="auto"/>
            <w:shd w:val="clear" w:color="auto" w:fill="auto"/>
          </w:tcPr>
          <w:p w14:paraId="7268FA73" w14:textId="77777777" w:rsidR="005F762A" w:rsidRDefault="005F762A">
            <w:pPr>
              <w:rPr>
                <w:rFonts w:ascii="宋体"/>
                <w:vanish/>
              </w:rPr>
            </w:pPr>
          </w:p>
        </w:tc>
        <w:tc>
          <w:tcPr>
            <w:tcW w:w="0" w:type="auto"/>
            <w:shd w:val="clear" w:color="auto" w:fill="auto"/>
          </w:tcPr>
          <w:p w14:paraId="7268FA74" w14:textId="77777777" w:rsidR="005F762A" w:rsidRDefault="005F762A">
            <w:pPr>
              <w:rPr>
                <w:rFonts w:ascii="宋体"/>
                <w:vanish/>
              </w:rPr>
            </w:pPr>
          </w:p>
        </w:tc>
        <w:tc>
          <w:tcPr>
            <w:tcW w:w="0" w:type="auto"/>
            <w:shd w:val="clear" w:color="auto" w:fill="auto"/>
          </w:tcPr>
          <w:p w14:paraId="7268FA75" w14:textId="77777777" w:rsidR="005F762A" w:rsidRDefault="005F762A">
            <w:pPr>
              <w:rPr>
                <w:rFonts w:ascii="宋体"/>
                <w:vanish/>
              </w:rPr>
            </w:pPr>
          </w:p>
        </w:tc>
        <w:tc>
          <w:tcPr>
            <w:tcW w:w="0" w:type="auto"/>
            <w:shd w:val="clear" w:color="auto" w:fill="auto"/>
          </w:tcPr>
          <w:p w14:paraId="7268FA76" w14:textId="77777777" w:rsidR="005F762A" w:rsidRDefault="005F762A">
            <w:pPr>
              <w:rPr>
                <w:rFonts w:ascii="宋体"/>
                <w:vanish/>
              </w:rPr>
            </w:pPr>
          </w:p>
        </w:tc>
        <w:tc>
          <w:tcPr>
            <w:tcW w:w="0" w:type="auto"/>
            <w:shd w:val="clear" w:color="auto" w:fill="auto"/>
          </w:tcPr>
          <w:p w14:paraId="7268FA77"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A78"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A79"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A7A" w14:textId="77777777" w:rsidR="005F762A" w:rsidRDefault="00D74111">
            <w:pPr>
              <w:jc w:val="right"/>
              <w:textAlignment w:val="bottom"/>
            </w:pPr>
            <w:r>
              <w:rPr>
                <w:rFonts w:ascii="Arial" w:eastAsia="宋体" w:hAnsi="Arial" w:cs="Arial"/>
                <w:color w:val="000000"/>
                <w:sz w:val="16"/>
                <w:szCs w:val="16"/>
              </w:rPr>
              <w:t>291 </w:t>
            </w:r>
          </w:p>
        </w:tc>
        <w:tc>
          <w:tcPr>
            <w:tcW w:w="0" w:type="auto"/>
            <w:shd w:val="clear" w:color="auto" w:fill="E2E2E2"/>
            <w:tcMar>
              <w:top w:w="40" w:type="dxa"/>
              <w:left w:w="0" w:type="dxa"/>
              <w:bottom w:w="40" w:type="dxa"/>
              <w:right w:w="20" w:type="dxa"/>
            </w:tcMar>
            <w:vAlign w:val="bottom"/>
          </w:tcPr>
          <w:p w14:paraId="7268FA7B"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A7C"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A7D"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7268FA7E" w14:textId="77777777" w:rsidR="005F762A" w:rsidRDefault="00D74111">
            <w:pPr>
              <w:jc w:val="right"/>
              <w:textAlignment w:val="bottom"/>
            </w:pPr>
            <w:r>
              <w:rPr>
                <w:rFonts w:ascii="Arial" w:eastAsia="宋体" w:hAnsi="Arial" w:cs="Arial"/>
                <w:color w:val="000000"/>
                <w:sz w:val="16"/>
                <w:szCs w:val="16"/>
              </w:rPr>
              <w:t>229 </w:t>
            </w:r>
          </w:p>
        </w:tc>
        <w:tc>
          <w:tcPr>
            <w:tcW w:w="0" w:type="auto"/>
            <w:shd w:val="clear" w:color="auto" w:fill="E2E2E2"/>
            <w:tcMar>
              <w:top w:w="40" w:type="dxa"/>
              <w:left w:w="0" w:type="dxa"/>
              <w:bottom w:w="40" w:type="dxa"/>
              <w:right w:w="20" w:type="dxa"/>
            </w:tcMar>
            <w:vAlign w:val="bottom"/>
          </w:tcPr>
          <w:p w14:paraId="7268FA7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A8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A81" w14:textId="77777777" w:rsidR="005F762A" w:rsidRDefault="00D74111">
            <w:pPr>
              <w:jc w:val="right"/>
              <w:textAlignment w:val="bottom"/>
            </w:pPr>
            <w:r>
              <w:rPr>
                <w:rFonts w:ascii="Arial" w:eastAsia="宋体" w:hAnsi="Arial" w:cs="Arial"/>
                <w:color w:val="000000"/>
                <w:sz w:val="16"/>
                <w:szCs w:val="16"/>
              </w:rPr>
              <w:t>27 </w:t>
            </w:r>
          </w:p>
        </w:tc>
        <w:tc>
          <w:tcPr>
            <w:tcW w:w="0" w:type="auto"/>
            <w:shd w:val="clear" w:color="auto" w:fill="E2E2E2"/>
            <w:tcMar>
              <w:top w:w="40" w:type="dxa"/>
              <w:left w:w="0" w:type="dxa"/>
              <w:bottom w:w="40" w:type="dxa"/>
              <w:right w:w="20" w:type="dxa"/>
            </w:tcMar>
            <w:vAlign w:val="bottom"/>
          </w:tcPr>
          <w:p w14:paraId="7268FA82"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tcPr>
          <w:p w14:paraId="7268FA8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A84" w14:textId="77777777" w:rsidR="005F762A" w:rsidRDefault="00D74111">
            <w:pPr>
              <w:jc w:val="right"/>
              <w:textAlignment w:val="bottom"/>
            </w:pPr>
            <w:r>
              <w:rPr>
                <w:rFonts w:ascii="Arial" w:eastAsia="宋体" w:hAnsi="Arial" w:cs="Arial"/>
                <w:color w:val="000000"/>
                <w:sz w:val="16"/>
                <w:szCs w:val="16"/>
              </w:rPr>
              <w:t>22 </w:t>
            </w:r>
          </w:p>
        </w:tc>
        <w:tc>
          <w:tcPr>
            <w:tcW w:w="0" w:type="auto"/>
            <w:shd w:val="clear" w:color="auto" w:fill="E2E2E2"/>
            <w:tcMar>
              <w:top w:w="40" w:type="dxa"/>
              <w:left w:w="0" w:type="dxa"/>
              <w:bottom w:w="40" w:type="dxa"/>
              <w:right w:w="20" w:type="dxa"/>
            </w:tcMar>
            <w:vAlign w:val="bottom"/>
          </w:tcPr>
          <w:p w14:paraId="7268FA85" w14:textId="77777777" w:rsidR="005F762A" w:rsidRDefault="00D74111">
            <w:pPr>
              <w:jc w:val="right"/>
              <w:textAlignment w:val="bottom"/>
            </w:pPr>
            <w:r>
              <w:rPr>
                <w:rFonts w:ascii="Arial" w:eastAsia="宋体" w:hAnsi="Arial" w:cs="Arial"/>
                <w:color w:val="000000"/>
                <w:sz w:val="16"/>
                <w:szCs w:val="16"/>
              </w:rPr>
              <w:t>%</w:t>
            </w:r>
          </w:p>
        </w:tc>
      </w:tr>
      <w:tr w:rsidR="005F762A" w14:paraId="7268FA97" w14:textId="77777777">
        <w:trPr>
          <w:hidden/>
        </w:trPr>
        <w:tc>
          <w:tcPr>
            <w:tcW w:w="0" w:type="auto"/>
            <w:gridSpan w:val="3"/>
            <w:shd w:val="clear" w:color="auto" w:fill="auto"/>
          </w:tcPr>
          <w:p w14:paraId="7268FA87" w14:textId="77777777" w:rsidR="005F762A" w:rsidRDefault="005F762A">
            <w:pPr>
              <w:rPr>
                <w:rFonts w:ascii="宋体"/>
                <w:vanish/>
              </w:rPr>
            </w:pPr>
          </w:p>
        </w:tc>
        <w:tc>
          <w:tcPr>
            <w:tcW w:w="0" w:type="auto"/>
            <w:shd w:val="clear" w:color="auto" w:fill="auto"/>
          </w:tcPr>
          <w:p w14:paraId="7268FA88" w14:textId="77777777" w:rsidR="005F762A" w:rsidRDefault="005F762A">
            <w:pPr>
              <w:rPr>
                <w:rFonts w:ascii="宋体"/>
                <w:vanish/>
              </w:rPr>
            </w:pPr>
          </w:p>
        </w:tc>
        <w:tc>
          <w:tcPr>
            <w:tcW w:w="0" w:type="auto"/>
            <w:shd w:val="clear" w:color="auto" w:fill="auto"/>
          </w:tcPr>
          <w:p w14:paraId="7268FA89" w14:textId="77777777" w:rsidR="005F762A" w:rsidRDefault="005F762A">
            <w:pPr>
              <w:rPr>
                <w:rFonts w:ascii="宋体"/>
                <w:vanish/>
              </w:rPr>
            </w:pPr>
          </w:p>
        </w:tc>
        <w:tc>
          <w:tcPr>
            <w:tcW w:w="0" w:type="auto"/>
            <w:shd w:val="clear" w:color="auto" w:fill="auto"/>
          </w:tcPr>
          <w:p w14:paraId="7268FA8A" w14:textId="77777777" w:rsidR="005F762A" w:rsidRDefault="005F762A">
            <w:pPr>
              <w:rPr>
                <w:rFonts w:ascii="宋体"/>
                <w:vanish/>
              </w:rPr>
            </w:pPr>
          </w:p>
        </w:tc>
        <w:tc>
          <w:tcPr>
            <w:tcW w:w="0" w:type="auto"/>
            <w:shd w:val="clear" w:color="auto" w:fill="auto"/>
          </w:tcPr>
          <w:p w14:paraId="7268FA8B" w14:textId="77777777" w:rsidR="005F762A" w:rsidRDefault="005F762A">
            <w:pPr>
              <w:rPr>
                <w:rFonts w:ascii="宋体"/>
                <w:vanish/>
              </w:rPr>
            </w:pPr>
          </w:p>
        </w:tc>
        <w:tc>
          <w:tcPr>
            <w:tcW w:w="0" w:type="auto"/>
            <w:shd w:val="clear" w:color="auto" w:fill="auto"/>
          </w:tcPr>
          <w:p w14:paraId="7268FA8C" w14:textId="77777777" w:rsidR="005F762A" w:rsidRDefault="005F762A">
            <w:pPr>
              <w:rPr>
                <w:rFonts w:ascii="宋体"/>
                <w:vanish/>
              </w:rPr>
            </w:pPr>
          </w:p>
        </w:tc>
        <w:tc>
          <w:tcPr>
            <w:tcW w:w="0" w:type="auto"/>
            <w:shd w:val="clear" w:color="auto" w:fill="auto"/>
          </w:tcPr>
          <w:p w14:paraId="7268FA8D" w14:textId="77777777" w:rsidR="005F762A" w:rsidRDefault="005F762A">
            <w:pPr>
              <w:rPr>
                <w:rFonts w:ascii="宋体"/>
                <w:vanish/>
              </w:rPr>
            </w:pPr>
          </w:p>
        </w:tc>
        <w:tc>
          <w:tcPr>
            <w:tcW w:w="0" w:type="auto"/>
            <w:shd w:val="clear" w:color="auto" w:fill="auto"/>
          </w:tcPr>
          <w:p w14:paraId="7268FA8E" w14:textId="77777777" w:rsidR="005F762A" w:rsidRDefault="005F762A">
            <w:pPr>
              <w:rPr>
                <w:rFonts w:ascii="宋体"/>
                <w:vanish/>
              </w:rPr>
            </w:pPr>
          </w:p>
        </w:tc>
        <w:tc>
          <w:tcPr>
            <w:tcW w:w="0" w:type="auto"/>
            <w:gridSpan w:val="3"/>
            <w:shd w:val="clear" w:color="auto" w:fill="auto"/>
          </w:tcPr>
          <w:p w14:paraId="7268FA8F" w14:textId="77777777" w:rsidR="005F762A" w:rsidRDefault="005F762A">
            <w:pPr>
              <w:rPr>
                <w:rFonts w:ascii="宋体"/>
                <w:vanish/>
              </w:rPr>
            </w:pPr>
          </w:p>
        </w:tc>
        <w:tc>
          <w:tcPr>
            <w:tcW w:w="0" w:type="auto"/>
            <w:gridSpan w:val="3"/>
            <w:shd w:val="clear" w:color="auto" w:fill="auto"/>
          </w:tcPr>
          <w:p w14:paraId="7268FA90" w14:textId="77777777" w:rsidR="005F762A" w:rsidRDefault="005F762A">
            <w:pPr>
              <w:rPr>
                <w:rFonts w:ascii="宋体"/>
                <w:vanish/>
              </w:rPr>
            </w:pPr>
          </w:p>
        </w:tc>
        <w:tc>
          <w:tcPr>
            <w:tcW w:w="0" w:type="auto"/>
            <w:gridSpan w:val="3"/>
            <w:shd w:val="clear" w:color="auto" w:fill="auto"/>
          </w:tcPr>
          <w:p w14:paraId="7268FA91" w14:textId="77777777" w:rsidR="005F762A" w:rsidRDefault="005F762A">
            <w:pPr>
              <w:rPr>
                <w:rFonts w:ascii="宋体"/>
                <w:vanish/>
              </w:rPr>
            </w:pPr>
          </w:p>
        </w:tc>
        <w:tc>
          <w:tcPr>
            <w:tcW w:w="0" w:type="auto"/>
            <w:gridSpan w:val="3"/>
            <w:shd w:val="clear" w:color="auto" w:fill="auto"/>
          </w:tcPr>
          <w:p w14:paraId="7268FA92" w14:textId="77777777" w:rsidR="005F762A" w:rsidRDefault="005F762A">
            <w:pPr>
              <w:rPr>
                <w:rFonts w:ascii="宋体"/>
                <w:vanish/>
              </w:rPr>
            </w:pPr>
          </w:p>
        </w:tc>
        <w:tc>
          <w:tcPr>
            <w:tcW w:w="0" w:type="auto"/>
            <w:gridSpan w:val="3"/>
            <w:shd w:val="clear" w:color="auto" w:fill="auto"/>
          </w:tcPr>
          <w:p w14:paraId="7268FA93" w14:textId="77777777" w:rsidR="005F762A" w:rsidRDefault="005F762A">
            <w:pPr>
              <w:rPr>
                <w:rFonts w:ascii="宋体"/>
                <w:vanish/>
              </w:rPr>
            </w:pPr>
          </w:p>
        </w:tc>
        <w:tc>
          <w:tcPr>
            <w:tcW w:w="0" w:type="auto"/>
            <w:gridSpan w:val="3"/>
            <w:shd w:val="clear" w:color="auto" w:fill="auto"/>
          </w:tcPr>
          <w:p w14:paraId="7268FA94" w14:textId="77777777" w:rsidR="005F762A" w:rsidRDefault="005F762A">
            <w:pPr>
              <w:rPr>
                <w:rFonts w:ascii="宋体"/>
                <w:vanish/>
              </w:rPr>
            </w:pPr>
          </w:p>
        </w:tc>
        <w:tc>
          <w:tcPr>
            <w:tcW w:w="0" w:type="auto"/>
            <w:gridSpan w:val="3"/>
            <w:shd w:val="clear" w:color="auto" w:fill="auto"/>
          </w:tcPr>
          <w:p w14:paraId="7268FA95" w14:textId="77777777" w:rsidR="005F762A" w:rsidRDefault="005F762A">
            <w:pPr>
              <w:rPr>
                <w:rFonts w:ascii="宋体"/>
                <w:vanish/>
              </w:rPr>
            </w:pPr>
          </w:p>
        </w:tc>
        <w:tc>
          <w:tcPr>
            <w:tcW w:w="0" w:type="auto"/>
            <w:gridSpan w:val="3"/>
            <w:shd w:val="clear" w:color="auto" w:fill="auto"/>
          </w:tcPr>
          <w:p w14:paraId="7268FA96" w14:textId="77777777" w:rsidR="005F762A" w:rsidRDefault="005F762A">
            <w:pPr>
              <w:rPr>
                <w:rFonts w:ascii="宋体"/>
                <w:vanish/>
              </w:rPr>
            </w:pPr>
          </w:p>
        </w:tc>
      </w:tr>
      <w:tr w:rsidR="005F762A" w14:paraId="7268FAA8" w14:textId="77777777">
        <w:trPr>
          <w:hidden/>
        </w:trPr>
        <w:tc>
          <w:tcPr>
            <w:tcW w:w="0" w:type="auto"/>
            <w:gridSpan w:val="3"/>
            <w:shd w:val="clear" w:color="auto" w:fill="auto"/>
          </w:tcPr>
          <w:p w14:paraId="7268FA98" w14:textId="77777777" w:rsidR="005F762A" w:rsidRDefault="005F762A">
            <w:pPr>
              <w:rPr>
                <w:rFonts w:ascii="宋体"/>
                <w:vanish/>
              </w:rPr>
            </w:pPr>
          </w:p>
        </w:tc>
        <w:tc>
          <w:tcPr>
            <w:tcW w:w="0" w:type="auto"/>
            <w:shd w:val="clear" w:color="auto" w:fill="auto"/>
          </w:tcPr>
          <w:p w14:paraId="7268FA99" w14:textId="77777777" w:rsidR="005F762A" w:rsidRDefault="005F762A">
            <w:pPr>
              <w:rPr>
                <w:rFonts w:ascii="宋体"/>
                <w:vanish/>
              </w:rPr>
            </w:pPr>
          </w:p>
        </w:tc>
        <w:tc>
          <w:tcPr>
            <w:tcW w:w="0" w:type="auto"/>
            <w:shd w:val="clear" w:color="auto" w:fill="auto"/>
          </w:tcPr>
          <w:p w14:paraId="7268FA9A" w14:textId="77777777" w:rsidR="005F762A" w:rsidRDefault="005F762A">
            <w:pPr>
              <w:rPr>
                <w:rFonts w:ascii="宋体"/>
                <w:vanish/>
              </w:rPr>
            </w:pPr>
          </w:p>
        </w:tc>
        <w:tc>
          <w:tcPr>
            <w:tcW w:w="0" w:type="auto"/>
            <w:shd w:val="clear" w:color="auto" w:fill="auto"/>
          </w:tcPr>
          <w:p w14:paraId="7268FA9B" w14:textId="77777777" w:rsidR="005F762A" w:rsidRDefault="005F762A">
            <w:pPr>
              <w:rPr>
                <w:rFonts w:ascii="宋体"/>
                <w:vanish/>
              </w:rPr>
            </w:pPr>
          </w:p>
        </w:tc>
        <w:tc>
          <w:tcPr>
            <w:tcW w:w="0" w:type="auto"/>
            <w:shd w:val="clear" w:color="auto" w:fill="auto"/>
          </w:tcPr>
          <w:p w14:paraId="7268FA9C" w14:textId="77777777" w:rsidR="005F762A" w:rsidRDefault="005F762A">
            <w:pPr>
              <w:rPr>
                <w:rFonts w:ascii="宋体"/>
                <w:vanish/>
              </w:rPr>
            </w:pPr>
          </w:p>
        </w:tc>
        <w:tc>
          <w:tcPr>
            <w:tcW w:w="0" w:type="auto"/>
            <w:shd w:val="clear" w:color="auto" w:fill="auto"/>
          </w:tcPr>
          <w:p w14:paraId="7268FA9D" w14:textId="77777777" w:rsidR="005F762A" w:rsidRDefault="005F762A">
            <w:pPr>
              <w:rPr>
                <w:rFonts w:ascii="宋体"/>
                <w:vanish/>
              </w:rPr>
            </w:pPr>
          </w:p>
        </w:tc>
        <w:tc>
          <w:tcPr>
            <w:tcW w:w="0" w:type="auto"/>
            <w:shd w:val="clear" w:color="auto" w:fill="auto"/>
          </w:tcPr>
          <w:p w14:paraId="7268FA9E" w14:textId="77777777" w:rsidR="005F762A" w:rsidRDefault="005F762A">
            <w:pPr>
              <w:rPr>
                <w:rFonts w:ascii="宋体"/>
                <w:vanish/>
              </w:rPr>
            </w:pPr>
          </w:p>
        </w:tc>
        <w:tc>
          <w:tcPr>
            <w:tcW w:w="0" w:type="auto"/>
            <w:shd w:val="clear" w:color="auto" w:fill="auto"/>
          </w:tcPr>
          <w:p w14:paraId="7268FA9F" w14:textId="77777777" w:rsidR="005F762A" w:rsidRDefault="005F762A">
            <w:pPr>
              <w:rPr>
                <w:rFonts w:ascii="宋体"/>
                <w:vanish/>
              </w:rPr>
            </w:pPr>
          </w:p>
        </w:tc>
        <w:tc>
          <w:tcPr>
            <w:tcW w:w="0" w:type="auto"/>
            <w:gridSpan w:val="3"/>
            <w:shd w:val="clear" w:color="auto" w:fill="auto"/>
          </w:tcPr>
          <w:p w14:paraId="7268FAA0" w14:textId="77777777" w:rsidR="005F762A" w:rsidRDefault="005F762A">
            <w:pPr>
              <w:rPr>
                <w:rFonts w:ascii="宋体"/>
                <w:vanish/>
              </w:rPr>
            </w:pPr>
          </w:p>
        </w:tc>
        <w:tc>
          <w:tcPr>
            <w:tcW w:w="0" w:type="auto"/>
            <w:gridSpan w:val="3"/>
            <w:shd w:val="clear" w:color="auto" w:fill="auto"/>
          </w:tcPr>
          <w:p w14:paraId="7268FAA1" w14:textId="77777777" w:rsidR="005F762A" w:rsidRDefault="005F762A">
            <w:pPr>
              <w:rPr>
                <w:rFonts w:ascii="宋体"/>
                <w:vanish/>
              </w:rPr>
            </w:pPr>
          </w:p>
        </w:tc>
        <w:tc>
          <w:tcPr>
            <w:tcW w:w="0" w:type="auto"/>
            <w:gridSpan w:val="3"/>
            <w:shd w:val="clear" w:color="auto" w:fill="auto"/>
          </w:tcPr>
          <w:p w14:paraId="7268FAA2" w14:textId="77777777" w:rsidR="005F762A" w:rsidRDefault="005F762A">
            <w:pPr>
              <w:rPr>
                <w:rFonts w:ascii="宋体"/>
                <w:vanish/>
              </w:rPr>
            </w:pPr>
          </w:p>
        </w:tc>
        <w:tc>
          <w:tcPr>
            <w:tcW w:w="0" w:type="auto"/>
            <w:gridSpan w:val="3"/>
            <w:shd w:val="clear" w:color="auto" w:fill="auto"/>
          </w:tcPr>
          <w:p w14:paraId="7268FAA3" w14:textId="77777777" w:rsidR="005F762A" w:rsidRDefault="005F762A">
            <w:pPr>
              <w:rPr>
                <w:rFonts w:ascii="宋体"/>
                <w:vanish/>
              </w:rPr>
            </w:pPr>
          </w:p>
        </w:tc>
        <w:tc>
          <w:tcPr>
            <w:tcW w:w="0" w:type="auto"/>
            <w:gridSpan w:val="3"/>
            <w:shd w:val="clear" w:color="auto" w:fill="auto"/>
          </w:tcPr>
          <w:p w14:paraId="7268FAA4" w14:textId="77777777" w:rsidR="005F762A" w:rsidRDefault="005F762A">
            <w:pPr>
              <w:rPr>
                <w:rFonts w:ascii="宋体"/>
                <w:vanish/>
              </w:rPr>
            </w:pPr>
          </w:p>
        </w:tc>
        <w:tc>
          <w:tcPr>
            <w:tcW w:w="0" w:type="auto"/>
            <w:gridSpan w:val="3"/>
            <w:shd w:val="clear" w:color="auto" w:fill="auto"/>
          </w:tcPr>
          <w:p w14:paraId="7268FAA5" w14:textId="77777777" w:rsidR="005F762A" w:rsidRDefault="005F762A">
            <w:pPr>
              <w:rPr>
                <w:rFonts w:ascii="宋体"/>
                <w:vanish/>
              </w:rPr>
            </w:pPr>
          </w:p>
        </w:tc>
        <w:tc>
          <w:tcPr>
            <w:tcW w:w="0" w:type="auto"/>
            <w:gridSpan w:val="3"/>
            <w:shd w:val="clear" w:color="auto" w:fill="auto"/>
          </w:tcPr>
          <w:p w14:paraId="7268FAA6" w14:textId="77777777" w:rsidR="005F762A" w:rsidRDefault="005F762A">
            <w:pPr>
              <w:rPr>
                <w:rFonts w:ascii="宋体"/>
                <w:vanish/>
              </w:rPr>
            </w:pPr>
          </w:p>
        </w:tc>
        <w:tc>
          <w:tcPr>
            <w:tcW w:w="0" w:type="auto"/>
            <w:gridSpan w:val="3"/>
            <w:shd w:val="clear" w:color="auto" w:fill="auto"/>
          </w:tcPr>
          <w:p w14:paraId="7268FAA7" w14:textId="77777777" w:rsidR="005F762A" w:rsidRDefault="005F762A">
            <w:pPr>
              <w:rPr>
                <w:rFonts w:ascii="宋体"/>
                <w:vanish/>
              </w:rPr>
            </w:pPr>
          </w:p>
        </w:tc>
      </w:tr>
      <w:tr w:rsidR="005F762A" w14:paraId="7268FAB9" w14:textId="77777777">
        <w:trPr>
          <w:hidden/>
        </w:trPr>
        <w:tc>
          <w:tcPr>
            <w:tcW w:w="0" w:type="auto"/>
            <w:gridSpan w:val="3"/>
            <w:shd w:val="clear" w:color="auto" w:fill="auto"/>
          </w:tcPr>
          <w:p w14:paraId="7268FAA9" w14:textId="77777777" w:rsidR="005F762A" w:rsidRDefault="005F762A">
            <w:pPr>
              <w:rPr>
                <w:rFonts w:ascii="宋体"/>
                <w:vanish/>
              </w:rPr>
            </w:pPr>
          </w:p>
        </w:tc>
        <w:tc>
          <w:tcPr>
            <w:tcW w:w="0" w:type="auto"/>
            <w:shd w:val="clear" w:color="auto" w:fill="auto"/>
          </w:tcPr>
          <w:p w14:paraId="7268FAAA" w14:textId="77777777" w:rsidR="005F762A" w:rsidRDefault="005F762A">
            <w:pPr>
              <w:rPr>
                <w:rFonts w:ascii="宋体"/>
                <w:vanish/>
              </w:rPr>
            </w:pPr>
          </w:p>
        </w:tc>
        <w:tc>
          <w:tcPr>
            <w:tcW w:w="0" w:type="auto"/>
            <w:shd w:val="clear" w:color="auto" w:fill="auto"/>
          </w:tcPr>
          <w:p w14:paraId="7268FAAB" w14:textId="77777777" w:rsidR="005F762A" w:rsidRDefault="005F762A">
            <w:pPr>
              <w:rPr>
                <w:rFonts w:ascii="宋体"/>
                <w:vanish/>
              </w:rPr>
            </w:pPr>
          </w:p>
        </w:tc>
        <w:tc>
          <w:tcPr>
            <w:tcW w:w="0" w:type="auto"/>
            <w:shd w:val="clear" w:color="auto" w:fill="auto"/>
          </w:tcPr>
          <w:p w14:paraId="7268FAAC" w14:textId="77777777" w:rsidR="005F762A" w:rsidRDefault="005F762A">
            <w:pPr>
              <w:rPr>
                <w:rFonts w:ascii="宋体"/>
                <w:vanish/>
              </w:rPr>
            </w:pPr>
          </w:p>
        </w:tc>
        <w:tc>
          <w:tcPr>
            <w:tcW w:w="0" w:type="auto"/>
            <w:shd w:val="clear" w:color="auto" w:fill="auto"/>
          </w:tcPr>
          <w:p w14:paraId="7268FAAD" w14:textId="77777777" w:rsidR="005F762A" w:rsidRDefault="005F762A">
            <w:pPr>
              <w:rPr>
                <w:rFonts w:ascii="宋体"/>
                <w:vanish/>
              </w:rPr>
            </w:pPr>
          </w:p>
        </w:tc>
        <w:tc>
          <w:tcPr>
            <w:tcW w:w="0" w:type="auto"/>
            <w:shd w:val="clear" w:color="auto" w:fill="auto"/>
          </w:tcPr>
          <w:p w14:paraId="7268FAAE" w14:textId="77777777" w:rsidR="005F762A" w:rsidRDefault="005F762A">
            <w:pPr>
              <w:rPr>
                <w:rFonts w:ascii="宋体"/>
                <w:vanish/>
              </w:rPr>
            </w:pPr>
          </w:p>
        </w:tc>
        <w:tc>
          <w:tcPr>
            <w:tcW w:w="0" w:type="auto"/>
            <w:shd w:val="clear" w:color="auto" w:fill="auto"/>
          </w:tcPr>
          <w:p w14:paraId="7268FAAF" w14:textId="77777777" w:rsidR="005F762A" w:rsidRDefault="005F762A">
            <w:pPr>
              <w:rPr>
                <w:rFonts w:ascii="宋体"/>
                <w:vanish/>
              </w:rPr>
            </w:pPr>
          </w:p>
        </w:tc>
        <w:tc>
          <w:tcPr>
            <w:tcW w:w="0" w:type="auto"/>
            <w:shd w:val="clear" w:color="auto" w:fill="auto"/>
          </w:tcPr>
          <w:p w14:paraId="7268FAB0" w14:textId="77777777" w:rsidR="005F762A" w:rsidRDefault="005F762A">
            <w:pPr>
              <w:rPr>
                <w:rFonts w:ascii="宋体"/>
                <w:vanish/>
              </w:rPr>
            </w:pPr>
          </w:p>
        </w:tc>
        <w:tc>
          <w:tcPr>
            <w:tcW w:w="0" w:type="auto"/>
            <w:gridSpan w:val="3"/>
            <w:shd w:val="clear" w:color="auto" w:fill="auto"/>
          </w:tcPr>
          <w:p w14:paraId="7268FAB1" w14:textId="77777777" w:rsidR="005F762A" w:rsidRDefault="005F762A">
            <w:pPr>
              <w:rPr>
                <w:rFonts w:ascii="宋体"/>
                <w:vanish/>
              </w:rPr>
            </w:pPr>
          </w:p>
        </w:tc>
        <w:tc>
          <w:tcPr>
            <w:tcW w:w="0" w:type="auto"/>
            <w:gridSpan w:val="3"/>
            <w:shd w:val="clear" w:color="auto" w:fill="auto"/>
          </w:tcPr>
          <w:p w14:paraId="7268FAB2" w14:textId="77777777" w:rsidR="005F762A" w:rsidRDefault="005F762A">
            <w:pPr>
              <w:rPr>
                <w:rFonts w:ascii="宋体"/>
                <w:vanish/>
              </w:rPr>
            </w:pPr>
          </w:p>
        </w:tc>
        <w:tc>
          <w:tcPr>
            <w:tcW w:w="0" w:type="auto"/>
            <w:gridSpan w:val="3"/>
            <w:shd w:val="clear" w:color="auto" w:fill="auto"/>
          </w:tcPr>
          <w:p w14:paraId="7268FAB3" w14:textId="77777777" w:rsidR="005F762A" w:rsidRDefault="005F762A">
            <w:pPr>
              <w:rPr>
                <w:rFonts w:ascii="宋体"/>
                <w:vanish/>
              </w:rPr>
            </w:pPr>
          </w:p>
        </w:tc>
        <w:tc>
          <w:tcPr>
            <w:tcW w:w="0" w:type="auto"/>
            <w:gridSpan w:val="3"/>
            <w:shd w:val="clear" w:color="auto" w:fill="auto"/>
          </w:tcPr>
          <w:p w14:paraId="7268FAB4" w14:textId="77777777" w:rsidR="005F762A" w:rsidRDefault="005F762A">
            <w:pPr>
              <w:rPr>
                <w:rFonts w:ascii="宋体"/>
                <w:vanish/>
              </w:rPr>
            </w:pPr>
          </w:p>
        </w:tc>
        <w:tc>
          <w:tcPr>
            <w:tcW w:w="0" w:type="auto"/>
            <w:gridSpan w:val="3"/>
            <w:shd w:val="clear" w:color="auto" w:fill="auto"/>
          </w:tcPr>
          <w:p w14:paraId="7268FAB5" w14:textId="77777777" w:rsidR="005F762A" w:rsidRDefault="005F762A">
            <w:pPr>
              <w:rPr>
                <w:rFonts w:ascii="宋体"/>
                <w:vanish/>
              </w:rPr>
            </w:pPr>
          </w:p>
        </w:tc>
        <w:tc>
          <w:tcPr>
            <w:tcW w:w="0" w:type="auto"/>
            <w:gridSpan w:val="3"/>
            <w:shd w:val="clear" w:color="auto" w:fill="auto"/>
          </w:tcPr>
          <w:p w14:paraId="7268FAB6" w14:textId="77777777" w:rsidR="005F762A" w:rsidRDefault="005F762A">
            <w:pPr>
              <w:rPr>
                <w:rFonts w:ascii="宋体"/>
                <w:vanish/>
              </w:rPr>
            </w:pPr>
          </w:p>
        </w:tc>
        <w:tc>
          <w:tcPr>
            <w:tcW w:w="0" w:type="auto"/>
            <w:gridSpan w:val="3"/>
            <w:shd w:val="clear" w:color="auto" w:fill="auto"/>
          </w:tcPr>
          <w:p w14:paraId="7268FAB7" w14:textId="77777777" w:rsidR="005F762A" w:rsidRDefault="005F762A">
            <w:pPr>
              <w:rPr>
                <w:rFonts w:ascii="宋体"/>
                <w:vanish/>
              </w:rPr>
            </w:pPr>
          </w:p>
        </w:tc>
        <w:tc>
          <w:tcPr>
            <w:tcW w:w="0" w:type="auto"/>
            <w:gridSpan w:val="3"/>
            <w:shd w:val="clear" w:color="auto" w:fill="auto"/>
          </w:tcPr>
          <w:p w14:paraId="7268FAB8" w14:textId="77777777" w:rsidR="005F762A" w:rsidRDefault="005F762A">
            <w:pPr>
              <w:rPr>
                <w:rFonts w:ascii="宋体"/>
                <w:vanish/>
              </w:rPr>
            </w:pPr>
          </w:p>
        </w:tc>
      </w:tr>
      <w:tr w:rsidR="005F762A" w14:paraId="7268FACA" w14:textId="77777777">
        <w:trPr>
          <w:hidden/>
        </w:trPr>
        <w:tc>
          <w:tcPr>
            <w:tcW w:w="0" w:type="auto"/>
            <w:gridSpan w:val="3"/>
            <w:shd w:val="clear" w:color="auto" w:fill="auto"/>
          </w:tcPr>
          <w:p w14:paraId="7268FABA" w14:textId="77777777" w:rsidR="005F762A" w:rsidRDefault="005F762A">
            <w:pPr>
              <w:rPr>
                <w:rFonts w:ascii="宋体"/>
                <w:vanish/>
              </w:rPr>
            </w:pPr>
          </w:p>
        </w:tc>
        <w:tc>
          <w:tcPr>
            <w:tcW w:w="0" w:type="auto"/>
            <w:shd w:val="clear" w:color="auto" w:fill="auto"/>
          </w:tcPr>
          <w:p w14:paraId="7268FABB" w14:textId="77777777" w:rsidR="005F762A" w:rsidRDefault="005F762A">
            <w:pPr>
              <w:rPr>
                <w:rFonts w:ascii="宋体"/>
                <w:vanish/>
              </w:rPr>
            </w:pPr>
          </w:p>
        </w:tc>
        <w:tc>
          <w:tcPr>
            <w:tcW w:w="0" w:type="auto"/>
            <w:shd w:val="clear" w:color="auto" w:fill="auto"/>
          </w:tcPr>
          <w:p w14:paraId="7268FABC" w14:textId="77777777" w:rsidR="005F762A" w:rsidRDefault="005F762A">
            <w:pPr>
              <w:rPr>
                <w:rFonts w:ascii="宋体"/>
                <w:vanish/>
              </w:rPr>
            </w:pPr>
          </w:p>
        </w:tc>
        <w:tc>
          <w:tcPr>
            <w:tcW w:w="0" w:type="auto"/>
            <w:shd w:val="clear" w:color="auto" w:fill="auto"/>
          </w:tcPr>
          <w:p w14:paraId="7268FABD" w14:textId="77777777" w:rsidR="005F762A" w:rsidRDefault="005F762A">
            <w:pPr>
              <w:rPr>
                <w:rFonts w:ascii="宋体"/>
                <w:vanish/>
              </w:rPr>
            </w:pPr>
          </w:p>
        </w:tc>
        <w:tc>
          <w:tcPr>
            <w:tcW w:w="0" w:type="auto"/>
            <w:shd w:val="clear" w:color="auto" w:fill="auto"/>
          </w:tcPr>
          <w:p w14:paraId="7268FABE" w14:textId="77777777" w:rsidR="005F762A" w:rsidRDefault="005F762A">
            <w:pPr>
              <w:rPr>
                <w:rFonts w:ascii="宋体"/>
                <w:vanish/>
              </w:rPr>
            </w:pPr>
          </w:p>
        </w:tc>
        <w:tc>
          <w:tcPr>
            <w:tcW w:w="0" w:type="auto"/>
            <w:shd w:val="clear" w:color="auto" w:fill="auto"/>
          </w:tcPr>
          <w:p w14:paraId="7268FABF" w14:textId="77777777" w:rsidR="005F762A" w:rsidRDefault="005F762A">
            <w:pPr>
              <w:rPr>
                <w:rFonts w:ascii="宋体"/>
                <w:vanish/>
              </w:rPr>
            </w:pPr>
          </w:p>
        </w:tc>
        <w:tc>
          <w:tcPr>
            <w:tcW w:w="0" w:type="auto"/>
            <w:shd w:val="clear" w:color="auto" w:fill="auto"/>
          </w:tcPr>
          <w:p w14:paraId="7268FAC0" w14:textId="77777777" w:rsidR="005F762A" w:rsidRDefault="005F762A">
            <w:pPr>
              <w:rPr>
                <w:rFonts w:ascii="宋体"/>
                <w:vanish/>
              </w:rPr>
            </w:pPr>
          </w:p>
        </w:tc>
        <w:tc>
          <w:tcPr>
            <w:tcW w:w="0" w:type="auto"/>
            <w:shd w:val="clear" w:color="auto" w:fill="auto"/>
          </w:tcPr>
          <w:p w14:paraId="7268FAC1" w14:textId="77777777" w:rsidR="005F762A" w:rsidRDefault="005F762A">
            <w:pPr>
              <w:rPr>
                <w:rFonts w:ascii="宋体"/>
                <w:vanish/>
              </w:rPr>
            </w:pPr>
          </w:p>
        </w:tc>
        <w:tc>
          <w:tcPr>
            <w:tcW w:w="0" w:type="auto"/>
            <w:gridSpan w:val="3"/>
            <w:shd w:val="clear" w:color="auto" w:fill="auto"/>
          </w:tcPr>
          <w:p w14:paraId="7268FAC2" w14:textId="77777777" w:rsidR="005F762A" w:rsidRDefault="005F762A">
            <w:pPr>
              <w:rPr>
                <w:rFonts w:ascii="宋体"/>
                <w:vanish/>
              </w:rPr>
            </w:pPr>
          </w:p>
        </w:tc>
        <w:tc>
          <w:tcPr>
            <w:tcW w:w="0" w:type="auto"/>
            <w:gridSpan w:val="3"/>
            <w:shd w:val="clear" w:color="auto" w:fill="auto"/>
          </w:tcPr>
          <w:p w14:paraId="7268FAC3" w14:textId="77777777" w:rsidR="005F762A" w:rsidRDefault="005F762A">
            <w:pPr>
              <w:rPr>
                <w:rFonts w:ascii="宋体"/>
                <w:vanish/>
              </w:rPr>
            </w:pPr>
          </w:p>
        </w:tc>
        <w:tc>
          <w:tcPr>
            <w:tcW w:w="0" w:type="auto"/>
            <w:gridSpan w:val="3"/>
            <w:shd w:val="clear" w:color="auto" w:fill="auto"/>
          </w:tcPr>
          <w:p w14:paraId="7268FAC4" w14:textId="77777777" w:rsidR="005F762A" w:rsidRDefault="005F762A">
            <w:pPr>
              <w:rPr>
                <w:rFonts w:ascii="宋体"/>
                <w:vanish/>
              </w:rPr>
            </w:pPr>
          </w:p>
        </w:tc>
        <w:tc>
          <w:tcPr>
            <w:tcW w:w="0" w:type="auto"/>
            <w:gridSpan w:val="3"/>
            <w:shd w:val="clear" w:color="auto" w:fill="auto"/>
          </w:tcPr>
          <w:p w14:paraId="7268FAC5" w14:textId="77777777" w:rsidR="005F762A" w:rsidRDefault="005F762A">
            <w:pPr>
              <w:rPr>
                <w:rFonts w:ascii="宋体"/>
                <w:vanish/>
              </w:rPr>
            </w:pPr>
          </w:p>
        </w:tc>
        <w:tc>
          <w:tcPr>
            <w:tcW w:w="0" w:type="auto"/>
            <w:gridSpan w:val="3"/>
            <w:shd w:val="clear" w:color="auto" w:fill="auto"/>
          </w:tcPr>
          <w:p w14:paraId="7268FAC6" w14:textId="77777777" w:rsidR="005F762A" w:rsidRDefault="005F762A">
            <w:pPr>
              <w:rPr>
                <w:rFonts w:ascii="宋体"/>
                <w:vanish/>
              </w:rPr>
            </w:pPr>
          </w:p>
        </w:tc>
        <w:tc>
          <w:tcPr>
            <w:tcW w:w="0" w:type="auto"/>
            <w:gridSpan w:val="3"/>
            <w:shd w:val="clear" w:color="auto" w:fill="auto"/>
          </w:tcPr>
          <w:p w14:paraId="7268FAC7" w14:textId="77777777" w:rsidR="005F762A" w:rsidRDefault="005F762A">
            <w:pPr>
              <w:rPr>
                <w:rFonts w:ascii="宋体"/>
                <w:vanish/>
              </w:rPr>
            </w:pPr>
          </w:p>
        </w:tc>
        <w:tc>
          <w:tcPr>
            <w:tcW w:w="0" w:type="auto"/>
            <w:gridSpan w:val="3"/>
            <w:shd w:val="clear" w:color="auto" w:fill="auto"/>
          </w:tcPr>
          <w:p w14:paraId="7268FAC8" w14:textId="77777777" w:rsidR="005F762A" w:rsidRDefault="005F762A">
            <w:pPr>
              <w:rPr>
                <w:rFonts w:ascii="宋体"/>
                <w:vanish/>
              </w:rPr>
            </w:pPr>
          </w:p>
        </w:tc>
        <w:tc>
          <w:tcPr>
            <w:tcW w:w="0" w:type="auto"/>
            <w:gridSpan w:val="3"/>
            <w:shd w:val="clear" w:color="auto" w:fill="auto"/>
          </w:tcPr>
          <w:p w14:paraId="7268FAC9" w14:textId="77777777" w:rsidR="005F762A" w:rsidRDefault="005F762A">
            <w:pPr>
              <w:rPr>
                <w:rFonts w:ascii="宋体"/>
                <w:vanish/>
              </w:rPr>
            </w:pPr>
          </w:p>
        </w:tc>
      </w:tr>
    </w:tbl>
    <w:p w14:paraId="7268FACB" w14:textId="77777777" w:rsidR="005F762A" w:rsidRDefault="005F762A">
      <w:pPr>
        <w:ind w:firstLine="540"/>
        <w:jc w:val="both"/>
      </w:pPr>
    </w:p>
    <w:p w14:paraId="7268FACC" w14:textId="77777777" w:rsidR="005F762A" w:rsidRDefault="00D74111">
      <w:pPr>
        <w:ind w:firstLine="540"/>
        <w:jc w:val="both"/>
      </w:pPr>
      <w:r>
        <w:rPr>
          <w:rFonts w:ascii="Arial" w:eastAsia="宋体" w:hAnsi="Arial" w:cs="Arial"/>
          <w:color w:val="000000"/>
          <w:sz w:val="20"/>
          <w:szCs w:val="20"/>
        </w:rPr>
        <w:t>The increase in MS&amp;O revenues during the three months ended March 31, 2021 compared to the same period in 2020 was primarily attributable to our first-party inventory program in Korea and an increase in revenues from revenue sharing agreements for shipping</w:t>
      </w:r>
      <w:r>
        <w:rPr>
          <w:rFonts w:ascii="Arial" w:eastAsia="宋体" w:hAnsi="Arial" w:cs="Arial"/>
          <w:color w:val="000000"/>
          <w:sz w:val="20"/>
          <w:szCs w:val="20"/>
        </w:rPr>
        <w:t xml:space="preserve"> arrangements. </w:t>
      </w:r>
    </w:p>
    <w:p w14:paraId="7268FACD" w14:textId="77777777" w:rsidR="005F762A" w:rsidRDefault="005F762A">
      <w:pPr>
        <w:ind w:firstLine="540"/>
        <w:jc w:val="both"/>
      </w:pPr>
    </w:p>
    <w:p w14:paraId="7268FACE" w14:textId="77777777" w:rsidR="005F762A" w:rsidRDefault="00D74111">
      <w:pPr>
        <w:jc w:val="both"/>
      </w:pPr>
      <w:r>
        <w:rPr>
          <w:rFonts w:ascii="Arial" w:eastAsia="宋体" w:hAnsi="Arial" w:cs="Arial"/>
          <w:b/>
          <w:bCs/>
          <w:i/>
          <w:iCs/>
          <w:color w:val="000000"/>
          <w:sz w:val="20"/>
          <w:szCs w:val="20"/>
        </w:rPr>
        <w:t>Cost of Net Revenues</w:t>
      </w:r>
    </w:p>
    <w:p w14:paraId="7268FACF" w14:textId="77777777" w:rsidR="005F762A" w:rsidRDefault="005F762A"/>
    <w:p w14:paraId="7268FAD0" w14:textId="77777777" w:rsidR="005F762A" w:rsidRDefault="00D74111">
      <w:pPr>
        <w:ind w:firstLine="540"/>
        <w:jc w:val="both"/>
      </w:pPr>
      <w:r>
        <w:rPr>
          <w:rFonts w:ascii="Arial" w:eastAsia="宋体" w:hAnsi="Arial" w:cs="Arial"/>
          <w:color w:val="000000"/>
          <w:sz w:val="20"/>
          <w:szCs w:val="20"/>
        </w:rPr>
        <w:t>Cost of net revenues primarily consists of costs associated with customer support, site operations, costs of goods sold and payment processing. Significant components of these costs include employee compensation, cont</w:t>
      </w:r>
      <w:r>
        <w:rPr>
          <w:rFonts w:ascii="Arial" w:eastAsia="宋体" w:hAnsi="Arial" w:cs="Arial"/>
          <w:color w:val="000000"/>
          <w:sz w:val="20"/>
          <w:szCs w:val="20"/>
        </w:rPr>
        <w:t>ractor costs, facilities costs, depreciation of equipment and amortization expense, first-party inventory program costs, bank transaction fees, credit card interchange and assessment fees and digital services tax. The following table presents cost of net r</w:t>
      </w:r>
      <w:r>
        <w:rPr>
          <w:rFonts w:ascii="Arial" w:eastAsia="宋体" w:hAnsi="Arial" w:cs="Arial"/>
          <w:color w:val="000000"/>
          <w:sz w:val="20"/>
          <w:szCs w:val="20"/>
        </w:rPr>
        <w:t>evenues (in millions, except percentages):</w:t>
      </w:r>
    </w:p>
    <w:p w14:paraId="7268FAD1" w14:textId="77777777" w:rsidR="005F762A" w:rsidRDefault="005F762A">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5501"/>
        <w:gridCol w:w="37"/>
        <w:gridCol w:w="36"/>
        <w:gridCol w:w="36"/>
        <w:gridCol w:w="36"/>
        <w:gridCol w:w="46"/>
        <w:gridCol w:w="36"/>
        <w:gridCol w:w="36"/>
        <w:gridCol w:w="36"/>
        <w:gridCol w:w="36"/>
        <w:gridCol w:w="109"/>
        <w:gridCol w:w="495"/>
        <w:gridCol w:w="163"/>
        <w:gridCol w:w="36"/>
        <w:gridCol w:w="36"/>
        <w:gridCol w:w="36"/>
        <w:gridCol w:w="109"/>
        <w:gridCol w:w="496"/>
        <w:gridCol w:w="163"/>
        <w:gridCol w:w="36"/>
        <w:gridCol w:w="36"/>
        <w:gridCol w:w="36"/>
        <w:gridCol w:w="61"/>
        <w:gridCol w:w="487"/>
        <w:gridCol w:w="163"/>
      </w:tblGrid>
      <w:tr w:rsidR="005F762A" w14:paraId="7268FAEC" w14:textId="77777777">
        <w:tc>
          <w:tcPr>
            <w:tcW w:w="50" w:type="pct"/>
            <w:shd w:val="clear" w:color="auto" w:fill="auto"/>
          </w:tcPr>
          <w:p w14:paraId="7268FAD2" w14:textId="77777777" w:rsidR="005F762A" w:rsidRDefault="005F762A">
            <w:pPr>
              <w:rPr>
                <w:rFonts w:ascii="宋体"/>
              </w:rPr>
            </w:pPr>
          </w:p>
        </w:tc>
        <w:tc>
          <w:tcPr>
            <w:tcW w:w="3453" w:type="pct"/>
            <w:shd w:val="clear" w:color="auto" w:fill="auto"/>
          </w:tcPr>
          <w:p w14:paraId="7268FAD3" w14:textId="77777777" w:rsidR="005F762A" w:rsidRDefault="005F762A">
            <w:pPr>
              <w:rPr>
                <w:rFonts w:ascii="宋体"/>
              </w:rPr>
            </w:pPr>
          </w:p>
        </w:tc>
        <w:tc>
          <w:tcPr>
            <w:tcW w:w="5" w:type="pct"/>
            <w:shd w:val="clear" w:color="auto" w:fill="auto"/>
          </w:tcPr>
          <w:p w14:paraId="7268FAD4" w14:textId="77777777" w:rsidR="005F762A" w:rsidRDefault="005F762A">
            <w:pPr>
              <w:rPr>
                <w:rFonts w:ascii="宋体"/>
              </w:rPr>
            </w:pPr>
          </w:p>
        </w:tc>
        <w:tc>
          <w:tcPr>
            <w:tcW w:w="0" w:type="auto"/>
            <w:shd w:val="clear" w:color="auto" w:fill="auto"/>
          </w:tcPr>
          <w:p w14:paraId="7268FAD5" w14:textId="77777777" w:rsidR="005F762A" w:rsidRDefault="005F762A">
            <w:pPr>
              <w:rPr>
                <w:rFonts w:ascii="宋体"/>
                <w:vanish/>
              </w:rPr>
            </w:pPr>
          </w:p>
        </w:tc>
        <w:tc>
          <w:tcPr>
            <w:tcW w:w="0" w:type="auto"/>
            <w:shd w:val="clear" w:color="auto" w:fill="auto"/>
          </w:tcPr>
          <w:p w14:paraId="7268FAD6" w14:textId="77777777" w:rsidR="005F762A" w:rsidRDefault="005F762A">
            <w:pPr>
              <w:rPr>
                <w:rFonts w:ascii="宋体"/>
                <w:vanish/>
              </w:rPr>
            </w:pPr>
          </w:p>
        </w:tc>
        <w:tc>
          <w:tcPr>
            <w:tcW w:w="0" w:type="auto"/>
            <w:shd w:val="clear" w:color="auto" w:fill="auto"/>
          </w:tcPr>
          <w:p w14:paraId="7268FAD7" w14:textId="77777777" w:rsidR="005F762A" w:rsidRDefault="005F762A">
            <w:pPr>
              <w:rPr>
                <w:rFonts w:ascii="宋体"/>
                <w:vanish/>
              </w:rPr>
            </w:pPr>
          </w:p>
        </w:tc>
        <w:tc>
          <w:tcPr>
            <w:tcW w:w="0" w:type="auto"/>
            <w:shd w:val="clear" w:color="auto" w:fill="auto"/>
          </w:tcPr>
          <w:p w14:paraId="7268FAD8" w14:textId="77777777" w:rsidR="005F762A" w:rsidRDefault="005F762A">
            <w:pPr>
              <w:rPr>
                <w:rFonts w:ascii="宋体"/>
                <w:vanish/>
              </w:rPr>
            </w:pPr>
          </w:p>
        </w:tc>
        <w:tc>
          <w:tcPr>
            <w:tcW w:w="0" w:type="auto"/>
            <w:shd w:val="clear" w:color="auto" w:fill="auto"/>
          </w:tcPr>
          <w:p w14:paraId="7268FAD9" w14:textId="77777777" w:rsidR="005F762A" w:rsidRDefault="005F762A">
            <w:pPr>
              <w:rPr>
                <w:rFonts w:ascii="宋体"/>
                <w:vanish/>
              </w:rPr>
            </w:pPr>
          </w:p>
        </w:tc>
        <w:tc>
          <w:tcPr>
            <w:tcW w:w="5" w:type="pct"/>
            <w:shd w:val="clear" w:color="auto" w:fill="auto"/>
          </w:tcPr>
          <w:p w14:paraId="7268FADA" w14:textId="77777777" w:rsidR="005F762A" w:rsidRDefault="005F762A">
            <w:pPr>
              <w:rPr>
                <w:rFonts w:ascii="宋体"/>
              </w:rPr>
            </w:pPr>
          </w:p>
        </w:tc>
        <w:tc>
          <w:tcPr>
            <w:tcW w:w="26" w:type="pct"/>
            <w:shd w:val="clear" w:color="auto" w:fill="auto"/>
          </w:tcPr>
          <w:p w14:paraId="7268FADB" w14:textId="77777777" w:rsidR="005F762A" w:rsidRDefault="005F762A">
            <w:pPr>
              <w:rPr>
                <w:rFonts w:ascii="宋体"/>
              </w:rPr>
            </w:pPr>
          </w:p>
        </w:tc>
        <w:tc>
          <w:tcPr>
            <w:tcW w:w="5" w:type="pct"/>
            <w:shd w:val="clear" w:color="auto" w:fill="auto"/>
          </w:tcPr>
          <w:p w14:paraId="7268FADC" w14:textId="77777777" w:rsidR="005F762A" w:rsidRDefault="005F762A">
            <w:pPr>
              <w:rPr>
                <w:rFonts w:ascii="宋体"/>
              </w:rPr>
            </w:pPr>
          </w:p>
        </w:tc>
        <w:tc>
          <w:tcPr>
            <w:tcW w:w="50" w:type="pct"/>
            <w:shd w:val="clear" w:color="auto" w:fill="auto"/>
          </w:tcPr>
          <w:p w14:paraId="7268FADD" w14:textId="77777777" w:rsidR="005F762A" w:rsidRDefault="005F762A">
            <w:pPr>
              <w:rPr>
                <w:rFonts w:ascii="宋体"/>
              </w:rPr>
            </w:pPr>
          </w:p>
        </w:tc>
        <w:tc>
          <w:tcPr>
            <w:tcW w:w="405" w:type="pct"/>
            <w:shd w:val="clear" w:color="auto" w:fill="auto"/>
          </w:tcPr>
          <w:p w14:paraId="7268FADE" w14:textId="77777777" w:rsidR="005F762A" w:rsidRDefault="005F762A">
            <w:pPr>
              <w:rPr>
                <w:rFonts w:ascii="宋体"/>
              </w:rPr>
            </w:pPr>
          </w:p>
        </w:tc>
        <w:tc>
          <w:tcPr>
            <w:tcW w:w="5" w:type="pct"/>
            <w:shd w:val="clear" w:color="auto" w:fill="auto"/>
          </w:tcPr>
          <w:p w14:paraId="7268FADF" w14:textId="77777777" w:rsidR="005F762A" w:rsidRDefault="005F762A">
            <w:pPr>
              <w:rPr>
                <w:rFonts w:ascii="宋体"/>
              </w:rPr>
            </w:pPr>
          </w:p>
        </w:tc>
        <w:tc>
          <w:tcPr>
            <w:tcW w:w="5" w:type="pct"/>
            <w:shd w:val="clear" w:color="auto" w:fill="auto"/>
          </w:tcPr>
          <w:p w14:paraId="7268FAE0" w14:textId="77777777" w:rsidR="005F762A" w:rsidRDefault="005F762A">
            <w:pPr>
              <w:rPr>
                <w:rFonts w:ascii="宋体"/>
              </w:rPr>
            </w:pPr>
          </w:p>
        </w:tc>
        <w:tc>
          <w:tcPr>
            <w:tcW w:w="26" w:type="pct"/>
            <w:shd w:val="clear" w:color="auto" w:fill="auto"/>
          </w:tcPr>
          <w:p w14:paraId="7268FAE1" w14:textId="77777777" w:rsidR="005F762A" w:rsidRDefault="005F762A">
            <w:pPr>
              <w:rPr>
                <w:rFonts w:ascii="宋体"/>
              </w:rPr>
            </w:pPr>
          </w:p>
        </w:tc>
        <w:tc>
          <w:tcPr>
            <w:tcW w:w="5" w:type="pct"/>
            <w:shd w:val="clear" w:color="auto" w:fill="auto"/>
          </w:tcPr>
          <w:p w14:paraId="7268FAE2" w14:textId="77777777" w:rsidR="005F762A" w:rsidRDefault="005F762A">
            <w:pPr>
              <w:rPr>
                <w:rFonts w:ascii="宋体"/>
              </w:rPr>
            </w:pPr>
          </w:p>
        </w:tc>
        <w:tc>
          <w:tcPr>
            <w:tcW w:w="50" w:type="pct"/>
            <w:shd w:val="clear" w:color="auto" w:fill="auto"/>
          </w:tcPr>
          <w:p w14:paraId="7268FAE3" w14:textId="77777777" w:rsidR="005F762A" w:rsidRDefault="005F762A">
            <w:pPr>
              <w:rPr>
                <w:rFonts w:ascii="宋体"/>
              </w:rPr>
            </w:pPr>
          </w:p>
        </w:tc>
        <w:tc>
          <w:tcPr>
            <w:tcW w:w="405" w:type="pct"/>
            <w:shd w:val="clear" w:color="auto" w:fill="auto"/>
          </w:tcPr>
          <w:p w14:paraId="7268FAE4" w14:textId="77777777" w:rsidR="005F762A" w:rsidRDefault="005F762A">
            <w:pPr>
              <w:rPr>
                <w:rFonts w:ascii="宋体"/>
              </w:rPr>
            </w:pPr>
          </w:p>
        </w:tc>
        <w:tc>
          <w:tcPr>
            <w:tcW w:w="5" w:type="pct"/>
            <w:shd w:val="clear" w:color="auto" w:fill="auto"/>
          </w:tcPr>
          <w:p w14:paraId="7268FAE5" w14:textId="77777777" w:rsidR="005F762A" w:rsidRDefault="005F762A">
            <w:pPr>
              <w:rPr>
                <w:rFonts w:ascii="宋体"/>
              </w:rPr>
            </w:pPr>
          </w:p>
        </w:tc>
        <w:tc>
          <w:tcPr>
            <w:tcW w:w="5" w:type="pct"/>
            <w:shd w:val="clear" w:color="auto" w:fill="auto"/>
          </w:tcPr>
          <w:p w14:paraId="7268FAE6" w14:textId="77777777" w:rsidR="005F762A" w:rsidRDefault="005F762A">
            <w:pPr>
              <w:rPr>
                <w:rFonts w:ascii="宋体"/>
              </w:rPr>
            </w:pPr>
          </w:p>
        </w:tc>
        <w:tc>
          <w:tcPr>
            <w:tcW w:w="26" w:type="pct"/>
            <w:shd w:val="clear" w:color="auto" w:fill="auto"/>
          </w:tcPr>
          <w:p w14:paraId="7268FAE7" w14:textId="77777777" w:rsidR="005F762A" w:rsidRDefault="005F762A">
            <w:pPr>
              <w:rPr>
                <w:rFonts w:ascii="宋体"/>
              </w:rPr>
            </w:pPr>
          </w:p>
        </w:tc>
        <w:tc>
          <w:tcPr>
            <w:tcW w:w="5" w:type="pct"/>
            <w:shd w:val="clear" w:color="auto" w:fill="auto"/>
          </w:tcPr>
          <w:p w14:paraId="7268FAE8" w14:textId="77777777" w:rsidR="005F762A" w:rsidRDefault="005F762A">
            <w:pPr>
              <w:rPr>
                <w:rFonts w:ascii="宋体"/>
              </w:rPr>
            </w:pPr>
          </w:p>
        </w:tc>
        <w:tc>
          <w:tcPr>
            <w:tcW w:w="50" w:type="pct"/>
            <w:shd w:val="clear" w:color="auto" w:fill="auto"/>
          </w:tcPr>
          <w:p w14:paraId="7268FAE9" w14:textId="77777777" w:rsidR="005F762A" w:rsidRDefault="005F762A">
            <w:pPr>
              <w:rPr>
                <w:rFonts w:ascii="宋体"/>
              </w:rPr>
            </w:pPr>
          </w:p>
        </w:tc>
        <w:tc>
          <w:tcPr>
            <w:tcW w:w="405" w:type="pct"/>
            <w:shd w:val="clear" w:color="auto" w:fill="auto"/>
          </w:tcPr>
          <w:p w14:paraId="7268FAEA" w14:textId="77777777" w:rsidR="005F762A" w:rsidRDefault="005F762A">
            <w:pPr>
              <w:rPr>
                <w:rFonts w:ascii="宋体"/>
              </w:rPr>
            </w:pPr>
          </w:p>
        </w:tc>
        <w:tc>
          <w:tcPr>
            <w:tcW w:w="5" w:type="pct"/>
            <w:shd w:val="clear" w:color="auto" w:fill="auto"/>
          </w:tcPr>
          <w:p w14:paraId="7268FAEB" w14:textId="77777777" w:rsidR="005F762A" w:rsidRDefault="005F762A">
            <w:pPr>
              <w:rPr>
                <w:rFonts w:ascii="宋体"/>
              </w:rPr>
            </w:pPr>
          </w:p>
        </w:tc>
      </w:tr>
      <w:tr w:rsidR="005F762A" w14:paraId="7268FAFB" w14:textId="77777777">
        <w:tc>
          <w:tcPr>
            <w:tcW w:w="0" w:type="auto"/>
            <w:gridSpan w:val="3"/>
            <w:shd w:val="clear" w:color="auto" w:fill="auto"/>
            <w:tcMar>
              <w:top w:w="40" w:type="dxa"/>
              <w:left w:w="20" w:type="dxa"/>
              <w:bottom w:w="40" w:type="dxa"/>
              <w:right w:w="20" w:type="dxa"/>
            </w:tcMar>
            <w:vAlign w:val="bottom"/>
          </w:tcPr>
          <w:p w14:paraId="7268FAED"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AEE" w14:textId="77777777" w:rsidR="005F762A" w:rsidRDefault="005F762A">
            <w:pPr>
              <w:rPr>
                <w:rFonts w:ascii="宋体"/>
                <w:vanish/>
              </w:rPr>
            </w:pPr>
          </w:p>
        </w:tc>
        <w:tc>
          <w:tcPr>
            <w:tcW w:w="0" w:type="auto"/>
            <w:shd w:val="clear" w:color="auto" w:fill="auto"/>
          </w:tcPr>
          <w:p w14:paraId="7268FAEF" w14:textId="77777777" w:rsidR="005F762A" w:rsidRDefault="005F762A">
            <w:pPr>
              <w:rPr>
                <w:rFonts w:ascii="宋体"/>
                <w:vanish/>
              </w:rPr>
            </w:pPr>
          </w:p>
        </w:tc>
        <w:tc>
          <w:tcPr>
            <w:tcW w:w="0" w:type="auto"/>
            <w:shd w:val="clear" w:color="auto" w:fill="auto"/>
          </w:tcPr>
          <w:p w14:paraId="7268FAF0"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AF1"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AF2"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AF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AF4" w14:textId="77777777" w:rsidR="005F762A" w:rsidRDefault="005F762A">
            <w:pPr>
              <w:rPr>
                <w:rFonts w:ascii="宋体"/>
              </w:rPr>
            </w:pPr>
          </w:p>
        </w:tc>
        <w:tc>
          <w:tcPr>
            <w:tcW w:w="0" w:type="auto"/>
            <w:shd w:val="clear" w:color="auto" w:fill="auto"/>
          </w:tcPr>
          <w:p w14:paraId="7268FAF5" w14:textId="77777777" w:rsidR="005F762A" w:rsidRDefault="005F762A">
            <w:pPr>
              <w:rPr>
                <w:rFonts w:ascii="宋体"/>
              </w:rPr>
            </w:pPr>
          </w:p>
        </w:tc>
        <w:tc>
          <w:tcPr>
            <w:tcW w:w="0" w:type="auto"/>
            <w:shd w:val="clear" w:color="auto" w:fill="auto"/>
          </w:tcPr>
          <w:p w14:paraId="7268FAF6" w14:textId="77777777" w:rsidR="005F762A" w:rsidRDefault="005F762A">
            <w:pPr>
              <w:rPr>
                <w:rFonts w:ascii="宋体"/>
              </w:rPr>
            </w:pPr>
          </w:p>
        </w:tc>
        <w:tc>
          <w:tcPr>
            <w:tcW w:w="0" w:type="auto"/>
            <w:shd w:val="clear" w:color="auto" w:fill="auto"/>
          </w:tcPr>
          <w:p w14:paraId="7268FAF7" w14:textId="77777777" w:rsidR="005F762A" w:rsidRDefault="005F762A">
            <w:pPr>
              <w:rPr>
                <w:rFonts w:ascii="宋体"/>
              </w:rPr>
            </w:pPr>
          </w:p>
        </w:tc>
        <w:tc>
          <w:tcPr>
            <w:tcW w:w="0" w:type="auto"/>
            <w:shd w:val="clear" w:color="auto" w:fill="auto"/>
          </w:tcPr>
          <w:p w14:paraId="7268FAF8" w14:textId="77777777" w:rsidR="005F762A" w:rsidRDefault="005F762A">
            <w:pPr>
              <w:rPr>
                <w:rFonts w:ascii="宋体"/>
              </w:rPr>
            </w:pPr>
          </w:p>
        </w:tc>
        <w:tc>
          <w:tcPr>
            <w:tcW w:w="0" w:type="auto"/>
            <w:shd w:val="clear" w:color="auto" w:fill="auto"/>
          </w:tcPr>
          <w:p w14:paraId="7268FAF9" w14:textId="77777777" w:rsidR="005F762A" w:rsidRDefault="005F762A">
            <w:pPr>
              <w:rPr>
                <w:rFonts w:ascii="宋体"/>
              </w:rPr>
            </w:pPr>
          </w:p>
        </w:tc>
        <w:tc>
          <w:tcPr>
            <w:tcW w:w="0" w:type="auto"/>
            <w:shd w:val="clear" w:color="auto" w:fill="auto"/>
          </w:tcPr>
          <w:p w14:paraId="7268FAFA" w14:textId="77777777" w:rsidR="005F762A" w:rsidRDefault="005F762A">
            <w:pPr>
              <w:rPr>
                <w:rFonts w:ascii="宋体"/>
              </w:rPr>
            </w:pPr>
          </w:p>
        </w:tc>
      </w:tr>
      <w:tr w:rsidR="005F762A" w14:paraId="7268FB08" w14:textId="77777777">
        <w:tc>
          <w:tcPr>
            <w:tcW w:w="0" w:type="auto"/>
            <w:gridSpan w:val="3"/>
            <w:shd w:val="clear" w:color="auto" w:fill="auto"/>
            <w:tcMar>
              <w:top w:w="40" w:type="dxa"/>
              <w:left w:w="20" w:type="dxa"/>
              <w:bottom w:w="40" w:type="dxa"/>
              <w:right w:w="20" w:type="dxa"/>
            </w:tcMar>
            <w:vAlign w:val="bottom"/>
          </w:tcPr>
          <w:p w14:paraId="7268FAFC"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AFD" w14:textId="77777777" w:rsidR="005F762A" w:rsidRDefault="005F762A">
            <w:pPr>
              <w:rPr>
                <w:rFonts w:ascii="宋体"/>
                <w:vanish/>
              </w:rPr>
            </w:pPr>
          </w:p>
        </w:tc>
        <w:tc>
          <w:tcPr>
            <w:tcW w:w="0" w:type="auto"/>
            <w:shd w:val="clear" w:color="auto" w:fill="auto"/>
          </w:tcPr>
          <w:p w14:paraId="7268FAFE" w14:textId="77777777" w:rsidR="005F762A" w:rsidRDefault="005F762A">
            <w:pPr>
              <w:rPr>
                <w:rFonts w:ascii="宋体"/>
                <w:vanish/>
              </w:rPr>
            </w:pPr>
          </w:p>
        </w:tc>
        <w:tc>
          <w:tcPr>
            <w:tcW w:w="0" w:type="auto"/>
            <w:shd w:val="clear" w:color="auto" w:fill="auto"/>
          </w:tcPr>
          <w:p w14:paraId="7268FAFF" w14:textId="77777777" w:rsidR="005F762A" w:rsidRDefault="005F762A">
            <w:pPr>
              <w:rPr>
                <w:rFonts w:ascii="宋体"/>
                <w:vanish/>
              </w:rPr>
            </w:pPr>
          </w:p>
        </w:tc>
        <w:tc>
          <w:tcPr>
            <w:tcW w:w="0" w:type="auto"/>
            <w:shd w:val="clear" w:color="auto" w:fill="auto"/>
          </w:tcPr>
          <w:p w14:paraId="7268FB00" w14:textId="77777777" w:rsidR="005F762A" w:rsidRDefault="005F762A">
            <w:pPr>
              <w:rPr>
                <w:rFonts w:ascii="宋体"/>
                <w:vanish/>
              </w:rPr>
            </w:pPr>
          </w:p>
        </w:tc>
        <w:tc>
          <w:tcPr>
            <w:tcW w:w="0" w:type="auto"/>
            <w:shd w:val="clear" w:color="auto" w:fill="auto"/>
          </w:tcPr>
          <w:p w14:paraId="7268FB01"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B0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03"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B0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05"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B0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07" w14:textId="77777777" w:rsidR="005F762A" w:rsidRDefault="00D74111">
            <w:pPr>
              <w:jc w:val="center"/>
              <w:textAlignment w:val="bottom"/>
            </w:pPr>
            <w:r>
              <w:rPr>
                <w:rFonts w:ascii="Arial" w:eastAsia="宋体" w:hAnsi="Arial" w:cs="Arial"/>
                <w:b/>
                <w:bCs/>
                <w:color w:val="000000"/>
                <w:sz w:val="14"/>
                <w:szCs w:val="14"/>
              </w:rPr>
              <w:t>% Change</w:t>
            </w:r>
          </w:p>
        </w:tc>
      </w:tr>
      <w:tr w:rsidR="005F762A" w14:paraId="7268FB1A" w14:textId="77777777">
        <w:tc>
          <w:tcPr>
            <w:tcW w:w="0" w:type="auto"/>
            <w:gridSpan w:val="3"/>
            <w:shd w:val="clear" w:color="auto" w:fill="E2E2E2"/>
            <w:tcMar>
              <w:top w:w="40" w:type="dxa"/>
              <w:left w:w="20" w:type="dxa"/>
              <w:bottom w:w="40" w:type="dxa"/>
              <w:right w:w="20" w:type="dxa"/>
            </w:tcMar>
            <w:vAlign w:val="bottom"/>
          </w:tcPr>
          <w:p w14:paraId="7268FB09" w14:textId="77777777" w:rsidR="005F762A" w:rsidRDefault="00D74111">
            <w:pPr>
              <w:textAlignment w:val="bottom"/>
            </w:pPr>
            <w:r>
              <w:rPr>
                <w:rFonts w:ascii="Arial" w:eastAsia="宋体" w:hAnsi="Arial" w:cs="Arial"/>
                <w:color w:val="000000"/>
                <w:sz w:val="16"/>
                <w:szCs w:val="16"/>
              </w:rPr>
              <w:t>Cost of net revenues</w:t>
            </w:r>
          </w:p>
        </w:tc>
        <w:tc>
          <w:tcPr>
            <w:tcW w:w="0" w:type="auto"/>
            <w:shd w:val="clear" w:color="auto" w:fill="auto"/>
          </w:tcPr>
          <w:p w14:paraId="7268FB0A" w14:textId="77777777" w:rsidR="005F762A" w:rsidRDefault="005F762A">
            <w:pPr>
              <w:rPr>
                <w:rFonts w:ascii="宋体"/>
                <w:vanish/>
              </w:rPr>
            </w:pPr>
          </w:p>
        </w:tc>
        <w:tc>
          <w:tcPr>
            <w:tcW w:w="0" w:type="auto"/>
            <w:shd w:val="clear" w:color="auto" w:fill="auto"/>
          </w:tcPr>
          <w:p w14:paraId="7268FB0B" w14:textId="77777777" w:rsidR="005F762A" w:rsidRDefault="005F762A">
            <w:pPr>
              <w:rPr>
                <w:rFonts w:ascii="宋体"/>
                <w:vanish/>
              </w:rPr>
            </w:pPr>
          </w:p>
        </w:tc>
        <w:tc>
          <w:tcPr>
            <w:tcW w:w="0" w:type="auto"/>
            <w:shd w:val="clear" w:color="auto" w:fill="auto"/>
          </w:tcPr>
          <w:p w14:paraId="7268FB0C" w14:textId="77777777" w:rsidR="005F762A" w:rsidRDefault="005F762A">
            <w:pPr>
              <w:rPr>
                <w:rFonts w:ascii="宋体"/>
                <w:vanish/>
              </w:rPr>
            </w:pPr>
          </w:p>
        </w:tc>
        <w:tc>
          <w:tcPr>
            <w:tcW w:w="0" w:type="auto"/>
            <w:shd w:val="clear" w:color="auto" w:fill="auto"/>
          </w:tcPr>
          <w:p w14:paraId="7268FB0D" w14:textId="77777777" w:rsidR="005F762A" w:rsidRDefault="005F762A">
            <w:pPr>
              <w:rPr>
                <w:rFonts w:ascii="宋体"/>
                <w:vanish/>
              </w:rPr>
            </w:pPr>
          </w:p>
        </w:tc>
        <w:tc>
          <w:tcPr>
            <w:tcW w:w="0" w:type="auto"/>
            <w:shd w:val="clear" w:color="auto" w:fill="auto"/>
          </w:tcPr>
          <w:p w14:paraId="7268FB0E"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0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B10"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B11" w14:textId="77777777" w:rsidR="005F762A" w:rsidRDefault="00D74111">
            <w:pPr>
              <w:jc w:val="right"/>
              <w:textAlignment w:val="bottom"/>
            </w:pPr>
            <w:r>
              <w:rPr>
                <w:rFonts w:ascii="Arial" w:eastAsia="宋体" w:hAnsi="Arial" w:cs="Arial"/>
                <w:color w:val="000000"/>
                <w:sz w:val="16"/>
                <w:szCs w:val="16"/>
              </w:rPr>
              <w:t>823 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12"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1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B14"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B15" w14:textId="77777777" w:rsidR="005F762A" w:rsidRDefault="00D74111">
            <w:pPr>
              <w:jc w:val="right"/>
              <w:textAlignment w:val="bottom"/>
            </w:pPr>
            <w:r>
              <w:rPr>
                <w:rFonts w:ascii="Arial" w:eastAsia="宋体" w:hAnsi="Arial" w:cs="Arial"/>
                <w:color w:val="000000"/>
                <w:sz w:val="16"/>
                <w:szCs w:val="16"/>
              </w:rPr>
              <w:t>502 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1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17"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B18" w14:textId="77777777" w:rsidR="005F762A" w:rsidRDefault="00D74111">
            <w:pPr>
              <w:jc w:val="right"/>
              <w:textAlignment w:val="bottom"/>
            </w:pPr>
            <w:r>
              <w:rPr>
                <w:rFonts w:ascii="Arial" w:eastAsia="宋体" w:hAnsi="Arial" w:cs="Arial"/>
                <w:color w:val="000000"/>
                <w:sz w:val="16"/>
                <w:szCs w:val="16"/>
              </w:rPr>
              <w:t>64 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19" w14:textId="77777777" w:rsidR="005F762A" w:rsidRDefault="00D74111">
            <w:pPr>
              <w:jc w:val="right"/>
              <w:textAlignment w:val="bottom"/>
            </w:pPr>
            <w:r>
              <w:rPr>
                <w:rFonts w:ascii="Arial" w:eastAsia="宋体" w:hAnsi="Arial" w:cs="Arial"/>
                <w:color w:val="000000"/>
                <w:sz w:val="16"/>
                <w:szCs w:val="16"/>
              </w:rPr>
              <w:t>%</w:t>
            </w:r>
          </w:p>
        </w:tc>
      </w:tr>
      <w:tr w:rsidR="005F762A" w14:paraId="7268FB29" w14:textId="77777777">
        <w:tc>
          <w:tcPr>
            <w:tcW w:w="0" w:type="auto"/>
            <w:gridSpan w:val="3"/>
            <w:shd w:val="clear" w:color="auto" w:fill="FFFFFF"/>
            <w:tcMar>
              <w:top w:w="40" w:type="dxa"/>
              <w:left w:w="155" w:type="dxa"/>
              <w:bottom w:w="40" w:type="dxa"/>
              <w:right w:w="20" w:type="dxa"/>
            </w:tcMar>
            <w:vAlign w:val="bottom"/>
          </w:tcPr>
          <w:p w14:paraId="7268FB1B"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B1C" w14:textId="77777777" w:rsidR="005F762A" w:rsidRDefault="005F762A">
            <w:pPr>
              <w:rPr>
                <w:rFonts w:ascii="宋体"/>
                <w:vanish/>
              </w:rPr>
            </w:pPr>
          </w:p>
        </w:tc>
        <w:tc>
          <w:tcPr>
            <w:tcW w:w="0" w:type="auto"/>
            <w:shd w:val="clear" w:color="auto" w:fill="auto"/>
          </w:tcPr>
          <w:p w14:paraId="7268FB1D" w14:textId="77777777" w:rsidR="005F762A" w:rsidRDefault="005F762A">
            <w:pPr>
              <w:rPr>
                <w:rFonts w:ascii="宋体"/>
                <w:vanish/>
              </w:rPr>
            </w:pPr>
          </w:p>
        </w:tc>
        <w:tc>
          <w:tcPr>
            <w:tcW w:w="0" w:type="auto"/>
            <w:shd w:val="clear" w:color="auto" w:fill="auto"/>
          </w:tcPr>
          <w:p w14:paraId="7268FB1E" w14:textId="77777777" w:rsidR="005F762A" w:rsidRDefault="005F762A">
            <w:pPr>
              <w:rPr>
                <w:rFonts w:ascii="宋体"/>
                <w:vanish/>
              </w:rPr>
            </w:pPr>
          </w:p>
        </w:tc>
        <w:tc>
          <w:tcPr>
            <w:tcW w:w="0" w:type="auto"/>
            <w:shd w:val="clear" w:color="auto" w:fill="auto"/>
          </w:tcPr>
          <w:p w14:paraId="7268FB1F" w14:textId="77777777" w:rsidR="005F762A" w:rsidRDefault="005F762A">
            <w:pPr>
              <w:rPr>
                <w:rFonts w:ascii="宋体"/>
                <w:vanish/>
              </w:rPr>
            </w:pPr>
          </w:p>
        </w:tc>
        <w:tc>
          <w:tcPr>
            <w:tcW w:w="0" w:type="auto"/>
            <w:shd w:val="clear" w:color="auto" w:fill="auto"/>
          </w:tcPr>
          <w:p w14:paraId="7268FB20"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B21"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22" w14:textId="77777777" w:rsidR="005F762A" w:rsidRDefault="00D74111">
            <w:pPr>
              <w:jc w:val="right"/>
              <w:textAlignment w:val="bottom"/>
            </w:pPr>
            <w:r>
              <w:rPr>
                <w:rFonts w:ascii="Arial" w:eastAsia="宋体" w:hAnsi="Arial" w:cs="Arial"/>
                <w:i/>
                <w:iCs/>
                <w:color w:val="000000"/>
                <w:sz w:val="16"/>
                <w:szCs w:val="16"/>
              </w:rPr>
              <w:t>27.2 </w:t>
            </w:r>
          </w:p>
        </w:tc>
        <w:tc>
          <w:tcPr>
            <w:tcW w:w="0" w:type="auto"/>
            <w:shd w:val="clear" w:color="auto" w:fill="FFFFFF"/>
            <w:tcMar>
              <w:top w:w="40" w:type="dxa"/>
              <w:left w:w="0" w:type="dxa"/>
              <w:bottom w:w="40" w:type="dxa"/>
              <w:right w:w="20" w:type="dxa"/>
            </w:tcMar>
            <w:vAlign w:val="bottom"/>
          </w:tcPr>
          <w:p w14:paraId="7268FB23"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2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25" w14:textId="77777777" w:rsidR="005F762A" w:rsidRDefault="00D74111">
            <w:pPr>
              <w:jc w:val="right"/>
              <w:textAlignment w:val="bottom"/>
            </w:pPr>
            <w:r>
              <w:rPr>
                <w:rFonts w:ascii="Arial" w:eastAsia="宋体" w:hAnsi="Arial" w:cs="Arial"/>
                <w:i/>
                <w:iCs/>
                <w:color w:val="000000"/>
                <w:sz w:val="16"/>
                <w:szCs w:val="16"/>
              </w:rPr>
              <w:t>23.6 </w:t>
            </w:r>
          </w:p>
        </w:tc>
        <w:tc>
          <w:tcPr>
            <w:tcW w:w="0" w:type="auto"/>
            <w:shd w:val="clear" w:color="auto" w:fill="FFFFFF"/>
            <w:tcMar>
              <w:top w:w="40" w:type="dxa"/>
              <w:left w:w="0" w:type="dxa"/>
              <w:bottom w:w="40" w:type="dxa"/>
              <w:right w:w="20" w:type="dxa"/>
            </w:tcMar>
            <w:vAlign w:val="bottom"/>
          </w:tcPr>
          <w:p w14:paraId="7268FB26"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27" w14:textId="77777777" w:rsidR="005F762A" w:rsidRDefault="005F762A">
            <w:pPr>
              <w:rPr>
                <w:rFonts w:ascii="宋体"/>
              </w:rPr>
            </w:pPr>
          </w:p>
        </w:tc>
        <w:tc>
          <w:tcPr>
            <w:tcW w:w="0" w:type="auto"/>
            <w:gridSpan w:val="3"/>
            <w:shd w:val="clear" w:color="auto" w:fill="FFFFFF"/>
            <w:tcMar>
              <w:top w:w="40" w:type="dxa"/>
              <w:left w:w="20" w:type="dxa"/>
              <w:bottom w:w="40" w:type="dxa"/>
              <w:right w:w="20" w:type="dxa"/>
            </w:tcMar>
            <w:vAlign w:val="bottom"/>
          </w:tcPr>
          <w:p w14:paraId="7268FB28" w14:textId="77777777" w:rsidR="005F762A" w:rsidRDefault="00D74111">
            <w:pPr>
              <w:jc w:val="right"/>
              <w:textAlignment w:val="bottom"/>
            </w:pPr>
            <w:r>
              <w:rPr>
                <w:rFonts w:ascii="Arial" w:eastAsia="宋体" w:hAnsi="Arial" w:cs="Arial"/>
                <w:i/>
                <w:iCs/>
                <w:color w:val="000000"/>
                <w:sz w:val="16"/>
                <w:szCs w:val="16"/>
              </w:rPr>
              <w:t> </w:t>
            </w:r>
          </w:p>
        </w:tc>
      </w:tr>
    </w:tbl>
    <w:p w14:paraId="7268FB2A" w14:textId="77777777" w:rsidR="005F762A" w:rsidRDefault="005F762A">
      <w:pPr>
        <w:ind w:firstLine="540"/>
        <w:jc w:val="both"/>
      </w:pPr>
    </w:p>
    <w:p w14:paraId="7268FB2B" w14:textId="77777777" w:rsidR="005F762A" w:rsidRDefault="00D74111">
      <w:pPr>
        <w:ind w:firstLine="540"/>
        <w:jc w:val="both"/>
      </w:pPr>
      <w:r>
        <w:rPr>
          <w:rFonts w:ascii="Arial" w:eastAsia="宋体" w:hAnsi="Arial" w:cs="Arial"/>
          <w:color w:val="000000"/>
          <w:sz w:val="20"/>
          <w:szCs w:val="20"/>
        </w:rPr>
        <w:t xml:space="preserve">Cost of net revenues, net of immaterial hedging activities, was unfavorably impacted by $26 million attributable to foreign currency movements relative to the U.S. dollar during the three months ended March 31, 2021 compared to the same period in 2020. </w:t>
      </w:r>
    </w:p>
    <w:p w14:paraId="7268FB2C" w14:textId="77777777" w:rsidR="005F762A" w:rsidRDefault="005F762A">
      <w:pPr>
        <w:ind w:firstLine="540"/>
        <w:jc w:val="both"/>
      </w:pPr>
    </w:p>
    <w:p w14:paraId="7268FB2D" w14:textId="77777777" w:rsidR="005F762A" w:rsidRDefault="00D74111">
      <w:pPr>
        <w:ind w:firstLine="540"/>
        <w:jc w:val="both"/>
      </w:pPr>
      <w:r>
        <w:rPr>
          <w:rFonts w:ascii="Arial" w:eastAsia="宋体" w:hAnsi="Arial" w:cs="Arial"/>
          <w:color w:val="000000"/>
          <w:sz w:val="20"/>
          <w:szCs w:val="20"/>
        </w:rPr>
        <w:t xml:space="preserve">The increase in cost of net revenues during the three months ended March 31, 2021 compared to the same period in 2020 was primarily due to an increase in payment processing costs as we continue to transition customers to our payments platform, an increase </w:t>
      </w:r>
      <w:r>
        <w:rPr>
          <w:rFonts w:ascii="Arial" w:eastAsia="宋体" w:hAnsi="Arial" w:cs="Arial"/>
          <w:color w:val="000000"/>
          <w:sz w:val="20"/>
          <w:szCs w:val="20"/>
        </w:rPr>
        <w:t>in cost of goods sold related to our first-party inventory program in Korea and an unfavorable impact from foreign currency movements relative to the U.S. dollar.</w:t>
      </w:r>
    </w:p>
    <w:p w14:paraId="7268FB2E" w14:textId="77777777" w:rsidR="005F762A" w:rsidRDefault="005F762A">
      <w:pPr>
        <w:ind w:firstLine="540"/>
        <w:jc w:val="both"/>
      </w:pPr>
    </w:p>
    <w:p w14:paraId="7268FB2F" w14:textId="77777777" w:rsidR="005F762A" w:rsidRDefault="005F762A">
      <w:pPr>
        <w:jc w:val="center"/>
      </w:pPr>
    </w:p>
    <w:p w14:paraId="7268FB30" w14:textId="77777777" w:rsidR="005F762A" w:rsidRDefault="00D74111">
      <w:pPr>
        <w:jc w:val="center"/>
      </w:pPr>
      <w:r>
        <w:rPr>
          <w:rFonts w:ascii="Arial" w:eastAsia="宋体" w:hAnsi="Arial" w:cs="Arial"/>
          <w:color w:val="000000"/>
          <w:sz w:val="20"/>
          <w:szCs w:val="20"/>
        </w:rPr>
        <w:t>34</w:t>
      </w:r>
    </w:p>
    <w:p w14:paraId="7268FB31" w14:textId="77777777" w:rsidR="005F762A" w:rsidRDefault="00D74111">
      <w:r>
        <w:pict w14:anchorId="72690161">
          <v:rect id="_x0000_i1058" style="width:415.3pt;height:1.5pt" o:hralign="center" o:hrstd="t" o:hr="t" fillcolor="#a0a0a0" stroked="f"/>
        </w:pict>
      </w:r>
    </w:p>
    <w:p w14:paraId="7268FB32" w14:textId="77777777" w:rsidR="005F762A" w:rsidRDefault="005F762A"/>
    <w:p w14:paraId="7268FB33" w14:textId="77777777" w:rsidR="005F762A" w:rsidRDefault="00D74111">
      <w:pPr>
        <w:jc w:val="both"/>
      </w:pPr>
      <w:r>
        <w:rPr>
          <w:rFonts w:ascii="Arial" w:eastAsia="宋体" w:hAnsi="Arial" w:cs="Arial"/>
          <w:b/>
          <w:bCs/>
          <w:i/>
          <w:iCs/>
          <w:color w:val="000000"/>
          <w:sz w:val="20"/>
          <w:szCs w:val="20"/>
        </w:rPr>
        <w:t>Operating Expenses</w:t>
      </w:r>
    </w:p>
    <w:p w14:paraId="7268FB34" w14:textId="77777777" w:rsidR="005F762A" w:rsidRDefault="005F762A">
      <w:pPr>
        <w:ind w:firstLine="450"/>
        <w:jc w:val="both"/>
      </w:pPr>
    </w:p>
    <w:p w14:paraId="7268FB35" w14:textId="77777777" w:rsidR="005F762A" w:rsidRDefault="00D74111">
      <w:pPr>
        <w:ind w:firstLine="540"/>
        <w:jc w:val="both"/>
      </w:pPr>
      <w:r>
        <w:rPr>
          <w:rFonts w:ascii="Arial" w:eastAsia="宋体" w:hAnsi="Arial" w:cs="Arial"/>
          <w:color w:val="000000"/>
          <w:sz w:val="20"/>
          <w:szCs w:val="20"/>
        </w:rPr>
        <w:t xml:space="preserve">The following table presents operating expenses (in </w:t>
      </w:r>
      <w:r>
        <w:rPr>
          <w:rFonts w:ascii="Arial" w:eastAsia="宋体" w:hAnsi="Arial" w:cs="Arial"/>
          <w:color w:val="000000"/>
          <w:sz w:val="20"/>
          <w:szCs w:val="20"/>
        </w:rPr>
        <w:t>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8"/>
        <w:gridCol w:w="5501"/>
        <w:gridCol w:w="37"/>
        <w:gridCol w:w="36"/>
        <w:gridCol w:w="36"/>
        <w:gridCol w:w="36"/>
        <w:gridCol w:w="46"/>
        <w:gridCol w:w="36"/>
        <w:gridCol w:w="36"/>
        <w:gridCol w:w="36"/>
        <w:gridCol w:w="36"/>
        <w:gridCol w:w="109"/>
        <w:gridCol w:w="495"/>
        <w:gridCol w:w="163"/>
        <w:gridCol w:w="36"/>
        <w:gridCol w:w="36"/>
        <w:gridCol w:w="36"/>
        <w:gridCol w:w="109"/>
        <w:gridCol w:w="496"/>
        <w:gridCol w:w="163"/>
        <w:gridCol w:w="36"/>
        <w:gridCol w:w="36"/>
        <w:gridCol w:w="36"/>
        <w:gridCol w:w="61"/>
        <w:gridCol w:w="487"/>
        <w:gridCol w:w="163"/>
      </w:tblGrid>
      <w:tr w:rsidR="005F762A" w14:paraId="7268FB50" w14:textId="77777777">
        <w:tc>
          <w:tcPr>
            <w:tcW w:w="50" w:type="pct"/>
            <w:shd w:val="clear" w:color="auto" w:fill="auto"/>
          </w:tcPr>
          <w:p w14:paraId="7268FB36" w14:textId="77777777" w:rsidR="005F762A" w:rsidRDefault="005F762A">
            <w:pPr>
              <w:rPr>
                <w:rFonts w:ascii="宋体"/>
              </w:rPr>
            </w:pPr>
          </w:p>
        </w:tc>
        <w:tc>
          <w:tcPr>
            <w:tcW w:w="3453" w:type="pct"/>
            <w:shd w:val="clear" w:color="auto" w:fill="auto"/>
          </w:tcPr>
          <w:p w14:paraId="7268FB37" w14:textId="77777777" w:rsidR="005F762A" w:rsidRDefault="005F762A">
            <w:pPr>
              <w:rPr>
                <w:rFonts w:ascii="宋体"/>
              </w:rPr>
            </w:pPr>
          </w:p>
        </w:tc>
        <w:tc>
          <w:tcPr>
            <w:tcW w:w="5" w:type="pct"/>
            <w:shd w:val="clear" w:color="auto" w:fill="auto"/>
          </w:tcPr>
          <w:p w14:paraId="7268FB38" w14:textId="77777777" w:rsidR="005F762A" w:rsidRDefault="005F762A">
            <w:pPr>
              <w:rPr>
                <w:rFonts w:ascii="宋体"/>
              </w:rPr>
            </w:pPr>
          </w:p>
        </w:tc>
        <w:tc>
          <w:tcPr>
            <w:tcW w:w="0" w:type="auto"/>
            <w:shd w:val="clear" w:color="auto" w:fill="auto"/>
          </w:tcPr>
          <w:p w14:paraId="7268FB39" w14:textId="77777777" w:rsidR="005F762A" w:rsidRDefault="005F762A">
            <w:pPr>
              <w:rPr>
                <w:rFonts w:ascii="宋体"/>
                <w:vanish/>
              </w:rPr>
            </w:pPr>
          </w:p>
        </w:tc>
        <w:tc>
          <w:tcPr>
            <w:tcW w:w="0" w:type="auto"/>
            <w:shd w:val="clear" w:color="auto" w:fill="auto"/>
          </w:tcPr>
          <w:p w14:paraId="7268FB3A" w14:textId="77777777" w:rsidR="005F762A" w:rsidRDefault="005F762A">
            <w:pPr>
              <w:rPr>
                <w:rFonts w:ascii="宋体"/>
                <w:vanish/>
              </w:rPr>
            </w:pPr>
          </w:p>
        </w:tc>
        <w:tc>
          <w:tcPr>
            <w:tcW w:w="0" w:type="auto"/>
            <w:shd w:val="clear" w:color="auto" w:fill="auto"/>
          </w:tcPr>
          <w:p w14:paraId="7268FB3B" w14:textId="77777777" w:rsidR="005F762A" w:rsidRDefault="005F762A">
            <w:pPr>
              <w:rPr>
                <w:rFonts w:ascii="宋体"/>
                <w:vanish/>
              </w:rPr>
            </w:pPr>
          </w:p>
        </w:tc>
        <w:tc>
          <w:tcPr>
            <w:tcW w:w="0" w:type="auto"/>
            <w:shd w:val="clear" w:color="auto" w:fill="auto"/>
          </w:tcPr>
          <w:p w14:paraId="7268FB3C" w14:textId="77777777" w:rsidR="005F762A" w:rsidRDefault="005F762A">
            <w:pPr>
              <w:rPr>
                <w:rFonts w:ascii="宋体"/>
                <w:vanish/>
              </w:rPr>
            </w:pPr>
          </w:p>
        </w:tc>
        <w:tc>
          <w:tcPr>
            <w:tcW w:w="0" w:type="auto"/>
            <w:shd w:val="clear" w:color="auto" w:fill="auto"/>
          </w:tcPr>
          <w:p w14:paraId="7268FB3D" w14:textId="77777777" w:rsidR="005F762A" w:rsidRDefault="005F762A">
            <w:pPr>
              <w:rPr>
                <w:rFonts w:ascii="宋体"/>
                <w:vanish/>
              </w:rPr>
            </w:pPr>
          </w:p>
        </w:tc>
        <w:tc>
          <w:tcPr>
            <w:tcW w:w="5" w:type="pct"/>
            <w:shd w:val="clear" w:color="auto" w:fill="auto"/>
          </w:tcPr>
          <w:p w14:paraId="7268FB3E" w14:textId="77777777" w:rsidR="005F762A" w:rsidRDefault="005F762A">
            <w:pPr>
              <w:rPr>
                <w:rFonts w:ascii="宋体"/>
              </w:rPr>
            </w:pPr>
          </w:p>
        </w:tc>
        <w:tc>
          <w:tcPr>
            <w:tcW w:w="26" w:type="pct"/>
            <w:shd w:val="clear" w:color="auto" w:fill="auto"/>
          </w:tcPr>
          <w:p w14:paraId="7268FB3F" w14:textId="77777777" w:rsidR="005F762A" w:rsidRDefault="005F762A">
            <w:pPr>
              <w:rPr>
                <w:rFonts w:ascii="宋体"/>
              </w:rPr>
            </w:pPr>
          </w:p>
        </w:tc>
        <w:tc>
          <w:tcPr>
            <w:tcW w:w="5" w:type="pct"/>
            <w:shd w:val="clear" w:color="auto" w:fill="auto"/>
          </w:tcPr>
          <w:p w14:paraId="7268FB40" w14:textId="77777777" w:rsidR="005F762A" w:rsidRDefault="005F762A">
            <w:pPr>
              <w:rPr>
                <w:rFonts w:ascii="宋体"/>
              </w:rPr>
            </w:pPr>
          </w:p>
        </w:tc>
        <w:tc>
          <w:tcPr>
            <w:tcW w:w="50" w:type="pct"/>
            <w:shd w:val="clear" w:color="auto" w:fill="auto"/>
          </w:tcPr>
          <w:p w14:paraId="7268FB41" w14:textId="77777777" w:rsidR="005F762A" w:rsidRDefault="005F762A">
            <w:pPr>
              <w:rPr>
                <w:rFonts w:ascii="宋体"/>
              </w:rPr>
            </w:pPr>
          </w:p>
        </w:tc>
        <w:tc>
          <w:tcPr>
            <w:tcW w:w="405" w:type="pct"/>
            <w:shd w:val="clear" w:color="auto" w:fill="auto"/>
          </w:tcPr>
          <w:p w14:paraId="7268FB42" w14:textId="77777777" w:rsidR="005F762A" w:rsidRDefault="005F762A">
            <w:pPr>
              <w:rPr>
                <w:rFonts w:ascii="宋体"/>
              </w:rPr>
            </w:pPr>
          </w:p>
        </w:tc>
        <w:tc>
          <w:tcPr>
            <w:tcW w:w="5" w:type="pct"/>
            <w:shd w:val="clear" w:color="auto" w:fill="auto"/>
          </w:tcPr>
          <w:p w14:paraId="7268FB43" w14:textId="77777777" w:rsidR="005F762A" w:rsidRDefault="005F762A">
            <w:pPr>
              <w:rPr>
                <w:rFonts w:ascii="宋体"/>
              </w:rPr>
            </w:pPr>
          </w:p>
        </w:tc>
        <w:tc>
          <w:tcPr>
            <w:tcW w:w="5" w:type="pct"/>
            <w:shd w:val="clear" w:color="auto" w:fill="auto"/>
          </w:tcPr>
          <w:p w14:paraId="7268FB44" w14:textId="77777777" w:rsidR="005F762A" w:rsidRDefault="005F762A">
            <w:pPr>
              <w:rPr>
                <w:rFonts w:ascii="宋体"/>
              </w:rPr>
            </w:pPr>
          </w:p>
        </w:tc>
        <w:tc>
          <w:tcPr>
            <w:tcW w:w="26" w:type="pct"/>
            <w:shd w:val="clear" w:color="auto" w:fill="auto"/>
          </w:tcPr>
          <w:p w14:paraId="7268FB45" w14:textId="77777777" w:rsidR="005F762A" w:rsidRDefault="005F762A">
            <w:pPr>
              <w:rPr>
                <w:rFonts w:ascii="宋体"/>
              </w:rPr>
            </w:pPr>
          </w:p>
        </w:tc>
        <w:tc>
          <w:tcPr>
            <w:tcW w:w="5" w:type="pct"/>
            <w:shd w:val="clear" w:color="auto" w:fill="auto"/>
          </w:tcPr>
          <w:p w14:paraId="7268FB46" w14:textId="77777777" w:rsidR="005F762A" w:rsidRDefault="005F762A">
            <w:pPr>
              <w:rPr>
                <w:rFonts w:ascii="宋体"/>
              </w:rPr>
            </w:pPr>
          </w:p>
        </w:tc>
        <w:tc>
          <w:tcPr>
            <w:tcW w:w="50" w:type="pct"/>
            <w:shd w:val="clear" w:color="auto" w:fill="auto"/>
          </w:tcPr>
          <w:p w14:paraId="7268FB47" w14:textId="77777777" w:rsidR="005F762A" w:rsidRDefault="005F762A">
            <w:pPr>
              <w:rPr>
                <w:rFonts w:ascii="宋体"/>
              </w:rPr>
            </w:pPr>
          </w:p>
        </w:tc>
        <w:tc>
          <w:tcPr>
            <w:tcW w:w="405" w:type="pct"/>
            <w:shd w:val="clear" w:color="auto" w:fill="auto"/>
          </w:tcPr>
          <w:p w14:paraId="7268FB48" w14:textId="77777777" w:rsidR="005F762A" w:rsidRDefault="005F762A">
            <w:pPr>
              <w:rPr>
                <w:rFonts w:ascii="宋体"/>
              </w:rPr>
            </w:pPr>
          </w:p>
        </w:tc>
        <w:tc>
          <w:tcPr>
            <w:tcW w:w="5" w:type="pct"/>
            <w:shd w:val="clear" w:color="auto" w:fill="auto"/>
          </w:tcPr>
          <w:p w14:paraId="7268FB49" w14:textId="77777777" w:rsidR="005F762A" w:rsidRDefault="005F762A">
            <w:pPr>
              <w:rPr>
                <w:rFonts w:ascii="宋体"/>
              </w:rPr>
            </w:pPr>
          </w:p>
        </w:tc>
        <w:tc>
          <w:tcPr>
            <w:tcW w:w="5" w:type="pct"/>
            <w:shd w:val="clear" w:color="auto" w:fill="auto"/>
          </w:tcPr>
          <w:p w14:paraId="7268FB4A" w14:textId="77777777" w:rsidR="005F762A" w:rsidRDefault="005F762A">
            <w:pPr>
              <w:rPr>
                <w:rFonts w:ascii="宋体"/>
              </w:rPr>
            </w:pPr>
          </w:p>
        </w:tc>
        <w:tc>
          <w:tcPr>
            <w:tcW w:w="26" w:type="pct"/>
            <w:shd w:val="clear" w:color="auto" w:fill="auto"/>
          </w:tcPr>
          <w:p w14:paraId="7268FB4B" w14:textId="77777777" w:rsidR="005F762A" w:rsidRDefault="005F762A">
            <w:pPr>
              <w:rPr>
                <w:rFonts w:ascii="宋体"/>
              </w:rPr>
            </w:pPr>
          </w:p>
        </w:tc>
        <w:tc>
          <w:tcPr>
            <w:tcW w:w="5" w:type="pct"/>
            <w:shd w:val="clear" w:color="auto" w:fill="auto"/>
          </w:tcPr>
          <w:p w14:paraId="7268FB4C" w14:textId="77777777" w:rsidR="005F762A" w:rsidRDefault="005F762A">
            <w:pPr>
              <w:rPr>
                <w:rFonts w:ascii="宋体"/>
              </w:rPr>
            </w:pPr>
          </w:p>
        </w:tc>
        <w:tc>
          <w:tcPr>
            <w:tcW w:w="50" w:type="pct"/>
            <w:shd w:val="clear" w:color="auto" w:fill="auto"/>
          </w:tcPr>
          <w:p w14:paraId="7268FB4D" w14:textId="77777777" w:rsidR="005F762A" w:rsidRDefault="005F762A">
            <w:pPr>
              <w:rPr>
                <w:rFonts w:ascii="宋体"/>
              </w:rPr>
            </w:pPr>
          </w:p>
        </w:tc>
        <w:tc>
          <w:tcPr>
            <w:tcW w:w="405" w:type="pct"/>
            <w:shd w:val="clear" w:color="auto" w:fill="auto"/>
          </w:tcPr>
          <w:p w14:paraId="7268FB4E" w14:textId="77777777" w:rsidR="005F762A" w:rsidRDefault="005F762A">
            <w:pPr>
              <w:rPr>
                <w:rFonts w:ascii="宋体"/>
              </w:rPr>
            </w:pPr>
          </w:p>
        </w:tc>
        <w:tc>
          <w:tcPr>
            <w:tcW w:w="5" w:type="pct"/>
            <w:shd w:val="clear" w:color="auto" w:fill="auto"/>
          </w:tcPr>
          <w:p w14:paraId="7268FB4F" w14:textId="77777777" w:rsidR="005F762A" w:rsidRDefault="005F762A">
            <w:pPr>
              <w:rPr>
                <w:rFonts w:ascii="宋体"/>
              </w:rPr>
            </w:pPr>
          </w:p>
        </w:tc>
      </w:tr>
      <w:tr w:rsidR="005F762A" w14:paraId="7268FB5F" w14:textId="77777777">
        <w:tc>
          <w:tcPr>
            <w:tcW w:w="0" w:type="auto"/>
            <w:gridSpan w:val="3"/>
            <w:shd w:val="clear" w:color="auto" w:fill="auto"/>
            <w:tcMar>
              <w:top w:w="40" w:type="dxa"/>
              <w:left w:w="20" w:type="dxa"/>
              <w:bottom w:w="40" w:type="dxa"/>
              <w:right w:w="20" w:type="dxa"/>
            </w:tcMar>
            <w:vAlign w:val="bottom"/>
          </w:tcPr>
          <w:p w14:paraId="7268FB51"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B52" w14:textId="77777777" w:rsidR="005F762A" w:rsidRDefault="005F762A">
            <w:pPr>
              <w:rPr>
                <w:rFonts w:ascii="宋体"/>
                <w:vanish/>
              </w:rPr>
            </w:pPr>
          </w:p>
        </w:tc>
        <w:tc>
          <w:tcPr>
            <w:tcW w:w="0" w:type="auto"/>
            <w:shd w:val="clear" w:color="auto" w:fill="auto"/>
          </w:tcPr>
          <w:p w14:paraId="7268FB53" w14:textId="77777777" w:rsidR="005F762A" w:rsidRDefault="005F762A">
            <w:pPr>
              <w:rPr>
                <w:rFonts w:ascii="宋体"/>
                <w:vanish/>
              </w:rPr>
            </w:pPr>
          </w:p>
        </w:tc>
        <w:tc>
          <w:tcPr>
            <w:tcW w:w="0" w:type="auto"/>
            <w:shd w:val="clear" w:color="auto" w:fill="auto"/>
          </w:tcPr>
          <w:p w14:paraId="7268FB54"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B55"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B56"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B57"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B58" w14:textId="77777777" w:rsidR="005F762A" w:rsidRDefault="005F762A">
            <w:pPr>
              <w:rPr>
                <w:rFonts w:ascii="宋体"/>
              </w:rPr>
            </w:pPr>
          </w:p>
        </w:tc>
        <w:tc>
          <w:tcPr>
            <w:tcW w:w="0" w:type="auto"/>
            <w:shd w:val="clear" w:color="auto" w:fill="auto"/>
          </w:tcPr>
          <w:p w14:paraId="7268FB59" w14:textId="77777777" w:rsidR="005F762A" w:rsidRDefault="005F762A">
            <w:pPr>
              <w:rPr>
                <w:rFonts w:ascii="宋体"/>
              </w:rPr>
            </w:pPr>
          </w:p>
        </w:tc>
        <w:tc>
          <w:tcPr>
            <w:tcW w:w="0" w:type="auto"/>
            <w:shd w:val="clear" w:color="auto" w:fill="auto"/>
          </w:tcPr>
          <w:p w14:paraId="7268FB5A" w14:textId="77777777" w:rsidR="005F762A" w:rsidRDefault="005F762A">
            <w:pPr>
              <w:rPr>
                <w:rFonts w:ascii="宋体"/>
              </w:rPr>
            </w:pPr>
          </w:p>
        </w:tc>
        <w:tc>
          <w:tcPr>
            <w:tcW w:w="0" w:type="auto"/>
            <w:shd w:val="clear" w:color="auto" w:fill="auto"/>
          </w:tcPr>
          <w:p w14:paraId="7268FB5B" w14:textId="77777777" w:rsidR="005F762A" w:rsidRDefault="005F762A">
            <w:pPr>
              <w:rPr>
                <w:rFonts w:ascii="宋体"/>
              </w:rPr>
            </w:pPr>
          </w:p>
        </w:tc>
        <w:tc>
          <w:tcPr>
            <w:tcW w:w="0" w:type="auto"/>
            <w:shd w:val="clear" w:color="auto" w:fill="auto"/>
          </w:tcPr>
          <w:p w14:paraId="7268FB5C" w14:textId="77777777" w:rsidR="005F762A" w:rsidRDefault="005F762A">
            <w:pPr>
              <w:rPr>
                <w:rFonts w:ascii="宋体"/>
              </w:rPr>
            </w:pPr>
          </w:p>
        </w:tc>
        <w:tc>
          <w:tcPr>
            <w:tcW w:w="0" w:type="auto"/>
            <w:shd w:val="clear" w:color="auto" w:fill="auto"/>
          </w:tcPr>
          <w:p w14:paraId="7268FB5D" w14:textId="77777777" w:rsidR="005F762A" w:rsidRDefault="005F762A">
            <w:pPr>
              <w:rPr>
                <w:rFonts w:ascii="宋体"/>
              </w:rPr>
            </w:pPr>
          </w:p>
        </w:tc>
        <w:tc>
          <w:tcPr>
            <w:tcW w:w="0" w:type="auto"/>
            <w:shd w:val="clear" w:color="auto" w:fill="auto"/>
          </w:tcPr>
          <w:p w14:paraId="7268FB5E" w14:textId="77777777" w:rsidR="005F762A" w:rsidRDefault="005F762A">
            <w:pPr>
              <w:rPr>
                <w:rFonts w:ascii="宋体"/>
              </w:rPr>
            </w:pPr>
          </w:p>
        </w:tc>
      </w:tr>
      <w:tr w:rsidR="005F762A" w14:paraId="7268FB6C" w14:textId="77777777">
        <w:tc>
          <w:tcPr>
            <w:tcW w:w="0" w:type="auto"/>
            <w:gridSpan w:val="3"/>
            <w:shd w:val="clear" w:color="auto" w:fill="auto"/>
            <w:tcMar>
              <w:top w:w="40" w:type="dxa"/>
              <w:left w:w="20" w:type="dxa"/>
              <w:bottom w:w="40" w:type="dxa"/>
              <w:right w:w="20" w:type="dxa"/>
            </w:tcMar>
            <w:vAlign w:val="bottom"/>
          </w:tcPr>
          <w:p w14:paraId="7268FB60"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B61" w14:textId="77777777" w:rsidR="005F762A" w:rsidRDefault="005F762A">
            <w:pPr>
              <w:rPr>
                <w:rFonts w:ascii="宋体"/>
                <w:vanish/>
              </w:rPr>
            </w:pPr>
          </w:p>
        </w:tc>
        <w:tc>
          <w:tcPr>
            <w:tcW w:w="0" w:type="auto"/>
            <w:shd w:val="clear" w:color="auto" w:fill="auto"/>
          </w:tcPr>
          <w:p w14:paraId="7268FB62" w14:textId="77777777" w:rsidR="005F762A" w:rsidRDefault="005F762A">
            <w:pPr>
              <w:rPr>
                <w:rFonts w:ascii="宋体"/>
                <w:vanish/>
              </w:rPr>
            </w:pPr>
          </w:p>
        </w:tc>
        <w:tc>
          <w:tcPr>
            <w:tcW w:w="0" w:type="auto"/>
            <w:shd w:val="clear" w:color="auto" w:fill="auto"/>
          </w:tcPr>
          <w:p w14:paraId="7268FB63" w14:textId="77777777" w:rsidR="005F762A" w:rsidRDefault="005F762A">
            <w:pPr>
              <w:rPr>
                <w:rFonts w:ascii="宋体"/>
                <w:vanish/>
              </w:rPr>
            </w:pPr>
          </w:p>
        </w:tc>
        <w:tc>
          <w:tcPr>
            <w:tcW w:w="0" w:type="auto"/>
            <w:shd w:val="clear" w:color="auto" w:fill="auto"/>
          </w:tcPr>
          <w:p w14:paraId="7268FB64" w14:textId="77777777" w:rsidR="005F762A" w:rsidRDefault="005F762A">
            <w:pPr>
              <w:rPr>
                <w:rFonts w:ascii="宋体"/>
                <w:vanish/>
              </w:rPr>
            </w:pPr>
          </w:p>
        </w:tc>
        <w:tc>
          <w:tcPr>
            <w:tcW w:w="0" w:type="auto"/>
            <w:shd w:val="clear" w:color="auto" w:fill="auto"/>
          </w:tcPr>
          <w:p w14:paraId="7268FB65"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B6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67"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B68"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69"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B6A"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B6B" w14:textId="77777777" w:rsidR="005F762A" w:rsidRDefault="00D74111">
            <w:pPr>
              <w:jc w:val="center"/>
              <w:textAlignment w:val="bottom"/>
            </w:pPr>
            <w:r>
              <w:rPr>
                <w:rFonts w:ascii="Arial" w:eastAsia="宋体" w:hAnsi="Arial" w:cs="Arial"/>
                <w:b/>
                <w:bCs/>
                <w:color w:val="000000"/>
                <w:sz w:val="14"/>
                <w:szCs w:val="14"/>
              </w:rPr>
              <w:t>% Change</w:t>
            </w:r>
          </w:p>
        </w:tc>
      </w:tr>
      <w:tr w:rsidR="005F762A" w14:paraId="7268FB7E" w14:textId="77777777">
        <w:tc>
          <w:tcPr>
            <w:tcW w:w="0" w:type="auto"/>
            <w:gridSpan w:val="3"/>
            <w:shd w:val="clear" w:color="auto" w:fill="E2E2E2"/>
            <w:tcMar>
              <w:top w:w="40" w:type="dxa"/>
              <w:left w:w="20" w:type="dxa"/>
              <w:bottom w:w="40" w:type="dxa"/>
              <w:right w:w="20" w:type="dxa"/>
            </w:tcMar>
            <w:vAlign w:val="bottom"/>
          </w:tcPr>
          <w:p w14:paraId="7268FB6D" w14:textId="77777777" w:rsidR="005F762A" w:rsidRDefault="00D74111">
            <w:pPr>
              <w:textAlignment w:val="bottom"/>
            </w:pPr>
            <w:r>
              <w:rPr>
                <w:rFonts w:ascii="Arial" w:eastAsia="宋体" w:hAnsi="Arial" w:cs="Arial"/>
                <w:color w:val="000000"/>
                <w:sz w:val="16"/>
                <w:szCs w:val="16"/>
              </w:rPr>
              <w:t>Sales and marketing</w:t>
            </w:r>
          </w:p>
        </w:tc>
        <w:tc>
          <w:tcPr>
            <w:tcW w:w="0" w:type="auto"/>
            <w:shd w:val="clear" w:color="auto" w:fill="auto"/>
          </w:tcPr>
          <w:p w14:paraId="7268FB6E" w14:textId="77777777" w:rsidR="005F762A" w:rsidRDefault="005F762A">
            <w:pPr>
              <w:rPr>
                <w:rFonts w:ascii="宋体"/>
                <w:vanish/>
              </w:rPr>
            </w:pPr>
          </w:p>
        </w:tc>
        <w:tc>
          <w:tcPr>
            <w:tcW w:w="0" w:type="auto"/>
            <w:shd w:val="clear" w:color="auto" w:fill="auto"/>
          </w:tcPr>
          <w:p w14:paraId="7268FB6F" w14:textId="77777777" w:rsidR="005F762A" w:rsidRDefault="005F762A">
            <w:pPr>
              <w:rPr>
                <w:rFonts w:ascii="宋体"/>
                <w:vanish/>
              </w:rPr>
            </w:pPr>
          </w:p>
        </w:tc>
        <w:tc>
          <w:tcPr>
            <w:tcW w:w="0" w:type="auto"/>
            <w:shd w:val="clear" w:color="auto" w:fill="auto"/>
          </w:tcPr>
          <w:p w14:paraId="7268FB70" w14:textId="77777777" w:rsidR="005F762A" w:rsidRDefault="005F762A">
            <w:pPr>
              <w:rPr>
                <w:rFonts w:ascii="宋体"/>
                <w:vanish/>
              </w:rPr>
            </w:pPr>
          </w:p>
        </w:tc>
        <w:tc>
          <w:tcPr>
            <w:tcW w:w="0" w:type="auto"/>
            <w:shd w:val="clear" w:color="auto" w:fill="auto"/>
          </w:tcPr>
          <w:p w14:paraId="7268FB71" w14:textId="77777777" w:rsidR="005F762A" w:rsidRDefault="005F762A">
            <w:pPr>
              <w:rPr>
                <w:rFonts w:ascii="宋体"/>
                <w:vanish/>
              </w:rPr>
            </w:pPr>
          </w:p>
        </w:tc>
        <w:tc>
          <w:tcPr>
            <w:tcW w:w="0" w:type="auto"/>
            <w:shd w:val="clear" w:color="auto" w:fill="auto"/>
          </w:tcPr>
          <w:p w14:paraId="7268FB7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7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B74"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B75" w14:textId="77777777" w:rsidR="005F762A" w:rsidRDefault="00D74111">
            <w:pPr>
              <w:jc w:val="right"/>
              <w:textAlignment w:val="bottom"/>
            </w:pPr>
            <w:r>
              <w:rPr>
                <w:rFonts w:ascii="Arial" w:eastAsia="宋体" w:hAnsi="Arial" w:cs="Arial"/>
                <w:color w:val="000000"/>
                <w:sz w:val="16"/>
                <w:szCs w:val="16"/>
              </w:rPr>
              <w:t>687 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7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7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B78"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B79" w14:textId="77777777" w:rsidR="005F762A" w:rsidRDefault="00D74111">
            <w:pPr>
              <w:jc w:val="right"/>
              <w:textAlignment w:val="bottom"/>
            </w:pPr>
            <w:r>
              <w:rPr>
                <w:rFonts w:ascii="Arial" w:eastAsia="宋体" w:hAnsi="Arial" w:cs="Arial"/>
                <w:color w:val="000000"/>
                <w:sz w:val="16"/>
                <w:szCs w:val="16"/>
              </w:rPr>
              <w:t>520 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7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7B"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B7C" w14:textId="77777777" w:rsidR="005F762A" w:rsidRDefault="00D74111">
            <w:pPr>
              <w:jc w:val="right"/>
              <w:textAlignment w:val="bottom"/>
            </w:pPr>
            <w:r>
              <w:rPr>
                <w:rFonts w:ascii="Arial" w:eastAsia="宋体" w:hAnsi="Arial" w:cs="Arial"/>
                <w:color w:val="000000"/>
                <w:sz w:val="16"/>
                <w:szCs w:val="16"/>
              </w:rPr>
              <w:t>32 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B7D" w14:textId="77777777" w:rsidR="005F762A" w:rsidRDefault="00D74111">
            <w:pPr>
              <w:jc w:val="right"/>
              <w:textAlignment w:val="bottom"/>
            </w:pPr>
            <w:r>
              <w:rPr>
                <w:rFonts w:ascii="Arial" w:eastAsia="宋体" w:hAnsi="Arial" w:cs="Arial"/>
                <w:color w:val="000000"/>
                <w:sz w:val="16"/>
                <w:szCs w:val="16"/>
              </w:rPr>
              <w:t>%</w:t>
            </w:r>
          </w:p>
        </w:tc>
      </w:tr>
      <w:tr w:rsidR="005F762A" w14:paraId="7268FB8D" w14:textId="77777777">
        <w:tc>
          <w:tcPr>
            <w:tcW w:w="0" w:type="auto"/>
            <w:gridSpan w:val="3"/>
            <w:shd w:val="clear" w:color="auto" w:fill="FFFFFF"/>
            <w:tcMar>
              <w:top w:w="40" w:type="dxa"/>
              <w:left w:w="155" w:type="dxa"/>
              <w:bottom w:w="40" w:type="dxa"/>
              <w:right w:w="20" w:type="dxa"/>
            </w:tcMar>
            <w:vAlign w:val="bottom"/>
          </w:tcPr>
          <w:p w14:paraId="7268FB7F"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B80" w14:textId="77777777" w:rsidR="005F762A" w:rsidRDefault="005F762A">
            <w:pPr>
              <w:rPr>
                <w:rFonts w:ascii="宋体"/>
                <w:vanish/>
              </w:rPr>
            </w:pPr>
          </w:p>
        </w:tc>
        <w:tc>
          <w:tcPr>
            <w:tcW w:w="0" w:type="auto"/>
            <w:shd w:val="clear" w:color="auto" w:fill="auto"/>
          </w:tcPr>
          <w:p w14:paraId="7268FB81" w14:textId="77777777" w:rsidR="005F762A" w:rsidRDefault="005F762A">
            <w:pPr>
              <w:rPr>
                <w:rFonts w:ascii="宋体"/>
                <w:vanish/>
              </w:rPr>
            </w:pPr>
          </w:p>
        </w:tc>
        <w:tc>
          <w:tcPr>
            <w:tcW w:w="0" w:type="auto"/>
            <w:shd w:val="clear" w:color="auto" w:fill="auto"/>
          </w:tcPr>
          <w:p w14:paraId="7268FB82" w14:textId="77777777" w:rsidR="005F762A" w:rsidRDefault="005F762A">
            <w:pPr>
              <w:rPr>
                <w:rFonts w:ascii="宋体"/>
                <w:vanish/>
              </w:rPr>
            </w:pPr>
          </w:p>
        </w:tc>
        <w:tc>
          <w:tcPr>
            <w:tcW w:w="0" w:type="auto"/>
            <w:shd w:val="clear" w:color="auto" w:fill="auto"/>
          </w:tcPr>
          <w:p w14:paraId="7268FB83" w14:textId="77777777" w:rsidR="005F762A" w:rsidRDefault="005F762A">
            <w:pPr>
              <w:rPr>
                <w:rFonts w:ascii="宋体"/>
                <w:vanish/>
              </w:rPr>
            </w:pPr>
          </w:p>
        </w:tc>
        <w:tc>
          <w:tcPr>
            <w:tcW w:w="0" w:type="auto"/>
            <w:shd w:val="clear" w:color="auto" w:fill="auto"/>
          </w:tcPr>
          <w:p w14:paraId="7268FB84"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B8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86" w14:textId="77777777" w:rsidR="005F762A" w:rsidRDefault="00D74111">
            <w:pPr>
              <w:jc w:val="right"/>
              <w:textAlignment w:val="bottom"/>
            </w:pPr>
            <w:r>
              <w:rPr>
                <w:rFonts w:ascii="Arial" w:eastAsia="宋体" w:hAnsi="Arial" w:cs="Arial"/>
                <w:i/>
                <w:iCs/>
                <w:color w:val="000000"/>
                <w:sz w:val="16"/>
                <w:szCs w:val="16"/>
              </w:rPr>
              <w:t>23 </w:t>
            </w:r>
          </w:p>
        </w:tc>
        <w:tc>
          <w:tcPr>
            <w:tcW w:w="0" w:type="auto"/>
            <w:shd w:val="clear" w:color="auto" w:fill="FFFFFF"/>
            <w:tcMar>
              <w:top w:w="40" w:type="dxa"/>
              <w:left w:w="0" w:type="dxa"/>
              <w:bottom w:w="40" w:type="dxa"/>
              <w:right w:w="20" w:type="dxa"/>
            </w:tcMar>
            <w:vAlign w:val="bottom"/>
          </w:tcPr>
          <w:p w14:paraId="7268FB87"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88"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89" w14:textId="77777777" w:rsidR="005F762A" w:rsidRDefault="00D74111">
            <w:pPr>
              <w:jc w:val="right"/>
              <w:textAlignment w:val="bottom"/>
            </w:pPr>
            <w:r>
              <w:rPr>
                <w:rFonts w:ascii="Arial" w:eastAsia="宋体" w:hAnsi="Arial" w:cs="Arial"/>
                <w:i/>
                <w:iCs/>
                <w:color w:val="000000"/>
                <w:sz w:val="16"/>
                <w:szCs w:val="16"/>
              </w:rPr>
              <w:t>24 </w:t>
            </w:r>
          </w:p>
        </w:tc>
        <w:tc>
          <w:tcPr>
            <w:tcW w:w="0" w:type="auto"/>
            <w:shd w:val="clear" w:color="auto" w:fill="FFFFFF"/>
            <w:tcMar>
              <w:top w:w="40" w:type="dxa"/>
              <w:left w:w="0" w:type="dxa"/>
              <w:bottom w:w="40" w:type="dxa"/>
              <w:right w:w="20" w:type="dxa"/>
            </w:tcMar>
            <w:vAlign w:val="bottom"/>
          </w:tcPr>
          <w:p w14:paraId="7268FB8A"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8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B8C" w14:textId="77777777" w:rsidR="005F762A" w:rsidRDefault="005F762A">
            <w:pPr>
              <w:rPr>
                <w:rFonts w:ascii="宋体"/>
              </w:rPr>
            </w:pPr>
          </w:p>
        </w:tc>
      </w:tr>
      <w:tr w:rsidR="005F762A" w14:paraId="7268FB9D" w14:textId="77777777">
        <w:tc>
          <w:tcPr>
            <w:tcW w:w="0" w:type="auto"/>
            <w:gridSpan w:val="3"/>
            <w:shd w:val="clear" w:color="auto" w:fill="E2E2E2"/>
            <w:tcMar>
              <w:top w:w="40" w:type="dxa"/>
              <w:left w:w="20" w:type="dxa"/>
              <w:bottom w:w="40" w:type="dxa"/>
              <w:right w:w="20" w:type="dxa"/>
            </w:tcMar>
            <w:vAlign w:val="bottom"/>
          </w:tcPr>
          <w:p w14:paraId="7268FB8E" w14:textId="77777777" w:rsidR="005F762A" w:rsidRDefault="00D74111">
            <w:pPr>
              <w:textAlignment w:val="bottom"/>
            </w:pPr>
            <w:r>
              <w:rPr>
                <w:rFonts w:ascii="Arial" w:eastAsia="宋体" w:hAnsi="Arial" w:cs="Arial"/>
                <w:color w:val="000000"/>
                <w:sz w:val="16"/>
                <w:szCs w:val="16"/>
              </w:rPr>
              <w:t>Product development</w:t>
            </w:r>
          </w:p>
        </w:tc>
        <w:tc>
          <w:tcPr>
            <w:tcW w:w="0" w:type="auto"/>
            <w:shd w:val="clear" w:color="auto" w:fill="auto"/>
          </w:tcPr>
          <w:p w14:paraId="7268FB8F" w14:textId="77777777" w:rsidR="005F762A" w:rsidRDefault="005F762A">
            <w:pPr>
              <w:rPr>
                <w:rFonts w:ascii="宋体"/>
                <w:vanish/>
              </w:rPr>
            </w:pPr>
          </w:p>
        </w:tc>
        <w:tc>
          <w:tcPr>
            <w:tcW w:w="0" w:type="auto"/>
            <w:shd w:val="clear" w:color="auto" w:fill="auto"/>
          </w:tcPr>
          <w:p w14:paraId="7268FB90" w14:textId="77777777" w:rsidR="005F762A" w:rsidRDefault="005F762A">
            <w:pPr>
              <w:rPr>
                <w:rFonts w:ascii="宋体"/>
                <w:vanish/>
              </w:rPr>
            </w:pPr>
          </w:p>
        </w:tc>
        <w:tc>
          <w:tcPr>
            <w:tcW w:w="0" w:type="auto"/>
            <w:shd w:val="clear" w:color="auto" w:fill="auto"/>
          </w:tcPr>
          <w:p w14:paraId="7268FB91" w14:textId="77777777" w:rsidR="005F762A" w:rsidRDefault="005F762A">
            <w:pPr>
              <w:rPr>
                <w:rFonts w:ascii="宋体"/>
                <w:vanish/>
              </w:rPr>
            </w:pPr>
          </w:p>
        </w:tc>
        <w:tc>
          <w:tcPr>
            <w:tcW w:w="0" w:type="auto"/>
            <w:shd w:val="clear" w:color="auto" w:fill="auto"/>
          </w:tcPr>
          <w:p w14:paraId="7268FB92" w14:textId="77777777" w:rsidR="005F762A" w:rsidRDefault="005F762A">
            <w:pPr>
              <w:rPr>
                <w:rFonts w:ascii="宋体"/>
                <w:vanish/>
              </w:rPr>
            </w:pPr>
          </w:p>
        </w:tc>
        <w:tc>
          <w:tcPr>
            <w:tcW w:w="0" w:type="auto"/>
            <w:shd w:val="clear" w:color="auto" w:fill="auto"/>
          </w:tcPr>
          <w:p w14:paraId="7268FB93"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9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95" w14:textId="77777777" w:rsidR="005F762A" w:rsidRDefault="00D74111">
            <w:pPr>
              <w:jc w:val="right"/>
              <w:textAlignment w:val="bottom"/>
            </w:pPr>
            <w:r>
              <w:rPr>
                <w:rFonts w:ascii="Arial" w:eastAsia="宋体" w:hAnsi="Arial" w:cs="Arial"/>
                <w:color w:val="000000"/>
                <w:sz w:val="16"/>
                <w:szCs w:val="16"/>
              </w:rPr>
              <w:t>318 </w:t>
            </w:r>
          </w:p>
        </w:tc>
        <w:tc>
          <w:tcPr>
            <w:tcW w:w="0" w:type="auto"/>
            <w:shd w:val="clear" w:color="auto" w:fill="E2E2E2"/>
            <w:tcMar>
              <w:top w:w="40" w:type="dxa"/>
              <w:left w:w="0" w:type="dxa"/>
              <w:bottom w:w="40" w:type="dxa"/>
              <w:right w:w="20" w:type="dxa"/>
            </w:tcMar>
            <w:vAlign w:val="bottom"/>
          </w:tcPr>
          <w:p w14:paraId="7268FB9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9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98" w14:textId="77777777" w:rsidR="005F762A" w:rsidRDefault="00D74111">
            <w:pPr>
              <w:jc w:val="right"/>
              <w:textAlignment w:val="bottom"/>
            </w:pPr>
            <w:r>
              <w:rPr>
                <w:rFonts w:ascii="Arial" w:eastAsia="宋体" w:hAnsi="Arial" w:cs="Arial"/>
                <w:color w:val="000000"/>
                <w:sz w:val="16"/>
                <w:szCs w:val="16"/>
              </w:rPr>
              <w:t>232 </w:t>
            </w:r>
          </w:p>
        </w:tc>
        <w:tc>
          <w:tcPr>
            <w:tcW w:w="0" w:type="auto"/>
            <w:shd w:val="clear" w:color="auto" w:fill="E2E2E2"/>
            <w:tcMar>
              <w:top w:w="40" w:type="dxa"/>
              <w:left w:w="0" w:type="dxa"/>
              <w:bottom w:w="40" w:type="dxa"/>
              <w:right w:w="20" w:type="dxa"/>
            </w:tcMar>
            <w:vAlign w:val="bottom"/>
          </w:tcPr>
          <w:p w14:paraId="7268FB99"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9A"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9B" w14:textId="77777777" w:rsidR="005F762A" w:rsidRDefault="00D74111">
            <w:pPr>
              <w:jc w:val="right"/>
              <w:textAlignment w:val="bottom"/>
            </w:pPr>
            <w:r>
              <w:rPr>
                <w:rFonts w:ascii="Arial" w:eastAsia="宋体" w:hAnsi="Arial" w:cs="Arial"/>
                <w:color w:val="000000"/>
                <w:sz w:val="16"/>
                <w:szCs w:val="16"/>
              </w:rPr>
              <w:t>37 </w:t>
            </w:r>
          </w:p>
        </w:tc>
        <w:tc>
          <w:tcPr>
            <w:tcW w:w="0" w:type="auto"/>
            <w:shd w:val="clear" w:color="auto" w:fill="E2E2E2"/>
            <w:tcMar>
              <w:top w:w="40" w:type="dxa"/>
              <w:left w:w="0" w:type="dxa"/>
              <w:bottom w:w="40" w:type="dxa"/>
              <w:right w:w="20" w:type="dxa"/>
            </w:tcMar>
            <w:vAlign w:val="bottom"/>
          </w:tcPr>
          <w:p w14:paraId="7268FB9C" w14:textId="77777777" w:rsidR="005F762A" w:rsidRDefault="00D74111">
            <w:pPr>
              <w:jc w:val="right"/>
              <w:textAlignment w:val="bottom"/>
            </w:pPr>
            <w:r>
              <w:rPr>
                <w:rFonts w:ascii="Arial" w:eastAsia="宋体" w:hAnsi="Arial" w:cs="Arial"/>
                <w:color w:val="000000"/>
                <w:sz w:val="16"/>
                <w:szCs w:val="16"/>
              </w:rPr>
              <w:t>%</w:t>
            </w:r>
          </w:p>
        </w:tc>
      </w:tr>
      <w:tr w:rsidR="005F762A" w14:paraId="7268FBAC" w14:textId="77777777">
        <w:tc>
          <w:tcPr>
            <w:tcW w:w="0" w:type="auto"/>
            <w:gridSpan w:val="3"/>
            <w:shd w:val="clear" w:color="auto" w:fill="FFFFFF"/>
            <w:tcMar>
              <w:top w:w="40" w:type="dxa"/>
              <w:left w:w="155" w:type="dxa"/>
              <w:bottom w:w="40" w:type="dxa"/>
              <w:right w:w="20" w:type="dxa"/>
            </w:tcMar>
            <w:vAlign w:val="bottom"/>
          </w:tcPr>
          <w:p w14:paraId="7268FB9E"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B9F" w14:textId="77777777" w:rsidR="005F762A" w:rsidRDefault="005F762A">
            <w:pPr>
              <w:rPr>
                <w:rFonts w:ascii="宋体"/>
                <w:vanish/>
              </w:rPr>
            </w:pPr>
          </w:p>
        </w:tc>
        <w:tc>
          <w:tcPr>
            <w:tcW w:w="0" w:type="auto"/>
            <w:shd w:val="clear" w:color="auto" w:fill="auto"/>
          </w:tcPr>
          <w:p w14:paraId="7268FBA0" w14:textId="77777777" w:rsidR="005F762A" w:rsidRDefault="005F762A">
            <w:pPr>
              <w:rPr>
                <w:rFonts w:ascii="宋体"/>
                <w:vanish/>
              </w:rPr>
            </w:pPr>
          </w:p>
        </w:tc>
        <w:tc>
          <w:tcPr>
            <w:tcW w:w="0" w:type="auto"/>
            <w:shd w:val="clear" w:color="auto" w:fill="auto"/>
          </w:tcPr>
          <w:p w14:paraId="7268FBA1" w14:textId="77777777" w:rsidR="005F762A" w:rsidRDefault="005F762A">
            <w:pPr>
              <w:rPr>
                <w:rFonts w:ascii="宋体"/>
                <w:vanish/>
              </w:rPr>
            </w:pPr>
          </w:p>
        </w:tc>
        <w:tc>
          <w:tcPr>
            <w:tcW w:w="0" w:type="auto"/>
            <w:shd w:val="clear" w:color="auto" w:fill="auto"/>
          </w:tcPr>
          <w:p w14:paraId="7268FBA2" w14:textId="77777777" w:rsidR="005F762A" w:rsidRDefault="005F762A">
            <w:pPr>
              <w:rPr>
                <w:rFonts w:ascii="宋体"/>
                <w:vanish/>
              </w:rPr>
            </w:pPr>
          </w:p>
        </w:tc>
        <w:tc>
          <w:tcPr>
            <w:tcW w:w="0" w:type="auto"/>
            <w:shd w:val="clear" w:color="auto" w:fill="auto"/>
          </w:tcPr>
          <w:p w14:paraId="7268FBA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BA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A5" w14:textId="77777777" w:rsidR="005F762A" w:rsidRDefault="00D74111">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7268FBA6"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A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A8" w14:textId="77777777" w:rsidR="005F762A" w:rsidRDefault="00D74111">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7268FBA9"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A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BAB" w14:textId="77777777" w:rsidR="005F762A" w:rsidRDefault="005F762A">
            <w:pPr>
              <w:rPr>
                <w:rFonts w:ascii="宋体"/>
              </w:rPr>
            </w:pPr>
          </w:p>
        </w:tc>
      </w:tr>
      <w:tr w:rsidR="005F762A" w14:paraId="7268FBBC" w14:textId="77777777">
        <w:tc>
          <w:tcPr>
            <w:tcW w:w="0" w:type="auto"/>
            <w:gridSpan w:val="3"/>
            <w:shd w:val="clear" w:color="auto" w:fill="E2E2E2"/>
            <w:tcMar>
              <w:top w:w="40" w:type="dxa"/>
              <w:left w:w="20" w:type="dxa"/>
              <w:bottom w:w="40" w:type="dxa"/>
              <w:right w:w="20" w:type="dxa"/>
            </w:tcMar>
            <w:vAlign w:val="bottom"/>
          </w:tcPr>
          <w:p w14:paraId="7268FBAD" w14:textId="77777777" w:rsidR="005F762A" w:rsidRDefault="00D74111">
            <w:pPr>
              <w:textAlignment w:val="bottom"/>
            </w:pPr>
            <w:r>
              <w:rPr>
                <w:rFonts w:ascii="Arial" w:eastAsia="宋体" w:hAnsi="Arial" w:cs="Arial"/>
                <w:color w:val="000000"/>
                <w:sz w:val="16"/>
                <w:szCs w:val="16"/>
              </w:rPr>
              <w:t>General and administrative</w:t>
            </w:r>
          </w:p>
        </w:tc>
        <w:tc>
          <w:tcPr>
            <w:tcW w:w="0" w:type="auto"/>
            <w:shd w:val="clear" w:color="auto" w:fill="auto"/>
          </w:tcPr>
          <w:p w14:paraId="7268FBAE" w14:textId="77777777" w:rsidR="005F762A" w:rsidRDefault="005F762A">
            <w:pPr>
              <w:rPr>
                <w:rFonts w:ascii="宋体"/>
                <w:vanish/>
              </w:rPr>
            </w:pPr>
          </w:p>
        </w:tc>
        <w:tc>
          <w:tcPr>
            <w:tcW w:w="0" w:type="auto"/>
            <w:shd w:val="clear" w:color="auto" w:fill="auto"/>
          </w:tcPr>
          <w:p w14:paraId="7268FBAF" w14:textId="77777777" w:rsidR="005F762A" w:rsidRDefault="005F762A">
            <w:pPr>
              <w:rPr>
                <w:rFonts w:ascii="宋体"/>
                <w:vanish/>
              </w:rPr>
            </w:pPr>
          </w:p>
        </w:tc>
        <w:tc>
          <w:tcPr>
            <w:tcW w:w="0" w:type="auto"/>
            <w:shd w:val="clear" w:color="auto" w:fill="auto"/>
          </w:tcPr>
          <w:p w14:paraId="7268FBB0" w14:textId="77777777" w:rsidR="005F762A" w:rsidRDefault="005F762A">
            <w:pPr>
              <w:rPr>
                <w:rFonts w:ascii="宋体"/>
                <w:vanish/>
              </w:rPr>
            </w:pPr>
          </w:p>
        </w:tc>
        <w:tc>
          <w:tcPr>
            <w:tcW w:w="0" w:type="auto"/>
            <w:shd w:val="clear" w:color="auto" w:fill="auto"/>
          </w:tcPr>
          <w:p w14:paraId="7268FBB1" w14:textId="77777777" w:rsidR="005F762A" w:rsidRDefault="005F762A">
            <w:pPr>
              <w:rPr>
                <w:rFonts w:ascii="宋体"/>
                <w:vanish/>
              </w:rPr>
            </w:pPr>
          </w:p>
        </w:tc>
        <w:tc>
          <w:tcPr>
            <w:tcW w:w="0" w:type="auto"/>
            <w:shd w:val="clear" w:color="auto" w:fill="auto"/>
          </w:tcPr>
          <w:p w14:paraId="7268FBB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B3"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B4" w14:textId="77777777" w:rsidR="005F762A" w:rsidRDefault="00D74111">
            <w:pPr>
              <w:jc w:val="right"/>
              <w:textAlignment w:val="bottom"/>
            </w:pPr>
            <w:r>
              <w:rPr>
                <w:rFonts w:ascii="Arial" w:eastAsia="宋体" w:hAnsi="Arial" w:cs="Arial"/>
                <w:color w:val="000000"/>
                <w:sz w:val="16"/>
                <w:szCs w:val="16"/>
              </w:rPr>
              <w:t>258 </w:t>
            </w:r>
          </w:p>
        </w:tc>
        <w:tc>
          <w:tcPr>
            <w:tcW w:w="0" w:type="auto"/>
            <w:shd w:val="clear" w:color="auto" w:fill="E2E2E2"/>
            <w:tcMar>
              <w:top w:w="40" w:type="dxa"/>
              <w:left w:w="0" w:type="dxa"/>
              <w:bottom w:w="40" w:type="dxa"/>
              <w:right w:w="20" w:type="dxa"/>
            </w:tcMar>
            <w:vAlign w:val="bottom"/>
          </w:tcPr>
          <w:p w14:paraId="7268FBB5"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B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B7" w14:textId="77777777" w:rsidR="005F762A" w:rsidRDefault="00D74111">
            <w:pPr>
              <w:jc w:val="right"/>
              <w:textAlignment w:val="bottom"/>
            </w:pPr>
            <w:r>
              <w:rPr>
                <w:rFonts w:ascii="Arial" w:eastAsia="宋体" w:hAnsi="Arial" w:cs="Arial"/>
                <w:color w:val="000000"/>
                <w:sz w:val="16"/>
                <w:szCs w:val="16"/>
              </w:rPr>
              <w:t>207 </w:t>
            </w:r>
          </w:p>
        </w:tc>
        <w:tc>
          <w:tcPr>
            <w:tcW w:w="0" w:type="auto"/>
            <w:shd w:val="clear" w:color="auto" w:fill="E2E2E2"/>
            <w:tcMar>
              <w:top w:w="40" w:type="dxa"/>
              <w:left w:w="0" w:type="dxa"/>
              <w:bottom w:w="40" w:type="dxa"/>
              <w:right w:w="20" w:type="dxa"/>
            </w:tcMar>
            <w:vAlign w:val="bottom"/>
          </w:tcPr>
          <w:p w14:paraId="7268FBB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B9"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BA" w14:textId="77777777" w:rsidR="005F762A" w:rsidRDefault="00D74111">
            <w:pPr>
              <w:jc w:val="right"/>
              <w:textAlignment w:val="bottom"/>
            </w:pPr>
            <w:r>
              <w:rPr>
                <w:rFonts w:ascii="Arial" w:eastAsia="宋体" w:hAnsi="Arial" w:cs="Arial"/>
                <w:color w:val="000000"/>
                <w:sz w:val="16"/>
                <w:szCs w:val="16"/>
              </w:rPr>
              <w:t>24 </w:t>
            </w:r>
          </w:p>
        </w:tc>
        <w:tc>
          <w:tcPr>
            <w:tcW w:w="0" w:type="auto"/>
            <w:shd w:val="clear" w:color="auto" w:fill="E2E2E2"/>
            <w:tcMar>
              <w:top w:w="40" w:type="dxa"/>
              <w:left w:w="0" w:type="dxa"/>
              <w:bottom w:w="40" w:type="dxa"/>
              <w:right w:w="20" w:type="dxa"/>
            </w:tcMar>
            <w:vAlign w:val="bottom"/>
          </w:tcPr>
          <w:p w14:paraId="7268FBBB" w14:textId="77777777" w:rsidR="005F762A" w:rsidRDefault="00D74111">
            <w:pPr>
              <w:jc w:val="right"/>
              <w:textAlignment w:val="bottom"/>
            </w:pPr>
            <w:r>
              <w:rPr>
                <w:rFonts w:ascii="Arial" w:eastAsia="宋体" w:hAnsi="Arial" w:cs="Arial"/>
                <w:color w:val="000000"/>
                <w:sz w:val="16"/>
                <w:szCs w:val="16"/>
              </w:rPr>
              <w:t>%</w:t>
            </w:r>
          </w:p>
        </w:tc>
      </w:tr>
      <w:tr w:rsidR="005F762A" w14:paraId="7268FBCB" w14:textId="77777777">
        <w:tc>
          <w:tcPr>
            <w:tcW w:w="0" w:type="auto"/>
            <w:gridSpan w:val="3"/>
            <w:shd w:val="clear" w:color="auto" w:fill="FFFFFF"/>
            <w:tcMar>
              <w:top w:w="40" w:type="dxa"/>
              <w:left w:w="155" w:type="dxa"/>
              <w:bottom w:w="40" w:type="dxa"/>
              <w:right w:w="20" w:type="dxa"/>
            </w:tcMar>
            <w:vAlign w:val="bottom"/>
          </w:tcPr>
          <w:p w14:paraId="7268FBBD"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BBE" w14:textId="77777777" w:rsidR="005F762A" w:rsidRDefault="005F762A">
            <w:pPr>
              <w:rPr>
                <w:rFonts w:ascii="宋体"/>
                <w:vanish/>
              </w:rPr>
            </w:pPr>
          </w:p>
        </w:tc>
        <w:tc>
          <w:tcPr>
            <w:tcW w:w="0" w:type="auto"/>
            <w:shd w:val="clear" w:color="auto" w:fill="auto"/>
          </w:tcPr>
          <w:p w14:paraId="7268FBBF" w14:textId="77777777" w:rsidR="005F762A" w:rsidRDefault="005F762A">
            <w:pPr>
              <w:rPr>
                <w:rFonts w:ascii="宋体"/>
                <w:vanish/>
              </w:rPr>
            </w:pPr>
          </w:p>
        </w:tc>
        <w:tc>
          <w:tcPr>
            <w:tcW w:w="0" w:type="auto"/>
            <w:shd w:val="clear" w:color="auto" w:fill="auto"/>
          </w:tcPr>
          <w:p w14:paraId="7268FBC0" w14:textId="77777777" w:rsidR="005F762A" w:rsidRDefault="005F762A">
            <w:pPr>
              <w:rPr>
                <w:rFonts w:ascii="宋体"/>
                <w:vanish/>
              </w:rPr>
            </w:pPr>
          </w:p>
        </w:tc>
        <w:tc>
          <w:tcPr>
            <w:tcW w:w="0" w:type="auto"/>
            <w:shd w:val="clear" w:color="auto" w:fill="auto"/>
          </w:tcPr>
          <w:p w14:paraId="7268FBC1" w14:textId="77777777" w:rsidR="005F762A" w:rsidRDefault="005F762A">
            <w:pPr>
              <w:rPr>
                <w:rFonts w:ascii="宋体"/>
                <w:vanish/>
              </w:rPr>
            </w:pPr>
          </w:p>
        </w:tc>
        <w:tc>
          <w:tcPr>
            <w:tcW w:w="0" w:type="auto"/>
            <w:shd w:val="clear" w:color="auto" w:fill="auto"/>
          </w:tcPr>
          <w:p w14:paraId="7268FBC2"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BC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C4" w14:textId="77777777" w:rsidR="005F762A" w:rsidRDefault="00D74111">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left w:w="0" w:type="dxa"/>
              <w:bottom w:w="40" w:type="dxa"/>
              <w:right w:w="20" w:type="dxa"/>
            </w:tcMar>
            <w:vAlign w:val="bottom"/>
          </w:tcPr>
          <w:p w14:paraId="7268FBC5"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C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C7" w14:textId="77777777" w:rsidR="005F762A" w:rsidRDefault="00D74111">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left w:w="0" w:type="dxa"/>
              <w:bottom w:w="40" w:type="dxa"/>
              <w:right w:w="20" w:type="dxa"/>
            </w:tcMar>
            <w:vAlign w:val="bottom"/>
          </w:tcPr>
          <w:p w14:paraId="7268FBC8"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C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BCA" w14:textId="77777777" w:rsidR="005F762A" w:rsidRDefault="005F762A">
            <w:pPr>
              <w:rPr>
                <w:rFonts w:ascii="宋体"/>
              </w:rPr>
            </w:pPr>
          </w:p>
        </w:tc>
      </w:tr>
      <w:tr w:rsidR="005F762A" w14:paraId="7268FBDB" w14:textId="77777777">
        <w:tc>
          <w:tcPr>
            <w:tcW w:w="0" w:type="auto"/>
            <w:gridSpan w:val="3"/>
            <w:shd w:val="clear" w:color="auto" w:fill="E2E2E2"/>
            <w:tcMar>
              <w:top w:w="40" w:type="dxa"/>
              <w:left w:w="20" w:type="dxa"/>
              <w:bottom w:w="40" w:type="dxa"/>
              <w:right w:w="20" w:type="dxa"/>
            </w:tcMar>
            <w:vAlign w:val="bottom"/>
          </w:tcPr>
          <w:p w14:paraId="7268FBCC" w14:textId="77777777" w:rsidR="005F762A" w:rsidRDefault="00D74111">
            <w:pPr>
              <w:textAlignment w:val="bottom"/>
            </w:pPr>
            <w:r>
              <w:rPr>
                <w:rFonts w:ascii="Arial" w:eastAsia="宋体" w:hAnsi="Arial" w:cs="Arial"/>
                <w:color w:val="000000"/>
                <w:sz w:val="16"/>
                <w:szCs w:val="16"/>
              </w:rPr>
              <w:t>Provision for transaction losses</w:t>
            </w:r>
          </w:p>
        </w:tc>
        <w:tc>
          <w:tcPr>
            <w:tcW w:w="0" w:type="auto"/>
            <w:shd w:val="clear" w:color="auto" w:fill="auto"/>
          </w:tcPr>
          <w:p w14:paraId="7268FBCD" w14:textId="77777777" w:rsidR="005F762A" w:rsidRDefault="005F762A">
            <w:pPr>
              <w:rPr>
                <w:rFonts w:ascii="宋体"/>
                <w:vanish/>
              </w:rPr>
            </w:pPr>
          </w:p>
        </w:tc>
        <w:tc>
          <w:tcPr>
            <w:tcW w:w="0" w:type="auto"/>
            <w:shd w:val="clear" w:color="auto" w:fill="auto"/>
          </w:tcPr>
          <w:p w14:paraId="7268FBCE" w14:textId="77777777" w:rsidR="005F762A" w:rsidRDefault="005F762A">
            <w:pPr>
              <w:rPr>
                <w:rFonts w:ascii="宋体"/>
                <w:vanish/>
              </w:rPr>
            </w:pPr>
          </w:p>
        </w:tc>
        <w:tc>
          <w:tcPr>
            <w:tcW w:w="0" w:type="auto"/>
            <w:shd w:val="clear" w:color="auto" w:fill="auto"/>
          </w:tcPr>
          <w:p w14:paraId="7268FBCF" w14:textId="77777777" w:rsidR="005F762A" w:rsidRDefault="005F762A">
            <w:pPr>
              <w:rPr>
                <w:rFonts w:ascii="宋体"/>
                <w:vanish/>
              </w:rPr>
            </w:pPr>
          </w:p>
        </w:tc>
        <w:tc>
          <w:tcPr>
            <w:tcW w:w="0" w:type="auto"/>
            <w:shd w:val="clear" w:color="auto" w:fill="auto"/>
          </w:tcPr>
          <w:p w14:paraId="7268FBD0" w14:textId="77777777" w:rsidR="005F762A" w:rsidRDefault="005F762A">
            <w:pPr>
              <w:rPr>
                <w:rFonts w:ascii="宋体"/>
                <w:vanish/>
              </w:rPr>
            </w:pPr>
          </w:p>
        </w:tc>
        <w:tc>
          <w:tcPr>
            <w:tcW w:w="0" w:type="auto"/>
            <w:shd w:val="clear" w:color="auto" w:fill="auto"/>
          </w:tcPr>
          <w:p w14:paraId="7268FBD1"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D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D3" w14:textId="77777777" w:rsidR="005F762A" w:rsidRDefault="00D74111">
            <w:pPr>
              <w:jc w:val="right"/>
              <w:textAlignment w:val="bottom"/>
            </w:pPr>
            <w:r>
              <w:rPr>
                <w:rFonts w:ascii="Arial" w:eastAsia="宋体" w:hAnsi="Arial" w:cs="Arial"/>
                <w:color w:val="000000"/>
                <w:sz w:val="16"/>
                <w:szCs w:val="16"/>
              </w:rPr>
              <w:t>88 </w:t>
            </w:r>
          </w:p>
        </w:tc>
        <w:tc>
          <w:tcPr>
            <w:tcW w:w="0" w:type="auto"/>
            <w:shd w:val="clear" w:color="auto" w:fill="E2E2E2"/>
            <w:tcMar>
              <w:top w:w="40" w:type="dxa"/>
              <w:left w:w="0" w:type="dxa"/>
              <w:bottom w:w="40" w:type="dxa"/>
              <w:right w:w="20" w:type="dxa"/>
            </w:tcMar>
            <w:vAlign w:val="bottom"/>
          </w:tcPr>
          <w:p w14:paraId="7268FBD4"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D5"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D6" w14:textId="77777777" w:rsidR="005F762A" w:rsidRDefault="00D74111">
            <w:pPr>
              <w:jc w:val="right"/>
              <w:textAlignment w:val="bottom"/>
            </w:pPr>
            <w:r>
              <w:rPr>
                <w:rFonts w:ascii="Arial" w:eastAsia="宋体" w:hAnsi="Arial" w:cs="Arial"/>
                <w:color w:val="000000"/>
                <w:sz w:val="16"/>
                <w:szCs w:val="16"/>
              </w:rPr>
              <w:t>96 </w:t>
            </w:r>
          </w:p>
        </w:tc>
        <w:tc>
          <w:tcPr>
            <w:tcW w:w="0" w:type="auto"/>
            <w:shd w:val="clear" w:color="auto" w:fill="E2E2E2"/>
            <w:tcMar>
              <w:top w:w="40" w:type="dxa"/>
              <w:left w:w="0" w:type="dxa"/>
              <w:bottom w:w="40" w:type="dxa"/>
              <w:right w:w="20" w:type="dxa"/>
            </w:tcMar>
            <w:vAlign w:val="bottom"/>
          </w:tcPr>
          <w:p w14:paraId="7268FBD7"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D8"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D9" w14:textId="77777777" w:rsidR="005F762A" w:rsidRDefault="00D74111">
            <w:pPr>
              <w:jc w:val="right"/>
              <w:textAlignment w:val="bottom"/>
            </w:pPr>
            <w:r>
              <w:rPr>
                <w:rFonts w:ascii="Arial" w:eastAsia="宋体" w:hAnsi="Arial" w:cs="Arial"/>
                <w:color w:val="000000"/>
                <w:sz w:val="16"/>
                <w:szCs w:val="16"/>
              </w:rPr>
              <w:t>(8)</w:t>
            </w:r>
          </w:p>
        </w:tc>
        <w:tc>
          <w:tcPr>
            <w:tcW w:w="0" w:type="auto"/>
            <w:shd w:val="clear" w:color="auto" w:fill="E2E2E2"/>
            <w:tcMar>
              <w:top w:w="40" w:type="dxa"/>
              <w:left w:w="0" w:type="dxa"/>
              <w:bottom w:w="40" w:type="dxa"/>
              <w:right w:w="20" w:type="dxa"/>
            </w:tcMar>
            <w:vAlign w:val="bottom"/>
          </w:tcPr>
          <w:p w14:paraId="7268FBDA" w14:textId="77777777" w:rsidR="005F762A" w:rsidRDefault="00D74111">
            <w:pPr>
              <w:jc w:val="right"/>
              <w:textAlignment w:val="bottom"/>
            </w:pPr>
            <w:r>
              <w:rPr>
                <w:rFonts w:ascii="Arial" w:eastAsia="宋体" w:hAnsi="Arial" w:cs="Arial"/>
                <w:color w:val="000000"/>
                <w:sz w:val="16"/>
                <w:szCs w:val="16"/>
              </w:rPr>
              <w:t>%</w:t>
            </w:r>
          </w:p>
        </w:tc>
      </w:tr>
      <w:tr w:rsidR="005F762A" w14:paraId="7268FBEA" w14:textId="77777777">
        <w:tc>
          <w:tcPr>
            <w:tcW w:w="0" w:type="auto"/>
            <w:gridSpan w:val="3"/>
            <w:shd w:val="clear" w:color="auto" w:fill="FFFFFF"/>
            <w:tcMar>
              <w:top w:w="40" w:type="dxa"/>
              <w:left w:w="155" w:type="dxa"/>
              <w:bottom w:w="40" w:type="dxa"/>
              <w:right w:w="20" w:type="dxa"/>
            </w:tcMar>
            <w:vAlign w:val="bottom"/>
          </w:tcPr>
          <w:p w14:paraId="7268FBDC"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BDD" w14:textId="77777777" w:rsidR="005F762A" w:rsidRDefault="005F762A">
            <w:pPr>
              <w:rPr>
                <w:rFonts w:ascii="宋体"/>
                <w:vanish/>
              </w:rPr>
            </w:pPr>
          </w:p>
        </w:tc>
        <w:tc>
          <w:tcPr>
            <w:tcW w:w="0" w:type="auto"/>
            <w:shd w:val="clear" w:color="auto" w:fill="auto"/>
          </w:tcPr>
          <w:p w14:paraId="7268FBDE" w14:textId="77777777" w:rsidR="005F762A" w:rsidRDefault="005F762A">
            <w:pPr>
              <w:rPr>
                <w:rFonts w:ascii="宋体"/>
                <w:vanish/>
              </w:rPr>
            </w:pPr>
          </w:p>
        </w:tc>
        <w:tc>
          <w:tcPr>
            <w:tcW w:w="0" w:type="auto"/>
            <w:shd w:val="clear" w:color="auto" w:fill="auto"/>
          </w:tcPr>
          <w:p w14:paraId="7268FBDF" w14:textId="77777777" w:rsidR="005F762A" w:rsidRDefault="005F762A">
            <w:pPr>
              <w:rPr>
                <w:rFonts w:ascii="宋体"/>
                <w:vanish/>
              </w:rPr>
            </w:pPr>
          </w:p>
        </w:tc>
        <w:tc>
          <w:tcPr>
            <w:tcW w:w="0" w:type="auto"/>
            <w:shd w:val="clear" w:color="auto" w:fill="auto"/>
          </w:tcPr>
          <w:p w14:paraId="7268FBE0" w14:textId="77777777" w:rsidR="005F762A" w:rsidRDefault="005F762A">
            <w:pPr>
              <w:rPr>
                <w:rFonts w:ascii="宋体"/>
                <w:vanish/>
              </w:rPr>
            </w:pPr>
          </w:p>
        </w:tc>
        <w:tc>
          <w:tcPr>
            <w:tcW w:w="0" w:type="auto"/>
            <w:shd w:val="clear" w:color="auto" w:fill="auto"/>
          </w:tcPr>
          <w:p w14:paraId="7268FBE1"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BE2"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E3" w14:textId="77777777" w:rsidR="005F762A" w:rsidRDefault="00D74111">
            <w:pPr>
              <w:jc w:val="right"/>
              <w:textAlignment w:val="bottom"/>
            </w:pPr>
            <w:r>
              <w:rPr>
                <w:rFonts w:ascii="Arial" w:eastAsia="宋体" w:hAnsi="Arial" w:cs="Arial"/>
                <w:i/>
                <w:iCs/>
                <w:color w:val="000000"/>
                <w:sz w:val="16"/>
                <w:szCs w:val="16"/>
              </w:rPr>
              <w:t>3 </w:t>
            </w:r>
          </w:p>
        </w:tc>
        <w:tc>
          <w:tcPr>
            <w:tcW w:w="0" w:type="auto"/>
            <w:shd w:val="clear" w:color="auto" w:fill="FFFFFF"/>
            <w:tcMar>
              <w:top w:w="40" w:type="dxa"/>
              <w:left w:w="0" w:type="dxa"/>
              <w:bottom w:w="40" w:type="dxa"/>
              <w:right w:w="20" w:type="dxa"/>
            </w:tcMar>
            <w:vAlign w:val="bottom"/>
          </w:tcPr>
          <w:p w14:paraId="7268FBE4"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E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BE6" w14:textId="77777777" w:rsidR="005F762A" w:rsidRDefault="00D74111">
            <w:pPr>
              <w:jc w:val="right"/>
              <w:textAlignment w:val="bottom"/>
            </w:pPr>
            <w:r>
              <w:rPr>
                <w:rFonts w:ascii="Arial" w:eastAsia="宋体" w:hAnsi="Arial" w:cs="Arial"/>
                <w:i/>
                <w:iCs/>
                <w:color w:val="000000"/>
                <w:sz w:val="16"/>
                <w:szCs w:val="16"/>
              </w:rPr>
              <w:t>5 </w:t>
            </w:r>
          </w:p>
        </w:tc>
        <w:tc>
          <w:tcPr>
            <w:tcW w:w="0" w:type="auto"/>
            <w:shd w:val="clear" w:color="auto" w:fill="FFFFFF"/>
            <w:tcMar>
              <w:top w:w="40" w:type="dxa"/>
              <w:left w:w="0" w:type="dxa"/>
              <w:bottom w:w="40" w:type="dxa"/>
              <w:right w:w="20" w:type="dxa"/>
            </w:tcMar>
            <w:vAlign w:val="bottom"/>
          </w:tcPr>
          <w:p w14:paraId="7268FBE7"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BE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BE9" w14:textId="77777777" w:rsidR="005F762A" w:rsidRDefault="005F762A">
            <w:pPr>
              <w:rPr>
                <w:rFonts w:ascii="宋体"/>
              </w:rPr>
            </w:pPr>
          </w:p>
        </w:tc>
      </w:tr>
      <w:tr w:rsidR="005F762A" w14:paraId="7268FBFA" w14:textId="77777777">
        <w:tc>
          <w:tcPr>
            <w:tcW w:w="0" w:type="auto"/>
            <w:gridSpan w:val="3"/>
            <w:shd w:val="clear" w:color="auto" w:fill="E2E2E2"/>
            <w:tcMar>
              <w:top w:w="40" w:type="dxa"/>
              <w:left w:w="20" w:type="dxa"/>
              <w:bottom w:w="40" w:type="dxa"/>
              <w:right w:w="20" w:type="dxa"/>
            </w:tcMar>
            <w:vAlign w:val="bottom"/>
          </w:tcPr>
          <w:p w14:paraId="7268FBEB" w14:textId="77777777" w:rsidR="005F762A" w:rsidRDefault="00D74111">
            <w:pPr>
              <w:textAlignment w:val="bottom"/>
            </w:pPr>
            <w:r>
              <w:rPr>
                <w:rFonts w:ascii="Arial" w:eastAsia="宋体" w:hAnsi="Arial" w:cs="Arial"/>
                <w:color w:val="000000"/>
                <w:sz w:val="16"/>
                <w:szCs w:val="16"/>
              </w:rPr>
              <w:t>Amortization of acquired intangible assets</w:t>
            </w:r>
          </w:p>
        </w:tc>
        <w:tc>
          <w:tcPr>
            <w:tcW w:w="0" w:type="auto"/>
            <w:shd w:val="clear" w:color="auto" w:fill="auto"/>
          </w:tcPr>
          <w:p w14:paraId="7268FBEC" w14:textId="77777777" w:rsidR="005F762A" w:rsidRDefault="005F762A">
            <w:pPr>
              <w:rPr>
                <w:rFonts w:ascii="宋体"/>
                <w:vanish/>
              </w:rPr>
            </w:pPr>
          </w:p>
        </w:tc>
        <w:tc>
          <w:tcPr>
            <w:tcW w:w="0" w:type="auto"/>
            <w:shd w:val="clear" w:color="auto" w:fill="auto"/>
          </w:tcPr>
          <w:p w14:paraId="7268FBED" w14:textId="77777777" w:rsidR="005F762A" w:rsidRDefault="005F762A">
            <w:pPr>
              <w:rPr>
                <w:rFonts w:ascii="宋体"/>
                <w:vanish/>
              </w:rPr>
            </w:pPr>
          </w:p>
        </w:tc>
        <w:tc>
          <w:tcPr>
            <w:tcW w:w="0" w:type="auto"/>
            <w:shd w:val="clear" w:color="auto" w:fill="auto"/>
          </w:tcPr>
          <w:p w14:paraId="7268FBEE" w14:textId="77777777" w:rsidR="005F762A" w:rsidRDefault="005F762A">
            <w:pPr>
              <w:rPr>
                <w:rFonts w:ascii="宋体"/>
                <w:vanish/>
              </w:rPr>
            </w:pPr>
          </w:p>
        </w:tc>
        <w:tc>
          <w:tcPr>
            <w:tcW w:w="0" w:type="auto"/>
            <w:shd w:val="clear" w:color="auto" w:fill="auto"/>
          </w:tcPr>
          <w:p w14:paraId="7268FBEF" w14:textId="77777777" w:rsidR="005F762A" w:rsidRDefault="005F762A">
            <w:pPr>
              <w:rPr>
                <w:rFonts w:ascii="宋体"/>
                <w:vanish/>
              </w:rPr>
            </w:pPr>
          </w:p>
        </w:tc>
        <w:tc>
          <w:tcPr>
            <w:tcW w:w="0" w:type="auto"/>
            <w:shd w:val="clear" w:color="auto" w:fill="auto"/>
          </w:tcPr>
          <w:p w14:paraId="7268FBF0"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BF1"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F2" w14:textId="77777777" w:rsidR="005F762A" w:rsidRDefault="00D74111">
            <w:pPr>
              <w:jc w:val="right"/>
              <w:textAlignment w:val="bottom"/>
            </w:pPr>
            <w:r>
              <w:rPr>
                <w:rFonts w:ascii="Arial" w:eastAsia="宋体" w:hAnsi="Arial" w:cs="Arial"/>
                <w:color w:val="000000"/>
                <w:sz w:val="16"/>
                <w:szCs w:val="16"/>
              </w:rPr>
              <w:t>7 </w:t>
            </w:r>
          </w:p>
        </w:tc>
        <w:tc>
          <w:tcPr>
            <w:tcW w:w="0" w:type="auto"/>
            <w:shd w:val="clear" w:color="auto" w:fill="E2E2E2"/>
            <w:tcMar>
              <w:top w:w="40" w:type="dxa"/>
              <w:left w:w="0" w:type="dxa"/>
              <w:bottom w:w="40" w:type="dxa"/>
              <w:right w:w="20" w:type="dxa"/>
            </w:tcMar>
            <w:vAlign w:val="bottom"/>
          </w:tcPr>
          <w:p w14:paraId="7268FBF3"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F4"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F5" w14:textId="77777777" w:rsidR="005F762A" w:rsidRDefault="00D74111">
            <w:pPr>
              <w:jc w:val="right"/>
              <w:textAlignment w:val="bottom"/>
            </w:pPr>
            <w:r>
              <w:rPr>
                <w:rFonts w:ascii="Arial" w:eastAsia="宋体" w:hAnsi="Arial" w:cs="Arial"/>
                <w:color w:val="000000"/>
                <w:sz w:val="16"/>
                <w:szCs w:val="16"/>
              </w:rPr>
              <w:t>7 </w:t>
            </w:r>
          </w:p>
        </w:tc>
        <w:tc>
          <w:tcPr>
            <w:tcW w:w="0" w:type="auto"/>
            <w:shd w:val="clear" w:color="auto" w:fill="E2E2E2"/>
            <w:tcMar>
              <w:top w:w="40" w:type="dxa"/>
              <w:left w:w="0" w:type="dxa"/>
              <w:bottom w:w="40" w:type="dxa"/>
              <w:right w:w="20" w:type="dxa"/>
            </w:tcMar>
            <w:vAlign w:val="bottom"/>
          </w:tcPr>
          <w:p w14:paraId="7268FBF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BF7"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BF8" w14:textId="77777777" w:rsidR="005F762A" w:rsidRDefault="00D74111">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0" w:type="dxa"/>
              <w:bottom w:w="40" w:type="dxa"/>
              <w:right w:w="20" w:type="dxa"/>
            </w:tcMar>
            <w:vAlign w:val="bottom"/>
          </w:tcPr>
          <w:p w14:paraId="7268FBF9" w14:textId="77777777" w:rsidR="005F762A" w:rsidRDefault="00D74111">
            <w:pPr>
              <w:jc w:val="right"/>
              <w:textAlignment w:val="bottom"/>
            </w:pPr>
            <w:r>
              <w:rPr>
                <w:rFonts w:ascii="Arial" w:eastAsia="宋体" w:hAnsi="Arial" w:cs="Arial"/>
                <w:color w:val="000000"/>
                <w:sz w:val="16"/>
                <w:szCs w:val="16"/>
              </w:rPr>
              <w:t>%</w:t>
            </w:r>
          </w:p>
        </w:tc>
      </w:tr>
      <w:tr w:rsidR="005F762A" w14:paraId="7268FC0C" w14:textId="77777777">
        <w:tc>
          <w:tcPr>
            <w:tcW w:w="0" w:type="auto"/>
            <w:gridSpan w:val="3"/>
            <w:shd w:val="clear" w:color="auto" w:fill="FFFFFF"/>
            <w:tcMar>
              <w:top w:w="40" w:type="dxa"/>
              <w:left w:w="245" w:type="dxa"/>
              <w:bottom w:w="40" w:type="dxa"/>
              <w:right w:w="20" w:type="dxa"/>
            </w:tcMar>
            <w:vAlign w:val="bottom"/>
          </w:tcPr>
          <w:p w14:paraId="7268FBFB" w14:textId="77777777" w:rsidR="005F762A" w:rsidRDefault="00D74111">
            <w:pPr>
              <w:textAlignment w:val="bottom"/>
            </w:pPr>
            <w:r>
              <w:rPr>
                <w:rFonts w:ascii="Arial" w:eastAsia="宋体" w:hAnsi="Arial" w:cs="Arial"/>
                <w:color w:val="000000"/>
                <w:sz w:val="16"/>
                <w:szCs w:val="16"/>
              </w:rPr>
              <w:t>Total operating expenses</w:t>
            </w:r>
          </w:p>
        </w:tc>
        <w:tc>
          <w:tcPr>
            <w:tcW w:w="0" w:type="auto"/>
            <w:shd w:val="clear" w:color="auto" w:fill="auto"/>
          </w:tcPr>
          <w:p w14:paraId="7268FBFC" w14:textId="77777777" w:rsidR="005F762A" w:rsidRDefault="005F762A">
            <w:pPr>
              <w:rPr>
                <w:rFonts w:ascii="宋体"/>
                <w:vanish/>
              </w:rPr>
            </w:pPr>
          </w:p>
        </w:tc>
        <w:tc>
          <w:tcPr>
            <w:tcW w:w="0" w:type="auto"/>
            <w:shd w:val="clear" w:color="auto" w:fill="auto"/>
          </w:tcPr>
          <w:p w14:paraId="7268FBFD" w14:textId="77777777" w:rsidR="005F762A" w:rsidRDefault="005F762A">
            <w:pPr>
              <w:rPr>
                <w:rFonts w:ascii="宋体"/>
                <w:vanish/>
              </w:rPr>
            </w:pPr>
          </w:p>
        </w:tc>
        <w:tc>
          <w:tcPr>
            <w:tcW w:w="0" w:type="auto"/>
            <w:shd w:val="clear" w:color="auto" w:fill="auto"/>
          </w:tcPr>
          <w:p w14:paraId="7268FBFE" w14:textId="77777777" w:rsidR="005F762A" w:rsidRDefault="005F762A">
            <w:pPr>
              <w:rPr>
                <w:rFonts w:ascii="宋体"/>
                <w:vanish/>
              </w:rPr>
            </w:pPr>
          </w:p>
        </w:tc>
        <w:tc>
          <w:tcPr>
            <w:tcW w:w="0" w:type="auto"/>
            <w:shd w:val="clear" w:color="auto" w:fill="auto"/>
          </w:tcPr>
          <w:p w14:paraId="7268FBFF" w14:textId="77777777" w:rsidR="005F762A" w:rsidRDefault="005F762A">
            <w:pPr>
              <w:rPr>
                <w:rFonts w:ascii="宋体"/>
                <w:vanish/>
              </w:rPr>
            </w:pPr>
          </w:p>
        </w:tc>
        <w:tc>
          <w:tcPr>
            <w:tcW w:w="0" w:type="auto"/>
            <w:shd w:val="clear" w:color="auto" w:fill="auto"/>
          </w:tcPr>
          <w:p w14:paraId="7268FC00"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C01"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C02"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C03" w14:textId="77777777" w:rsidR="005F762A" w:rsidRDefault="00D74111">
            <w:pPr>
              <w:jc w:val="right"/>
              <w:textAlignment w:val="bottom"/>
            </w:pPr>
            <w:r>
              <w:rPr>
                <w:rFonts w:ascii="Arial" w:eastAsia="宋体" w:hAnsi="Arial" w:cs="Arial"/>
                <w:color w:val="000000"/>
                <w:sz w:val="16"/>
                <w:szCs w:val="16"/>
              </w:rPr>
              <w:t>1,358 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C04"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C05" w14:textId="77777777" w:rsidR="005F762A" w:rsidRDefault="005F762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8FC06"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268FC07" w14:textId="77777777" w:rsidR="005F762A" w:rsidRDefault="00D74111">
            <w:pPr>
              <w:jc w:val="right"/>
              <w:textAlignment w:val="bottom"/>
            </w:pPr>
            <w:r>
              <w:rPr>
                <w:rFonts w:ascii="Arial" w:eastAsia="宋体" w:hAnsi="Arial" w:cs="Arial"/>
                <w:color w:val="000000"/>
                <w:sz w:val="16"/>
                <w:szCs w:val="16"/>
              </w:rPr>
              <w:t>1,062 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8FC0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C0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C0A" w14:textId="77777777" w:rsidR="005F762A" w:rsidRDefault="00D74111">
            <w:pPr>
              <w:jc w:val="right"/>
              <w:textAlignment w:val="bottom"/>
            </w:pPr>
            <w:r>
              <w:rPr>
                <w:rFonts w:ascii="Arial" w:eastAsia="宋体" w:hAnsi="Arial" w:cs="Arial"/>
                <w:color w:val="000000"/>
                <w:sz w:val="16"/>
                <w:szCs w:val="16"/>
              </w:rPr>
              <w:t>28 </w:t>
            </w:r>
          </w:p>
        </w:tc>
        <w:tc>
          <w:tcPr>
            <w:tcW w:w="0" w:type="auto"/>
            <w:shd w:val="clear" w:color="auto" w:fill="FFFFFF"/>
            <w:tcMar>
              <w:top w:w="40" w:type="dxa"/>
              <w:left w:w="0" w:type="dxa"/>
              <w:bottom w:w="40" w:type="dxa"/>
              <w:right w:w="20" w:type="dxa"/>
            </w:tcMar>
            <w:vAlign w:val="bottom"/>
          </w:tcPr>
          <w:p w14:paraId="7268FC0B" w14:textId="77777777" w:rsidR="005F762A" w:rsidRDefault="00D74111">
            <w:pPr>
              <w:jc w:val="right"/>
              <w:textAlignment w:val="bottom"/>
            </w:pPr>
            <w:r>
              <w:rPr>
                <w:rFonts w:ascii="Arial" w:eastAsia="宋体" w:hAnsi="Arial" w:cs="Arial"/>
                <w:color w:val="000000"/>
                <w:sz w:val="16"/>
                <w:szCs w:val="16"/>
              </w:rPr>
              <w:t>%</w:t>
            </w:r>
          </w:p>
        </w:tc>
      </w:tr>
    </w:tbl>
    <w:p w14:paraId="7268FC0D" w14:textId="77777777" w:rsidR="005F762A" w:rsidRDefault="005F762A">
      <w:pPr>
        <w:ind w:firstLine="540"/>
        <w:jc w:val="both"/>
      </w:pPr>
    </w:p>
    <w:p w14:paraId="7268FC0E" w14:textId="77777777" w:rsidR="005F762A" w:rsidRDefault="00D74111">
      <w:pPr>
        <w:ind w:firstLine="540"/>
        <w:jc w:val="both"/>
      </w:pPr>
      <w:r>
        <w:rPr>
          <w:rFonts w:ascii="Arial" w:eastAsia="宋体" w:hAnsi="Arial" w:cs="Arial"/>
          <w:color w:val="000000"/>
          <w:sz w:val="20"/>
          <w:szCs w:val="20"/>
        </w:rPr>
        <w:t>Foreign currency movements relative to the U.S. dollar had an unfavorable impact of $39 million on operating expenses during the three months ended March 31, 2021 comp</w:t>
      </w:r>
      <w:r>
        <w:rPr>
          <w:rFonts w:ascii="Arial" w:eastAsia="宋体" w:hAnsi="Arial" w:cs="Arial"/>
          <w:color w:val="000000"/>
          <w:sz w:val="20"/>
          <w:szCs w:val="20"/>
        </w:rPr>
        <w:t xml:space="preserve">ared to the same period in 2020. There was no hedging activity within operating expenses during the three months ended March 31, 2021. </w:t>
      </w:r>
    </w:p>
    <w:p w14:paraId="7268FC0F" w14:textId="77777777" w:rsidR="005F762A" w:rsidRDefault="005F762A">
      <w:pPr>
        <w:jc w:val="both"/>
      </w:pPr>
    </w:p>
    <w:p w14:paraId="7268FC10" w14:textId="77777777" w:rsidR="005F762A" w:rsidRDefault="00D74111">
      <w:r>
        <w:rPr>
          <w:rFonts w:ascii="Arial" w:eastAsia="宋体" w:hAnsi="Arial" w:cs="Arial"/>
          <w:b/>
          <w:bCs/>
          <w:i/>
          <w:iCs/>
          <w:color w:val="000000"/>
          <w:sz w:val="20"/>
          <w:szCs w:val="20"/>
        </w:rPr>
        <w:t>Sales and Marketing</w:t>
      </w:r>
    </w:p>
    <w:p w14:paraId="7268FC11" w14:textId="77777777" w:rsidR="005F762A" w:rsidRDefault="00D74111">
      <w:pPr>
        <w:jc w:val="both"/>
      </w:pPr>
      <w:r>
        <w:rPr>
          <w:rFonts w:ascii="Arial" w:eastAsia="宋体" w:hAnsi="Arial" w:cs="Arial"/>
          <w:color w:val="000000"/>
          <w:sz w:val="20"/>
          <w:szCs w:val="20"/>
        </w:rPr>
        <w:t> </w:t>
      </w:r>
    </w:p>
    <w:p w14:paraId="7268FC12" w14:textId="77777777" w:rsidR="005F762A" w:rsidRDefault="00D74111">
      <w:pPr>
        <w:ind w:firstLine="540"/>
        <w:jc w:val="both"/>
      </w:pPr>
      <w:r>
        <w:rPr>
          <w:rFonts w:ascii="Arial" w:eastAsia="宋体" w:hAnsi="Arial" w:cs="Arial"/>
          <w:color w:val="000000"/>
          <w:sz w:val="20"/>
          <w:szCs w:val="20"/>
        </w:rPr>
        <w:t>Sales and marketing expenses primarily consist of advertising and marketing program costs (both o</w:t>
      </w:r>
      <w:r>
        <w:rPr>
          <w:rFonts w:ascii="Arial" w:eastAsia="宋体" w:hAnsi="Arial" w:cs="Arial"/>
          <w:color w:val="000000"/>
          <w:sz w:val="20"/>
          <w:szCs w:val="20"/>
        </w:rPr>
        <w:t>nline and offline), employee compensation, certain user coupons and rewards, contractor costs, facilities costs and depreciation on equipment. Online marketing expenses represent traffic acquisition costs in various channels such as paid search, affiliates</w:t>
      </w:r>
      <w:r>
        <w:rPr>
          <w:rFonts w:ascii="Arial" w:eastAsia="宋体" w:hAnsi="Arial" w:cs="Arial"/>
          <w:color w:val="000000"/>
          <w:sz w:val="20"/>
          <w:szCs w:val="20"/>
        </w:rPr>
        <w:t xml:space="preserve"> marketing and display advertising. Offline advertising primarily includes brand campaigns and buyer/seller communications.</w:t>
      </w:r>
    </w:p>
    <w:p w14:paraId="7268FC13" w14:textId="77777777" w:rsidR="005F762A" w:rsidRDefault="005F762A">
      <w:pPr>
        <w:ind w:firstLine="495"/>
        <w:jc w:val="both"/>
      </w:pPr>
    </w:p>
    <w:p w14:paraId="7268FC14" w14:textId="77777777" w:rsidR="005F762A" w:rsidRDefault="00D74111">
      <w:pPr>
        <w:ind w:firstLine="540"/>
        <w:jc w:val="both"/>
      </w:pPr>
      <w:r>
        <w:rPr>
          <w:rFonts w:ascii="Arial" w:eastAsia="宋体" w:hAnsi="Arial" w:cs="Arial"/>
          <w:color w:val="000000"/>
          <w:sz w:val="20"/>
          <w:szCs w:val="20"/>
        </w:rPr>
        <w:t xml:space="preserve">The increase in sales and marketing expense during the three months ended March 31, 2021 compared to the same period in 2020 was </w:t>
      </w:r>
      <w:r>
        <w:rPr>
          <w:rFonts w:ascii="Arial" w:eastAsia="宋体" w:hAnsi="Arial" w:cs="Arial"/>
          <w:color w:val="000000"/>
          <w:sz w:val="20"/>
          <w:szCs w:val="20"/>
        </w:rPr>
        <w:t>primarily due to an increase in online and offline advertising expenses, an unfavorable impact from foreign currency movements relative to the U.S. dollar and employee related costs.</w:t>
      </w:r>
    </w:p>
    <w:p w14:paraId="7268FC15" w14:textId="77777777" w:rsidR="005F762A" w:rsidRDefault="005F762A">
      <w:pPr>
        <w:ind w:firstLine="540"/>
        <w:jc w:val="both"/>
      </w:pPr>
    </w:p>
    <w:p w14:paraId="7268FC16" w14:textId="77777777" w:rsidR="005F762A" w:rsidRDefault="00D74111">
      <w:r>
        <w:rPr>
          <w:rFonts w:ascii="Arial" w:eastAsia="宋体" w:hAnsi="Arial" w:cs="Arial"/>
          <w:b/>
          <w:bCs/>
          <w:i/>
          <w:iCs/>
          <w:color w:val="000000"/>
          <w:sz w:val="20"/>
          <w:szCs w:val="20"/>
        </w:rPr>
        <w:t>Product Development</w:t>
      </w:r>
    </w:p>
    <w:p w14:paraId="7268FC17" w14:textId="77777777" w:rsidR="005F762A" w:rsidRDefault="00D74111">
      <w:pPr>
        <w:jc w:val="both"/>
      </w:pPr>
      <w:r>
        <w:rPr>
          <w:rFonts w:ascii="Arial" w:eastAsia="宋体" w:hAnsi="Arial" w:cs="Arial"/>
          <w:color w:val="000000"/>
          <w:sz w:val="20"/>
          <w:szCs w:val="20"/>
        </w:rPr>
        <w:t> </w:t>
      </w:r>
    </w:p>
    <w:p w14:paraId="7268FC18" w14:textId="77777777" w:rsidR="005F762A" w:rsidRDefault="00D74111">
      <w:pPr>
        <w:ind w:firstLine="540"/>
        <w:jc w:val="both"/>
      </w:pPr>
      <w:r>
        <w:rPr>
          <w:rFonts w:ascii="Arial" w:eastAsia="宋体" w:hAnsi="Arial" w:cs="Arial"/>
          <w:color w:val="000000"/>
          <w:sz w:val="20"/>
          <w:szCs w:val="20"/>
        </w:rPr>
        <w:t xml:space="preserve">Product development expenses primarily </w:t>
      </w:r>
      <w:r>
        <w:rPr>
          <w:rFonts w:ascii="Arial" w:eastAsia="宋体" w:hAnsi="Arial" w:cs="Arial"/>
          <w:color w:val="000000"/>
          <w:sz w:val="20"/>
          <w:szCs w:val="20"/>
        </w:rPr>
        <w:t>consist of employee compensation, contractor costs, facilities costs and depreciation on equipment. Product development expenses are net of required capitalization of major platform and other product development efforts, including the development and maint</w:t>
      </w:r>
      <w:r>
        <w:rPr>
          <w:rFonts w:ascii="Arial" w:eastAsia="宋体" w:hAnsi="Arial" w:cs="Arial"/>
          <w:color w:val="000000"/>
          <w:sz w:val="20"/>
          <w:szCs w:val="20"/>
        </w:rPr>
        <w:t>enance of our technology platform. Our top technology priorities include payment intermediation capabilities and improved seller tools and buyer experiences built on a foundation of structured data.</w:t>
      </w:r>
    </w:p>
    <w:p w14:paraId="7268FC19" w14:textId="77777777" w:rsidR="005F762A" w:rsidRDefault="005F762A">
      <w:pPr>
        <w:ind w:firstLine="495"/>
        <w:jc w:val="both"/>
      </w:pPr>
    </w:p>
    <w:p w14:paraId="7268FC1A" w14:textId="77777777" w:rsidR="005F762A" w:rsidRDefault="00D74111">
      <w:pPr>
        <w:ind w:firstLine="540"/>
        <w:jc w:val="both"/>
      </w:pPr>
      <w:r>
        <w:rPr>
          <w:rFonts w:ascii="Arial" w:eastAsia="宋体" w:hAnsi="Arial" w:cs="Arial"/>
          <w:color w:val="000000"/>
          <w:sz w:val="20"/>
          <w:szCs w:val="20"/>
        </w:rPr>
        <w:t xml:space="preserve">The increase in product development expenses during the </w:t>
      </w:r>
      <w:r>
        <w:rPr>
          <w:rFonts w:ascii="Arial" w:eastAsia="宋体" w:hAnsi="Arial" w:cs="Arial"/>
          <w:color w:val="000000"/>
          <w:sz w:val="20"/>
          <w:szCs w:val="20"/>
        </w:rPr>
        <w:t>three months ended March 31, 2021 compared to the same period in 2020 was primarily due to an increase in employee-related costs.</w:t>
      </w:r>
    </w:p>
    <w:p w14:paraId="7268FC1B" w14:textId="77777777" w:rsidR="005F762A" w:rsidRDefault="005F762A">
      <w:pPr>
        <w:ind w:firstLine="540"/>
        <w:jc w:val="both"/>
      </w:pPr>
    </w:p>
    <w:p w14:paraId="7268FC1C" w14:textId="77777777" w:rsidR="005F762A" w:rsidRDefault="00D74111">
      <w:pPr>
        <w:ind w:firstLine="540"/>
        <w:jc w:val="both"/>
      </w:pPr>
      <w:r>
        <w:rPr>
          <w:rFonts w:ascii="Arial" w:eastAsia="宋体" w:hAnsi="Arial" w:cs="Arial"/>
          <w:color w:val="000000"/>
          <w:sz w:val="20"/>
          <w:szCs w:val="20"/>
        </w:rPr>
        <w:t>Capitalized internal use and platform development costs were $31 million in the three months ended March 31, 2021 and 2020, r</w:t>
      </w:r>
      <w:r>
        <w:rPr>
          <w:rFonts w:ascii="Arial" w:eastAsia="宋体" w:hAnsi="Arial" w:cs="Arial"/>
          <w:color w:val="000000"/>
          <w:sz w:val="20"/>
          <w:szCs w:val="20"/>
        </w:rPr>
        <w:t>espectively. These costs are primarily reflected as a cost of net revenues when amortized in future periods.</w:t>
      </w:r>
    </w:p>
    <w:p w14:paraId="7268FC1D" w14:textId="77777777" w:rsidR="005F762A" w:rsidRDefault="005F762A">
      <w:pPr>
        <w:ind w:firstLine="540"/>
        <w:jc w:val="both"/>
      </w:pPr>
    </w:p>
    <w:p w14:paraId="7268FC1E" w14:textId="77777777" w:rsidR="005F762A" w:rsidRDefault="005F762A">
      <w:pPr>
        <w:jc w:val="center"/>
      </w:pPr>
    </w:p>
    <w:p w14:paraId="7268FC1F" w14:textId="77777777" w:rsidR="005F762A" w:rsidRDefault="00D74111">
      <w:pPr>
        <w:jc w:val="center"/>
      </w:pPr>
      <w:r>
        <w:rPr>
          <w:rFonts w:ascii="Arial" w:eastAsia="宋体" w:hAnsi="Arial" w:cs="Arial"/>
          <w:color w:val="000000"/>
          <w:sz w:val="20"/>
          <w:szCs w:val="20"/>
        </w:rPr>
        <w:t>35</w:t>
      </w:r>
    </w:p>
    <w:p w14:paraId="7268FC20" w14:textId="77777777" w:rsidR="005F762A" w:rsidRDefault="00D74111">
      <w:r>
        <w:pict w14:anchorId="72690162">
          <v:rect id="_x0000_i1059" style="width:415.3pt;height:1.5pt" o:hralign="center" o:hrstd="t" o:hr="t" fillcolor="#a0a0a0" stroked="f"/>
        </w:pict>
      </w:r>
    </w:p>
    <w:p w14:paraId="7268FC21" w14:textId="77777777" w:rsidR="005F762A" w:rsidRDefault="005F762A"/>
    <w:p w14:paraId="7268FC22" w14:textId="77777777" w:rsidR="005F762A" w:rsidRDefault="00D74111">
      <w:r>
        <w:rPr>
          <w:rFonts w:ascii="Arial" w:eastAsia="宋体" w:hAnsi="Arial" w:cs="Arial"/>
          <w:b/>
          <w:bCs/>
          <w:i/>
          <w:iCs/>
          <w:color w:val="000000"/>
          <w:sz w:val="20"/>
          <w:szCs w:val="20"/>
        </w:rPr>
        <w:t>General and Administrative</w:t>
      </w:r>
    </w:p>
    <w:p w14:paraId="7268FC23" w14:textId="77777777" w:rsidR="005F762A" w:rsidRDefault="00D74111">
      <w:pPr>
        <w:jc w:val="both"/>
      </w:pPr>
      <w:r>
        <w:rPr>
          <w:rFonts w:ascii="Arial" w:eastAsia="宋体" w:hAnsi="Arial" w:cs="Arial"/>
          <w:color w:val="000000"/>
          <w:sz w:val="20"/>
          <w:szCs w:val="20"/>
        </w:rPr>
        <w:t> </w:t>
      </w:r>
    </w:p>
    <w:p w14:paraId="7268FC24" w14:textId="77777777" w:rsidR="005F762A" w:rsidRDefault="00D74111">
      <w:pPr>
        <w:ind w:firstLine="540"/>
        <w:jc w:val="both"/>
      </w:pPr>
      <w:r>
        <w:rPr>
          <w:rFonts w:ascii="Arial" w:eastAsia="宋体" w:hAnsi="Arial" w:cs="Arial"/>
          <w:color w:val="000000"/>
          <w:sz w:val="20"/>
          <w:szCs w:val="20"/>
        </w:rPr>
        <w:t>General and administrative expenses primarily consist of employee compensation, contractor costs, facilities c</w:t>
      </w:r>
      <w:r>
        <w:rPr>
          <w:rFonts w:ascii="Arial" w:eastAsia="宋体" w:hAnsi="Arial" w:cs="Arial"/>
          <w:color w:val="000000"/>
          <w:sz w:val="20"/>
          <w:szCs w:val="20"/>
        </w:rPr>
        <w:t>osts, depreciation of equipment, employer payroll taxes on stock-based compensation, legal expenses, restructuring, insurance premiums and professional fees. Our legal expenses, including those related to various ongoing legal proceedings, may fluctuate su</w:t>
      </w:r>
      <w:r>
        <w:rPr>
          <w:rFonts w:ascii="Arial" w:eastAsia="宋体" w:hAnsi="Arial" w:cs="Arial"/>
          <w:color w:val="000000"/>
          <w:sz w:val="20"/>
          <w:szCs w:val="20"/>
        </w:rPr>
        <w:t>bstantially from period to period.</w:t>
      </w:r>
    </w:p>
    <w:p w14:paraId="7268FC25" w14:textId="77777777" w:rsidR="005F762A" w:rsidRDefault="005F762A">
      <w:pPr>
        <w:ind w:firstLine="540"/>
        <w:jc w:val="both"/>
      </w:pPr>
    </w:p>
    <w:p w14:paraId="7268FC26" w14:textId="77777777" w:rsidR="005F762A" w:rsidRDefault="00D74111">
      <w:pPr>
        <w:ind w:firstLine="540"/>
        <w:jc w:val="both"/>
      </w:pPr>
      <w:r>
        <w:rPr>
          <w:rFonts w:ascii="Arial" w:eastAsia="宋体" w:hAnsi="Arial" w:cs="Arial"/>
          <w:color w:val="000000"/>
          <w:sz w:val="20"/>
          <w:szCs w:val="20"/>
        </w:rPr>
        <w:t>The increase in general and administrative expenses during the three months ended March 31, 2021 compared to the same period in 2020 was primarily due to employee related costs and workforce reduction costs incurred in 2</w:t>
      </w:r>
      <w:r>
        <w:rPr>
          <w:rFonts w:ascii="Arial" w:eastAsia="宋体" w:hAnsi="Arial" w:cs="Arial"/>
          <w:color w:val="000000"/>
          <w:sz w:val="20"/>
          <w:szCs w:val="20"/>
        </w:rPr>
        <w:t>021.</w:t>
      </w:r>
    </w:p>
    <w:p w14:paraId="7268FC27" w14:textId="77777777" w:rsidR="005F762A" w:rsidRDefault="005F762A">
      <w:pPr>
        <w:ind w:firstLine="540"/>
        <w:jc w:val="both"/>
      </w:pPr>
    </w:p>
    <w:p w14:paraId="7268FC28" w14:textId="77777777" w:rsidR="005F762A" w:rsidRDefault="00D74111">
      <w:r>
        <w:rPr>
          <w:rFonts w:ascii="Arial" w:eastAsia="宋体" w:hAnsi="Arial" w:cs="Arial"/>
          <w:b/>
          <w:bCs/>
          <w:i/>
          <w:iCs/>
          <w:color w:val="000000"/>
          <w:sz w:val="20"/>
          <w:szCs w:val="20"/>
        </w:rPr>
        <w:t>Provision for Transaction Losses</w:t>
      </w:r>
    </w:p>
    <w:p w14:paraId="7268FC29" w14:textId="77777777" w:rsidR="005F762A" w:rsidRDefault="005F762A">
      <w:pPr>
        <w:ind w:firstLine="495"/>
        <w:jc w:val="both"/>
      </w:pPr>
    </w:p>
    <w:p w14:paraId="7268FC2A" w14:textId="77777777" w:rsidR="005F762A" w:rsidRDefault="00D74111">
      <w:pPr>
        <w:ind w:firstLine="540"/>
        <w:jc w:val="both"/>
      </w:pPr>
      <w:r>
        <w:rPr>
          <w:rFonts w:ascii="Arial" w:eastAsia="宋体" w:hAnsi="Arial" w:cs="Arial"/>
          <w:color w:val="000000"/>
          <w:sz w:val="20"/>
          <w:szCs w:val="20"/>
        </w:rPr>
        <w:t>Provision for transaction losses primarily consists of transaction loss expense associated with our buyer protection programs, losses from our managed payments services, fraud and bad debt expense associated with our</w:t>
      </w:r>
      <w:r>
        <w:rPr>
          <w:rFonts w:ascii="Arial" w:eastAsia="宋体" w:hAnsi="Arial" w:cs="Arial"/>
          <w:color w:val="000000"/>
          <w:sz w:val="20"/>
          <w:szCs w:val="20"/>
        </w:rPr>
        <w:t xml:space="preserve"> accounts receivable balance. We expect our provision for transaction losses to fluctuate depending on many factors, including changes to our protection programs and the impact of regulatory changes.</w:t>
      </w:r>
    </w:p>
    <w:p w14:paraId="7268FC2B" w14:textId="77777777" w:rsidR="005F762A" w:rsidRDefault="005F762A">
      <w:pPr>
        <w:jc w:val="both"/>
      </w:pPr>
    </w:p>
    <w:p w14:paraId="7268FC2C" w14:textId="77777777" w:rsidR="005F762A" w:rsidRDefault="00D74111">
      <w:pPr>
        <w:ind w:firstLine="540"/>
        <w:jc w:val="both"/>
      </w:pPr>
      <w:r>
        <w:rPr>
          <w:rFonts w:ascii="Arial" w:eastAsia="宋体" w:hAnsi="Arial" w:cs="Arial"/>
          <w:color w:val="000000"/>
          <w:sz w:val="20"/>
          <w:szCs w:val="20"/>
        </w:rPr>
        <w:t>The decrease in provision for transaction losses during</w:t>
      </w:r>
      <w:r>
        <w:rPr>
          <w:rFonts w:ascii="Arial" w:eastAsia="宋体" w:hAnsi="Arial" w:cs="Arial"/>
          <w:color w:val="000000"/>
          <w:sz w:val="20"/>
          <w:szCs w:val="20"/>
        </w:rPr>
        <w:t xml:space="preserve"> the three months ended March 31, 2021 compared to the same period in 2020 was primarily due to provisions recognized in 2020 related to COVID-19 and lower bad debt expense as a result of fees collection through the managed payments platform. These decreas</w:t>
      </w:r>
      <w:r>
        <w:rPr>
          <w:rFonts w:ascii="Arial" w:eastAsia="宋体" w:hAnsi="Arial" w:cs="Arial"/>
          <w:color w:val="000000"/>
          <w:sz w:val="20"/>
          <w:szCs w:val="20"/>
        </w:rPr>
        <w:t>es were partially offset by higher customer protection program costs as a result of increased volume and chargeback losses incurred for managed payments as we scale the platform.</w:t>
      </w:r>
    </w:p>
    <w:p w14:paraId="7268FC2D" w14:textId="77777777" w:rsidR="005F762A" w:rsidRDefault="005F762A">
      <w:pPr>
        <w:ind w:firstLine="540"/>
        <w:jc w:val="both"/>
      </w:pPr>
    </w:p>
    <w:p w14:paraId="7268FC2E" w14:textId="77777777" w:rsidR="005F762A" w:rsidRDefault="00D74111">
      <w:pPr>
        <w:jc w:val="both"/>
      </w:pPr>
      <w:r>
        <w:rPr>
          <w:rFonts w:ascii="Arial" w:eastAsia="宋体" w:hAnsi="Arial" w:cs="Arial"/>
          <w:b/>
          <w:bCs/>
          <w:i/>
          <w:iCs/>
          <w:color w:val="000000"/>
          <w:sz w:val="20"/>
          <w:szCs w:val="20"/>
        </w:rPr>
        <w:t>Interest and Other, Net</w:t>
      </w:r>
    </w:p>
    <w:p w14:paraId="7268FC2F" w14:textId="77777777" w:rsidR="005F762A" w:rsidRDefault="00D74111">
      <w:pPr>
        <w:jc w:val="both"/>
      </w:pPr>
      <w:r>
        <w:rPr>
          <w:rFonts w:ascii="Arial" w:eastAsia="宋体" w:hAnsi="Arial" w:cs="Arial"/>
          <w:color w:val="000000"/>
          <w:sz w:val="20"/>
          <w:szCs w:val="20"/>
        </w:rPr>
        <w:t> </w:t>
      </w:r>
    </w:p>
    <w:p w14:paraId="7268FC30" w14:textId="77777777" w:rsidR="005F762A" w:rsidRDefault="00D74111">
      <w:pPr>
        <w:ind w:firstLine="540"/>
        <w:jc w:val="both"/>
      </w:pPr>
      <w:r>
        <w:rPr>
          <w:rFonts w:ascii="Arial" w:eastAsia="宋体" w:hAnsi="Arial" w:cs="Arial"/>
          <w:color w:val="000000"/>
          <w:sz w:val="20"/>
          <w:szCs w:val="20"/>
        </w:rPr>
        <w:t xml:space="preserve">Interest and other, net primarily consists of </w:t>
      </w:r>
      <w:r>
        <w:rPr>
          <w:rFonts w:ascii="Arial" w:eastAsia="宋体" w:hAnsi="Arial" w:cs="Arial"/>
          <w:color w:val="000000"/>
          <w:sz w:val="20"/>
          <w:szCs w:val="20"/>
        </w:rPr>
        <w:t>interest earned on cash, cash equivalents and investments, as well as foreign exchange transaction gains and losses, gains and losses due to changes in fair value of the warrant received from Adyen, our portion of operating results from investments account</w:t>
      </w:r>
      <w:r>
        <w:rPr>
          <w:rFonts w:ascii="Arial" w:eastAsia="宋体" w:hAnsi="Arial" w:cs="Arial"/>
          <w:color w:val="000000"/>
          <w:sz w:val="20"/>
          <w:szCs w:val="20"/>
        </w:rPr>
        <w:t>ed for under the equity method of accounting, investment gain/loss on acquisitions or disposals and interest expense, consisting of interest charges on any amounts borrowed and commitment fees on unborrowed amounts under our credit agreement and interest e</w:t>
      </w:r>
      <w:r>
        <w:rPr>
          <w:rFonts w:ascii="Arial" w:eastAsia="宋体" w:hAnsi="Arial" w:cs="Arial"/>
          <w:color w:val="000000"/>
          <w:sz w:val="20"/>
          <w:szCs w:val="20"/>
        </w:rPr>
        <w:t>xpense on our outstanding debt securities and commercial paper, if any. The following table presents interest and other, net (in millions, except percentages):</w:t>
      </w:r>
    </w:p>
    <w:p w14:paraId="7268FC31" w14:textId="77777777" w:rsidR="005F762A" w:rsidRDefault="005F762A">
      <w:pPr>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5541"/>
        <w:gridCol w:w="37"/>
        <w:gridCol w:w="36"/>
        <w:gridCol w:w="36"/>
        <w:gridCol w:w="36"/>
        <w:gridCol w:w="46"/>
        <w:gridCol w:w="36"/>
        <w:gridCol w:w="36"/>
        <w:gridCol w:w="36"/>
        <w:gridCol w:w="36"/>
        <w:gridCol w:w="109"/>
        <w:gridCol w:w="536"/>
        <w:gridCol w:w="163"/>
        <w:gridCol w:w="36"/>
        <w:gridCol w:w="36"/>
        <w:gridCol w:w="36"/>
        <w:gridCol w:w="109"/>
        <w:gridCol w:w="536"/>
        <w:gridCol w:w="163"/>
        <w:gridCol w:w="36"/>
        <w:gridCol w:w="36"/>
        <w:gridCol w:w="36"/>
        <w:gridCol w:w="61"/>
        <w:gridCol w:w="492"/>
        <w:gridCol w:w="36"/>
      </w:tblGrid>
      <w:tr w:rsidR="005F762A" w14:paraId="7268FC4C" w14:textId="77777777">
        <w:tc>
          <w:tcPr>
            <w:tcW w:w="50" w:type="pct"/>
            <w:shd w:val="clear" w:color="auto" w:fill="auto"/>
          </w:tcPr>
          <w:p w14:paraId="7268FC32" w14:textId="77777777" w:rsidR="005F762A" w:rsidRDefault="005F762A">
            <w:pPr>
              <w:rPr>
                <w:rFonts w:ascii="宋体"/>
              </w:rPr>
            </w:pPr>
          </w:p>
        </w:tc>
        <w:tc>
          <w:tcPr>
            <w:tcW w:w="3453" w:type="pct"/>
            <w:shd w:val="clear" w:color="auto" w:fill="auto"/>
          </w:tcPr>
          <w:p w14:paraId="7268FC33" w14:textId="77777777" w:rsidR="005F762A" w:rsidRDefault="005F762A">
            <w:pPr>
              <w:rPr>
                <w:rFonts w:ascii="宋体"/>
              </w:rPr>
            </w:pPr>
          </w:p>
        </w:tc>
        <w:tc>
          <w:tcPr>
            <w:tcW w:w="5" w:type="pct"/>
            <w:shd w:val="clear" w:color="auto" w:fill="auto"/>
          </w:tcPr>
          <w:p w14:paraId="7268FC34" w14:textId="77777777" w:rsidR="005F762A" w:rsidRDefault="005F762A">
            <w:pPr>
              <w:rPr>
                <w:rFonts w:ascii="宋体"/>
              </w:rPr>
            </w:pPr>
          </w:p>
        </w:tc>
        <w:tc>
          <w:tcPr>
            <w:tcW w:w="0" w:type="auto"/>
            <w:shd w:val="clear" w:color="auto" w:fill="auto"/>
          </w:tcPr>
          <w:p w14:paraId="7268FC35" w14:textId="77777777" w:rsidR="005F762A" w:rsidRDefault="005F762A">
            <w:pPr>
              <w:rPr>
                <w:rFonts w:ascii="宋体"/>
                <w:vanish/>
              </w:rPr>
            </w:pPr>
          </w:p>
        </w:tc>
        <w:tc>
          <w:tcPr>
            <w:tcW w:w="0" w:type="auto"/>
            <w:shd w:val="clear" w:color="auto" w:fill="auto"/>
          </w:tcPr>
          <w:p w14:paraId="7268FC36" w14:textId="77777777" w:rsidR="005F762A" w:rsidRDefault="005F762A">
            <w:pPr>
              <w:rPr>
                <w:rFonts w:ascii="宋体"/>
                <w:vanish/>
              </w:rPr>
            </w:pPr>
          </w:p>
        </w:tc>
        <w:tc>
          <w:tcPr>
            <w:tcW w:w="0" w:type="auto"/>
            <w:shd w:val="clear" w:color="auto" w:fill="auto"/>
          </w:tcPr>
          <w:p w14:paraId="7268FC37" w14:textId="77777777" w:rsidR="005F762A" w:rsidRDefault="005F762A">
            <w:pPr>
              <w:rPr>
                <w:rFonts w:ascii="宋体"/>
                <w:vanish/>
              </w:rPr>
            </w:pPr>
          </w:p>
        </w:tc>
        <w:tc>
          <w:tcPr>
            <w:tcW w:w="0" w:type="auto"/>
            <w:shd w:val="clear" w:color="auto" w:fill="auto"/>
          </w:tcPr>
          <w:p w14:paraId="7268FC38" w14:textId="77777777" w:rsidR="005F762A" w:rsidRDefault="005F762A">
            <w:pPr>
              <w:rPr>
                <w:rFonts w:ascii="宋体"/>
                <w:vanish/>
              </w:rPr>
            </w:pPr>
          </w:p>
        </w:tc>
        <w:tc>
          <w:tcPr>
            <w:tcW w:w="0" w:type="auto"/>
            <w:shd w:val="clear" w:color="auto" w:fill="auto"/>
          </w:tcPr>
          <w:p w14:paraId="7268FC39" w14:textId="77777777" w:rsidR="005F762A" w:rsidRDefault="005F762A">
            <w:pPr>
              <w:rPr>
                <w:rFonts w:ascii="宋体"/>
                <w:vanish/>
              </w:rPr>
            </w:pPr>
          </w:p>
        </w:tc>
        <w:tc>
          <w:tcPr>
            <w:tcW w:w="5" w:type="pct"/>
            <w:shd w:val="clear" w:color="auto" w:fill="auto"/>
          </w:tcPr>
          <w:p w14:paraId="7268FC3A" w14:textId="77777777" w:rsidR="005F762A" w:rsidRDefault="005F762A">
            <w:pPr>
              <w:rPr>
                <w:rFonts w:ascii="宋体"/>
              </w:rPr>
            </w:pPr>
          </w:p>
        </w:tc>
        <w:tc>
          <w:tcPr>
            <w:tcW w:w="26" w:type="pct"/>
            <w:shd w:val="clear" w:color="auto" w:fill="auto"/>
          </w:tcPr>
          <w:p w14:paraId="7268FC3B" w14:textId="77777777" w:rsidR="005F762A" w:rsidRDefault="005F762A">
            <w:pPr>
              <w:rPr>
                <w:rFonts w:ascii="宋体"/>
              </w:rPr>
            </w:pPr>
          </w:p>
        </w:tc>
        <w:tc>
          <w:tcPr>
            <w:tcW w:w="5" w:type="pct"/>
            <w:shd w:val="clear" w:color="auto" w:fill="auto"/>
          </w:tcPr>
          <w:p w14:paraId="7268FC3C" w14:textId="77777777" w:rsidR="005F762A" w:rsidRDefault="005F762A">
            <w:pPr>
              <w:rPr>
                <w:rFonts w:ascii="宋体"/>
              </w:rPr>
            </w:pPr>
          </w:p>
        </w:tc>
        <w:tc>
          <w:tcPr>
            <w:tcW w:w="50" w:type="pct"/>
            <w:shd w:val="clear" w:color="auto" w:fill="auto"/>
          </w:tcPr>
          <w:p w14:paraId="7268FC3D" w14:textId="77777777" w:rsidR="005F762A" w:rsidRDefault="005F762A">
            <w:pPr>
              <w:rPr>
                <w:rFonts w:ascii="宋体"/>
              </w:rPr>
            </w:pPr>
          </w:p>
        </w:tc>
        <w:tc>
          <w:tcPr>
            <w:tcW w:w="405" w:type="pct"/>
            <w:shd w:val="clear" w:color="auto" w:fill="auto"/>
          </w:tcPr>
          <w:p w14:paraId="7268FC3E" w14:textId="77777777" w:rsidR="005F762A" w:rsidRDefault="005F762A">
            <w:pPr>
              <w:rPr>
                <w:rFonts w:ascii="宋体"/>
              </w:rPr>
            </w:pPr>
          </w:p>
        </w:tc>
        <w:tc>
          <w:tcPr>
            <w:tcW w:w="5" w:type="pct"/>
            <w:shd w:val="clear" w:color="auto" w:fill="auto"/>
          </w:tcPr>
          <w:p w14:paraId="7268FC3F" w14:textId="77777777" w:rsidR="005F762A" w:rsidRDefault="005F762A">
            <w:pPr>
              <w:rPr>
                <w:rFonts w:ascii="宋体"/>
              </w:rPr>
            </w:pPr>
          </w:p>
        </w:tc>
        <w:tc>
          <w:tcPr>
            <w:tcW w:w="5" w:type="pct"/>
            <w:shd w:val="clear" w:color="auto" w:fill="auto"/>
          </w:tcPr>
          <w:p w14:paraId="7268FC40" w14:textId="77777777" w:rsidR="005F762A" w:rsidRDefault="005F762A">
            <w:pPr>
              <w:rPr>
                <w:rFonts w:ascii="宋体"/>
              </w:rPr>
            </w:pPr>
          </w:p>
        </w:tc>
        <w:tc>
          <w:tcPr>
            <w:tcW w:w="26" w:type="pct"/>
            <w:shd w:val="clear" w:color="auto" w:fill="auto"/>
          </w:tcPr>
          <w:p w14:paraId="7268FC41" w14:textId="77777777" w:rsidR="005F762A" w:rsidRDefault="005F762A">
            <w:pPr>
              <w:rPr>
                <w:rFonts w:ascii="宋体"/>
              </w:rPr>
            </w:pPr>
          </w:p>
        </w:tc>
        <w:tc>
          <w:tcPr>
            <w:tcW w:w="5" w:type="pct"/>
            <w:shd w:val="clear" w:color="auto" w:fill="auto"/>
          </w:tcPr>
          <w:p w14:paraId="7268FC42" w14:textId="77777777" w:rsidR="005F762A" w:rsidRDefault="005F762A">
            <w:pPr>
              <w:rPr>
                <w:rFonts w:ascii="宋体"/>
              </w:rPr>
            </w:pPr>
          </w:p>
        </w:tc>
        <w:tc>
          <w:tcPr>
            <w:tcW w:w="50" w:type="pct"/>
            <w:shd w:val="clear" w:color="auto" w:fill="auto"/>
          </w:tcPr>
          <w:p w14:paraId="7268FC43" w14:textId="77777777" w:rsidR="005F762A" w:rsidRDefault="005F762A">
            <w:pPr>
              <w:rPr>
                <w:rFonts w:ascii="宋体"/>
              </w:rPr>
            </w:pPr>
          </w:p>
        </w:tc>
        <w:tc>
          <w:tcPr>
            <w:tcW w:w="405" w:type="pct"/>
            <w:shd w:val="clear" w:color="auto" w:fill="auto"/>
          </w:tcPr>
          <w:p w14:paraId="7268FC44" w14:textId="77777777" w:rsidR="005F762A" w:rsidRDefault="005F762A">
            <w:pPr>
              <w:rPr>
                <w:rFonts w:ascii="宋体"/>
              </w:rPr>
            </w:pPr>
          </w:p>
        </w:tc>
        <w:tc>
          <w:tcPr>
            <w:tcW w:w="5" w:type="pct"/>
            <w:shd w:val="clear" w:color="auto" w:fill="auto"/>
          </w:tcPr>
          <w:p w14:paraId="7268FC45" w14:textId="77777777" w:rsidR="005F762A" w:rsidRDefault="005F762A">
            <w:pPr>
              <w:rPr>
                <w:rFonts w:ascii="宋体"/>
              </w:rPr>
            </w:pPr>
          </w:p>
        </w:tc>
        <w:tc>
          <w:tcPr>
            <w:tcW w:w="5" w:type="pct"/>
            <w:shd w:val="clear" w:color="auto" w:fill="auto"/>
          </w:tcPr>
          <w:p w14:paraId="7268FC46" w14:textId="77777777" w:rsidR="005F762A" w:rsidRDefault="005F762A">
            <w:pPr>
              <w:rPr>
                <w:rFonts w:ascii="宋体"/>
              </w:rPr>
            </w:pPr>
          </w:p>
        </w:tc>
        <w:tc>
          <w:tcPr>
            <w:tcW w:w="26" w:type="pct"/>
            <w:shd w:val="clear" w:color="auto" w:fill="auto"/>
          </w:tcPr>
          <w:p w14:paraId="7268FC47" w14:textId="77777777" w:rsidR="005F762A" w:rsidRDefault="005F762A">
            <w:pPr>
              <w:rPr>
                <w:rFonts w:ascii="宋体"/>
              </w:rPr>
            </w:pPr>
          </w:p>
        </w:tc>
        <w:tc>
          <w:tcPr>
            <w:tcW w:w="5" w:type="pct"/>
            <w:shd w:val="clear" w:color="auto" w:fill="auto"/>
          </w:tcPr>
          <w:p w14:paraId="7268FC48" w14:textId="77777777" w:rsidR="005F762A" w:rsidRDefault="005F762A">
            <w:pPr>
              <w:rPr>
                <w:rFonts w:ascii="宋体"/>
              </w:rPr>
            </w:pPr>
          </w:p>
        </w:tc>
        <w:tc>
          <w:tcPr>
            <w:tcW w:w="50" w:type="pct"/>
            <w:shd w:val="clear" w:color="auto" w:fill="auto"/>
          </w:tcPr>
          <w:p w14:paraId="7268FC49" w14:textId="77777777" w:rsidR="005F762A" w:rsidRDefault="005F762A">
            <w:pPr>
              <w:rPr>
                <w:rFonts w:ascii="宋体"/>
              </w:rPr>
            </w:pPr>
          </w:p>
        </w:tc>
        <w:tc>
          <w:tcPr>
            <w:tcW w:w="405" w:type="pct"/>
            <w:shd w:val="clear" w:color="auto" w:fill="auto"/>
          </w:tcPr>
          <w:p w14:paraId="7268FC4A" w14:textId="77777777" w:rsidR="005F762A" w:rsidRDefault="005F762A">
            <w:pPr>
              <w:rPr>
                <w:rFonts w:ascii="宋体"/>
              </w:rPr>
            </w:pPr>
          </w:p>
        </w:tc>
        <w:tc>
          <w:tcPr>
            <w:tcW w:w="5" w:type="pct"/>
            <w:shd w:val="clear" w:color="auto" w:fill="auto"/>
          </w:tcPr>
          <w:p w14:paraId="7268FC4B" w14:textId="77777777" w:rsidR="005F762A" w:rsidRDefault="005F762A">
            <w:pPr>
              <w:rPr>
                <w:rFonts w:ascii="宋体"/>
              </w:rPr>
            </w:pPr>
          </w:p>
        </w:tc>
      </w:tr>
      <w:tr w:rsidR="005F762A" w14:paraId="7268FC5B" w14:textId="77777777">
        <w:tc>
          <w:tcPr>
            <w:tcW w:w="0" w:type="auto"/>
            <w:gridSpan w:val="3"/>
            <w:shd w:val="clear" w:color="auto" w:fill="auto"/>
            <w:tcMar>
              <w:top w:w="40" w:type="dxa"/>
              <w:left w:w="155" w:type="dxa"/>
              <w:bottom w:w="40" w:type="dxa"/>
              <w:right w:w="20" w:type="dxa"/>
            </w:tcMar>
            <w:vAlign w:val="bottom"/>
          </w:tcPr>
          <w:p w14:paraId="7268FC4D"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C4E" w14:textId="77777777" w:rsidR="005F762A" w:rsidRDefault="005F762A">
            <w:pPr>
              <w:rPr>
                <w:rFonts w:ascii="宋体"/>
                <w:vanish/>
              </w:rPr>
            </w:pPr>
          </w:p>
        </w:tc>
        <w:tc>
          <w:tcPr>
            <w:tcW w:w="0" w:type="auto"/>
            <w:shd w:val="clear" w:color="auto" w:fill="auto"/>
          </w:tcPr>
          <w:p w14:paraId="7268FC4F" w14:textId="77777777" w:rsidR="005F762A" w:rsidRDefault="005F762A">
            <w:pPr>
              <w:rPr>
                <w:rFonts w:ascii="宋体"/>
                <w:vanish/>
              </w:rPr>
            </w:pPr>
          </w:p>
        </w:tc>
        <w:tc>
          <w:tcPr>
            <w:tcW w:w="0" w:type="auto"/>
            <w:shd w:val="clear" w:color="auto" w:fill="auto"/>
          </w:tcPr>
          <w:p w14:paraId="7268FC50"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C51"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C52"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gridSpan w:val="3"/>
            <w:shd w:val="clear" w:color="auto" w:fill="auto"/>
            <w:tcMar>
              <w:top w:w="0" w:type="dxa"/>
              <w:left w:w="20" w:type="dxa"/>
              <w:bottom w:w="0" w:type="dxa"/>
              <w:right w:w="20" w:type="dxa"/>
            </w:tcMar>
          </w:tcPr>
          <w:p w14:paraId="7268FC5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C54" w14:textId="77777777" w:rsidR="005F762A" w:rsidRDefault="005F762A">
            <w:pPr>
              <w:rPr>
                <w:rFonts w:ascii="宋体"/>
              </w:rPr>
            </w:pPr>
          </w:p>
        </w:tc>
        <w:tc>
          <w:tcPr>
            <w:tcW w:w="0" w:type="auto"/>
            <w:shd w:val="clear" w:color="auto" w:fill="auto"/>
          </w:tcPr>
          <w:p w14:paraId="7268FC55" w14:textId="77777777" w:rsidR="005F762A" w:rsidRDefault="005F762A">
            <w:pPr>
              <w:rPr>
                <w:rFonts w:ascii="宋体"/>
              </w:rPr>
            </w:pPr>
          </w:p>
        </w:tc>
        <w:tc>
          <w:tcPr>
            <w:tcW w:w="0" w:type="auto"/>
            <w:shd w:val="clear" w:color="auto" w:fill="auto"/>
          </w:tcPr>
          <w:p w14:paraId="7268FC56" w14:textId="77777777" w:rsidR="005F762A" w:rsidRDefault="005F762A">
            <w:pPr>
              <w:rPr>
                <w:rFonts w:ascii="宋体"/>
              </w:rPr>
            </w:pPr>
          </w:p>
        </w:tc>
        <w:tc>
          <w:tcPr>
            <w:tcW w:w="0" w:type="auto"/>
            <w:shd w:val="clear" w:color="auto" w:fill="auto"/>
          </w:tcPr>
          <w:p w14:paraId="7268FC57" w14:textId="77777777" w:rsidR="005F762A" w:rsidRDefault="005F762A">
            <w:pPr>
              <w:rPr>
                <w:rFonts w:ascii="宋体"/>
              </w:rPr>
            </w:pPr>
          </w:p>
        </w:tc>
        <w:tc>
          <w:tcPr>
            <w:tcW w:w="0" w:type="auto"/>
            <w:shd w:val="clear" w:color="auto" w:fill="auto"/>
          </w:tcPr>
          <w:p w14:paraId="7268FC58" w14:textId="77777777" w:rsidR="005F762A" w:rsidRDefault="005F762A">
            <w:pPr>
              <w:rPr>
                <w:rFonts w:ascii="宋体"/>
              </w:rPr>
            </w:pPr>
          </w:p>
        </w:tc>
        <w:tc>
          <w:tcPr>
            <w:tcW w:w="0" w:type="auto"/>
            <w:shd w:val="clear" w:color="auto" w:fill="auto"/>
          </w:tcPr>
          <w:p w14:paraId="7268FC59" w14:textId="77777777" w:rsidR="005F762A" w:rsidRDefault="005F762A">
            <w:pPr>
              <w:rPr>
                <w:rFonts w:ascii="宋体"/>
              </w:rPr>
            </w:pPr>
          </w:p>
        </w:tc>
        <w:tc>
          <w:tcPr>
            <w:tcW w:w="0" w:type="auto"/>
            <w:shd w:val="clear" w:color="auto" w:fill="auto"/>
          </w:tcPr>
          <w:p w14:paraId="7268FC5A" w14:textId="77777777" w:rsidR="005F762A" w:rsidRDefault="005F762A">
            <w:pPr>
              <w:rPr>
                <w:rFonts w:ascii="宋体"/>
              </w:rPr>
            </w:pPr>
          </w:p>
        </w:tc>
      </w:tr>
      <w:tr w:rsidR="005F762A" w14:paraId="7268FC68" w14:textId="77777777">
        <w:tc>
          <w:tcPr>
            <w:tcW w:w="0" w:type="auto"/>
            <w:gridSpan w:val="3"/>
            <w:shd w:val="clear" w:color="auto" w:fill="auto"/>
            <w:tcMar>
              <w:top w:w="40" w:type="dxa"/>
              <w:left w:w="20" w:type="dxa"/>
              <w:bottom w:w="40" w:type="dxa"/>
              <w:right w:w="20" w:type="dxa"/>
            </w:tcMar>
            <w:vAlign w:val="bottom"/>
          </w:tcPr>
          <w:p w14:paraId="7268FC5C"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C5D" w14:textId="77777777" w:rsidR="005F762A" w:rsidRDefault="005F762A">
            <w:pPr>
              <w:rPr>
                <w:rFonts w:ascii="宋体"/>
                <w:vanish/>
              </w:rPr>
            </w:pPr>
          </w:p>
        </w:tc>
        <w:tc>
          <w:tcPr>
            <w:tcW w:w="0" w:type="auto"/>
            <w:shd w:val="clear" w:color="auto" w:fill="auto"/>
          </w:tcPr>
          <w:p w14:paraId="7268FC5E" w14:textId="77777777" w:rsidR="005F762A" w:rsidRDefault="005F762A">
            <w:pPr>
              <w:rPr>
                <w:rFonts w:ascii="宋体"/>
                <w:vanish/>
              </w:rPr>
            </w:pPr>
          </w:p>
        </w:tc>
        <w:tc>
          <w:tcPr>
            <w:tcW w:w="0" w:type="auto"/>
            <w:shd w:val="clear" w:color="auto" w:fill="auto"/>
          </w:tcPr>
          <w:p w14:paraId="7268FC5F" w14:textId="77777777" w:rsidR="005F762A" w:rsidRDefault="005F762A">
            <w:pPr>
              <w:rPr>
                <w:rFonts w:ascii="宋体"/>
                <w:vanish/>
              </w:rPr>
            </w:pPr>
          </w:p>
        </w:tc>
        <w:tc>
          <w:tcPr>
            <w:tcW w:w="0" w:type="auto"/>
            <w:shd w:val="clear" w:color="auto" w:fill="auto"/>
          </w:tcPr>
          <w:p w14:paraId="7268FC60" w14:textId="77777777" w:rsidR="005F762A" w:rsidRDefault="005F762A">
            <w:pPr>
              <w:rPr>
                <w:rFonts w:ascii="宋体"/>
                <w:vanish/>
              </w:rPr>
            </w:pPr>
          </w:p>
        </w:tc>
        <w:tc>
          <w:tcPr>
            <w:tcW w:w="0" w:type="auto"/>
            <w:shd w:val="clear" w:color="auto" w:fill="auto"/>
          </w:tcPr>
          <w:p w14:paraId="7268FC61"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C6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C63"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C64"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C65" w14:textId="77777777" w:rsidR="005F762A" w:rsidRDefault="00D74111">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tcPr>
          <w:p w14:paraId="7268FC66"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C67" w14:textId="77777777" w:rsidR="005F762A" w:rsidRDefault="00D74111">
            <w:pPr>
              <w:jc w:val="center"/>
              <w:textAlignment w:val="bottom"/>
            </w:pPr>
            <w:r>
              <w:rPr>
                <w:rFonts w:ascii="Arial" w:eastAsia="宋体" w:hAnsi="Arial" w:cs="Arial"/>
                <w:b/>
                <w:bCs/>
                <w:color w:val="000000"/>
                <w:sz w:val="14"/>
                <w:szCs w:val="14"/>
              </w:rPr>
              <w:t>% Change</w:t>
            </w:r>
          </w:p>
        </w:tc>
      </w:tr>
      <w:tr w:rsidR="005F762A" w14:paraId="7268FC75" w14:textId="77777777">
        <w:trPr>
          <w:hidden/>
        </w:trPr>
        <w:tc>
          <w:tcPr>
            <w:tcW w:w="0" w:type="auto"/>
            <w:gridSpan w:val="3"/>
            <w:shd w:val="clear" w:color="auto" w:fill="auto"/>
          </w:tcPr>
          <w:p w14:paraId="7268FC69" w14:textId="77777777" w:rsidR="005F762A" w:rsidRDefault="005F762A">
            <w:pPr>
              <w:rPr>
                <w:rFonts w:ascii="宋体"/>
                <w:vanish/>
              </w:rPr>
            </w:pPr>
          </w:p>
        </w:tc>
        <w:tc>
          <w:tcPr>
            <w:tcW w:w="0" w:type="auto"/>
            <w:shd w:val="clear" w:color="auto" w:fill="auto"/>
          </w:tcPr>
          <w:p w14:paraId="7268FC6A" w14:textId="77777777" w:rsidR="005F762A" w:rsidRDefault="005F762A">
            <w:pPr>
              <w:rPr>
                <w:rFonts w:ascii="宋体"/>
                <w:vanish/>
              </w:rPr>
            </w:pPr>
          </w:p>
        </w:tc>
        <w:tc>
          <w:tcPr>
            <w:tcW w:w="0" w:type="auto"/>
            <w:shd w:val="clear" w:color="auto" w:fill="auto"/>
          </w:tcPr>
          <w:p w14:paraId="7268FC6B" w14:textId="77777777" w:rsidR="005F762A" w:rsidRDefault="005F762A">
            <w:pPr>
              <w:rPr>
                <w:rFonts w:ascii="宋体"/>
                <w:vanish/>
              </w:rPr>
            </w:pPr>
          </w:p>
        </w:tc>
        <w:tc>
          <w:tcPr>
            <w:tcW w:w="0" w:type="auto"/>
            <w:shd w:val="clear" w:color="auto" w:fill="auto"/>
          </w:tcPr>
          <w:p w14:paraId="7268FC6C" w14:textId="77777777" w:rsidR="005F762A" w:rsidRDefault="005F762A">
            <w:pPr>
              <w:rPr>
                <w:rFonts w:ascii="宋体"/>
                <w:vanish/>
              </w:rPr>
            </w:pPr>
          </w:p>
        </w:tc>
        <w:tc>
          <w:tcPr>
            <w:tcW w:w="0" w:type="auto"/>
            <w:shd w:val="clear" w:color="auto" w:fill="auto"/>
          </w:tcPr>
          <w:p w14:paraId="7268FC6D" w14:textId="77777777" w:rsidR="005F762A" w:rsidRDefault="005F762A">
            <w:pPr>
              <w:rPr>
                <w:rFonts w:ascii="宋体"/>
                <w:vanish/>
              </w:rPr>
            </w:pPr>
          </w:p>
        </w:tc>
        <w:tc>
          <w:tcPr>
            <w:tcW w:w="0" w:type="auto"/>
            <w:shd w:val="clear" w:color="auto" w:fill="auto"/>
          </w:tcPr>
          <w:p w14:paraId="7268FC6E" w14:textId="77777777" w:rsidR="005F762A" w:rsidRDefault="005F762A">
            <w:pPr>
              <w:rPr>
                <w:rFonts w:ascii="宋体"/>
                <w:vanish/>
              </w:rPr>
            </w:pPr>
          </w:p>
        </w:tc>
        <w:tc>
          <w:tcPr>
            <w:tcW w:w="0" w:type="auto"/>
            <w:gridSpan w:val="3"/>
            <w:shd w:val="clear" w:color="auto" w:fill="auto"/>
          </w:tcPr>
          <w:p w14:paraId="7268FC6F" w14:textId="77777777" w:rsidR="005F762A" w:rsidRDefault="005F762A">
            <w:pPr>
              <w:rPr>
                <w:rFonts w:ascii="宋体"/>
                <w:vanish/>
              </w:rPr>
            </w:pPr>
          </w:p>
        </w:tc>
        <w:tc>
          <w:tcPr>
            <w:tcW w:w="0" w:type="auto"/>
            <w:gridSpan w:val="3"/>
            <w:shd w:val="clear" w:color="auto" w:fill="auto"/>
          </w:tcPr>
          <w:p w14:paraId="7268FC70" w14:textId="77777777" w:rsidR="005F762A" w:rsidRDefault="005F762A">
            <w:pPr>
              <w:rPr>
                <w:rFonts w:ascii="宋体"/>
                <w:vanish/>
              </w:rPr>
            </w:pPr>
          </w:p>
        </w:tc>
        <w:tc>
          <w:tcPr>
            <w:tcW w:w="0" w:type="auto"/>
            <w:gridSpan w:val="3"/>
            <w:shd w:val="clear" w:color="auto" w:fill="auto"/>
          </w:tcPr>
          <w:p w14:paraId="7268FC71" w14:textId="77777777" w:rsidR="005F762A" w:rsidRDefault="005F762A">
            <w:pPr>
              <w:rPr>
                <w:rFonts w:ascii="宋体"/>
                <w:vanish/>
              </w:rPr>
            </w:pPr>
          </w:p>
        </w:tc>
        <w:tc>
          <w:tcPr>
            <w:tcW w:w="0" w:type="auto"/>
            <w:gridSpan w:val="3"/>
            <w:shd w:val="clear" w:color="auto" w:fill="auto"/>
          </w:tcPr>
          <w:p w14:paraId="7268FC72" w14:textId="77777777" w:rsidR="005F762A" w:rsidRDefault="005F762A">
            <w:pPr>
              <w:rPr>
                <w:rFonts w:ascii="宋体"/>
                <w:vanish/>
              </w:rPr>
            </w:pPr>
          </w:p>
        </w:tc>
        <w:tc>
          <w:tcPr>
            <w:tcW w:w="0" w:type="auto"/>
            <w:gridSpan w:val="3"/>
            <w:shd w:val="clear" w:color="auto" w:fill="auto"/>
          </w:tcPr>
          <w:p w14:paraId="7268FC73" w14:textId="77777777" w:rsidR="005F762A" w:rsidRDefault="005F762A">
            <w:pPr>
              <w:rPr>
                <w:rFonts w:ascii="宋体"/>
                <w:vanish/>
              </w:rPr>
            </w:pPr>
          </w:p>
        </w:tc>
        <w:tc>
          <w:tcPr>
            <w:tcW w:w="0" w:type="auto"/>
            <w:gridSpan w:val="3"/>
            <w:shd w:val="clear" w:color="auto" w:fill="auto"/>
          </w:tcPr>
          <w:p w14:paraId="7268FC74" w14:textId="77777777" w:rsidR="005F762A" w:rsidRDefault="005F762A">
            <w:pPr>
              <w:rPr>
                <w:rFonts w:ascii="宋体"/>
                <w:vanish/>
              </w:rPr>
            </w:pPr>
          </w:p>
        </w:tc>
      </w:tr>
      <w:tr w:rsidR="005F762A" w14:paraId="7268FC82" w14:textId="77777777">
        <w:trPr>
          <w:hidden/>
        </w:trPr>
        <w:tc>
          <w:tcPr>
            <w:tcW w:w="0" w:type="auto"/>
            <w:gridSpan w:val="3"/>
            <w:shd w:val="clear" w:color="auto" w:fill="auto"/>
          </w:tcPr>
          <w:p w14:paraId="7268FC76" w14:textId="77777777" w:rsidR="005F762A" w:rsidRDefault="005F762A">
            <w:pPr>
              <w:rPr>
                <w:rFonts w:ascii="宋体"/>
                <w:vanish/>
              </w:rPr>
            </w:pPr>
          </w:p>
        </w:tc>
        <w:tc>
          <w:tcPr>
            <w:tcW w:w="0" w:type="auto"/>
            <w:shd w:val="clear" w:color="auto" w:fill="auto"/>
          </w:tcPr>
          <w:p w14:paraId="7268FC77" w14:textId="77777777" w:rsidR="005F762A" w:rsidRDefault="005F762A">
            <w:pPr>
              <w:rPr>
                <w:rFonts w:ascii="宋体"/>
                <w:vanish/>
              </w:rPr>
            </w:pPr>
          </w:p>
        </w:tc>
        <w:tc>
          <w:tcPr>
            <w:tcW w:w="0" w:type="auto"/>
            <w:shd w:val="clear" w:color="auto" w:fill="auto"/>
          </w:tcPr>
          <w:p w14:paraId="7268FC78" w14:textId="77777777" w:rsidR="005F762A" w:rsidRDefault="005F762A">
            <w:pPr>
              <w:rPr>
                <w:rFonts w:ascii="宋体"/>
                <w:vanish/>
              </w:rPr>
            </w:pPr>
          </w:p>
        </w:tc>
        <w:tc>
          <w:tcPr>
            <w:tcW w:w="0" w:type="auto"/>
            <w:shd w:val="clear" w:color="auto" w:fill="auto"/>
          </w:tcPr>
          <w:p w14:paraId="7268FC79" w14:textId="77777777" w:rsidR="005F762A" w:rsidRDefault="005F762A">
            <w:pPr>
              <w:rPr>
                <w:rFonts w:ascii="宋体"/>
                <w:vanish/>
              </w:rPr>
            </w:pPr>
          </w:p>
        </w:tc>
        <w:tc>
          <w:tcPr>
            <w:tcW w:w="0" w:type="auto"/>
            <w:shd w:val="clear" w:color="auto" w:fill="auto"/>
          </w:tcPr>
          <w:p w14:paraId="7268FC7A" w14:textId="77777777" w:rsidR="005F762A" w:rsidRDefault="005F762A">
            <w:pPr>
              <w:rPr>
                <w:rFonts w:ascii="宋体"/>
                <w:vanish/>
              </w:rPr>
            </w:pPr>
          </w:p>
        </w:tc>
        <w:tc>
          <w:tcPr>
            <w:tcW w:w="0" w:type="auto"/>
            <w:shd w:val="clear" w:color="auto" w:fill="auto"/>
          </w:tcPr>
          <w:p w14:paraId="7268FC7B" w14:textId="77777777" w:rsidR="005F762A" w:rsidRDefault="005F762A">
            <w:pPr>
              <w:rPr>
                <w:rFonts w:ascii="宋体"/>
                <w:vanish/>
              </w:rPr>
            </w:pPr>
          </w:p>
        </w:tc>
        <w:tc>
          <w:tcPr>
            <w:tcW w:w="0" w:type="auto"/>
            <w:gridSpan w:val="3"/>
            <w:shd w:val="clear" w:color="auto" w:fill="auto"/>
          </w:tcPr>
          <w:p w14:paraId="7268FC7C" w14:textId="77777777" w:rsidR="005F762A" w:rsidRDefault="005F762A">
            <w:pPr>
              <w:rPr>
                <w:rFonts w:ascii="宋体"/>
                <w:vanish/>
              </w:rPr>
            </w:pPr>
          </w:p>
        </w:tc>
        <w:tc>
          <w:tcPr>
            <w:tcW w:w="0" w:type="auto"/>
            <w:gridSpan w:val="3"/>
            <w:shd w:val="clear" w:color="auto" w:fill="auto"/>
          </w:tcPr>
          <w:p w14:paraId="7268FC7D" w14:textId="77777777" w:rsidR="005F762A" w:rsidRDefault="005F762A">
            <w:pPr>
              <w:rPr>
                <w:rFonts w:ascii="宋体"/>
                <w:vanish/>
              </w:rPr>
            </w:pPr>
          </w:p>
        </w:tc>
        <w:tc>
          <w:tcPr>
            <w:tcW w:w="0" w:type="auto"/>
            <w:gridSpan w:val="3"/>
            <w:shd w:val="clear" w:color="auto" w:fill="auto"/>
          </w:tcPr>
          <w:p w14:paraId="7268FC7E" w14:textId="77777777" w:rsidR="005F762A" w:rsidRDefault="005F762A">
            <w:pPr>
              <w:rPr>
                <w:rFonts w:ascii="宋体"/>
                <w:vanish/>
              </w:rPr>
            </w:pPr>
          </w:p>
        </w:tc>
        <w:tc>
          <w:tcPr>
            <w:tcW w:w="0" w:type="auto"/>
            <w:gridSpan w:val="3"/>
            <w:shd w:val="clear" w:color="auto" w:fill="auto"/>
          </w:tcPr>
          <w:p w14:paraId="7268FC7F" w14:textId="77777777" w:rsidR="005F762A" w:rsidRDefault="005F762A">
            <w:pPr>
              <w:rPr>
                <w:rFonts w:ascii="宋体"/>
                <w:vanish/>
              </w:rPr>
            </w:pPr>
          </w:p>
        </w:tc>
        <w:tc>
          <w:tcPr>
            <w:tcW w:w="0" w:type="auto"/>
            <w:gridSpan w:val="3"/>
            <w:shd w:val="clear" w:color="auto" w:fill="auto"/>
          </w:tcPr>
          <w:p w14:paraId="7268FC80" w14:textId="77777777" w:rsidR="005F762A" w:rsidRDefault="005F762A">
            <w:pPr>
              <w:rPr>
                <w:rFonts w:ascii="宋体"/>
                <w:vanish/>
              </w:rPr>
            </w:pPr>
          </w:p>
        </w:tc>
        <w:tc>
          <w:tcPr>
            <w:tcW w:w="0" w:type="auto"/>
            <w:gridSpan w:val="3"/>
            <w:shd w:val="clear" w:color="auto" w:fill="auto"/>
          </w:tcPr>
          <w:p w14:paraId="7268FC81" w14:textId="77777777" w:rsidR="005F762A" w:rsidRDefault="005F762A">
            <w:pPr>
              <w:rPr>
                <w:rFonts w:ascii="宋体"/>
                <w:vanish/>
              </w:rPr>
            </w:pPr>
          </w:p>
        </w:tc>
      </w:tr>
      <w:tr w:rsidR="005F762A" w14:paraId="7268FC8F" w14:textId="77777777">
        <w:trPr>
          <w:hidden/>
        </w:trPr>
        <w:tc>
          <w:tcPr>
            <w:tcW w:w="0" w:type="auto"/>
            <w:gridSpan w:val="3"/>
            <w:shd w:val="clear" w:color="auto" w:fill="auto"/>
          </w:tcPr>
          <w:p w14:paraId="7268FC83" w14:textId="77777777" w:rsidR="005F762A" w:rsidRDefault="005F762A">
            <w:pPr>
              <w:rPr>
                <w:rFonts w:ascii="宋体"/>
                <w:vanish/>
              </w:rPr>
            </w:pPr>
          </w:p>
        </w:tc>
        <w:tc>
          <w:tcPr>
            <w:tcW w:w="0" w:type="auto"/>
            <w:shd w:val="clear" w:color="auto" w:fill="auto"/>
          </w:tcPr>
          <w:p w14:paraId="7268FC84" w14:textId="77777777" w:rsidR="005F762A" w:rsidRDefault="005F762A">
            <w:pPr>
              <w:rPr>
                <w:rFonts w:ascii="宋体"/>
                <w:vanish/>
              </w:rPr>
            </w:pPr>
          </w:p>
        </w:tc>
        <w:tc>
          <w:tcPr>
            <w:tcW w:w="0" w:type="auto"/>
            <w:shd w:val="clear" w:color="auto" w:fill="auto"/>
          </w:tcPr>
          <w:p w14:paraId="7268FC85" w14:textId="77777777" w:rsidR="005F762A" w:rsidRDefault="005F762A">
            <w:pPr>
              <w:rPr>
                <w:rFonts w:ascii="宋体"/>
                <w:vanish/>
              </w:rPr>
            </w:pPr>
          </w:p>
        </w:tc>
        <w:tc>
          <w:tcPr>
            <w:tcW w:w="0" w:type="auto"/>
            <w:shd w:val="clear" w:color="auto" w:fill="auto"/>
          </w:tcPr>
          <w:p w14:paraId="7268FC86" w14:textId="77777777" w:rsidR="005F762A" w:rsidRDefault="005F762A">
            <w:pPr>
              <w:rPr>
                <w:rFonts w:ascii="宋体"/>
                <w:vanish/>
              </w:rPr>
            </w:pPr>
          </w:p>
        </w:tc>
        <w:tc>
          <w:tcPr>
            <w:tcW w:w="0" w:type="auto"/>
            <w:shd w:val="clear" w:color="auto" w:fill="auto"/>
          </w:tcPr>
          <w:p w14:paraId="7268FC87" w14:textId="77777777" w:rsidR="005F762A" w:rsidRDefault="005F762A">
            <w:pPr>
              <w:rPr>
                <w:rFonts w:ascii="宋体"/>
                <w:vanish/>
              </w:rPr>
            </w:pPr>
          </w:p>
        </w:tc>
        <w:tc>
          <w:tcPr>
            <w:tcW w:w="0" w:type="auto"/>
            <w:shd w:val="clear" w:color="auto" w:fill="auto"/>
          </w:tcPr>
          <w:p w14:paraId="7268FC88" w14:textId="77777777" w:rsidR="005F762A" w:rsidRDefault="005F762A">
            <w:pPr>
              <w:rPr>
                <w:rFonts w:ascii="宋体"/>
                <w:vanish/>
              </w:rPr>
            </w:pPr>
          </w:p>
        </w:tc>
        <w:tc>
          <w:tcPr>
            <w:tcW w:w="0" w:type="auto"/>
            <w:gridSpan w:val="3"/>
            <w:shd w:val="clear" w:color="auto" w:fill="auto"/>
          </w:tcPr>
          <w:p w14:paraId="7268FC89" w14:textId="77777777" w:rsidR="005F762A" w:rsidRDefault="005F762A">
            <w:pPr>
              <w:rPr>
                <w:rFonts w:ascii="宋体"/>
                <w:vanish/>
              </w:rPr>
            </w:pPr>
          </w:p>
        </w:tc>
        <w:tc>
          <w:tcPr>
            <w:tcW w:w="0" w:type="auto"/>
            <w:gridSpan w:val="3"/>
            <w:shd w:val="clear" w:color="auto" w:fill="auto"/>
          </w:tcPr>
          <w:p w14:paraId="7268FC8A" w14:textId="77777777" w:rsidR="005F762A" w:rsidRDefault="005F762A">
            <w:pPr>
              <w:rPr>
                <w:rFonts w:ascii="宋体"/>
                <w:vanish/>
              </w:rPr>
            </w:pPr>
          </w:p>
        </w:tc>
        <w:tc>
          <w:tcPr>
            <w:tcW w:w="0" w:type="auto"/>
            <w:gridSpan w:val="3"/>
            <w:shd w:val="clear" w:color="auto" w:fill="auto"/>
          </w:tcPr>
          <w:p w14:paraId="7268FC8B" w14:textId="77777777" w:rsidR="005F762A" w:rsidRDefault="005F762A">
            <w:pPr>
              <w:rPr>
                <w:rFonts w:ascii="宋体"/>
                <w:vanish/>
              </w:rPr>
            </w:pPr>
          </w:p>
        </w:tc>
        <w:tc>
          <w:tcPr>
            <w:tcW w:w="0" w:type="auto"/>
            <w:gridSpan w:val="3"/>
            <w:shd w:val="clear" w:color="auto" w:fill="auto"/>
          </w:tcPr>
          <w:p w14:paraId="7268FC8C" w14:textId="77777777" w:rsidR="005F762A" w:rsidRDefault="005F762A">
            <w:pPr>
              <w:rPr>
                <w:rFonts w:ascii="宋体"/>
                <w:vanish/>
              </w:rPr>
            </w:pPr>
          </w:p>
        </w:tc>
        <w:tc>
          <w:tcPr>
            <w:tcW w:w="0" w:type="auto"/>
            <w:gridSpan w:val="3"/>
            <w:shd w:val="clear" w:color="auto" w:fill="auto"/>
          </w:tcPr>
          <w:p w14:paraId="7268FC8D" w14:textId="77777777" w:rsidR="005F762A" w:rsidRDefault="005F762A">
            <w:pPr>
              <w:rPr>
                <w:rFonts w:ascii="宋体"/>
                <w:vanish/>
              </w:rPr>
            </w:pPr>
          </w:p>
        </w:tc>
        <w:tc>
          <w:tcPr>
            <w:tcW w:w="0" w:type="auto"/>
            <w:gridSpan w:val="3"/>
            <w:shd w:val="clear" w:color="auto" w:fill="auto"/>
          </w:tcPr>
          <w:p w14:paraId="7268FC8E" w14:textId="77777777" w:rsidR="005F762A" w:rsidRDefault="005F762A">
            <w:pPr>
              <w:rPr>
                <w:rFonts w:ascii="宋体"/>
                <w:vanish/>
              </w:rPr>
            </w:pPr>
          </w:p>
        </w:tc>
      </w:tr>
      <w:tr w:rsidR="005F762A" w14:paraId="7268FC9C" w14:textId="77777777">
        <w:trPr>
          <w:hidden/>
        </w:trPr>
        <w:tc>
          <w:tcPr>
            <w:tcW w:w="0" w:type="auto"/>
            <w:gridSpan w:val="3"/>
            <w:shd w:val="clear" w:color="auto" w:fill="auto"/>
          </w:tcPr>
          <w:p w14:paraId="7268FC90" w14:textId="77777777" w:rsidR="005F762A" w:rsidRDefault="005F762A">
            <w:pPr>
              <w:rPr>
                <w:rFonts w:ascii="宋体"/>
                <w:vanish/>
              </w:rPr>
            </w:pPr>
          </w:p>
        </w:tc>
        <w:tc>
          <w:tcPr>
            <w:tcW w:w="0" w:type="auto"/>
            <w:shd w:val="clear" w:color="auto" w:fill="auto"/>
          </w:tcPr>
          <w:p w14:paraId="7268FC91" w14:textId="77777777" w:rsidR="005F762A" w:rsidRDefault="005F762A">
            <w:pPr>
              <w:rPr>
                <w:rFonts w:ascii="宋体"/>
                <w:vanish/>
              </w:rPr>
            </w:pPr>
          </w:p>
        </w:tc>
        <w:tc>
          <w:tcPr>
            <w:tcW w:w="0" w:type="auto"/>
            <w:shd w:val="clear" w:color="auto" w:fill="auto"/>
          </w:tcPr>
          <w:p w14:paraId="7268FC92" w14:textId="77777777" w:rsidR="005F762A" w:rsidRDefault="005F762A">
            <w:pPr>
              <w:rPr>
                <w:rFonts w:ascii="宋体"/>
                <w:vanish/>
              </w:rPr>
            </w:pPr>
          </w:p>
        </w:tc>
        <w:tc>
          <w:tcPr>
            <w:tcW w:w="0" w:type="auto"/>
            <w:shd w:val="clear" w:color="auto" w:fill="auto"/>
          </w:tcPr>
          <w:p w14:paraId="7268FC93" w14:textId="77777777" w:rsidR="005F762A" w:rsidRDefault="005F762A">
            <w:pPr>
              <w:rPr>
                <w:rFonts w:ascii="宋体"/>
                <w:vanish/>
              </w:rPr>
            </w:pPr>
          </w:p>
        </w:tc>
        <w:tc>
          <w:tcPr>
            <w:tcW w:w="0" w:type="auto"/>
            <w:shd w:val="clear" w:color="auto" w:fill="auto"/>
          </w:tcPr>
          <w:p w14:paraId="7268FC94" w14:textId="77777777" w:rsidR="005F762A" w:rsidRDefault="005F762A">
            <w:pPr>
              <w:rPr>
                <w:rFonts w:ascii="宋体"/>
                <w:vanish/>
              </w:rPr>
            </w:pPr>
          </w:p>
        </w:tc>
        <w:tc>
          <w:tcPr>
            <w:tcW w:w="0" w:type="auto"/>
            <w:shd w:val="clear" w:color="auto" w:fill="auto"/>
          </w:tcPr>
          <w:p w14:paraId="7268FC95" w14:textId="77777777" w:rsidR="005F762A" w:rsidRDefault="005F762A">
            <w:pPr>
              <w:rPr>
                <w:rFonts w:ascii="宋体"/>
                <w:vanish/>
              </w:rPr>
            </w:pPr>
          </w:p>
        </w:tc>
        <w:tc>
          <w:tcPr>
            <w:tcW w:w="0" w:type="auto"/>
            <w:gridSpan w:val="3"/>
            <w:shd w:val="clear" w:color="auto" w:fill="auto"/>
          </w:tcPr>
          <w:p w14:paraId="7268FC96" w14:textId="77777777" w:rsidR="005F762A" w:rsidRDefault="005F762A">
            <w:pPr>
              <w:rPr>
                <w:rFonts w:ascii="宋体"/>
                <w:vanish/>
              </w:rPr>
            </w:pPr>
          </w:p>
        </w:tc>
        <w:tc>
          <w:tcPr>
            <w:tcW w:w="0" w:type="auto"/>
            <w:gridSpan w:val="3"/>
            <w:shd w:val="clear" w:color="auto" w:fill="auto"/>
          </w:tcPr>
          <w:p w14:paraId="7268FC97" w14:textId="77777777" w:rsidR="005F762A" w:rsidRDefault="005F762A">
            <w:pPr>
              <w:rPr>
                <w:rFonts w:ascii="宋体"/>
                <w:vanish/>
              </w:rPr>
            </w:pPr>
          </w:p>
        </w:tc>
        <w:tc>
          <w:tcPr>
            <w:tcW w:w="0" w:type="auto"/>
            <w:gridSpan w:val="3"/>
            <w:shd w:val="clear" w:color="auto" w:fill="auto"/>
          </w:tcPr>
          <w:p w14:paraId="7268FC98" w14:textId="77777777" w:rsidR="005F762A" w:rsidRDefault="005F762A">
            <w:pPr>
              <w:rPr>
                <w:rFonts w:ascii="宋体"/>
                <w:vanish/>
              </w:rPr>
            </w:pPr>
          </w:p>
        </w:tc>
        <w:tc>
          <w:tcPr>
            <w:tcW w:w="0" w:type="auto"/>
            <w:gridSpan w:val="3"/>
            <w:shd w:val="clear" w:color="auto" w:fill="auto"/>
          </w:tcPr>
          <w:p w14:paraId="7268FC99" w14:textId="77777777" w:rsidR="005F762A" w:rsidRDefault="005F762A">
            <w:pPr>
              <w:rPr>
                <w:rFonts w:ascii="宋体"/>
                <w:vanish/>
              </w:rPr>
            </w:pPr>
          </w:p>
        </w:tc>
        <w:tc>
          <w:tcPr>
            <w:tcW w:w="0" w:type="auto"/>
            <w:gridSpan w:val="3"/>
            <w:shd w:val="clear" w:color="auto" w:fill="auto"/>
          </w:tcPr>
          <w:p w14:paraId="7268FC9A" w14:textId="77777777" w:rsidR="005F762A" w:rsidRDefault="005F762A">
            <w:pPr>
              <w:rPr>
                <w:rFonts w:ascii="宋体"/>
                <w:vanish/>
              </w:rPr>
            </w:pPr>
          </w:p>
        </w:tc>
        <w:tc>
          <w:tcPr>
            <w:tcW w:w="0" w:type="auto"/>
            <w:gridSpan w:val="3"/>
            <w:shd w:val="clear" w:color="auto" w:fill="auto"/>
          </w:tcPr>
          <w:p w14:paraId="7268FC9B" w14:textId="77777777" w:rsidR="005F762A" w:rsidRDefault="005F762A">
            <w:pPr>
              <w:rPr>
                <w:rFonts w:ascii="宋体"/>
                <w:vanish/>
              </w:rPr>
            </w:pPr>
          </w:p>
        </w:tc>
      </w:tr>
      <w:tr w:rsidR="005F762A" w14:paraId="7268FCAD" w14:textId="77777777">
        <w:tc>
          <w:tcPr>
            <w:tcW w:w="0" w:type="auto"/>
            <w:gridSpan w:val="3"/>
            <w:shd w:val="clear" w:color="auto" w:fill="E2E2E2"/>
            <w:tcMar>
              <w:top w:w="40" w:type="dxa"/>
              <w:left w:w="20" w:type="dxa"/>
              <w:bottom w:w="40" w:type="dxa"/>
              <w:right w:w="20" w:type="dxa"/>
            </w:tcMar>
            <w:vAlign w:val="bottom"/>
          </w:tcPr>
          <w:p w14:paraId="7268FC9D" w14:textId="77777777" w:rsidR="005F762A" w:rsidRDefault="00D74111">
            <w:pPr>
              <w:textAlignment w:val="bottom"/>
            </w:pPr>
            <w:r>
              <w:rPr>
                <w:rFonts w:ascii="Arial" w:eastAsia="宋体" w:hAnsi="Arial" w:cs="Arial"/>
                <w:color w:val="000000"/>
                <w:sz w:val="16"/>
                <w:szCs w:val="16"/>
              </w:rPr>
              <w:t>Total interest and other, net</w:t>
            </w:r>
          </w:p>
        </w:tc>
        <w:tc>
          <w:tcPr>
            <w:tcW w:w="0" w:type="auto"/>
            <w:shd w:val="clear" w:color="auto" w:fill="auto"/>
          </w:tcPr>
          <w:p w14:paraId="7268FC9E" w14:textId="77777777" w:rsidR="005F762A" w:rsidRDefault="005F762A">
            <w:pPr>
              <w:rPr>
                <w:rFonts w:ascii="宋体"/>
                <w:vanish/>
              </w:rPr>
            </w:pPr>
          </w:p>
        </w:tc>
        <w:tc>
          <w:tcPr>
            <w:tcW w:w="0" w:type="auto"/>
            <w:shd w:val="clear" w:color="auto" w:fill="auto"/>
          </w:tcPr>
          <w:p w14:paraId="7268FC9F" w14:textId="77777777" w:rsidR="005F762A" w:rsidRDefault="005F762A">
            <w:pPr>
              <w:rPr>
                <w:rFonts w:ascii="宋体"/>
                <w:vanish/>
              </w:rPr>
            </w:pPr>
          </w:p>
        </w:tc>
        <w:tc>
          <w:tcPr>
            <w:tcW w:w="0" w:type="auto"/>
            <w:shd w:val="clear" w:color="auto" w:fill="auto"/>
          </w:tcPr>
          <w:p w14:paraId="7268FCA0" w14:textId="77777777" w:rsidR="005F762A" w:rsidRDefault="005F762A">
            <w:pPr>
              <w:rPr>
                <w:rFonts w:ascii="宋体"/>
                <w:vanish/>
              </w:rPr>
            </w:pPr>
          </w:p>
        </w:tc>
        <w:tc>
          <w:tcPr>
            <w:tcW w:w="0" w:type="auto"/>
            <w:shd w:val="clear" w:color="auto" w:fill="auto"/>
          </w:tcPr>
          <w:p w14:paraId="7268FCA1" w14:textId="77777777" w:rsidR="005F762A" w:rsidRDefault="005F762A">
            <w:pPr>
              <w:rPr>
                <w:rFonts w:ascii="宋体"/>
                <w:vanish/>
              </w:rPr>
            </w:pPr>
          </w:p>
        </w:tc>
        <w:tc>
          <w:tcPr>
            <w:tcW w:w="0" w:type="auto"/>
            <w:shd w:val="clear" w:color="auto" w:fill="auto"/>
          </w:tcPr>
          <w:p w14:paraId="7268FCA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CA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CA4"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CA5" w14:textId="77777777" w:rsidR="005F762A" w:rsidRDefault="00D74111">
            <w:pPr>
              <w:jc w:val="right"/>
              <w:textAlignment w:val="bottom"/>
            </w:pPr>
            <w:r>
              <w:rPr>
                <w:rFonts w:ascii="Arial" w:eastAsia="宋体" w:hAnsi="Arial" w:cs="Arial"/>
                <w:color w:val="000000"/>
                <w:sz w:val="16"/>
                <w:szCs w:val="16"/>
              </w:rPr>
              <w:t>(117)</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CA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CA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CA8"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CA9" w14:textId="77777777" w:rsidR="005F762A" w:rsidRDefault="00D7411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CAA"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CAB" w14:textId="77777777" w:rsidR="005F762A" w:rsidRDefault="005F762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FCAC" w14:textId="77777777" w:rsidR="005F762A" w:rsidRDefault="00D74111">
            <w:pPr>
              <w:jc w:val="right"/>
              <w:textAlignment w:val="bottom"/>
            </w:pPr>
            <w:r>
              <w:rPr>
                <w:rFonts w:ascii="Arial" w:eastAsia="宋体" w:hAnsi="Arial" w:cs="Arial"/>
                <w:color w:val="000000"/>
                <w:sz w:val="16"/>
                <w:szCs w:val="16"/>
              </w:rPr>
              <w:t>**</w:t>
            </w:r>
          </w:p>
        </w:tc>
      </w:tr>
      <w:tr w:rsidR="005F762A" w14:paraId="7268FCBC" w14:textId="77777777">
        <w:tc>
          <w:tcPr>
            <w:tcW w:w="0" w:type="auto"/>
            <w:gridSpan w:val="3"/>
            <w:shd w:val="clear" w:color="auto" w:fill="FFFFFF"/>
            <w:tcMar>
              <w:top w:w="40" w:type="dxa"/>
              <w:left w:w="155" w:type="dxa"/>
              <w:bottom w:w="40" w:type="dxa"/>
              <w:right w:w="20" w:type="dxa"/>
            </w:tcMar>
            <w:vAlign w:val="bottom"/>
          </w:tcPr>
          <w:p w14:paraId="7268FCAE" w14:textId="77777777" w:rsidR="005F762A" w:rsidRDefault="00D74111">
            <w:pPr>
              <w:textAlignment w:val="bottom"/>
            </w:pPr>
            <w:r>
              <w:rPr>
                <w:rFonts w:ascii="Arial" w:eastAsia="宋体" w:hAnsi="Arial" w:cs="Arial"/>
                <w:i/>
                <w:iCs/>
                <w:color w:val="000000"/>
                <w:sz w:val="16"/>
                <w:szCs w:val="16"/>
              </w:rPr>
              <w:t>Percentage of net revenues</w:t>
            </w:r>
          </w:p>
        </w:tc>
        <w:tc>
          <w:tcPr>
            <w:tcW w:w="0" w:type="auto"/>
            <w:shd w:val="clear" w:color="auto" w:fill="auto"/>
          </w:tcPr>
          <w:p w14:paraId="7268FCAF" w14:textId="77777777" w:rsidR="005F762A" w:rsidRDefault="005F762A">
            <w:pPr>
              <w:rPr>
                <w:rFonts w:ascii="宋体"/>
                <w:vanish/>
              </w:rPr>
            </w:pPr>
          </w:p>
        </w:tc>
        <w:tc>
          <w:tcPr>
            <w:tcW w:w="0" w:type="auto"/>
            <w:shd w:val="clear" w:color="auto" w:fill="auto"/>
          </w:tcPr>
          <w:p w14:paraId="7268FCB0" w14:textId="77777777" w:rsidR="005F762A" w:rsidRDefault="005F762A">
            <w:pPr>
              <w:rPr>
                <w:rFonts w:ascii="宋体"/>
                <w:vanish/>
              </w:rPr>
            </w:pPr>
          </w:p>
        </w:tc>
        <w:tc>
          <w:tcPr>
            <w:tcW w:w="0" w:type="auto"/>
            <w:shd w:val="clear" w:color="auto" w:fill="auto"/>
          </w:tcPr>
          <w:p w14:paraId="7268FCB1" w14:textId="77777777" w:rsidR="005F762A" w:rsidRDefault="005F762A">
            <w:pPr>
              <w:rPr>
                <w:rFonts w:ascii="宋体"/>
                <w:vanish/>
              </w:rPr>
            </w:pPr>
          </w:p>
        </w:tc>
        <w:tc>
          <w:tcPr>
            <w:tcW w:w="0" w:type="auto"/>
            <w:shd w:val="clear" w:color="auto" w:fill="auto"/>
          </w:tcPr>
          <w:p w14:paraId="7268FCB2" w14:textId="77777777" w:rsidR="005F762A" w:rsidRDefault="005F762A">
            <w:pPr>
              <w:rPr>
                <w:rFonts w:ascii="宋体"/>
                <w:vanish/>
              </w:rPr>
            </w:pPr>
          </w:p>
        </w:tc>
        <w:tc>
          <w:tcPr>
            <w:tcW w:w="0" w:type="auto"/>
            <w:shd w:val="clear" w:color="auto" w:fill="auto"/>
          </w:tcPr>
          <w:p w14:paraId="7268FCB3" w14:textId="77777777" w:rsidR="005F762A" w:rsidRDefault="005F762A">
            <w:pPr>
              <w:rPr>
                <w:rFonts w:ascii="宋体"/>
                <w:vanish/>
              </w:rPr>
            </w:pPr>
          </w:p>
        </w:tc>
        <w:tc>
          <w:tcPr>
            <w:tcW w:w="0" w:type="auto"/>
            <w:gridSpan w:val="3"/>
            <w:shd w:val="clear" w:color="auto" w:fill="FFFFFF"/>
            <w:tcMar>
              <w:top w:w="0" w:type="dxa"/>
              <w:left w:w="20" w:type="dxa"/>
              <w:bottom w:w="0" w:type="dxa"/>
              <w:right w:w="20" w:type="dxa"/>
            </w:tcMar>
          </w:tcPr>
          <w:p w14:paraId="7268FCB4"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CB5" w14:textId="77777777" w:rsidR="005F762A" w:rsidRDefault="00D74111">
            <w:pPr>
              <w:jc w:val="right"/>
              <w:textAlignment w:val="bottom"/>
            </w:pPr>
            <w:r>
              <w:rPr>
                <w:rFonts w:ascii="Arial" w:eastAsia="宋体" w:hAnsi="Arial" w:cs="Arial"/>
                <w:i/>
                <w:iCs/>
                <w:color w:val="000000"/>
                <w:sz w:val="16"/>
                <w:szCs w:val="16"/>
              </w:rPr>
              <w:t>(4)</w:t>
            </w:r>
          </w:p>
        </w:tc>
        <w:tc>
          <w:tcPr>
            <w:tcW w:w="0" w:type="auto"/>
            <w:shd w:val="clear" w:color="auto" w:fill="FFFFFF"/>
            <w:tcMar>
              <w:top w:w="40" w:type="dxa"/>
              <w:left w:w="0" w:type="dxa"/>
              <w:bottom w:w="40" w:type="dxa"/>
              <w:right w:w="20" w:type="dxa"/>
            </w:tcMar>
            <w:vAlign w:val="bottom"/>
          </w:tcPr>
          <w:p w14:paraId="7268FCB6"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CB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CB8" w14:textId="77777777" w:rsidR="005F762A" w:rsidRDefault="00D74111">
            <w:pPr>
              <w:jc w:val="right"/>
              <w:textAlignment w:val="bottom"/>
            </w:pPr>
            <w:r>
              <w:rPr>
                <w:rFonts w:ascii="Arial" w:eastAsia="宋体" w:hAnsi="Arial" w:cs="Arial"/>
                <w:i/>
                <w:iCs/>
                <w:color w:val="000000"/>
                <w:sz w:val="16"/>
                <w:szCs w:val="16"/>
              </w:rPr>
              <w:t>— </w:t>
            </w:r>
          </w:p>
        </w:tc>
        <w:tc>
          <w:tcPr>
            <w:tcW w:w="0" w:type="auto"/>
            <w:shd w:val="clear" w:color="auto" w:fill="FFFFFF"/>
            <w:tcMar>
              <w:top w:w="40" w:type="dxa"/>
              <w:left w:w="0" w:type="dxa"/>
              <w:bottom w:w="40" w:type="dxa"/>
              <w:right w:w="20" w:type="dxa"/>
            </w:tcMar>
            <w:vAlign w:val="bottom"/>
          </w:tcPr>
          <w:p w14:paraId="7268FCB9"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tcPr>
          <w:p w14:paraId="7268FCB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CBB" w14:textId="77777777" w:rsidR="005F762A" w:rsidRDefault="005F762A">
            <w:pPr>
              <w:rPr>
                <w:rFonts w:ascii="宋体"/>
              </w:rPr>
            </w:pPr>
          </w:p>
        </w:tc>
      </w:tr>
    </w:tbl>
    <w:p w14:paraId="7268FCBD" w14:textId="77777777" w:rsidR="005F762A" w:rsidRDefault="005F762A">
      <w:pPr>
        <w:ind w:firstLine="495"/>
        <w:jc w:val="both"/>
      </w:pPr>
    </w:p>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5F762A" w14:paraId="7268FCC1" w14:textId="77777777">
        <w:tc>
          <w:tcPr>
            <w:tcW w:w="50" w:type="pct"/>
            <w:shd w:val="clear" w:color="auto" w:fill="auto"/>
          </w:tcPr>
          <w:p w14:paraId="7268FCBE" w14:textId="77777777" w:rsidR="005F762A" w:rsidRDefault="005F762A">
            <w:pPr>
              <w:rPr>
                <w:rFonts w:ascii="宋体"/>
              </w:rPr>
            </w:pPr>
          </w:p>
        </w:tc>
        <w:tc>
          <w:tcPr>
            <w:tcW w:w="4945" w:type="pct"/>
            <w:shd w:val="clear" w:color="auto" w:fill="auto"/>
          </w:tcPr>
          <w:p w14:paraId="7268FCBF" w14:textId="77777777" w:rsidR="005F762A" w:rsidRDefault="005F762A">
            <w:pPr>
              <w:rPr>
                <w:rFonts w:ascii="宋体"/>
              </w:rPr>
            </w:pPr>
          </w:p>
        </w:tc>
        <w:tc>
          <w:tcPr>
            <w:tcW w:w="5" w:type="pct"/>
            <w:shd w:val="clear" w:color="auto" w:fill="auto"/>
          </w:tcPr>
          <w:p w14:paraId="7268FCC0" w14:textId="77777777" w:rsidR="005F762A" w:rsidRDefault="005F762A">
            <w:pPr>
              <w:rPr>
                <w:rFonts w:ascii="宋体"/>
              </w:rPr>
            </w:pPr>
          </w:p>
        </w:tc>
      </w:tr>
      <w:tr w:rsidR="005F762A" w14:paraId="7268FCC3"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7268FCC2" w14:textId="77777777" w:rsidR="005F762A" w:rsidRDefault="005F762A">
            <w:pPr>
              <w:rPr>
                <w:rFonts w:ascii="宋体"/>
              </w:rPr>
            </w:pPr>
          </w:p>
        </w:tc>
      </w:tr>
    </w:tbl>
    <w:p w14:paraId="7268FCC4" w14:textId="77777777" w:rsidR="005F762A" w:rsidRDefault="00D74111">
      <w:pPr>
        <w:ind w:hanging="360"/>
        <w:jc w:val="both"/>
      </w:pPr>
      <w:r>
        <w:rPr>
          <w:rFonts w:ascii="Arial" w:eastAsia="宋体" w:hAnsi="Arial" w:cs="Arial"/>
          <w:color w:val="000000"/>
          <w:sz w:val="16"/>
          <w:szCs w:val="16"/>
        </w:rPr>
        <w:t>**    Not meaningful</w:t>
      </w:r>
    </w:p>
    <w:p w14:paraId="7268FCC5" w14:textId="77777777" w:rsidR="005F762A" w:rsidRDefault="005F762A">
      <w:pPr>
        <w:ind w:hanging="360"/>
        <w:jc w:val="both"/>
      </w:pPr>
    </w:p>
    <w:p w14:paraId="7268FCC6" w14:textId="77777777" w:rsidR="005F762A" w:rsidRDefault="00D74111">
      <w:pPr>
        <w:ind w:firstLine="540"/>
        <w:jc w:val="both"/>
      </w:pPr>
      <w:r>
        <w:rPr>
          <w:rFonts w:ascii="Arial" w:eastAsia="宋体" w:hAnsi="Arial" w:cs="Arial"/>
          <w:color w:val="000000"/>
          <w:sz w:val="20"/>
          <w:szCs w:val="20"/>
        </w:rPr>
        <w:t>The decrease in interest and other, net during the three months ended March 31, 2021 compared to the same period in 2020 was primarily attributable to the change in the fair value of the Adyen warrant, a gain recorded in 2020 related to the receipt of proc</w:t>
      </w:r>
      <w:r>
        <w:rPr>
          <w:rFonts w:ascii="Arial" w:eastAsia="宋体" w:hAnsi="Arial" w:cs="Arial"/>
          <w:color w:val="000000"/>
          <w:sz w:val="20"/>
          <w:szCs w:val="20"/>
        </w:rPr>
        <w:t xml:space="preserve">eeds that were held in escrow related to a long-term investment that was sold in 2018, foreign exchange losses and lower interest income. </w:t>
      </w:r>
    </w:p>
    <w:p w14:paraId="7268FCC7" w14:textId="77777777" w:rsidR="005F762A" w:rsidRDefault="005F762A">
      <w:pPr>
        <w:jc w:val="center"/>
      </w:pPr>
    </w:p>
    <w:p w14:paraId="7268FCC8" w14:textId="77777777" w:rsidR="005F762A" w:rsidRDefault="00D74111">
      <w:pPr>
        <w:jc w:val="center"/>
      </w:pPr>
      <w:r>
        <w:rPr>
          <w:rFonts w:ascii="Arial" w:eastAsia="宋体" w:hAnsi="Arial" w:cs="Arial"/>
          <w:color w:val="000000"/>
          <w:sz w:val="20"/>
          <w:szCs w:val="20"/>
        </w:rPr>
        <w:t>36</w:t>
      </w:r>
    </w:p>
    <w:p w14:paraId="7268FCC9" w14:textId="77777777" w:rsidR="005F762A" w:rsidRDefault="00D74111">
      <w:r>
        <w:pict w14:anchorId="72690163">
          <v:rect id="_x0000_i1060" style="width:415.3pt;height:1.5pt" o:hralign="center" o:hrstd="t" o:hr="t" fillcolor="#a0a0a0" stroked="f"/>
        </w:pict>
      </w:r>
    </w:p>
    <w:p w14:paraId="7268FCCA" w14:textId="77777777" w:rsidR="005F762A" w:rsidRDefault="005F762A"/>
    <w:p w14:paraId="7268FCCB" w14:textId="77777777" w:rsidR="005F762A" w:rsidRDefault="00D74111">
      <w:pPr>
        <w:spacing w:before="120"/>
        <w:jc w:val="both"/>
      </w:pPr>
      <w:r>
        <w:rPr>
          <w:rFonts w:ascii="Arial" w:eastAsia="宋体" w:hAnsi="Arial" w:cs="Arial"/>
          <w:b/>
          <w:bCs/>
          <w:i/>
          <w:iCs/>
          <w:color w:val="000000"/>
          <w:sz w:val="20"/>
          <w:szCs w:val="20"/>
        </w:rPr>
        <w:t xml:space="preserve">Income Tax Provision </w:t>
      </w:r>
    </w:p>
    <w:p w14:paraId="7268FCCC" w14:textId="77777777" w:rsidR="005F762A" w:rsidRDefault="005F762A"/>
    <w:p w14:paraId="7268FCCD" w14:textId="77777777" w:rsidR="005F762A" w:rsidRDefault="00D74111">
      <w:pPr>
        <w:ind w:firstLine="540"/>
        <w:jc w:val="both"/>
      </w:pPr>
      <w:r>
        <w:rPr>
          <w:rFonts w:ascii="Arial" w:eastAsia="宋体" w:hAnsi="Arial" w:cs="Arial"/>
          <w:color w:val="000000"/>
          <w:sz w:val="20"/>
          <w:szCs w:val="20"/>
        </w:rPr>
        <w:t xml:space="preserve">The following table presents provision for income taxes (in millions, except </w:t>
      </w:r>
      <w:r>
        <w:rPr>
          <w:rFonts w:ascii="Arial" w:eastAsia="宋体" w:hAnsi="Arial" w:cs="Arial"/>
          <w:color w:val="000000"/>
          <w:sz w:val="20"/>
          <w:szCs w:val="20"/>
        </w:rPr>
        <w:t>percentages):</w:t>
      </w:r>
    </w:p>
    <w:p w14:paraId="7268FCCE" w14:textId="77777777" w:rsidR="005F762A" w:rsidRDefault="005F762A"/>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317"/>
        <w:gridCol w:w="37"/>
        <w:gridCol w:w="36"/>
        <w:gridCol w:w="46"/>
        <w:gridCol w:w="36"/>
        <w:gridCol w:w="36"/>
        <w:gridCol w:w="36"/>
        <w:gridCol w:w="36"/>
        <w:gridCol w:w="109"/>
        <w:gridCol w:w="452"/>
        <w:gridCol w:w="163"/>
        <w:gridCol w:w="37"/>
        <w:gridCol w:w="94"/>
        <w:gridCol w:w="36"/>
        <w:gridCol w:w="109"/>
        <w:gridCol w:w="555"/>
        <w:gridCol w:w="163"/>
      </w:tblGrid>
      <w:tr w:rsidR="005F762A" w14:paraId="7268FCE1" w14:textId="77777777">
        <w:trPr>
          <w:jc w:val="center"/>
        </w:trPr>
        <w:tc>
          <w:tcPr>
            <w:tcW w:w="50" w:type="pct"/>
            <w:shd w:val="clear" w:color="auto" w:fill="auto"/>
          </w:tcPr>
          <w:p w14:paraId="7268FCCF" w14:textId="77777777" w:rsidR="005F762A" w:rsidRDefault="005F762A">
            <w:pPr>
              <w:rPr>
                <w:rFonts w:ascii="宋体"/>
              </w:rPr>
            </w:pPr>
          </w:p>
        </w:tc>
        <w:tc>
          <w:tcPr>
            <w:tcW w:w="3950" w:type="pct"/>
            <w:shd w:val="clear" w:color="auto" w:fill="auto"/>
          </w:tcPr>
          <w:p w14:paraId="7268FCD0" w14:textId="77777777" w:rsidR="005F762A" w:rsidRDefault="005F762A">
            <w:pPr>
              <w:rPr>
                <w:rFonts w:ascii="宋体"/>
              </w:rPr>
            </w:pPr>
          </w:p>
        </w:tc>
        <w:tc>
          <w:tcPr>
            <w:tcW w:w="5" w:type="pct"/>
            <w:shd w:val="clear" w:color="auto" w:fill="auto"/>
          </w:tcPr>
          <w:p w14:paraId="7268FCD1" w14:textId="77777777" w:rsidR="005F762A" w:rsidRDefault="005F762A">
            <w:pPr>
              <w:rPr>
                <w:rFonts w:ascii="宋体"/>
              </w:rPr>
            </w:pPr>
          </w:p>
        </w:tc>
        <w:tc>
          <w:tcPr>
            <w:tcW w:w="0" w:type="auto"/>
            <w:shd w:val="clear" w:color="auto" w:fill="auto"/>
          </w:tcPr>
          <w:p w14:paraId="7268FCD2" w14:textId="77777777" w:rsidR="005F762A" w:rsidRDefault="005F762A">
            <w:pPr>
              <w:rPr>
                <w:rFonts w:ascii="宋体"/>
                <w:vanish/>
              </w:rPr>
            </w:pPr>
          </w:p>
        </w:tc>
        <w:tc>
          <w:tcPr>
            <w:tcW w:w="0" w:type="auto"/>
            <w:shd w:val="clear" w:color="auto" w:fill="auto"/>
          </w:tcPr>
          <w:p w14:paraId="7268FCD3" w14:textId="77777777" w:rsidR="005F762A" w:rsidRDefault="005F762A">
            <w:pPr>
              <w:rPr>
                <w:rFonts w:ascii="宋体"/>
                <w:vanish/>
              </w:rPr>
            </w:pPr>
          </w:p>
        </w:tc>
        <w:tc>
          <w:tcPr>
            <w:tcW w:w="0" w:type="auto"/>
            <w:shd w:val="clear" w:color="auto" w:fill="auto"/>
          </w:tcPr>
          <w:p w14:paraId="7268FCD4" w14:textId="77777777" w:rsidR="005F762A" w:rsidRDefault="005F762A">
            <w:pPr>
              <w:rPr>
                <w:rFonts w:ascii="宋体"/>
                <w:vanish/>
              </w:rPr>
            </w:pPr>
          </w:p>
        </w:tc>
        <w:tc>
          <w:tcPr>
            <w:tcW w:w="5" w:type="pct"/>
            <w:shd w:val="clear" w:color="auto" w:fill="auto"/>
          </w:tcPr>
          <w:p w14:paraId="7268FCD5" w14:textId="77777777" w:rsidR="005F762A" w:rsidRDefault="005F762A">
            <w:pPr>
              <w:rPr>
                <w:rFonts w:ascii="宋体"/>
              </w:rPr>
            </w:pPr>
          </w:p>
        </w:tc>
        <w:tc>
          <w:tcPr>
            <w:tcW w:w="26" w:type="pct"/>
            <w:shd w:val="clear" w:color="auto" w:fill="auto"/>
          </w:tcPr>
          <w:p w14:paraId="7268FCD6" w14:textId="77777777" w:rsidR="005F762A" w:rsidRDefault="005F762A">
            <w:pPr>
              <w:rPr>
                <w:rFonts w:ascii="宋体"/>
              </w:rPr>
            </w:pPr>
          </w:p>
        </w:tc>
        <w:tc>
          <w:tcPr>
            <w:tcW w:w="5" w:type="pct"/>
            <w:shd w:val="clear" w:color="auto" w:fill="auto"/>
          </w:tcPr>
          <w:p w14:paraId="7268FCD7" w14:textId="77777777" w:rsidR="005F762A" w:rsidRDefault="005F762A">
            <w:pPr>
              <w:rPr>
                <w:rFonts w:ascii="宋体"/>
              </w:rPr>
            </w:pPr>
          </w:p>
        </w:tc>
        <w:tc>
          <w:tcPr>
            <w:tcW w:w="50" w:type="pct"/>
            <w:shd w:val="clear" w:color="auto" w:fill="auto"/>
          </w:tcPr>
          <w:p w14:paraId="7268FCD8" w14:textId="77777777" w:rsidR="005F762A" w:rsidRDefault="005F762A">
            <w:pPr>
              <w:rPr>
                <w:rFonts w:ascii="宋体"/>
              </w:rPr>
            </w:pPr>
          </w:p>
        </w:tc>
        <w:tc>
          <w:tcPr>
            <w:tcW w:w="405" w:type="pct"/>
            <w:shd w:val="clear" w:color="auto" w:fill="auto"/>
          </w:tcPr>
          <w:p w14:paraId="7268FCD9" w14:textId="77777777" w:rsidR="005F762A" w:rsidRDefault="005F762A">
            <w:pPr>
              <w:rPr>
                <w:rFonts w:ascii="宋体"/>
              </w:rPr>
            </w:pPr>
          </w:p>
        </w:tc>
        <w:tc>
          <w:tcPr>
            <w:tcW w:w="5" w:type="pct"/>
            <w:shd w:val="clear" w:color="auto" w:fill="auto"/>
          </w:tcPr>
          <w:p w14:paraId="7268FCDA" w14:textId="77777777" w:rsidR="005F762A" w:rsidRDefault="005F762A">
            <w:pPr>
              <w:rPr>
                <w:rFonts w:ascii="宋体"/>
              </w:rPr>
            </w:pPr>
          </w:p>
        </w:tc>
        <w:tc>
          <w:tcPr>
            <w:tcW w:w="5" w:type="pct"/>
            <w:shd w:val="clear" w:color="auto" w:fill="auto"/>
          </w:tcPr>
          <w:p w14:paraId="7268FCDB" w14:textId="77777777" w:rsidR="005F762A" w:rsidRDefault="005F762A">
            <w:pPr>
              <w:rPr>
                <w:rFonts w:ascii="宋体"/>
              </w:rPr>
            </w:pPr>
          </w:p>
        </w:tc>
        <w:tc>
          <w:tcPr>
            <w:tcW w:w="26" w:type="pct"/>
            <w:shd w:val="clear" w:color="auto" w:fill="auto"/>
          </w:tcPr>
          <w:p w14:paraId="7268FCDC" w14:textId="77777777" w:rsidR="005F762A" w:rsidRDefault="005F762A">
            <w:pPr>
              <w:rPr>
                <w:rFonts w:ascii="宋体"/>
              </w:rPr>
            </w:pPr>
          </w:p>
        </w:tc>
        <w:tc>
          <w:tcPr>
            <w:tcW w:w="5" w:type="pct"/>
            <w:shd w:val="clear" w:color="auto" w:fill="auto"/>
          </w:tcPr>
          <w:p w14:paraId="7268FCDD" w14:textId="77777777" w:rsidR="005F762A" w:rsidRDefault="005F762A">
            <w:pPr>
              <w:rPr>
                <w:rFonts w:ascii="宋体"/>
              </w:rPr>
            </w:pPr>
          </w:p>
        </w:tc>
        <w:tc>
          <w:tcPr>
            <w:tcW w:w="50" w:type="pct"/>
            <w:shd w:val="clear" w:color="auto" w:fill="auto"/>
          </w:tcPr>
          <w:p w14:paraId="7268FCDE" w14:textId="77777777" w:rsidR="005F762A" w:rsidRDefault="005F762A">
            <w:pPr>
              <w:rPr>
                <w:rFonts w:ascii="宋体"/>
              </w:rPr>
            </w:pPr>
          </w:p>
        </w:tc>
        <w:tc>
          <w:tcPr>
            <w:tcW w:w="405" w:type="pct"/>
            <w:shd w:val="clear" w:color="auto" w:fill="auto"/>
          </w:tcPr>
          <w:p w14:paraId="7268FCDF" w14:textId="77777777" w:rsidR="005F762A" w:rsidRDefault="005F762A">
            <w:pPr>
              <w:rPr>
                <w:rFonts w:ascii="宋体"/>
              </w:rPr>
            </w:pPr>
          </w:p>
        </w:tc>
        <w:tc>
          <w:tcPr>
            <w:tcW w:w="5" w:type="pct"/>
            <w:shd w:val="clear" w:color="auto" w:fill="auto"/>
          </w:tcPr>
          <w:p w14:paraId="7268FCE0" w14:textId="77777777" w:rsidR="005F762A" w:rsidRDefault="005F762A">
            <w:pPr>
              <w:rPr>
                <w:rFonts w:ascii="宋体"/>
              </w:rPr>
            </w:pPr>
          </w:p>
        </w:tc>
      </w:tr>
      <w:tr w:rsidR="005F762A" w14:paraId="7268FCEC" w14:textId="77777777">
        <w:trPr>
          <w:jc w:val="center"/>
        </w:trPr>
        <w:tc>
          <w:tcPr>
            <w:tcW w:w="0" w:type="auto"/>
            <w:gridSpan w:val="3"/>
            <w:shd w:val="clear" w:color="auto" w:fill="auto"/>
            <w:tcMar>
              <w:top w:w="40" w:type="dxa"/>
              <w:left w:w="20" w:type="dxa"/>
              <w:bottom w:w="40" w:type="dxa"/>
              <w:right w:w="20" w:type="dxa"/>
            </w:tcMar>
            <w:vAlign w:val="bottom"/>
          </w:tcPr>
          <w:p w14:paraId="7268FCE2"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CE3" w14:textId="77777777" w:rsidR="005F762A" w:rsidRDefault="005F762A">
            <w:pPr>
              <w:rPr>
                <w:rFonts w:ascii="宋体"/>
                <w:vanish/>
              </w:rPr>
            </w:pPr>
          </w:p>
        </w:tc>
        <w:tc>
          <w:tcPr>
            <w:tcW w:w="0" w:type="auto"/>
            <w:shd w:val="clear" w:color="auto" w:fill="auto"/>
            <w:tcMar>
              <w:top w:w="0" w:type="dxa"/>
              <w:left w:w="20" w:type="dxa"/>
              <w:bottom w:w="0" w:type="dxa"/>
              <w:right w:w="20" w:type="dxa"/>
            </w:tcMar>
          </w:tcPr>
          <w:p w14:paraId="7268FCE4" w14:textId="77777777" w:rsidR="005F762A" w:rsidRDefault="005F762A">
            <w:pPr>
              <w:rPr>
                <w:rFonts w:ascii="宋体"/>
              </w:rPr>
            </w:pPr>
          </w:p>
        </w:tc>
        <w:tc>
          <w:tcPr>
            <w:tcW w:w="0" w:type="auto"/>
            <w:gridSpan w:val="7"/>
            <w:shd w:val="clear" w:color="auto" w:fill="auto"/>
            <w:tcMar>
              <w:top w:w="40" w:type="dxa"/>
              <w:left w:w="20" w:type="dxa"/>
              <w:bottom w:w="40" w:type="dxa"/>
              <w:right w:w="20" w:type="dxa"/>
            </w:tcMar>
            <w:vAlign w:val="bottom"/>
          </w:tcPr>
          <w:p w14:paraId="7268FCE5"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w:t>
            </w:r>
          </w:p>
        </w:tc>
        <w:tc>
          <w:tcPr>
            <w:tcW w:w="0" w:type="auto"/>
            <w:shd w:val="clear" w:color="auto" w:fill="auto"/>
          </w:tcPr>
          <w:p w14:paraId="7268FCE6" w14:textId="77777777" w:rsidR="005F762A" w:rsidRDefault="005F762A">
            <w:pPr>
              <w:rPr>
                <w:rFonts w:ascii="宋体"/>
              </w:rPr>
            </w:pPr>
          </w:p>
        </w:tc>
        <w:tc>
          <w:tcPr>
            <w:tcW w:w="0" w:type="auto"/>
            <w:shd w:val="clear" w:color="auto" w:fill="auto"/>
          </w:tcPr>
          <w:p w14:paraId="7268FCE7" w14:textId="77777777" w:rsidR="005F762A" w:rsidRDefault="005F762A">
            <w:pPr>
              <w:rPr>
                <w:rFonts w:ascii="宋体"/>
              </w:rPr>
            </w:pPr>
          </w:p>
        </w:tc>
        <w:tc>
          <w:tcPr>
            <w:tcW w:w="0" w:type="auto"/>
            <w:shd w:val="clear" w:color="auto" w:fill="auto"/>
          </w:tcPr>
          <w:p w14:paraId="7268FCE8" w14:textId="77777777" w:rsidR="005F762A" w:rsidRDefault="005F762A">
            <w:pPr>
              <w:rPr>
                <w:rFonts w:ascii="宋体"/>
              </w:rPr>
            </w:pPr>
          </w:p>
        </w:tc>
        <w:tc>
          <w:tcPr>
            <w:tcW w:w="0" w:type="auto"/>
            <w:shd w:val="clear" w:color="auto" w:fill="auto"/>
          </w:tcPr>
          <w:p w14:paraId="7268FCE9" w14:textId="77777777" w:rsidR="005F762A" w:rsidRDefault="005F762A">
            <w:pPr>
              <w:rPr>
                <w:rFonts w:ascii="宋体"/>
              </w:rPr>
            </w:pPr>
          </w:p>
        </w:tc>
        <w:tc>
          <w:tcPr>
            <w:tcW w:w="0" w:type="auto"/>
            <w:shd w:val="clear" w:color="auto" w:fill="auto"/>
          </w:tcPr>
          <w:p w14:paraId="7268FCEA" w14:textId="77777777" w:rsidR="005F762A" w:rsidRDefault="005F762A">
            <w:pPr>
              <w:rPr>
                <w:rFonts w:ascii="宋体"/>
              </w:rPr>
            </w:pPr>
          </w:p>
        </w:tc>
        <w:tc>
          <w:tcPr>
            <w:tcW w:w="0" w:type="auto"/>
            <w:shd w:val="clear" w:color="auto" w:fill="auto"/>
          </w:tcPr>
          <w:p w14:paraId="7268FCEB" w14:textId="77777777" w:rsidR="005F762A" w:rsidRDefault="005F762A">
            <w:pPr>
              <w:rPr>
                <w:rFonts w:ascii="宋体"/>
              </w:rPr>
            </w:pPr>
          </w:p>
        </w:tc>
      </w:tr>
      <w:tr w:rsidR="005F762A" w14:paraId="7268FCF5" w14:textId="77777777">
        <w:trPr>
          <w:jc w:val="center"/>
        </w:trPr>
        <w:tc>
          <w:tcPr>
            <w:tcW w:w="0" w:type="auto"/>
            <w:gridSpan w:val="3"/>
            <w:shd w:val="clear" w:color="auto" w:fill="auto"/>
            <w:tcMar>
              <w:top w:w="40" w:type="dxa"/>
              <w:left w:w="20" w:type="dxa"/>
              <w:bottom w:w="40" w:type="dxa"/>
              <w:right w:w="20" w:type="dxa"/>
            </w:tcMar>
            <w:vAlign w:val="bottom"/>
          </w:tcPr>
          <w:p w14:paraId="7268FCED" w14:textId="77777777" w:rsidR="005F762A" w:rsidRDefault="00D74111">
            <w:pPr>
              <w:textAlignment w:val="bottom"/>
            </w:pPr>
            <w:r>
              <w:rPr>
                <w:rFonts w:ascii="Arial" w:eastAsia="宋体" w:hAnsi="Arial" w:cs="Arial"/>
                <w:color w:val="000000"/>
                <w:sz w:val="14"/>
                <w:szCs w:val="14"/>
              </w:rPr>
              <w:t> </w:t>
            </w:r>
          </w:p>
        </w:tc>
        <w:tc>
          <w:tcPr>
            <w:tcW w:w="0" w:type="auto"/>
            <w:shd w:val="clear" w:color="auto" w:fill="auto"/>
          </w:tcPr>
          <w:p w14:paraId="7268FCEE" w14:textId="77777777" w:rsidR="005F762A" w:rsidRDefault="005F762A">
            <w:pPr>
              <w:rPr>
                <w:rFonts w:ascii="宋体"/>
                <w:vanish/>
              </w:rPr>
            </w:pPr>
          </w:p>
        </w:tc>
        <w:tc>
          <w:tcPr>
            <w:tcW w:w="0" w:type="auto"/>
            <w:shd w:val="clear" w:color="auto" w:fill="auto"/>
          </w:tcPr>
          <w:p w14:paraId="7268FCEF" w14:textId="77777777" w:rsidR="005F762A" w:rsidRDefault="005F762A">
            <w:pPr>
              <w:rPr>
                <w:rFonts w:ascii="宋体"/>
                <w:vanish/>
              </w:rPr>
            </w:pPr>
          </w:p>
        </w:tc>
        <w:tc>
          <w:tcPr>
            <w:tcW w:w="0" w:type="auto"/>
            <w:shd w:val="clear" w:color="auto" w:fill="auto"/>
          </w:tcPr>
          <w:p w14:paraId="7268FCF0"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CF1"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CF2" w14:textId="77777777" w:rsidR="005F762A" w:rsidRDefault="00D74111">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CF3"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CF4" w14:textId="77777777" w:rsidR="005F762A" w:rsidRDefault="00D74111">
            <w:pPr>
              <w:jc w:val="center"/>
              <w:textAlignment w:val="bottom"/>
            </w:pPr>
            <w:r>
              <w:rPr>
                <w:rFonts w:ascii="Arial" w:eastAsia="宋体" w:hAnsi="Arial" w:cs="Arial"/>
                <w:b/>
                <w:bCs/>
                <w:color w:val="000000"/>
                <w:sz w:val="14"/>
                <w:szCs w:val="14"/>
              </w:rPr>
              <w:t>2020</w:t>
            </w:r>
          </w:p>
        </w:tc>
      </w:tr>
      <w:tr w:rsidR="005F762A" w14:paraId="7268FCFE" w14:textId="77777777">
        <w:trPr>
          <w:jc w:val="center"/>
          <w:hidden/>
        </w:trPr>
        <w:tc>
          <w:tcPr>
            <w:tcW w:w="0" w:type="auto"/>
            <w:gridSpan w:val="3"/>
            <w:shd w:val="clear" w:color="auto" w:fill="auto"/>
          </w:tcPr>
          <w:p w14:paraId="7268FCF6" w14:textId="77777777" w:rsidR="005F762A" w:rsidRDefault="005F762A">
            <w:pPr>
              <w:rPr>
                <w:rFonts w:ascii="宋体"/>
                <w:vanish/>
              </w:rPr>
            </w:pPr>
          </w:p>
        </w:tc>
        <w:tc>
          <w:tcPr>
            <w:tcW w:w="0" w:type="auto"/>
            <w:shd w:val="clear" w:color="auto" w:fill="auto"/>
          </w:tcPr>
          <w:p w14:paraId="7268FCF7" w14:textId="77777777" w:rsidR="005F762A" w:rsidRDefault="005F762A">
            <w:pPr>
              <w:rPr>
                <w:rFonts w:ascii="宋体"/>
                <w:vanish/>
              </w:rPr>
            </w:pPr>
          </w:p>
        </w:tc>
        <w:tc>
          <w:tcPr>
            <w:tcW w:w="0" w:type="auto"/>
            <w:shd w:val="clear" w:color="auto" w:fill="auto"/>
          </w:tcPr>
          <w:p w14:paraId="7268FCF8" w14:textId="77777777" w:rsidR="005F762A" w:rsidRDefault="005F762A">
            <w:pPr>
              <w:rPr>
                <w:rFonts w:ascii="宋体"/>
                <w:vanish/>
              </w:rPr>
            </w:pPr>
          </w:p>
        </w:tc>
        <w:tc>
          <w:tcPr>
            <w:tcW w:w="0" w:type="auto"/>
            <w:shd w:val="clear" w:color="auto" w:fill="auto"/>
          </w:tcPr>
          <w:p w14:paraId="7268FCF9" w14:textId="77777777" w:rsidR="005F762A" w:rsidRDefault="005F762A">
            <w:pPr>
              <w:rPr>
                <w:rFonts w:ascii="宋体"/>
                <w:vanish/>
              </w:rPr>
            </w:pPr>
          </w:p>
        </w:tc>
        <w:tc>
          <w:tcPr>
            <w:tcW w:w="0" w:type="auto"/>
            <w:gridSpan w:val="3"/>
            <w:shd w:val="clear" w:color="auto" w:fill="auto"/>
          </w:tcPr>
          <w:p w14:paraId="7268FCFA" w14:textId="77777777" w:rsidR="005F762A" w:rsidRDefault="005F762A">
            <w:pPr>
              <w:rPr>
                <w:rFonts w:ascii="宋体"/>
                <w:vanish/>
              </w:rPr>
            </w:pPr>
          </w:p>
        </w:tc>
        <w:tc>
          <w:tcPr>
            <w:tcW w:w="0" w:type="auto"/>
            <w:gridSpan w:val="3"/>
            <w:shd w:val="clear" w:color="auto" w:fill="auto"/>
          </w:tcPr>
          <w:p w14:paraId="7268FCFB" w14:textId="77777777" w:rsidR="005F762A" w:rsidRDefault="005F762A">
            <w:pPr>
              <w:rPr>
                <w:rFonts w:ascii="宋体"/>
                <w:vanish/>
              </w:rPr>
            </w:pPr>
          </w:p>
        </w:tc>
        <w:tc>
          <w:tcPr>
            <w:tcW w:w="0" w:type="auto"/>
            <w:gridSpan w:val="3"/>
            <w:shd w:val="clear" w:color="auto" w:fill="auto"/>
          </w:tcPr>
          <w:p w14:paraId="7268FCFC" w14:textId="77777777" w:rsidR="005F762A" w:rsidRDefault="005F762A">
            <w:pPr>
              <w:rPr>
                <w:rFonts w:ascii="宋体"/>
                <w:vanish/>
              </w:rPr>
            </w:pPr>
          </w:p>
        </w:tc>
        <w:tc>
          <w:tcPr>
            <w:tcW w:w="0" w:type="auto"/>
            <w:gridSpan w:val="3"/>
            <w:shd w:val="clear" w:color="auto" w:fill="auto"/>
          </w:tcPr>
          <w:p w14:paraId="7268FCFD" w14:textId="77777777" w:rsidR="005F762A" w:rsidRDefault="005F762A">
            <w:pPr>
              <w:rPr>
                <w:rFonts w:ascii="宋体"/>
                <w:vanish/>
              </w:rPr>
            </w:pPr>
          </w:p>
        </w:tc>
      </w:tr>
      <w:tr w:rsidR="005F762A" w14:paraId="7268FD0B" w14:textId="77777777">
        <w:trPr>
          <w:jc w:val="center"/>
        </w:trPr>
        <w:tc>
          <w:tcPr>
            <w:tcW w:w="0" w:type="auto"/>
            <w:gridSpan w:val="3"/>
            <w:shd w:val="clear" w:color="auto" w:fill="E2E2E2"/>
            <w:tcMar>
              <w:top w:w="40" w:type="dxa"/>
              <w:left w:w="20" w:type="dxa"/>
              <w:bottom w:w="40" w:type="dxa"/>
              <w:right w:w="20" w:type="dxa"/>
            </w:tcMar>
            <w:vAlign w:val="bottom"/>
          </w:tcPr>
          <w:p w14:paraId="7268FCFF" w14:textId="77777777" w:rsidR="005F762A" w:rsidRDefault="00D74111">
            <w:pPr>
              <w:textAlignment w:val="bottom"/>
            </w:pPr>
            <w:r>
              <w:rPr>
                <w:rFonts w:ascii="Arial" w:eastAsia="宋体" w:hAnsi="Arial" w:cs="Arial"/>
                <w:color w:val="000000"/>
                <w:sz w:val="16"/>
                <w:szCs w:val="16"/>
              </w:rPr>
              <w:t>Income tax provision</w:t>
            </w:r>
          </w:p>
        </w:tc>
        <w:tc>
          <w:tcPr>
            <w:tcW w:w="0" w:type="auto"/>
            <w:shd w:val="clear" w:color="auto" w:fill="auto"/>
          </w:tcPr>
          <w:p w14:paraId="7268FD00" w14:textId="77777777" w:rsidR="005F762A" w:rsidRDefault="005F762A">
            <w:pPr>
              <w:rPr>
                <w:rFonts w:ascii="宋体"/>
                <w:vanish/>
              </w:rPr>
            </w:pPr>
          </w:p>
        </w:tc>
        <w:tc>
          <w:tcPr>
            <w:tcW w:w="0" w:type="auto"/>
            <w:shd w:val="clear" w:color="auto" w:fill="auto"/>
          </w:tcPr>
          <w:p w14:paraId="7268FD01" w14:textId="77777777" w:rsidR="005F762A" w:rsidRDefault="005F762A">
            <w:pPr>
              <w:rPr>
                <w:rFonts w:ascii="宋体"/>
                <w:vanish/>
              </w:rPr>
            </w:pPr>
          </w:p>
        </w:tc>
        <w:tc>
          <w:tcPr>
            <w:tcW w:w="0" w:type="auto"/>
            <w:shd w:val="clear" w:color="auto" w:fill="auto"/>
          </w:tcPr>
          <w:p w14:paraId="7268FD02" w14:textId="77777777" w:rsidR="005F762A" w:rsidRDefault="005F762A">
            <w:pPr>
              <w:rPr>
                <w:rFonts w:ascii="宋体"/>
                <w:vanish/>
              </w:rPr>
            </w:pPr>
          </w:p>
        </w:tc>
        <w:tc>
          <w:tcPr>
            <w:tcW w:w="0" w:type="auto"/>
            <w:gridSpan w:val="3"/>
            <w:shd w:val="clear" w:color="auto" w:fill="E2E2E2"/>
            <w:tcMar>
              <w:top w:w="0" w:type="dxa"/>
              <w:left w:w="20" w:type="dxa"/>
              <w:bottom w:w="0" w:type="dxa"/>
              <w:right w:w="20" w:type="dxa"/>
            </w:tcMar>
          </w:tcPr>
          <w:p w14:paraId="7268FD03"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D04"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D05" w14:textId="77777777" w:rsidR="005F762A" w:rsidRDefault="00D74111">
            <w:pPr>
              <w:jc w:val="right"/>
              <w:textAlignment w:val="bottom"/>
            </w:pPr>
            <w:r>
              <w:rPr>
                <w:rFonts w:ascii="Arial" w:eastAsia="宋体" w:hAnsi="Arial" w:cs="Arial"/>
                <w:color w:val="000000"/>
                <w:sz w:val="16"/>
                <w:szCs w:val="16"/>
              </w:rPr>
              <w:t>156 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D0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D0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D08"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D09" w14:textId="77777777" w:rsidR="005F762A" w:rsidRDefault="00D74111">
            <w:pPr>
              <w:jc w:val="right"/>
              <w:textAlignment w:val="bottom"/>
            </w:pPr>
            <w:r>
              <w:rPr>
                <w:rFonts w:ascii="Arial" w:eastAsia="宋体" w:hAnsi="Arial" w:cs="Arial"/>
                <w:color w:val="000000"/>
                <w:sz w:val="16"/>
                <w:szCs w:val="16"/>
              </w:rPr>
              <w:t>135 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D0A" w14:textId="77777777" w:rsidR="005F762A" w:rsidRDefault="005F762A">
            <w:pPr>
              <w:jc w:val="right"/>
              <w:rPr>
                <w:rFonts w:ascii="宋体"/>
              </w:rPr>
            </w:pPr>
          </w:p>
        </w:tc>
      </w:tr>
      <w:tr w:rsidR="005F762A" w14:paraId="7268FD16" w14:textId="77777777">
        <w:trPr>
          <w:jc w:val="center"/>
        </w:trPr>
        <w:tc>
          <w:tcPr>
            <w:tcW w:w="0" w:type="auto"/>
            <w:gridSpan w:val="3"/>
            <w:shd w:val="clear" w:color="auto" w:fill="auto"/>
            <w:tcMar>
              <w:top w:w="40" w:type="dxa"/>
              <w:left w:w="155" w:type="dxa"/>
              <w:bottom w:w="40" w:type="dxa"/>
              <w:right w:w="20" w:type="dxa"/>
            </w:tcMar>
            <w:vAlign w:val="bottom"/>
          </w:tcPr>
          <w:p w14:paraId="7268FD0C" w14:textId="77777777" w:rsidR="005F762A" w:rsidRDefault="00D74111">
            <w:pPr>
              <w:textAlignment w:val="bottom"/>
            </w:pPr>
            <w:r>
              <w:rPr>
                <w:rFonts w:ascii="Arial" w:eastAsia="宋体" w:hAnsi="Arial" w:cs="Arial"/>
                <w:i/>
                <w:iCs/>
                <w:color w:val="000000"/>
                <w:sz w:val="16"/>
                <w:szCs w:val="16"/>
              </w:rPr>
              <w:t>Ef</w:t>
            </w:r>
            <w:r>
              <w:rPr>
                <w:rFonts w:ascii="Arial" w:eastAsia="宋体" w:hAnsi="Arial" w:cs="Arial"/>
                <w:i/>
                <w:iCs/>
                <w:color w:val="000000"/>
                <w:sz w:val="16"/>
                <w:szCs w:val="16"/>
              </w:rPr>
              <w:t>fective tax rate</w:t>
            </w:r>
          </w:p>
        </w:tc>
        <w:tc>
          <w:tcPr>
            <w:tcW w:w="0" w:type="auto"/>
            <w:shd w:val="clear" w:color="auto" w:fill="auto"/>
          </w:tcPr>
          <w:p w14:paraId="7268FD0D" w14:textId="77777777" w:rsidR="005F762A" w:rsidRDefault="005F762A">
            <w:pPr>
              <w:rPr>
                <w:rFonts w:ascii="宋体"/>
                <w:vanish/>
              </w:rPr>
            </w:pPr>
          </w:p>
        </w:tc>
        <w:tc>
          <w:tcPr>
            <w:tcW w:w="0" w:type="auto"/>
            <w:shd w:val="clear" w:color="auto" w:fill="auto"/>
          </w:tcPr>
          <w:p w14:paraId="7268FD0E" w14:textId="77777777" w:rsidR="005F762A" w:rsidRDefault="005F762A">
            <w:pPr>
              <w:rPr>
                <w:rFonts w:ascii="宋体"/>
                <w:vanish/>
              </w:rPr>
            </w:pPr>
          </w:p>
        </w:tc>
        <w:tc>
          <w:tcPr>
            <w:tcW w:w="0" w:type="auto"/>
            <w:shd w:val="clear" w:color="auto" w:fill="auto"/>
          </w:tcPr>
          <w:p w14:paraId="7268FD0F" w14:textId="77777777" w:rsidR="005F762A" w:rsidRDefault="005F762A">
            <w:pPr>
              <w:rPr>
                <w:rFonts w:ascii="宋体"/>
                <w:vanish/>
              </w:rPr>
            </w:pPr>
          </w:p>
        </w:tc>
        <w:tc>
          <w:tcPr>
            <w:tcW w:w="0" w:type="auto"/>
            <w:gridSpan w:val="3"/>
            <w:shd w:val="clear" w:color="auto" w:fill="auto"/>
            <w:tcMar>
              <w:top w:w="0" w:type="dxa"/>
              <w:left w:w="20" w:type="dxa"/>
              <w:bottom w:w="0" w:type="dxa"/>
              <w:right w:w="20" w:type="dxa"/>
            </w:tcMar>
          </w:tcPr>
          <w:p w14:paraId="7268FD10" w14:textId="77777777" w:rsidR="005F762A" w:rsidRDefault="005F762A">
            <w:pPr>
              <w:rPr>
                <w:rFonts w:ascii="宋体"/>
              </w:rPr>
            </w:pPr>
          </w:p>
        </w:tc>
        <w:tc>
          <w:tcPr>
            <w:tcW w:w="0" w:type="auto"/>
            <w:gridSpan w:val="2"/>
            <w:shd w:val="clear" w:color="auto" w:fill="auto"/>
            <w:tcMar>
              <w:top w:w="40" w:type="dxa"/>
              <w:left w:w="20" w:type="dxa"/>
              <w:bottom w:w="40" w:type="dxa"/>
              <w:right w:w="0" w:type="dxa"/>
            </w:tcMar>
            <w:vAlign w:val="bottom"/>
          </w:tcPr>
          <w:p w14:paraId="7268FD11" w14:textId="77777777" w:rsidR="005F762A" w:rsidRDefault="00D74111">
            <w:pPr>
              <w:jc w:val="right"/>
              <w:textAlignment w:val="bottom"/>
            </w:pPr>
            <w:r>
              <w:rPr>
                <w:rFonts w:ascii="Arial" w:eastAsia="宋体" w:hAnsi="Arial" w:cs="Arial"/>
                <w:i/>
                <w:iCs/>
                <w:color w:val="000000"/>
                <w:sz w:val="16"/>
                <w:szCs w:val="16"/>
              </w:rPr>
              <w:t>21.5 </w:t>
            </w:r>
          </w:p>
        </w:tc>
        <w:tc>
          <w:tcPr>
            <w:tcW w:w="0" w:type="auto"/>
            <w:shd w:val="clear" w:color="auto" w:fill="auto"/>
            <w:tcMar>
              <w:top w:w="40" w:type="dxa"/>
              <w:left w:w="0" w:type="dxa"/>
              <w:bottom w:w="40" w:type="dxa"/>
              <w:right w:w="20" w:type="dxa"/>
            </w:tcMar>
            <w:vAlign w:val="bottom"/>
          </w:tcPr>
          <w:p w14:paraId="7268FD12" w14:textId="77777777" w:rsidR="005F762A" w:rsidRDefault="00D74111">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40" w:type="dxa"/>
              <w:left w:w="20" w:type="dxa"/>
              <w:bottom w:w="40" w:type="dxa"/>
              <w:right w:w="20" w:type="dxa"/>
            </w:tcMar>
            <w:vAlign w:val="bottom"/>
          </w:tcPr>
          <w:p w14:paraId="7268FD13" w14:textId="77777777" w:rsidR="005F762A" w:rsidRDefault="00D74111">
            <w:pPr>
              <w:textAlignment w:val="bottom"/>
            </w:pPr>
            <w:r>
              <w:rPr>
                <w:rFonts w:ascii="Arial" w:eastAsia="宋体" w:hAnsi="Arial" w:cs="Arial"/>
                <w:i/>
                <w:iCs/>
                <w:color w:val="000000"/>
                <w:sz w:val="16"/>
                <w:szCs w:val="16"/>
              </w:rPr>
              <w:t>  </w:t>
            </w:r>
          </w:p>
        </w:tc>
        <w:tc>
          <w:tcPr>
            <w:tcW w:w="0" w:type="auto"/>
            <w:gridSpan w:val="2"/>
            <w:shd w:val="clear" w:color="auto" w:fill="auto"/>
            <w:tcMar>
              <w:top w:w="40" w:type="dxa"/>
              <w:left w:w="20" w:type="dxa"/>
              <w:bottom w:w="40" w:type="dxa"/>
              <w:right w:w="0" w:type="dxa"/>
            </w:tcMar>
            <w:vAlign w:val="bottom"/>
          </w:tcPr>
          <w:p w14:paraId="7268FD14" w14:textId="77777777" w:rsidR="005F762A" w:rsidRDefault="00D74111">
            <w:pPr>
              <w:jc w:val="right"/>
              <w:textAlignment w:val="bottom"/>
            </w:pPr>
            <w:r>
              <w:rPr>
                <w:rFonts w:ascii="Arial" w:eastAsia="宋体" w:hAnsi="Arial" w:cs="Arial"/>
                <w:i/>
                <w:iCs/>
                <w:color w:val="000000"/>
                <w:sz w:val="16"/>
                <w:szCs w:val="16"/>
              </w:rPr>
              <w:t>23.8 </w:t>
            </w:r>
          </w:p>
        </w:tc>
        <w:tc>
          <w:tcPr>
            <w:tcW w:w="0" w:type="auto"/>
            <w:shd w:val="clear" w:color="auto" w:fill="auto"/>
            <w:tcMar>
              <w:top w:w="40" w:type="dxa"/>
              <w:left w:w="0" w:type="dxa"/>
              <w:bottom w:w="40" w:type="dxa"/>
              <w:right w:w="20" w:type="dxa"/>
            </w:tcMar>
            <w:vAlign w:val="bottom"/>
          </w:tcPr>
          <w:p w14:paraId="7268FD15" w14:textId="77777777" w:rsidR="005F762A" w:rsidRDefault="00D74111">
            <w:pPr>
              <w:jc w:val="right"/>
              <w:textAlignment w:val="bottom"/>
            </w:pPr>
            <w:r>
              <w:rPr>
                <w:rFonts w:ascii="Arial" w:eastAsia="宋体" w:hAnsi="Arial" w:cs="Arial"/>
                <w:i/>
                <w:iCs/>
                <w:color w:val="000000"/>
                <w:sz w:val="16"/>
                <w:szCs w:val="16"/>
              </w:rPr>
              <w:t>%</w:t>
            </w:r>
          </w:p>
        </w:tc>
      </w:tr>
    </w:tbl>
    <w:p w14:paraId="7268FD17" w14:textId="77777777" w:rsidR="005F762A" w:rsidRDefault="005F762A">
      <w:pPr>
        <w:ind w:firstLine="540"/>
      </w:pPr>
    </w:p>
    <w:p w14:paraId="7268FD18" w14:textId="77777777" w:rsidR="005F762A" w:rsidRDefault="00D74111">
      <w:pPr>
        <w:ind w:firstLine="540"/>
        <w:jc w:val="both"/>
      </w:pPr>
      <w:r>
        <w:rPr>
          <w:rFonts w:ascii="Arial" w:eastAsia="宋体" w:hAnsi="Arial" w:cs="Arial"/>
          <w:color w:val="000000"/>
          <w:sz w:val="20"/>
          <w:szCs w:val="20"/>
        </w:rPr>
        <w:t>The decrease in our effective tax rate for the three months ended March 31, 2021 compared to the same period in 2020 was primarily due an increased tax benefit from stock-based compensation.</w:t>
      </w:r>
    </w:p>
    <w:p w14:paraId="7268FD19" w14:textId="77777777" w:rsidR="005F762A" w:rsidRDefault="005F762A">
      <w:pPr>
        <w:ind w:firstLine="540"/>
        <w:jc w:val="both"/>
      </w:pPr>
    </w:p>
    <w:p w14:paraId="7268FD1A" w14:textId="77777777" w:rsidR="005F762A" w:rsidRDefault="00D74111">
      <w:pPr>
        <w:ind w:firstLine="540"/>
        <w:jc w:val="both"/>
      </w:pPr>
      <w:r>
        <w:rPr>
          <w:rFonts w:ascii="Arial" w:eastAsia="宋体" w:hAnsi="Arial" w:cs="Arial"/>
          <w:color w:val="000000"/>
          <w:sz w:val="20"/>
          <w:szCs w:val="20"/>
        </w:rPr>
        <w:t xml:space="preserve">We are </w:t>
      </w:r>
      <w:r>
        <w:rPr>
          <w:rFonts w:ascii="Arial" w:eastAsia="宋体" w:hAnsi="Arial" w:cs="Arial"/>
          <w:color w:val="000000"/>
          <w:sz w:val="20"/>
          <w:szCs w:val="20"/>
        </w:rPr>
        <w:t>regularly under examination by tax authorities both domestically and internationally. We believe that adequate amounts have been reserved for any adjustments that may ultimately result from these examinations, although we cannot assure you that this will b</w:t>
      </w:r>
      <w:r>
        <w:rPr>
          <w:rFonts w:ascii="Arial" w:eastAsia="宋体" w:hAnsi="Arial" w:cs="Arial"/>
          <w:color w:val="000000"/>
          <w:sz w:val="20"/>
          <w:szCs w:val="20"/>
        </w:rPr>
        <w:t>e the case given the inherent uncertainties in these examinations. Due to the ongoing tax examinations, we believe it is impractical to determine the amount and timing of these adjustments.</w:t>
      </w:r>
    </w:p>
    <w:p w14:paraId="7268FD1B" w14:textId="77777777" w:rsidR="005F762A" w:rsidRDefault="005F762A"/>
    <w:p w14:paraId="7268FD1C" w14:textId="77777777" w:rsidR="005F762A" w:rsidRDefault="00D74111">
      <w:r>
        <w:rPr>
          <w:rFonts w:ascii="Arial" w:eastAsia="宋体" w:hAnsi="Arial" w:cs="Arial"/>
          <w:b/>
          <w:bCs/>
          <w:i/>
          <w:iCs/>
          <w:color w:val="000000"/>
          <w:sz w:val="20"/>
          <w:szCs w:val="20"/>
        </w:rPr>
        <w:t xml:space="preserve">Discontinued Operations </w:t>
      </w:r>
    </w:p>
    <w:p w14:paraId="7268FD1D" w14:textId="77777777" w:rsidR="005F762A" w:rsidRDefault="005F762A"/>
    <w:p w14:paraId="7268FD1E" w14:textId="77777777" w:rsidR="005F762A" w:rsidRDefault="00D74111">
      <w:pPr>
        <w:ind w:firstLine="540"/>
        <w:jc w:val="both"/>
      </w:pPr>
      <w:r>
        <w:rPr>
          <w:rFonts w:ascii="Arial" w:eastAsia="宋体" w:hAnsi="Arial" w:cs="Arial"/>
          <w:color w:val="000000"/>
          <w:sz w:val="20"/>
          <w:szCs w:val="20"/>
        </w:rPr>
        <w:t>On July 20, 2020, we entered into a def</w:t>
      </w:r>
      <w:r>
        <w:rPr>
          <w:rFonts w:ascii="Arial" w:eastAsia="宋体" w:hAnsi="Arial" w:cs="Arial"/>
          <w:color w:val="000000"/>
          <w:sz w:val="20"/>
          <w:szCs w:val="20"/>
        </w:rPr>
        <w:t>initive agreement with Adevinta ASA (“Adevinta”) to transfer our Classifieds business to Adevinta for $2.5 billion in cash, subject to certain adjustments, and approximately 540 million shares in Adevinta. Together, the total consideration payable under th</w:t>
      </w:r>
      <w:r>
        <w:rPr>
          <w:rFonts w:ascii="Arial" w:eastAsia="宋体" w:hAnsi="Arial" w:cs="Arial"/>
          <w:color w:val="000000"/>
          <w:sz w:val="20"/>
          <w:szCs w:val="20"/>
        </w:rPr>
        <w:t>e definitive agreement is valued at approximately $9.2 billion, based on the closing trading price of Adevinta’s outstanding shares on the Oslo Stock Exchange on July 17, 2020. We believe the transaction will close in the second quarter of 2021. Completion</w:t>
      </w:r>
      <w:r>
        <w:rPr>
          <w:rFonts w:ascii="Arial" w:eastAsia="宋体" w:hAnsi="Arial" w:cs="Arial"/>
          <w:color w:val="000000"/>
          <w:sz w:val="20"/>
          <w:szCs w:val="20"/>
        </w:rPr>
        <w:t xml:space="preserve"> of the transaction is subject to certain conditions, including receipt of certain regulatory approvals and other customary closing conditions. As a result, we have classified the results of our Classifieds business as discontinued operations in our conden</w:t>
      </w:r>
      <w:r>
        <w:rPr>
          <w:rFonts w:ascii="Arial" w:eastAsia="宋体" w:hAnsi="Arial" w:cs="Arial"/>
          <w:color w:val="000000"/>
          <w:sz w:val="20"/>
          <w:szCs w:val="20"/>
        </w:rPr>
        <w:t>sed consolidated statement of income for the periods presented. Additionally, the related assets and liabilities associated with the discontinued operations are classified as held for sale in our condensed consolidated balance sheet. See “Note 3 – Disconti</w:t>
      </w:r>
      <w:r>
        <w:rPr>
          <w:rFonts w:ascii="Arial" w:eastAsia="宋体" w:hAnsi="Arial" w:cs="Arial"/>
          <w:color w:val="000000"/>
          <w:sz w:val="20"/>
          <w:szCs w:val="20"/>
        </w:rPr>
        <w:t xml:space="preserve">nued Operations” in our condensed consolidated financial statements included elsewhere in this report for additional information. </w:t>
      </w:r>
    </w:p>
    <w:p w14:paraId="7268FD1F" w14:textId="77777777" w:rsidR="005F762A" w:rsidRDefault="005F762A">
      <w:pPr>
        <w:ind w:firstLine="540"/>
        <w:jc w:val="both"/>
      </w:pPr>
    </w:p>
    <w:p w14:paraId="7268FD20" w14:textId="77777777" w:rsidR="005F762A" w:rsidRDefault="00D74111">
      <w:r>
        <w:rPr>
          <w:rFonts w:ascii="Arial" w:eastAsia="宋体" w:hAnsi="Arial" w:cs="Arial"/>
          <w:b/>
          <w:bCs/>
          <w:i/>
          <w:iCs/>
          <w:color w:val="000000"/>
          <w:sz w:val="20"/>
          <w:szCs w:val="20"/>
        </w:rPr>
        <w:t>Non-GAAP Measures of Financial Performance</w:t>
      </w:r>
    </w:p>
    <w:p w14:paraId="7268FD21" w14:textId="77777777" w:rsidR="005F762A" w:rsidRDefault="005F762A">
      <w:pPr>
        <w:jc w:val="both"/>
      </w:pPr>
    </w:p>
    <w:p w14:paraId="7268FD22" w14:textId="77777777" w:rsidR="005F762A" w:rsidRDefault="00D74111">
      <w:pPr>
        <w:ind w:firstLine="540"/>
        <w:jc w:val="both"/>
      </w:pPr>
      <w:r>
        <w:rPr>
          <w:rFonts w:ascii="Arial" w:eastAsia="宋体" w:hAnsi="Arial" w:cs="Arial"/>
          <w:color w:val="000000"/>
          <w:sz w:val="20"/>
          <w:szCs w:val="20"/>
        </w:rPr>
        <w:t>To supplement our condensed consolidated financial statements presented in accor</w:t>
      </w:r>
      <w:r>
        <w:rPr>
          <w:rFonts w:ascii="Arial" w:eastAsia="宋体" w:hAnsi="Arial" w:cs="Arial"/>
          <w:color w:val="000000"/>
          <w:sz w:val="20"/>
          <w:szCs w:val="20"/>
        </w:rPr>
        <w:t>dance with generally accepted accounting principles, we use FX-Neutral net revenues, which are non-GAAP financial measures. Management uses the foregoing non-GAAP measures in reviewing our financial results. We define FX-Neutral net revenues as net revenue</w:t>
      </w:r>
      <w:r>
        <w:rPr>
          <w:rFonts w:ascii="Arial" w:eastAsia="宋体" w:hAnsi="Arial" w:cs="Arial"/>
          <w:color w:val="000000"/>
          <w:sz w:val="20"/>
          <w:szCs w:val="20"/>
        </w:rPr>
        <w:t>s minus the exchange rate effect. We define exchange rate effect as the year-over-year impact of foreign currency movements using prior period foreign currency rates applied to current year transactional currency amounts, excluding hedging activity.</w:t>
      </w:r>
    </w:p>
    <w:p w14:paraId="7268FD23" w14:textId="77777777" w:rsidR="005F762A" w:rsidRDefault="005F762A">
      <w:pPr>
        <w:ind w:firstLine="540"/>
        <w:jc w:val="both"/>
      </w:pPr>
    </w:p>
    <w:p w14:paraId="7268FD24" w14:textId="77777777" w:rsidR="005F762A" w:rsidRDefault="00D74111">
      <w:pPr>
        <w:ind w:firstLine="540"/>
        <w:jc w:val="both"/>
      </w:pPr>
      <w:r>
        <w:rPr>
          <w:rFonts w:ascii="Arial" w:eastAsia="宋体" w:hAnsi="Arial" w:cs="Arial"/>
          <w:color w:val="000000"/>
          <w:sz w:val="20"/>
          <w:szCs w:val="20"/>
        </w:rPr>
        <w:t>These</w:t>
      </w:r>
      <w:r>
        <w:rPr>
          <w:rFonts w:ascii="Arial" w:eastAsia="宋体" w:hAnsi="Arial" w:cs="Arial"/>
          <w:color w:val="000000"/>
          <w:sz w:val="20"/>
          <w:szCs w:val="20"/>
        </w:rPr>
        <w:t xml:space="preserve"> non-GAAP measures are not in accordance with, or an alternative to, measures prepared in accordance with GAAP and may be different from non-GAAP measures used by other companies. In addition, these non-GAAP measures are not based on any comprehensive set </w:t>
      </w:r>
      <w:r>
        <w:rPr>
          <w:rFonts w:ascii="Arial" w:eastAsia="宋体" w:hAnsi="Arial" w:cs="Arial"/>
          <w:color w:val="000000"/>
          <w:sz w:val="20"/>
          <w:szCs w:val="20"/>
        </w:rPr>
        <w:t>of accounting rules or principles. Non-GAAP measures have limitations in that they do not reflect all of the amounts associated with our results of operations as determined in accordance with GAAP. These measures should only be used to evaluate our results</w:t>
      </w:r>
      <w:r>
        <w:rPr>
          <w:rFonts w:ascii="Arial" w:eastAsia="宋体" w:hAnsi="Arial" w:cs="Arial"/>
          <w:color w:val="000000"/>
          <w:sz w:val="20"/>
          <w:szCs w:val="20"/>
        </w:rPr>
        <w:t xml:space="preserve"> of operations in conjunction with the corresponding GAAP measures. </w:t>
      </w:r>
    </w:p>
    <w:p w14:paraId="7268FD25" w14:textId="77777777" w:rsidR="005F762A" w:rsidRDefault="005F762A">
      <w:pPr>
        <w:ind w:firstLine="540"/>
        <w:jc w:val="both"/>
      </w:pPr>
    </w:p>
    <w:p w14:paraId="7268FD26" w14:textId="77777777" w:rsidR="005F762A" w:rsidRDefault="00D74111">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 believe these non</w:t>
      </w:r>
      <w:r>
        <w:rPr>
          <w:rFonts w:ascii="Arial" w:eastAsia="宋体" w:hAnsi="Arial" w:cs="Arial"/>
          <w:color w:val="000000"/>
          <w:sz w:val="20"/>
          <w:szCs w:val="20"/>
        </w:rPr>
        <w:t>-GAAP measures provide useful information to both management and investors by excluding the foreign currency exchange rate impact that may not be indicative of our core operating results and business outlook. In addition, because we have historically repor</w:t>
      </w:r>
      <w:r>
        <w:rPr>
          <w:rFonts w:ascii="Arial" w:eastAsia="宋体" w:hAnsi="Arial" w:cs="Arial"/>
          <w:color w:val="000000"/>
          <w:sz w:val="20"/>
          <w:szCs w:val="20"/>
        </w:rPr>
        <w:t xml:space="preserve">ted certain non-GAAP results to investors, we believe that the inclusion of these non-GAAP measures provide consistency in our financial reporting. </w:t>
      </w:r>
    </w:p>
    <w:p w14:paraId="7268FD27" w14:textId="77777777" w:rsidR="005F762A" w:rsidRDefault="005F762A">
      <w:pPr>
        <w:ind w:firstLine="540"/>
        <w:jc w:val="both"/>
      </w:pPr>
    </w:p>
    <w:p w14:paraId="7268FD28" w14:textId="77777777" w:rsidR="005F762A" w:rsidRDefault="005F762A">
      <w:pPr>
        <w:jc w:val="center"/>
      </w:pPr>
    </w:p>
    <w:p w14:paraId="7268FD29" w14:textId="77777777" w:rsidR="005F762A" w:rsidRDefault="00D74111">
      <w:pPr>
        <w:jc w:val="center"/>
      </w:pPr>
      <w:r>
        <w:rPr>
          <w:rFonts w:ascii="Arial" w:eastAsia="宋体" w:hAnsi="Arial" w:cs="Arial"/>
          <w:color w:val="000000"/>
          <w:sz w:val="20"/>
          <w:szCs w:val="20"/>
        </w:rPr>
        <w:t>37</w:t>
      </w:r>
    </w:p>
    <w:p w14:paraId="7268FD2A" w14:textId="77777777" w:rsidR="005F762A" w:rsidRDefault="00D74111">
      <w:r>
        <w:pict w14:anchorId="72690164">
          <v:rect id="_x0000_i1061" style="width:415.3pt;height:1.5pt" o:hralign="center" o:hrstd="t" o:hr="t" fillcolor="#a0a0a0" stroked="f"/>
        </w:pict>
      </w:r>
    </w:p>
    <w:p w14:paraId="7268FD2B" w14:textId="77777777" w:rsidR="005F762A" w:rsidRDefault="005F762A"/>
    <w:p w14:paraId="7268FD2C" w14:textId="77777777" w:rsidR="005F762A" w:rsidRDefault="00D74111">
      <w:pPr>
        <w:ind w:firstLine="540"/>
        <w:jc w:val="both"/>
      </w:pPr>
      <w:r>
        <w:rPr>
          <w:rFonts w:ascii="Arial" w:eastAsia="宋体" w:hAnsi="Arial" w:cs="Arial"/>
          <w:color w:val="000000"/>
          <w:sz w:val="20"/>
          <w:szCs w:val="20"/>
        </w:rPr>
        <w:t>The following tables set forth a reconciliation of FX-Neutral GMV and FX-Neutral net revenues (each</w:t>
      </w:r>
      <w:r>
        <w:rPr>
          <w:rFonts w:ascii="Arial" w:eastAsia="宋体" w:hAnsi="Arial" w:cs="Arial"/>
          <w:color w:val="000000"/>
          <w:sz w:val="20"/>
          <w:szCs w:val="20"/>
        </w:rPr>
        <w:t xml:space="preserve"> as defined below) to our reported GMV and net revenues for the periods presented (in millions, except percentages):</w:t>
      </w:r>
    </w:p>
    <w:p w14:paraId="7268FD2D" w14:textId="77777777" w:rsidR="005F762A" w:rsidRDefault="005F762A">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46"/>
        <w:gridCol w:w="1773"/>
        <w:gridCol w:w="38"/>
        <w:gridCol w:w="109"/>
        <w:gridCol w:w="744"/>
        <w:gridCol w:w="36"/>
        <w:gridCol w:w="36"/>
        <w:gridCol w:w="36"/>
        <w:gridCol w:w="36"/>
        <w:gridCol w:w="110"/>
        <w:gridCol w:w="779"/>
        <w:gridCol w:w="36"/>
        <w:gridCol w:w="36"/>
        <w:gridCol w:w="36"/>
        <w:gridCol w:w="36"/>
        <w:gridCol w:w="110"/>
        <w:gridCol w:w="780"/>
        <w:gridCol w:w="36"/>
        <w:gridCol w:w="36"/>
        <w:gridCol w:w="36"/>
        <w:gridCol w:w="36"/>
        <w:gridCol w:w="109"/>
        <w:gridCol w:w="1085"/>
        <w:gridCol w:w="36"/>
        <w:gridCol w:w="36"/>
        <w:gridCol w:w="36"/>
        <w:gridCol w:w="36"/>
        <w:gridCol w:w="70"/>
        <w:gridCol w:w="742"/>
        <w:gridCol w:w="163"/>
        <w:gridCol w:w="36"/>
        <w:gridCol w:w="36"/>
        <w:gridCol w:w="36"/>
        <w:gridCol w:w="64"/>
        <w:gridCol w:w="742"/>
        <w:gridCol w:w="163"/>
      </w:tblGrid>
      <w:tr w:rsidR="005F762A" w14:paraId="7268FD52" w14:textId="77777777">
        <w:tc>
          <w:tcPr>
            <w:tcW w:w="50" w:type="pct"/>
            <w:shd w:val="clear" w:color="auto" w:fill="auto"/>
          </w:tcPr>
          <w:p w14:paraId="7268FD2E" w14:textId="77777777" w:rsidR="005F762A" w:rsidRDefault="005F762A">
            <w:pPr>
              <w:rPr>
                <w:rFonts w:ascii="宋体"/>
              </w:rPr>
            </w:pPr>
          </w:p>
        </w:tc>
        <w:tc>
          <w:tcPr>
            <w:tcW w:w="1110" w:type="pct"/>
            <w:shd w:val="clear" w:color="auto" w:fill="auto"/>
          </w:tcPr>
          <w:p w14:paraId="7268FD2F" w14:textId="77777777" w:rsidR="005F762A" w:rsidRDefault="005F762A">
            <w:pPr>
              <w:rPr>
                <w:rFonts w:ascii="宋体"/>
              </w:rPr>
            </w:pPr>
          </w:p>
        </w:tc>
        <w:tc>
          <w:tcPr>
            <w:tcW w:w="5" w:type="pct"/>
            <w:shd w:val="clear" w:color="auto" w:fill="auto"/>
          </w:tcPr>
          <w:p w14:paraId="7268FD30" w14:textId="77777777" w:rsidR="005F762A" w:rsidRDefault="005F762A">
            <w:pPr>
              <w:rPr>
                <w:rFonts w:ascii="宋体"/>
              </w:rPr>
            </w:pPr>
          </w:p>
        </w:tc>
        <w:tc>
          <w:tcPr>
            <w:tcW w:w="50" w:type="pct"/>
            <w:shd w:val="clear" w:color="auto" w:fill="auto"/>
          </w:tcPr>
          <w:p w14:paraId="7268FD31" w14:textId="77777777" w:rsidR="005F762A" w:rsidRDefault="005F762A">
            <w:pPr>
              <w:rPr>
                <w:rFonts w:ascii="宋体"/>
              </w:rPr>
            </w:pPr>
          </w:p>
        </w:tc>
        <w:tc>
          <w:tcPr>
            <w:tcW w:w="480" w:type="pct"/>
            <w:shd w:val="clear" w:color="auto" w:fill="auto"/>
          </w:tcPr>
          <w:p w14:paraId="7268FD32" w14:textId="77777777" w:rsidR="005F762A" w:rsidRDefault="005F762A">
            <w:pPr>
              <w:rPr>
                <w:rFonts w:ascii="宋体"/>
              </w:rPr>
            </w:pPr>
          </w:p>
        </w:tc>
        <w:tc>
          <w:tcPr>
            <w:tcW w:w="5" w:type="pct"/>
            <w:shd w:val="clear" w:color="auto" w:fill="auto"/>
          </w:tcPr>
          <w:p w14:paraId="7268FD33" w14:textId="77777777" w:rsidR="005F762A" w:rsidRDefault="005F762A">
            <w:pPr>
              <w:rPr>
                <w:rFonts w:ascii="宋体"/>
              </w:rPr>
            </w:pPr>
          </w:p>
        </w:tc>
        <w:tc>
          <w:tcPr>
            <w:tcW w:w="5" w:type="pct"/>
            <w:shd w:val="clear" w:color="auto" w:fill="auto"/>
          </w:tcPr>
          <w:p w14:paraId="7268FD34" w14:textId="77777777" w:rsidR="005F762A" w:rsidRDefault="005F762A">
            <w:pPr>
              <w:rPr>
                <w:rFonts w:ascii="宋体"/>
              </w:rPr>
            </w:pPr>
          </w:p>
        </w:tc>
        <w:tc>
          <w:tcPr>
            <w:tcW w:w="26" w:type="pct"/>
            <w:shd w:val="clear" w:color="auto" w:fill="auto"/>
          </w:tcPr>
          <w:p w14:paraId="7268FD35" w14:textId="77777777" w:rsidR="005F762A" w:rsidRDefault="005F762A">
            <w:pPr>
              <w:rPr>
                <w:rFonts w:ascii="宋体"/>
              </w:rPr>
            </w:pPr>
          </w:p>
        </w:tc>
        <w:tc>
          <w:tcPr>
            <w:tcW w:w="5" w:type="pct"/>
            <w:shd w:val="clear" w:color="auto" w:fill="auto"/>
          </w:tcPr>
          <w:p w14:paraId="7268FD36" w14:textId="77777777" w:rsidR="005F762A" w:rsidRDefault="005F762A">
            <w:pPr>
              <w:rPr>
                <w:rFonts w:ascii="宋体"/>
              </w:rPr>
            </w:pPr>
          </w:p>
        </w:tc>
        <w:tc>
          <w:tcPr>
            <w:tcW w:w="50" w:type="pct"/>
            <w:shd w:val="clear" w:color="auto" w:fill="auto"/>
          </w:tcPr>
          <w:p w14:paraId="7268FD37" w14:textId="77777777" w:rsidR="005F762A" w:rsidRDefault="005F762A">
            <w:pPr>
              <w:rPr>
                <w:rFonts w:ascii="宋体"/>
              </w:rPr>
            </w:pPr>
          </w:p>
        </w:tc>
        <w:tc>
          <w:tcPr>
            <w:tcW w:w="531" w:type="pct"/>
            <w:shd w:val="clear" w:color="auto" w:fill="auto"/>
          </w:tcPr>
          <w:p w14:paraId="7268FD38" w14:textId="77777777" w:rsidR="005F762A" w:rsidRDefault="005F762A">
            <w:pPr>
              <w:rPr>
                <w:rFonts w:ascii="宋体"/>
              </w:rPr>
            </w:pPr>
          </w:p>
        </w:tc>
        <w:tc>
          <w:tcPr>
            <w:tcW w:w="5" w:type="pct"/>
            <w:shd w:val="clear" w:color="auto" w:fill="auto"/>
          </w:tcPr>
          <w:p w14:paraId="7268FD39" w14:textId="77777777" w:rsidR="005F762A" w:rsidRDefault="005F762A">
            <w:pPr>
              <w:rPr>
                <w:rFonts w:ascii="宋体"/>
              </w:rPr>
            </w:pPr>
          </w:p>
        </w:tc>
        <w:tc>
          <w:tcPr>
            <w:tcW w:w="5" w:type="pct"/>
            <w:shd w:val="clear" w:color="auto" w:fill="auto"/>
          </w:tcPr>
          <w:p w14:paraId="7268FD3A" w14:textId="77777777" w:rsidR="005F762A" w:rsidRDefault="005F762A">
            <w:pPr>
              <w:rPr>
                <w:rFonts w:ascii="宋体"/>
              </w:rPr>
            </w:pPr>
          </w:p>
        </w:tc>
        <w:tc>
          <w:tcPr>
            <w:tcW w:w="26" w:type="pct"/>
            <w:shd w:val="clear" w:color="auto" w:fill="auto"/>
          </w:tcPr>
          <w:p w14:paraId="7268FD3B" w14:textId="77777777" w:rsidR="005F762A" w:rsidRDefault="005F762A">
            <w:pPr>
              <w:rPr>
                <w:rFonts w:ascii="宋体"/>
              </w:rPr>
            </w:pPr>
          </w:p>
        </w:tc>
        <w:tc>
          <w:tcPr>
            <w:tcW w:w="5" w:type="pct"/>
            <w:shd w:val="clear" w:color="auto" w:fill="auto"/>
          </w:tcPr>
          <w:p w14:paraId="7268FD3C" w14:textId="77777777" w:rsidR="005F762A" w:rsidRDefault="005F762A">
            <w:pPr>
              <w:rPr>
                <w:rFonts w:ascii="宋体"/>
              </w:rPr>
            </w:pPr>
          </w:p>
        </w:tc>
        <w:tc>
          <w:tcPr>
            <w:tcW w:w="50" w:type="pct"/>
            <w:shd w:val="clear" w:color="auto" w:fill="auto"/>
          </w:tcPr>
          <w:p w14:paraId="7268FD3D" w14:textId="77777777" w:rsidR="005F762A" w:rsidRDefault="005F762A">
            <w:pPr>
              <w:rPr>
                <w:rFonts w:ascii="宋体"/>
              </w:rPr>
            </w:pPr>
          </w:p>
        </w:tc>
        <w:tc>
          <w:tcPr>
            <w:tcW w:w="531" w:type="pct"/>
            <w:shd w:val="clear" w:color="auto" w:fill="auto"/>
          </w:tcPr>
          <w:p w14:paraId="7268FD3E" w14:textId="77777777" w:rsidR="005F762A" w:rsidRDefault="005F762A">
            <w:pPr>
              <w:rPr>
                <w:rFonts w:ascii="宋体"/>
              </w:rPr>
            </w:pPr>
          </w:p>
        </w:tc>
        <w:tc>
          <w:tcPr>
            <w:tcW w:w="5" w:type="pct"/>
            <w:shd w:val="clear" w:color="auto" w:fill="auto"/>
          </w:tcPr>
          <w:p w14:paraId="7268FD3F" w14:textId="77777777" w:rsidR="005F762A" w:rsidRDefault="005F762A">
            <w:pPr>
              <w:rPr>
                <w:rFonts w:ascii="宋体"/>
              </w:rPr>
            </w:pPr>
          </w:p>
        </w:tc>
        <w:tc>
          <w:tcPr>
            <w:tcW w:w="5" w:type="pct"/>
            <w:shd w:val="clear" w:color="auto" w:fill="auto"/>
          </w:tcPr>
          <w:p w14:paraId="7268FD40" w14:textId="77777777" w:rsidR="005F762A" w:rsidRDefault="005F762A">
            <w:pPr>
              <w:rPr>
                <w:rFonts w:ascii="宋体"/>
              </w:rPr>
            </w:pPr>
          </w:p>
        </w:tc>
        <w:tc>
          <w:tcPr>
            <w:tcW w:w="26" w:type="pct"/>
            <w:shd w:val="clear" w:color="auto" w:fill="auto"/>
          </w:tcPr>
          <w:p w14:paraId="7268FD41" w14:textId="77777777" w:rsidR="005F762A" w:rsidRDefault="005F762A">
            <w:pPr>
              <w:rPr>
                <w:rFonts w:ascii="宋体"/>
              </w:rPr>
            </w:pPr>
          </w:p>
        </w:tc>
        <w:tc>
          <w:tcPr>
            <w:tcW w:w="5" w:type="pct"/>
            <w:shd w:val="clear" w:color="auto" w:fill="auto"/>
          </w:tcPr>
          <w:p w14:paraId="7268FD42" w14:textId="77777777" w:rsidR="005F762A" w:rsidRDefault="005F762A">
            <w:pPr>
              <w:rPr>
                <w:rFonts w:ascii="宋体"/>
              </w:rPr>
            </w:pPr>
          </w:p>
        </w:tc>
        <w:tc>
          <w:tcPr>
            <w:tcW w:w="50" w:type="pct"/>
            <w:shd w:val="clear" w:color="auto" w:fill="auto"/>
          </w:tcPr>
          <w:p w14:paraId="7268FD43" w14:textId="77777777" w:rsidR="005F762A" w:rsidRDefault="005F762A">
            <w:pPr>
              <w:rPr>
                <w:rFonts w:ascii="宋体"/>
              </w:rPr>
            </w:pPr>
          </w:p>
        </w:tc>
        <w:tc>
          <w:tcPr>
            <w:tcW w:w="714" w:type="pct"/>
            <w:shd w:val="clear" w:color="auto" w:fill="auto"/>
          </w:tcPr>
          <w:p w14:paraId="7268FD44" w14:textId="77777777" w:rsidR="005F762A" w:rsidRDefault="005F762A">
            <w:pPr>
              <w:rPr>
                <w:rFonts w:ascii="宋体"/>
              </w:rPr>
            </w:pPr>
          </w:p>
        </w:tc>
        <w:tc>
          <w:tcPr>
            <w:tcW w:w="5" w:type="pct"/>
            <w:shd w:val="clear" w:color="auto" w:fill="auto"/>
          </w:tcPr>
          <w:p w14:paraId="7268FD45" w14:textId="77777777" w:rsidR="005F762A" w:rsidRDefault="005F762A">
            <w:pPr>
              <w:rPr>
                <w:rFonts w:ascii="宋体"/>
              </w:rPr>
            </w:pPr>
          </w:p>
        </w:tc>
        <w:tc>
          <w:tcPr>
            <w:tcW w:w="5" w:type="pct"/>
            <w:shd w:val="clear" w:color="auto" w:fill="auto"/>
          </w:tcPr>
          <w:p w14:paraId="7268FD46" w14:textId="77777777" w:rsidR="005F762A" w:rsidRDefault="005F762A">
            <w:pPr>
              <w:rPr>
                <w:rFonts w:ascii="宋体"/>
              </w:rPr>
            </w:pPr>
          </w:p>
        </w:tc>
        <w:tc>
          <w:tcPr>
            <w:tcW w:w="26" w:type="pct"/>
            <w:shd w:val="clear" w:color="auto" w:fill="auto"/>
          </w:tcPr>
          <w:p w14:paraId="7268FD47" w14:textId="77777777" w:rsidR="005F762A" w:rsidRDefault="005F762A">
            <w:pPr>
              <w:rPr>
                <w:rFonts w:ascii="宋体"/>
              </w:rPr>
            </w:pPr>
          </w:p>
        </w:tc>
        <w:tc>
          <w:tcPr>
            <w:tcW w:w="5" w:type="pct"/>
            <w:shd w:val="clear" w:color="auto" w:fill="auto"/>
          </w:tcPr>
          <w:p w14:paraId="7268FD48" w14:textId="77777777" w:rsidR="005F762A" w:rsidRDefault="005F762A">
            <w:pPr>
              <w:rPr>
                <w:rFonts w:ascii="宋体"/>
              </w:rPr>
            </w:pPr>
          </w:p>
        </w:tc>
        <w:tc>
          <w:tcPr>
            <w:tcW w:w="50" w:type="pct"/>
            <w:shd w:val="clear" w:color="auto" w:fill="auto"/>
          </w:tcPr>
          <w:p w14:paraId="7268FD49" w14:textId="77777777" w:rsidR="005F762A" w:rsidRDefault="005F762A">
            <w:pPr>
              <w:rPr>
                <w:rFonts w:ascii="宋体"/>
              </w:rPr>
            </w:pPr>
          </w:p>
        </w:tc>
        <w:tc>
          <w:tcPr>
            <w:tcW w:w="531" w:type="pct"/>
            <w:shd w:val="clear" w:color="auto" w:fill="auto"/>
          </w:tcPr>
          <w:p w14:paraId="7268FD4A" w14:textId="77777777" w:rsidR="005F762A" w:rsidRDefault="005F762A">
            <w:pPr>
              <w:rPr>
                <w:rFonts w:ascii="宋体"/>
              </w:rPr>
            </w:pPr>
          </w:p>
        </w:tc>
        <w:tc>
          <w:tcPr>
            <w:tcW w:w="5" w:type="pct"/>
            <w:shd w:val="clear" w:color="auto" w:fill="auto"/>
          </w:tcPr>
          <w:p w14:paraId="7268FD4B" w14:textId="77777777" w:rsidR="005F762A" w:rsidRDefault="005F762A">
            <w:pPr>
              <w:rPr>
                <w:rFonts w:ascii="宋体"/>
              </w:rPr>
            </w:pPr>
          </w:p>
        </w:tc>
        <w:tc>
          <w:tcPr>
            <w:tcW w:w="5" w:type="pct"/>
            <w:shd w:val="clear" w:color="auto" w:fill="auto"/>
          </w:tcPr>
          <w:p w14:paraId="7268FD4C" w14:textId="77777777" w:rsidR="005F762A" w:rsidRDefault="005F762A">
            <w:pPr>
              <w:rPr>
                <w:rFonts w:ascii="宋体"/>
              </w:rPr>
            </w:pPr>
          </w:p>
        </w:tc>
        <w:tc>
          <w:tcPr>
            <w:tcW w:w="26" w:type="pct"/>
            <w:shd w:val="clear" w:color="auto" w:fill="auto"/>
          </w:tcPr>
          <w:p w14:paraId="7268FD4D" w14:textId="77777777" w:rsidR="005F762A" w:rsidRDefault="005F762A">
            <w:pPr>
              <w:rPr>
                <w:rFonts w:ascii="宋体"/>
              </w:rPr>
            </w:pPr>
          </w:p>
        </w:tc>
        <w:tc>
          <w:tcPr>
            <w:tcW w:w="5" w:type="pct"/>
            <w:shd w:val="clear" w:color="auto" w:fill="auto"/>
          </w:tcPr>
          <w:p w14:paraId="7268FD4E" w14:textId="77777777" w:rsidR="005F762A" w:rsidRDefault="005F762A">
            <w:pPr>
              <w:rPr>
                <w:rFonts w:ascii="宋体"/>
              </w:rPr>
            </w:pPr>
          </w:p>
        </w:tc>
        <w:tc>
          <w:tcPr>
            <w:tcW w:w="50" w:type="pct"/>
            <w:shd w:val="clear" w:color="auto" w:fill="auto"/>
          </w:tcPr>
          <w:p w14:paraId="7268FD4F" w14:textId="77777777" w:rsidR="005F762A" w:rsidRDefault="005F762A">
            <w:pPr>
              <w:rPr>
                <w:rFonts w:ascii="宋体"/>
              </w:rPr>
            </w:pPr>
          </w:p>
        </w:tc>
        <w:tc>
          <w:tcPr>
            <w:tcW w:w="531" w:type="pct"/>
            <w:shd w:val="clear" w:color="auto" w:fill="auto"/>
          </w:tcPr>
          <w:p w14:paraId="7268FD50" w14:textId="77777777" w:rsidR="005F762A" w:rsidRDefault="005F762A">
            <w:pPr>
              <w:rPr>
                <w:rFonts w:ascii="宋体"/>
              </w:rPr>
            </w:pPr>
          </w:p>
        </w:tc>
        <w:tc>
          <w:tcPr>
            <w:tcW w:w="5" w:type="pct"/>
            <w:shd w:val="clear" w:color="auto" w:fill="auto"/>
          </w:tcPr>
          <w:p w14:paraId="7268FD51" w14:textId="77777777" w:rsidR="005F762A" w:rsidRDefault="005F762A">
            <w:pPr>
              <w:rPr>
                <w:rFonts w:ascii="宋体"/>
              </w:rPr>
            </w:pPr>
          </w:p>
        </w:tc>
      </w:tr>
      <w:tr w:rsidR="005F762A" w14:paraId="7268FD5B" w14:textId="77777777">
        <w:tc>
          <w:tcPr>
            <w:tcW w:w="0" w:type="auto"/>
            <w:gridSpan w:val="3"/>
            <w:shd w:val="clear" w:color="auto" w:fill="auto"/>
            <w:tcMar>
              <w:top w:w="40" w:type="dxa"/>
              <w:left w:w="20" w:type="dxa"/>
              <w:bottom w:w="40" w:type="dxa"/>
              <w:right w:w="20" w:type="dxa"/>
            </w:tcMar>
            <w:vAlign w:val="bottom"/>
          </w:tcPr>
          <w:p w14:paraId="7268FD53" w14:textId="77777777" w:rsidR="005F762A" w:rsidRDefault="00D74111">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7268FD54"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 2021</w:t>
            </w:r>
          </w:p>
        </w:tc>
        <w:tc>
          <w:tcPr>
            <w:tcW w:w="0" w:type="auto"/>
            <w:gridSpan w:val="3"/>
            <w:shd w:val="clear" w:color="auto" w:fill="auto"/>
            <w:tcMar>
              <w:top w:w="0" w:type="dxa"/>
              <w:left w:w="20" w:type="dxa"/>
              <w:bottom w:w="0" w:type="dxa"/>
              <w:right w:w="20" w:type="dxa"/>
            </w:tcMar>
          </w:tcPr>
          <w:p w14:paraId="7268FD5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D56" w14:textId="77777777" w:rsidR="005F762A" w:rsidRDefault="00D74111">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March 31, 2020</w:t>
            </w:r>
          </w:p>
        </w:tc>
        <w:tc>
          <w:tcPr>
            <w:tcW w:w="0" w:type="auto"/>
            <w:gridSpan w:val="3"/>
            <w:shd w:val="clear" w:color="auto" w:fill="auto"/>
            <w:tcMar>
              <w:top w:w="0" w:type="dxa"/>
              <w:left w:w="20" w:type="dxa"/>
              <w:bottom w:w="0" w:type="dxa"/>
              <w:right w:w="20" w:type="dxa"/>
            </w:tcMar>
          </w:tcPr>
          <w:p w14:paraId="7268FD57"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58"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59"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5A" w14:textId="77777777" w:rsidR="005F762A" w:rsidRDefault="005F762A">
            <w:pPr>
              <w:rPr>
                <w:rFonts w:ascii="宋体"/>
              </w:rPr>
            </w:pPr>
          </w:p>
        </w:tc>
      </w:tr>
      <w:tr w:rsidR="005F762A" w14:paraId="7268FD69" w14:textId="77777777">
        <w:tc>
          <w:tcPr>
            <w:tcW w:w="0" w:type="auto"/>
            <w:gridSpan w:val="3"/>
            <w:shd w:val="clear" w:color="auto" w:fill="auto"/>
            <w:tcMar>
              <w:top w:w="40" w:type="dxa"/>
              <w:left w:w="20" w:type="dxa"/>
              <w:bottom w:w="40" w:type="dxa"/>
              <w:right w:w="20" w:type="dxa"/>
            </w:tcMar>
            <w:vAlign w:val="bottom"/>
          </w:tcPr>
          <w:p w14:paraId="7268FD5C" w14:textId="77777777" w:rsidR="005F762A" w:rsidRDefault="00D74111">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D5D" w14:textId="77777777" w:rsidR="005F762A" w:rsidRDefault="00D74111">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tcPr>
          <w:p w14:paraId="7268FD5E"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D5F" w14:textId="77777777" w:rsidR="005F762A" w:rsidRDefault="00D74111">
            <w:pPr>
              <w:jc w:val="center"/>
              <w:textAlignment w:val="bottom"/>
            </w:pPr>
            <w:r>
              <w:rPr>
                <w:rFonts w:ascii="Arial" w:eastAsia="宋体" w:hAnsi="Arial" w:cs="Arial"/>
                <w:b/>
                <w:bCs/>
                <w:color w:val="000000"/>
                <w:sz w:val="14"/>
                <w:szCs w:val="14"/>
              </w:rPr>
              <w:t xml:space="preserve">Exchange Rate </w:t>
            </w:r>
            <w:r>
              <w:rPr>
                <w:rFonts w:ascii="Arial" w:eastAsia="宋体" w:hAnsi="Arial" w:cs="Arial"/>
                <w:b/>
                <w:bCs/>
                <w:color w:val="000000"/>
                <w:sz w:val="14"/>
                <w:szCs w:val="14"/>
              </w:rPr>
              <w:t>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top w:w="0" w:type="dxa"/>
              <w:left w:w="20" w:type="dxa"/>
              <w:bottom w:w="0" w:type="dxa"/>
              <w:right w:w="20" w:type="dxa"/>
            </w:tcMar>
          </w:tcPr>
          <w:p w14:paraId="7268FD60"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D61" w14:textId="77777777" w:rsidR="005F762A" w:rsidRDefault="00D74111">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tcPr>
          <w:p w14:paraId="7268FD62" w14:textId="77777777" w:rsidR="005F762A" w:rsidRDefault="005F762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D63" w14:textId="77777777" w:rsidR="005F762A" w:rsidRDefault="00D74111">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tcPr>
          <w:p w14:paraId="7268FD64"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D65" w14:textId="77777777" w:rsidR="005F762A" w:rsidRDefault="00D74111">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top w:w="0" w:type="dxa"/>
              <w:left w:w="20" w:type="dxa"/>
              <w:bottom w:w="0" w:type="dxa"/>
              <w:right w:w="20" w:type="dxa"/>
            </w:tcMar>
          </w:tcPr>
          <w:p w14:paraId="7268FD6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D67" w14:textId="77777777" w:rsidR="005F762A" w:rsidRDefault="00D74111">
            <w:pPr>
              <w:jc w:val="center"/>
              <w:textAlignment w:val="bottom"/>
            </w:pPr>
            <w:r>
              <w:rPr>
                <w:rFonts w:ascii="Arial" w:eastAsia="宋体" w:hAnsi="Arial" w:cs="Arial"/>
                <w:b/>
                <w:bCs/>
                <w:color w:val="000000"/>
                <w:sz w:val="14"/>
                <w:szCs w:val="14"/>
              </w:rPr>
              <w:t xml:space="preserve">FX-Neutral </w:t>
            </w:r>
          </w:p>
          <w:p w14:paraId="7268FD68" w14:textId="77777777" w:rsidR="005F762A" w:rsidRDefault="00D74111">
            <w:pPr>
              <w:jc w:val="center"/>
              <w:textAlignment w:val="bottom"/>
            </w:pPr>
            <w:r>
              <w:rPr>
                <w:rFonts w:ascii="Arial" w:eastAsia="宋体" w:hAnsi="Arial" w:cs="Arial"/>
                <w:b/>
                <w:bCs/>
                <w:color w:val="000000"/>
                <w:sz w:val="14"/>
                <w:szCs w:val="14"/>
              </w:rPr>
              <w:t>% Change</w:t>
            </w:r>
          </w:p>
        </w:tc>
      </w:tr>
      <w:tr w:rsidR="005F762A" w14:paraId="7268FD76" w14:textId="77777777">
        <w:trPr>
          <w:trHeight w:val="240"/>
        </w:trPr>
        <w:tc>
          <w:tcPr>
            <w:tcW w:w="0" w:type="auto"/>
            <w:gridSpan w:val="3"/>
            <w:shd w:val="clear" w:color="auto" w:fill="auto"/>
            <w:tcMar>
              <w:top w:w="0" w:type="dxa"/>
              <w:left w:w="20" w:type="dxa"/>
              <w:bottom w:w="0" w:type="dxa"/>
              <w:right w:w="20" w:type="dxa"/>
            </w:tcMar>
          </w:tcPr>
          <w:p w14:paraId="7268FD6A"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6B"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6C"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6D"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6E"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6F"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70"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71"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72"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7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D74" w14:textId="77777777" w:rsidR="005F762A" w:rsidRDefault="005F762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268FD75" w14:textId="77777777" w:rsidR="005F762A" w:rsidRDefault="005F762A">
            <w:pPr>
              <w:rPr>
                <w:rFonts w:ascii="宋体"/>
              </w:rPr>
            </w:pPr>
          </w:p>
        </w:tc>
      </w:tr>
      <w:tr w:rsidR="005F762A" w14:paraId="7268FD8D" w14:textId="77777777">
        <w:tc>
          <w:tcPr>
            <w:tcW w:w="0" w:type="auto"/>
            <w:gridSpan w:val="3"/>
            <w:shd w:val="clear" w:color="auto" w:fill="E1E1E1"/>
            <w:tcMar>
              <w:top w:w="40" w:type="dxa"/>
              <w:left w:w="20" w:type="dxa"/>
              <w:bottom w:w="40" w:type="dxa"/>
              <w:right w:w="20" w:type="dxa"/>
            </w:tcMar>
            <w:vAlign w:val="bottom"/>
          </w:tcPr>
          <w:p w14:paraId="7268FD77" w14:textId="77777777" w:rsidR="005F762A" w:rsidRDefault="00D74111">
            <w:pPr>
              <w:textAlignment w:val="bottom"/>
            </w:pPr>
            <w:r>
              <w:rPr>
                <w:rFonts w:ascii="Arial" w:eastAsia="宋体" w:hAnsi="Arial" w:cs="Arial"/>
                <w:b/>
                <w:bCs/>
                <w:color w:val="000000"/>
                <w:sz w:val="16"/>
                <w:szCs w:val="16"/>
              </w:rPr>
              <w:t>GMV</w:t>
            </w:r>
          </w:p>
        </w:tc>
        <w:tc>
          <w:tcPr>
            <w:tcW w:w="0" w:type="auto"/>
            <w:shd w:val="clear" w:color="auto" w:fill="E1E1E1"/>
            <w:tcMar>
              <w:top w:w="40" w:type="dxa"/>
              <w:left w:w="20" w:type="dxa"/>
              <w:bottom w:w="40" w:type="dxa"/>
              <w:right w:w="0" w:type="dxa"/>
            </w:tcMar>
            <w:vAlign w:val="bottom"/>
          </w:tcPr>
          <w:p w14:paraId="7268FD78"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79" w14:textId="77777777" w:rsidR="005F762A" w:rsidRDefault="00D74111">
            <w:pPr>
              <w:jc w:val="right"/>
              <w:textAlignment w:val="bottom"/>
            </w:pPr>
            <w:r>
              <w:rPr>
                <w:rFonts w:ascii="Arial" w:eastAsia="宋体" w:hAnsi="Arial" w:cs="Arial"/>
                <w:color w:val="000000"/>
                <w:sz w:val="16"/>
                <w:szCs w:val="16"/>
              </w:rPr>
              <w:t>27,460 </w:t>
            </w:r>
          </w:p>
        </w:tc>
        <w:tc>
          <w:tcPr>
            <w:tcW w:w="0" w:type="auto"/>
            <w:shd w:val="clear" w:color="auto" w:fill="E1E1E1"/>
            <w:tcMar>
              <w:top w:w="40" w:type="dxa"/>
              <w:left w:w="0" w:type="dxa"/>
              <w:bottom w:w="40" w:type="dxa"/>
              <w:right w:w="20" w:type="dxa"/>
            </w:tcMar>
            <w:vAlign w:val="bottom"/>
          </w:tcPr>
          <w:p w14:paraId="7268FD7A"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7B"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7C"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7D" w14:textId="77777777" w:rsidR="005F762A" w:rsidRDefault="00D74111">
            <w:pPr>
              <w:jc w:val="right"/>
              <w:textAlignment w:val="bottom"/>
            </w:pPr>
            <w:r>
              <w:rPr>
                <w:rFonts w:ascii="Arial" w:eastAsia="宋体" w:hAnsi="Arial" w:cs="Arial"/>
                <w:color w:val="000000"/>
                <w:sz w:val="16"/>
                <w:szCs w:val="16"/>
              </w:rPr>
              <w:t>1,149 </w:t>
            </w:r>
          </w:p>
        </w:tc>
        <w:tc>
          <w:tcPr>
            <w:tcW w:w="0" w:type="auto"/>
            <w:shd w:val="clear" w:color="auto" w:fill="E1E1E1"/>
            <w:tcMar>
              <w:top w:w="40" w:type="dxa"/>
              <w:left w:w="0" w:type="dxa"/>
              <w:bottom w:w="40" w:type="dxa"/>
              <w:right w:w="20" w:type="dxa"/>
            </w:tcMar>
            <w:vAlign w:val="bottom"/>
          </w:tcPr>
          <w:p w14:paraId="7268FD7E"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7F"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80"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81" w14:textId="77777777" w:rsidR="005F762A" w:rsidRDefault="00D74111">
            <w:pPr>
              <w:jc w:val="right"/>
              <w:textAlignment w:val="bottom"/>
            </w:pPr>
            <w:r>
              <w:rPr>
                <w:rFonts w:ascii="Arial" w:eastAsia="宋体" w:hAnsi="Arial" w:cs="Arial"/>
                <w:color w:val="000000"/>
                <w:sz w:val="16"/>
                <w:szCs w:val="16"/>
              </w:rPr>
              <w:t>26,311 </w:t>
            </w:r>
          </w:p>
        </w:tc>
        <w:tc>
          <w:tcPr>
            <w:tcW w:w="0" w:type="auto"/>
            <w:shd w:val="clear" w:color="auto" w:fill="E1E1E1"/>
            <w:tcMar>
              <w:top w:w="40" w:type="dxa"/>
              <w:left w:w="0" w:type="dxa"/>
              <w:bottom w:w="40" w:type="dxa"/>
              <w:right w:w="20" w:type="dxa"/>
            </w:tcMar>
            <w:vAlign w:val="bottom"/>
          </w:tcPr>
          <w:p w14:paraId="7268FD82"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83"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84"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85" w14:textId="77777777" w:rsidR="005F762A" w:rsidRDefault="00D74111">
            <w:pPr>
              <w:jc w:val="right"/>
              <w:textAlignment w:val="bottom"/>
            </w:pPr>
            <w:r>
              <w:rPr>
                <w:rFonts w:ascii="Arial" w:eastAsia="宋体" w:hAnsi="Arial" w:cs="Arial"/>
                <w:color w:val="000000"/>
                <w:sz w:val="16"/>
                <w:szCs w:val="16"/>
              </w:rPr>
              <w:t>21,259 </w:t>
            </w:r>
          </w:p>
        </w:tc>
        <w:tc>
          <w:tcPr>
            <w:tcW w:w="0" w:type="auto"/>
            <w:shd w:val="clear" w:color="auto" w:fill="E1E1E1"/>
            <w:tcMar>
              <w:top w:w="40" w:type="dxa"/>
              <w:left w:w="0" w:type="dxa"/>
              <w:bottom w:w="40" w:type="dxa"/>
              <w:right w:w="20" w:type="dxa"/>
            </w:tcMar>
            <w:vAlign w:val="bottom"/>
          </w:tcPr>
          <w:p w14:paraId="7268FD86"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87"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D88" w14:textId="77777777" w:rsidR="005F762A" w:rsidRDefault="00D74111">
            <w:pPr>
              <w:jc w:val="right"/>
              <w:textAlignment w:val="bottom"/>
            </w:pPr>
            <w:r>
              <w:rPr>
                <w:rFonts w:ascii="Arial" w:eastAsia="宋体" w:hAnsi="Arial" w:cs="Arial"/>
                <w:color w:val="000000"/>
                <w:sz w:val="16"/>
                <w:szCs w:val="16"/>
              </w:rPr>
              <w:t>29 </w:t>
            </w:r>
          </w:p>
        </w:tc>
        <w:tc>
          <w:tcPr>
            <w:tcW w:w="0" w:type="auto"/>
            <w:shd w:val="clear" w:color="auto" w:fill="E1E1E1"/>
            <w:tcMar>
              <w:top w:w="40" w:type="dxa"/>
              <w:left w:w="0" w:type="dxa"/>
              <w:bottom w:w="40" w:type="dxa"/>
              <w:right w:w="20" w:type="dxa"/>
            </w:tcMar>
            <w:vAlign w:val="bottom"/>
          </w:tcPr>
          <w:p w14:paraId="7268FD89"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tcPr>
          <w:p w14:paraId="7268FD8A"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D8B" w14:textId="77777777" w:rsidR="005F762A" w:rsidRDefault="00D74111">
            <w:pPr>
              <w:jc w:val="right"/>
              <w:textAlignment w:val="bottom"/>
            </w:pPr>
            <w:r>
              <w:rPr>
                <w:rFonts w:ascii="Arial" w:eastAsia="宋体" w:hAnsi="Arial" w:cs="Arial"/>
                <w:color w:val="000000"/>
                <w:sz w:val="16"/>
                <w:szCs w:val="16"/>
              </w:rPr>
              <w:t>24 </w:t>
            </w:r>
          </w:p>
        </w:tc>
        <w:tc>
          <w:tcPr>
            <w:tcW w:w="0" w:type="auto"/>
            <w:shd w:val="clear" w:color="auto" w:fill="E1E1E1"/>
            <w:tcMar>
              <w:top w:w="40" w:type="dxa"/>
              <w:left w:w="0" w:type="dxa"/>
              <w:bottom w:w="40" w:type="dxa"/>
              <w:right w:w="20" w:type="dxa"/>
            </w:tcMar>
            <w:vAlign w:val="bottom"/>
          </w:tcPr>
          <w:p w14:paraId="7268FD8C" w14:textId="77777777" w:rsidR="005F762A" w:rsidRDefault="00D74111">
            <w:pPr>
              <w:jc w:val="right"/>
              <w:textAlignment w:val="bottom"/>
            </w:pPr>
            <w:r>
              <w:rPr>
                <w:rFonts w:ascii="Arial" w:eastAsia="宋体" w:hAnsi="Arial" w:cs="Arial"/>
                <w:color w:val="000000"/>
                <w:sz w:val="16"/>
                <w:szCs w:val="16"/>
              </w:rPr>
              <w:t>%</w:t>
            </w:r>
          </w:p>
        </w:tc>
      </w:tr>
      <w:tr w:rsidR="005F762A" w14:paraId="7268FD9A" w14:textId="77777777">
        <w:trPr>
          <w:hidden/>
        </w:trPr>
        <w:tc>
          <w:tcPr>
            <w:tcW w:w="0" w:type="auto"/>
            <w:gridSpan w:val="3"/>
            <w:shd w:val="clear" w:color="auto" w:fill="auto"/>
          </w:tcPr>
          <w:p w14:paraId="7268FD8E" w14:textId="77777777" w:rsidR="005F762A" w:rsidRDefault="005F762A">
            <w:pPr>
              <w:rPr>
                <w:rFonts w:ascii="宋体"/>
                <w:vanish/>
              </w:rPr>
            </w:pPr>
          </w:p>
        </w:tc>
        <w:tc>
          <w:tcPr>
            <w:tcW w:w="0" w:type="auto"/>
            <w:gridSpan w:val="3"/>
            <w:shd w:val="clear" w:color="auto" w:fill="auto"/>
          </w:tcPr>
          <w:p w14:paraId="7268FD8F" w14:textId="77777777" w:rsidR="005F762A" w:rsidRDefault="005F762A">
            <w:pPr>
              <w:rPr>
                <w:rFonts w:ascii="宋体"/>
                <w:vanish/>
              </w:rPr>
            </w:pPr>
          </w:p>
        </w:tc>
        <w:tc>
          <w:tcPr>
            <w:tcW w:w="0" w:type="auto"/>
            <w:gridSpan w:val="3"/>
            <w:shd w:val="clear" w:color="auto" w:fill="auto"/>
          </w:tcPr>
          <w:p w14:paraId="7268FD90" w14:textId="77777777" w:rsidR="005F762A" w:rsidRDefault="005F762A">
            <w:pPr>
              <w:rPr>
                <w:rFonts w:ascii="宋体"/>
                <w:vanish/>
              </w:rPr>
            </w:pPr>
          </w:p>
        </w:tc>
        <w:tc>
          <w:tcPr>
            <w:tcW w:w="0" w:type="auto"/>
            <w:gridSpan w:val="3"/>
            <w:shd w:val="clear" w:color="auto" w:fill="auto"/>
          </w:tcPr>
          <w:p w14:paraId="7268FD91" w14:textId="77777777" w:rsidR="005F762A" w:rsidRDefault="005F762A">
            <w:pPr>
              <w:rPr>
                <w:rFonts w:ascii="宋体"/>
                <w:vanish/>
              </w:rPr>
            </w:pPr>
          </w:p>
        </w:tc>
        <w:tc>
          <w:tcPr>
            <w:tcW w:w="0" w:type="auto"/>
            <w:gridSpan w:val="3"/>
            <w:shd w:val="clear" w:color="auto" w:fill="auto"/>
          </w:tcPr>
          <w:p w14:paraId="7268FD92" w14:textId="77777777" w:rsidR="005F762A" w:rsidRDefault="005F762A">
            <w:pPr>
              <w:rPr>
                <w:rFonts w:ascii="宋体"/>
                <w:vanish/>
              </w:rPr>
            </w:pPr>
          </w:p>
        </w:tc>
        <w:tc>
          <w:tcPr>
            <w:tcW w:w="0" w:type="auto"/>
            <w:gridSpan w:val="3"/>
            <w:shd w:val="clear" w:color="auto" w:fill="auto"/>
          </w:tcPr>
          <w:p w14:paraId="7268FD93" w14:textId="77777777" w:rsidR="005F762A" w:rsidRDefault="005F762A">
            <w:pPr>
              <w:rPr>
                <w:rFonts w:ascii="宋体"/>
                <w:vanish/>
              </w:rPr>
            </w:pPr>
          </w:p>
        </w:tc>
        <w:tc>
          <w:tcPr>
            <w:tcW w:w="0" w:type="auto"/>
            <w:gridSpan w:val="3"/>
            <w:shd w:val="clear" w:color="auto" w:fill="auto"/>
          </w:tcPr>
          <w:p w14:paraId="7268FD94" w14:textId="77777777" w:rsidR="005F762A" w:rsidRDefault="005F762A">
            <w:pPr>
              <w:rPr>
                <w:rFonts w:ascii="宋体"/>
                <w:vanish/>
              </w:rPr>
            </w:pPr>
          </w:p>
        </w:tc>
        <w:tc>
          <w:tcPr>
            <w:tcW w:w="0" w:type="auto"/>
            <w:gridSpan w:val="3"/>
            <w:shd w:val="clear" w:color="auto" w:fill="auto"/>
          </w:tcPr>
          <w:p w14:paraId="7268FD95" w14:textId="77777777" w:rsidR="005F762A" w:rsidRDefault="005F762A">
            <w:pPr>
              <w:rPr>
                <w:rFonts w:ascii="宋体"/>
                <w:vanish/>
              </w:rPr>
            </w:pPr>
          </w:p>
        </w:tc>
        <w:tc>
          <w:tcPr>
            <w:tcW w:w="0" w:type="auto"/>
            <w:gridSpan w:val="3"/>
            <w:shd w:val="clear" w:color="auto" w:fill="auto"/>
          </w:tcPr>
          <w:p w14:paraId="7268FD96" w14:textId="77777777" w:rsidR="005F762A" w:rsidRDefault="005F762A">
            <w:pPr>
              <w:rPr>
                <w:rFonts w:ascii="宋体"/>
                <w:vanish/>
              </w:rPr>
            </w:pPr>
          </w:p>
        </w:tc>
        <w:tc>
          <w:tcPr>
            <w:tcW w:w="0" w:type="auto"/>
            <w:gridSpan w:val="3"/>
            <w:shd w:val="clear" w:color="auto" w:fill="auto"/>
          </w:tcPr>
          <w:p w14:paraId="7268FD97" w14:textId="77777777" w:rsidR="005F762A" w:rsidRDefault="005F762A">
            <w:pPr>
              <w:rPr>
                <w:rFonts w:ascii="宋体"/>
                <w:vanish/>
              </w:rPr>
            </w:pPr>
          </w:p>
        </w:tc>
        <w:tc>
          <w:tcPr>
            <w:tcW w:w="0" w:type="auto"/>
            <w:gridSpan w:val="3"/>
            <w:shd w:val="clear" w:color="auto" w:fill="auto"/>
          </w:tcPr>
          <w:p w14:paraId="7268FD98" w14:textId="77777777" w:rsidR="005F762A" w:rsidRDefault="005F762A">
            <w:pPr>
              <w:rPr>
                <w:rFonts w:ascii="宋体"/>
                <w:vanish/>
              </w:rPr>
            </w:pPr>
          </w:p>
        </w:tc>
        <w:tc>
          <w:tcPr>
            <w:tcW w:w="0" w:type="auto"/>
            <w:gridSpan w:val="3"/>
            <w:shd w:val="clear" w:color="auto" w:fill="auto"/>
          </w:tcPr>
          <w:p w14:paraId="7268FD99" w14:textId="77777777" w:rsidR="005F762A" w:rsidRDefault="005F762A">
            <w:pPr>
              <w:rPr>
                <w:rFonts w:ascii="宋体"/>
                <w:vanish/>
              </w:rPr>
            </w:pPr>
          </w:p>
        </w:tc>
      </w:tr>
      <w:tr w:rsidR="005F762A" w14:paraId="7268FDA7" w14:textId="77777777">
        <w:trPr>
          <w:hidden/>
        </w:trPr>
        <w:tc>
          <w:tcPr>
            <w:tcW w:w="0" w:type="auto"/>
            <w:gridSpan w:val="3"/>
            <w:shd w:val="clear" w:color="auto" w:fill="auto"/>
          </w:tcPr>
          <w:p w14:paraId="7268FD9B" w14:textId="77777777" w:rsidR="005F762A" w:rsidRDefault="005F762A">
            <w:pPr>
              <w:rPr>
                <w:rFonts w:ascii="宋体"/>
                <w:vanish/>
              </w:rPr>
            </w:pPr>
          </w:p>
        </w:tc>
        <w:tc>
          <w:tcPr>
            <w:tcW w:w="0" w:type="auto"/>
            <w:gridSpan w:val="3"/>
            <w:shd w:val="clear" w:color="auto" w:fill="auto"/>
          </w:tcPr>
          <w:p w14:paraId="7268FD9C" w14:textId="77777777" w:rsidR="005F762A" w:rsidRDefault="005F762A">
            <w:pPr>
              <w:rPr>
                <w:rFonts w:ascii="宋体"/>
                <w:vanish/>
              </w:rPr>
            </w:pPr>
          </w:p>
        </w:tc>
        <w:tc>
          <w:tcPr>
            <w:tcW w:w="0" w:type="auto"/>
            <w:gridSpan w:val="3"/>
            <w:shd w:val="clear" w:color="auto" w:fill="auto"/>
          </w:tcPr>
          <w:p w14:paraId="7268FD9D" w14:textId="77777777" w:rsidR="005F762A" w:rsidRDefault="005F762A">
            <w:pPr>
              <w:rPr>
                <w:rFonts w:ascii="宋体"/>
                <w:vanish/>
              </w:rPr>
            </w:pPr>
          </w:p>
        </w:tc>
        <w:tc>
          <w:tcPr>
            <w:tcW w:w="0" w:type="auto"/>
            <w:gridSpan w:val="3"/>
            <w:shd w:val="clear" w:color="auto" w:fill="auto"/>
          </w:tcPr>
          <w:p w14:paraId="7268FD9E" w14:textId="77777777" w:rsidR="005F762A" w:rsidRDefault="005F762A">
            <w:pPr>
              <w:rPr>
                <w:rFonts w:ascii="宋体"/>
                <w:vanish/>
              </w:rPr>
            </w:pPr>
          </w:p>
        </w:tc>
        <w:tc>
          <w:tcPr>
            <w:tcW w:w="0" w:type="auto"/>
            <w:gridSpan w:val="3"/>
            <w:shd w:val="clear" w:color="auto" w:fill="auto"/>
          </w:tcPr>
          <w:p w14:paraId="7268FD9F" w14:textId="77777777" w:rsidR="005F762A" w:rsidRDefault="005F762A">
            <w:pPr>
              <w:rPr>
                <w:rFonts w:ascii="宋体"/>
                <w:vanish/>
              </w:rPr>
            </w:pPr>
          </w:p>
        </w:tc>
        <w:tc>
          <w:tcPr>
            <w:tcW w:w="0" w:type="auto"/>
            <w:gridSpan w:val="3"/>
            <w:shd w:val="clear" w:color="auto" w:fill="auto"/>
          </w:tcPr>
          <w:p w14:paraId="7268FDA0" w14:textId="77777777" w:rsidR="005F762A" w:rsidRDefault="005F762A">
            <w:pPr>
              <w:rPr>
                <w:rFonts w:ascii="宋体"/>
                <w:vanish/>
              </w:rPr>
            </w:pPr>
          </w:p>
        </w:tc>
        <w:tc>
          <w:tcPr>
            <w:tcW w:w="0" w:type="auto"/>
            <w:gridSpan w:val="3"/>
            <w:shd w:val="clear" w:color="auto" w:fill="auto"/>
          </w:tcPr>
          <w:p w14:paraId="7268FDA1" w14:textId="77777777" w:rsidR="005F762A" w:rsidRDefault="005F762A">
            <w:pPr>
              <w:rPr>
                <w:rFonts w:ascii="宋体"/>
                <w:vanish/>
              </w:rPr>
            </w:pPr>
          </w:p>
        </w:tc>
        <w:tc>
          <w:tcPr>
            <w:tcW w:w="0" w:type="auto"/>
            <w:gridSpan w:val="3"/>
            <w:shd w:val="clear" w:color="auto" w:fill="auto"/>
          </w:tcPr>
          <w:p w14:paraId="7268FDA2" w14:textId="77777777" w:rsidR="005F762A" w:rsidRDefault="005F762A">
            <w:pPr>
              <w:rPr>
                <w:rFonts w:ascii="宋体"/>
                <w:vanish/>
              </w:rPr>
            </w:pPr>
          </w:p>
        </w:tc>
        <w:tc>
          <w:tcPr>
            <w:tcW w:w="0" w:type="auto"/>
            <w:gridSpan w:val="3"/>
            <w:shd w:val="clear" w:color="auto" w:fill="auto"/>
          </w:tcPr>
          <w:p w14:paraId="7268FDA3" w14:textId="77777777" w:rsidR="005F762A" w:rsidRDefault="005F762A">
            <w:pPr>
              <w:rPr>
                <w:rFonts w:ascii="宋体"/>
                <w:vanish/>
              </w:rPr>
            </w:pPr>
          </w:p>
        </w:tc>
        <w:tc>
          <w:tcPr>
            <w:tcW w:w="0" w:type="auto"/>
            <w:gridSpan w:val="3"/>
            <w:shd w:val="clear" w:color="auto" w:fill="auto"/>
          </w:tcPr>
          <w:p w14:paraId="7268FDA4" w14:textId="77777777" w:rsidR="005F762A" w:rsidRDefault="005F762A">
            <w:pPr>
              <w:rPr>
                <w:rFonts w:ascii="宋体"/>
                <w:vanish/>
              </w:rPr>
            </w:pPr>
          </w:p>
        </w:tc>
        <w:tc>
          <w:tcPr>
            <w:tcW w:w="0" w:type="auto"/>
            <w:gridSpan w:val="3"/>
            <w:shd w:val="clear" w:color="auto" w:fill="auto"/>
          </w:tcPr>
          <w:p w14:paraId="7268FDA5" w14:textId="77777777" w:rsidR="005F762A" w:rsidRDefault="005F762A">
            <w:pPr>
              <w:rPr>
                <w:rFonts w:ascii="宋体"/>
                <w:vanish/>
              </w:rPr>
            </w:pPr>
          </w:p>
        </w:tc>
        <w:tc>
          <w:tcPr>
            <w:tcW w:w="0" w:type="auto"/>
            <w:gridSpan w:val="3"/>
            <w:shd w:val="clear" w:color="auto" w:fill="auto"/>
          </w:tcPr>
          <w:p w14:paraId="7268FDA6" w14:textId="77777777" w:rsidR="005F762A" w:rsidRDefault="005F762A">
            <w:pPr>
              <w:rPr>
                <w:rFonts w:ascii="宋体"/>
                <w:vanish/>
              </w:rPr>
            </w:pPr>
          </w:p>
        </w:tc>
      </w:tr>
      <w:tr w:rsidR="005F762A" w14:paraId="7268FDB4" w14:textId="77777777">
        <w:trPr>
          <w:trHeight w:val="180"/>
        </w:trPr>
        <w:tc>
          <w:tcPr>
            <w:tcW w:w="0" w:type="auto"/>
            <w:gridSpan w:val="3"/>
            <w:shd w:val="clear" w:color="auto" w:fill="FFFFFF"/>
            <w:tcMar>
              <w:top w:w="0" w:type="dxa"/>
              <w:left w:w="20" w:type="dxa"/>
              <w:bottom w:w="0" w:type="dxa"/>
              <w:right w:w="20" w:type="dxa"/>
            </w:tcMar>
          </w:tcPr>
          <w:p w14:paraId="7268FDA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D"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E"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AF"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B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B1"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B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B3" w14:textId="77777777" w:rsidR="005F762A" w:rsidRDefault="005F762A">
            <w:pPr>
              <w:rPr>
                <w:rFonts w:ascii="宋体"/>
              </w:rPr>
            </w:pPr>
          </w:p>
        </w:tc>
      </w:tr>
      <w:tr w:rsidR="005F762A" w14:paraId="7268FDC1" w14:textId="77777777">
        <w:tc>
          <w:tcPr>
            <w:tcW w:w="0" w:type="auto"/>
            <w:gridSpan w:val="3"/>
            <w:shd w:val="clear" w:color="auto" w:fill="E1E1E1"/>
            <w:tcMar>
              <w:top w:w="40" w:type="dxa"/>
              <w:left w:w="20" w:type="dxa"/>
              <w:bottom w:w="40" w:type="dxa"/>
              <w:right w:w="20" w:type="dxa"/>
            </w:tcMar>
            <w:vAlign w:val="bottom"/>
          </w:tcPr>
          <w:p w14:paraId="7268FDB5" w14:textId="77777777" w:rsidR="005F762A" w:rsidRDefault="00D74111">
            <w:pPr>
              <w:textAlignment w:val="bottom"/>
            </w:pPr>
            <w:r>
              <w:rPr>
                <w:rFonts w:ascii="Arial" w:eastAsia="宋体" w:hAnsi="Arial" w:cs="Arial"/>
                <w:b/>
                <w:bCs/>
                <w:color w:val="000000"/>
                <w:sz w:val="16"/>
                <w:szCs w:val="16"/>
              </w:rPr>
              <w:t>Net Revenues:</w:t>
            </w:r>
          </w:p>
        </w:tc>
        <w:tc>
          <w:tcPr>
            <w:tcW w:w="0" w:type="auto"/>
            <w:gridSpan w:val="3"/>
            <w:shd w:val="clear" w:color="auto" w:fill="E1E1E1"/>
            <w:tcMar>
              <w:top w:w="0" w:type="dxa"/>
              <w:left w:w="20" w:type="dxa"/>
              <w:bottom w:w="0" w:type="dxa"/>
              <w:right w:w="20" w:type="dxa"/>
            </w:tcMar>
          </w:tcPr>
          <w:p w14:paraId="7268FDB6"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7"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8"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9"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A"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B"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C"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D"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E"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BF" w14:textId="77777777" w:rsidR="005F762A" w:rsidRDefault="005F762A">
            <w:pPr>
              <w:rPr>
                <w:rFonts w:ascii="宋体"/>
              </w:rPr>
            </w:pPr>
          </w:p>
        </w:tc>
        <w:tc>
          <w:tcPr>
            <w:tcW w:w="0" w:type="auto"/>
            <w:gridSpan w:val="3"/>
            <w:shd w:val="clear" w:color="auto" w:fill="E1E1E1"/>
            <w:tcMar>
              <w:top w:w="0" w:type="dxa"/>
              <w:left w:w="20" w:type="dxa"/>
              <w:bottom w:w="0" w:type="dxa"/>
              <w:right w:w="20" w:type="dxa"/>
            </w:tcMar>
          </w:tcPr>
          <w:p w14:paraId="7268FDC0" w14:textId="77777777" w:rsidR="005F762A" w:rsidRDefault="005F762A">
            <w:pPr>
              <w:rPr>
                <w:rFonts w:ascii="宋体"/>
              </w:rPr>
            </w:pPr>
          </w:p>
        </w:tc>
      </w:tr>
      <w:tr w:rsidR="005F762A" w14:paraId="7268FDCE" w14:textId="77777777">
        <w:trPr>
          <w:trHeight w:val="180"/>
        </w:trPr>
        <w:tc>
          <w:tcPr>
            <w:tcW w:w="0" w:type="auto"/>
            <w:gridSpan w:val="3"/>
            <w:shd w:val="clear" w:color="auto" w:fill="FFFFFF"/>
            <w:tcMar>
              <w:top w:w="0" w:type="dxa"/>
              <w:left w:w="20" w:type="dxa"/>
              <w:bottom w:w="0" w:type="dxa"/>
              <w:right w:w="20" w:type="dxa"/>
            </w:tcMar>
          </w:tcPr>
          <w:p w14:paraId="7268FDC2"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3"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4"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5"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7"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8"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9"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DCD" w14:textId="77777777" w:rsidR="005F762A" w:rsidRDefault="005F762A">
            <w:pPr>
              <w:rPr>
                <w:rFonts w:ascii="宋体"/>
              </w:rPr>
            </w:pPr>
          </w:p>
        </w:tc>
      </w:tr>
      <w:tr w:rsidR="005F762A" w14:paraId="7268FDE5" w14:textId="77777777">
        <w:tc>
          <w:tcPr>
            <w:tcW w:w="0" w:type="auto"/>
            <w:gridSpan w:val="3"/>
            <w:shd w:val="clear" w:color="auto" w:fill="E1E1E1"/>
            <w:tcMar>
              <w:top w:w="40" w:type="dxa"/>
              <w:left w:w="140" w:type="dxa"/>
              <w:bottom w:w="40" w:type="dxa"/>
              <w:right w:w="20" w:type="dxa"/>
            </w:tcMar>
            <w:vAlign w:val="bottom"/>
          </w:tcPr>
          <w:p w14:paraId="7268FDCF" w14:textId="77777777" w:rsidR="005F762A" w:rsidRDefault="00D74111">
            <w:pPr>
              <w:textAlignment w:val="bottom"/>
            </w:pPr>
            <w:r>
              <w:rPr>
                <w:rFonts w:ascii="Arial" w:eastAsia="宋体" w:hAnsi="Arial" w:cs="Arial"/>
                <w:color w:val="000000"/>
                <w:sz w:val="16"/>
                <w:szCs w:val="16"/>
              </w:rPr>
              <w:t>Net transaction revenues</w:t>
            </w:r>
          </w:p>
        </w:tc>
        <w:tc>
          <w:tcPr>
            <w:tcW w:w="0" w:type="auto"/>
            <w:shd w:val="clear" w:color="auto" w:fill="E1E1E1"/>
            <w:tcMar>
              <w:top w:w="40" w:type="dxa"/>
              <w:left w:w="20" w:type="dxa"/>
              <w:bottom w:w="40" w:type="dxa"/>
              <w:right w:w="0" w:type="dxa"/>
            </w:tcMar>
            <w:vAlign w:val="bottom"/>
          </w:tcPr>
          <w:p w14:paraId="7268FDD0"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D1" w14:textId="77777777" w:rsidR="005F762A" w:rsidRDefault="00D74111">
            <w:pPr>
              <w:jc w:val="right"/>
              <w:textAlignment w:val="bottom"/>
            </w:pPr>
            <w:r>
              <w:rPr>
                <w:rFonts w:ascii="Arial" w:eastAsia="宋体" w:hAnsi="Arial" w:cs="Arial"/>
                <w:color w:val="000000"/>
                <w:sz w:val="16"/>
                <w:szCs w:val="16"/>
              </w:rPr>
              <w:t>2,732 </w:t>
            </w:r>
          </w:p>
        </w:tc>
        <w:tc>
          <w:tcPr>
            <w:tcW w:w="0" w:type="auto"/>
            <w:shd w:val="clear" w:color="auto" w:fill="E1E1E1"/>
            <w:tcMar>
              <w:top w:w="40" w:type="dxa"/>
              <w:left w:w="0" w:type="dxa"/>
              <w:bottom w:w="40" w:type="dxa"/>
              <w:right w:w="20" w:type="dxa"/>
            </w:tcMar>
            <w:vAlign w:val="bottom"/>
          </w:tcPr>
          <w:p w14:paraId="7268FDD2"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D3"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D4"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D5" w14:textId="77777777" w:rsidR="005F762A" w:rsidRDefault="00D74111">
            <w:pPr>
              <w:jc w:val="right"/>
              <w:textAlignment w:val="bottom"/>
            </w:pPr>
            <w:r>
              <w:rPr>
                <w:rFonts w:ascii="Arial" w:eastAsia="宋体" w:hAnsi="Arial" w:cs="Arial"/>
                <w:color w:val="000000"/>
                <w:sz w:val="16"/>
                <w:szCs w:val="16"/>
              </w:rPr>
              <w:t>69 </w:t>
            </w:r>
          </w:p>
        </w:tc>
        <w:tc>
          <w:tcPr>
            <w:tcW w:w="0" w:type="auto"/>
            <w:shd w:val="clear" w:color="auto" w:fill="E1E1E1"/>
            <w:tcMar>
              <w:top w:w="40" w:type="dxa"/>
              <w:left w:w="0" w:type="dxa"/>
              <w:bottom w:w="40" w:type="dxa"/>
              <w:right w:w="20" w:type="dxa"/>
            </w:tcMar>
            <w:vAlign w:val="bottom"/>
          </w:tcPr>
          <w:p w14:paraId="7268FDD6"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D7"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D8"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D9" w14:textId="77777777" w:rsidR="005F762A" w:rsidRDefault="00D74111">
            <w:pPr>
              <w:jc w:val="right"/>
              <w:textAlignment w:val="bottom"/>
            </w:pPr>
            <w:r>
              <w:rPr>
                <w:rFonts w:ascii="Arial" w:eastAsia="宋体" w:hAnsi="Arial" w:cs="Arial"/>
                <w:color w:val="000000"/>
                <w:sz w:val="16"/>
                <w:szCs w:val="16"/>
              </w:rPr>
              <w:t>2,663 </w:t>
            </w:r>
          </w:p>
        </w:tc>
        <w:tc>
          <w:tcPr>
            <w:tcW w:w="0" w:type="auto"/>
            <w:shd w:val="clear" w:color="auto" w:fill="E1E1E1"/>
            <w:tcMar>
              <w:top w:w="40" w:type="dxa"/>
              <w:left w:w="0" w:type="dxa"/>
              <w:bottom w:w="40" w:type="dxa"/>
              <w:right w:w="20" w:type="dxa"/>
            </w:tcMar>
            <w:vAlign w:val="bottom"/>
          </w:tcPr>
          <w:p w14:paraId="7268FDDA"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DB" w14:textId="77777777" w:rsidR="005F762A" w:rsidRDefault="005F762A">
            <w:pPr>
              <w:rPr>
                <w:rFonts w:ascii="宋体"/>
              </w:rPr>
            </w:pPr>
          </w:p>
        </w:tc>
        <w:tc>
          <w:tcPr>
            <w:tcW w:w="0" w:type="auto"/>
            <w:shd w:val="clear" w:color="auto" w:fill="E1E1E1"/>
            <w:tcMar>
              <w:top w:w="40" w:type="dxa"/>
              <w:left w:w="20" w:type="dxa"/>
              <w:bottom w:w="40" w:type="dxa"/>
              <w:right w:w="0" w:type="dxa"/>
            </w:tcMar>
            <w:vAlign w:val="bottom"/>
          </w:tcPr>
          <w:p w14:paraId="7268FDDC" w14:textId="77777777" w:rsidR="005F762A" w:rsidRDefault="00D74111">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7268FDDD" w14:textId="77777777" w:rsidR="005F762A" w:rsidRDefault="00D74111">
            <w:pPr>
              <w:jc w:val="right"/>
              <w:textAlignment w:val="bottom"/>
            </w:pPr>
            <w:r>
              <w:rPr>
                <w:rFonts w:ascii="Arial" w:eastAsia="宋体" w:hAnsi="Arial" w:cs="Arial"/>
                <w:color w:val="000000"/>
                <w:sz w:val="16"/>
                <w:szCs w:val="16"/>
              </w:rPr>
              <w:t>1,900 </w:t>
            </w:r>
          </w:p>
        </w:tc>
        <w:tc>
          <w:tcPr>
            <w:tcW w:w="0" w:type="auto"/>
            <w:shd w:val="clear" w:color="auto" w:fill="E1E1E1"/>
            <w:tcMar>
              <w:top w:w="40" w:type="dxa"/>
              <w:left w:w="0" w:type="dxa"/>
              <w:bottom w:w="40" w:type="dxa"/>
              <w:right w:w="20" w:type="dxa"/>
            </w:tcMar>
            <w:vAlign w:val="bottom"/>
          </w:tcPr>
          <w:p w14:paraId="7268FDDE"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DDF"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DE0" w14:textId="77777777" w:rsidR="005F762A" w:rsidRDefault="00D74111">
            <w:pPr>
              <w:jc w:val="right"/>
              <w:textAlignment w:val="bottom"/>
            </w:pPr>
            <w:r>
              <w:rPr>
                <w:rFonts w:ascii="Arial" w:eastAsia="宋体" w:hAnsi="Arial" w:cs="Arial"/>
                <w:color w:val="000000"/>
                <w:sz w:val="16"/>
                <w:szCs w:val="16"/>
              </w:rPr>
              <w:t>44 </w:t>
            </w:r>
          </w:p>
        </w:tc>
        <w:tc>
          <w:tcPr>
            <w:tcW w:w="0" w:type="auto"/>
            <w:shd w:val="clear" w:color="auto" w:fill="E1E1E1"/>
            <w:tcMar>
              <w:top w:w="40" w:type="dxa"/>
              <w:left w:w="0" w:type="dxa"/>
              <w:bottom w:w="40" w:type="dxa"/>
              <w:right w:w="20" w:type="dxa"/>
            </w:tcMar>
            <w:vAlign w:val="bottom"/>
          </w:tcPr>
          <w:p w14:paraId="7268FDE1"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tcPr>
          <w:p w14:paraId="7268FDE2" w14:textId="77777777" w:rsidR="005F762A" w:rsidRDefault="005F762A">
            <w:pPr>
              <w:rPr>
                <w:rFonts w:ascii="宋体"/>
              </w:rPr>
            </w:pPr>
          </w:p>
        </w:tc>
        <w:tc>
          <w:tcPr>
            <w:tcW w:w="0" w:type="auto"/>
            <w:gridSpan w:val="2"/>
            <w:shd w:val="clear" w:color="auto" w:fill="E1E1E1"/>
            <w:tcMar>
              <w:top w:w="40" w:type="dxa"/>
              <w:left w:w="20" w:type="dxa"/>
              <w:bottom w:w="40" w:type="dxa"/>
              <w:right w:w="0" w:type="dxa"/>
            </w:tcMar>
            <w:vAlign w:val="bottom"/>
          </w:tcPr>
          <w:p w14:paraId="7268FDE3" w14:textId="77777777" w:rsidR="005F762A" w:rsidRDefault="00D74111">
            <w:pPr>
              <w:jc w:val="right"/>
              <w:textAlignment w:val="bottom"/>
            </w:pPr>
            <w:r>
              <w:rPr>
                <w:rFonts w:ascii="Arial" w:eastAsia="宋体" w:hAnsi="Arial" w:cs="Arial"/>
                <w:color w:val="000000"/>
                <w:sz w:val="16"/>
                <w:szCs w:val="16"/>
              </w:rPr>
              <w:t>40 </w:t>
            </w:r>
          </w:p>
        </w:tc>
        <w:tc>
          <w:tcPr>
            <w:tcW w:w="0" w:type="auto"/>
            <w:shd w:val="clear" w:color="auto" w:fill="E1E1E1"/>
            <w:tcMar>
              <w:top w:w="40" w:type="dxa"/>
              <w:left w:w="0" w:type="dxa"/>
              <w:bottom w:w="40" w:type="dxa"/>
              <w:right w:w="20" w:type="dxa"/>
            </w:tcMar>
            <w:vAlign w:val="bottom"/>
          </w:tcPr>
          <w:p w14:paraId="7268FDE4" w14:textId="77777777" w:rsidR="005F762A" w:rsidRDefault="00D74111">
            <w:pPr>
              <w:jc w:val="right"/>
              <w:textAlignment w:val="bottom"/>
            </w:pPr>
            <w:r>
              <w:rPr>
                <w:rFonts w:ascii="Arial" w:eastAsia="宋体" w:hAnsi="Arial" w:cs="Arial"/>
                <w:color w:val="000000"/>
                <w:sz w:val="16"/>
                <w:szCs w:val="16"/>
              </w:rPr>
              <w:t>%</w:t>
            </w:r>
          </w:p>
        </w:tc>
      </w:tr>
      <w:tr w:rsidR="005F762A" w14:paraId="7268FDF2" w14:textId="77777777">
        <w:trPr>
          <w:hidden/>
        </w:trPr>
        <w:tc>
          <w:tcPr>
            <w:tcW w:w="0" w:type="auto"/>
            <w:gridSpan w:val="3"/>
            <w:shd w:val="clear" w:color="auto" w:fill="auto"/>
          </w:tcPr>
          <w:p w14:paraId="7268FDE6" w14:textId="77777777" w:rsidR="005F762A" w:rsidRDefault="005F762A">
            <w:pPr>
              <w:rPr>
                <w:rFonts w:ascii="宋体"/>
                <w:vanish/>
              </w:rPr>
            </w:pPr>
          </w:p>
        </w:tc>
        <w:tc>
          <w:tcPr>
            <w:tcW w:w="0" w:type="auto"/>
            <w:gridSpan w:val="3"/>
            <w:shd w:val="clear" w:color="auto" w:fill="auto"/>
          </w:tcPr>
          <w:p w14:paraId="7268FDE7" w14:textId="77777777" w:rsidR="005F762A" w:rsidRDefault="005F762A">
            <w:pPr>
              <w:rPr>
                <w:rFonts w:ascii="宋体"/>
                <w:vanish/>
              </w:rPr>
            </w:pPr>
          </w:p>
        </w:tc>
        <w:tc>
          <w:tcPr>
            <w:tcW w:w="0" w:type="auto"/>
            <w:gridSpan w:val="3"/>
            <w:shd w:val="clear" w:color="auto" w:fill="auto"/>
          </w:tcPr>
          <w:p w14:paraId="7268FDE8" w14:textId="77777777" w:rsidR="005F762A" w:rsidRDefault="005F762A">
            <w:pPr>
              <w:rPr>
                <w:rFonts w:ascii="宋体"/>
                <w:vanish/>
              </w:rPr>
            </w:pPr>
          </w:p>
        </w:tc>
        <w:tc>
          <w:tcPr>
            <w:tcW w:w="0" w:type="auto"/>
            <w:gridSpan w:val="3"/>
            <w:shd w:val="clear" w:color="auto" w:fill="auto"/>
          </w:tcPr>
          <w:p w14:paraId="7268FDE9" w14:textId="77777777" w:rsidR="005F762A" w:rsidRDefault="005F762A">
            <w:pPr>
              <w:rPr>
                <w:rFonts w:ascii="宋体"/>
                <w:vanish/>
              </w:rPr>
            </w:pPr>
          </w:p>
        </w:tc>
        <w:tc>
          <w:tcPr>
            <w:tcW w:w="0" w:type="auto"/>
            <w:gridSpan w:val="3"/>
            <w:shd w:val="clear" w:color="auto" w:fill="auto"/>
          </w:tcPr>
          <w:p w14:paraId="7268FDEA" w14:textId="77777777" w:rsidR="005F762A" w:rsidRDefault="005F762A">
            <w:pPr>
              <w:rPr>
                <w:rFonts w:ascii="宋体"/>
                <w:vanish/>
              </w:rPr>
            </w:pPr>
          </w:p>
        </w:tc>
        <w:tc>
          <w:tcPr>
            <w:tcW w:w="0" w:type="auto"/>
            <w:gridSpan w:val="3"/>
            <w:shd w:val="clear" w:color="auto" w:fill="auto"/>
          </w:tcPr>
          <w:p w14:paraId="7268FDEB" w14:textId="77777777" w:rsidR="005F762A" w:rsidRDefault="005F762A">
            <w:pPr>
              <w:rPr>
                <w:rFonts w:ascii="宋体"/>
                <w:vanish/>
              </w:rPr>
            </w:pPr>
          </w:p>
        </w:tc>
        <w:tc>
          <w:tcPr>
            <w:tcW w:w="0" w:type="auto"/>
            <w:gridSpan w:val="3"/>
            <w:shd w:val="clear" w:color="auto" w:fill="auto"/>
          </w:tcPr>
          <w:p w14:paraId="7268FDEC" w14:textId="77777777" w:rsidR="005F762A" w:rsidRDefault="005F762A">
            <w:pPr>
              <w:rPr>
                <w:rFonts w:ascii="宋体"/>
                <w:vanish/>
              </w:rPr>
            </w:pPr>
          </w:p>
        </w:tc>
        <w:tc>
          <w:tcPr>
            <w:tcW w:w="0" w:type="auto"/>
            <w:gridSpan w:val="3"/>
            <w:shd w:val="clear" w:color="auto" w:fill="auto"/>
          </w:tcPr>
          <w:p w14:paraId="7268FDED" w14:textId="77777777" w:rsidR="005F762A" w:rsidRDefault="005F762A">
            <w:pPr>
              <w:rPr>
                <w:rFonts w:ascii="宋体"/>
                <w:vanish/>
              </w:rPr>
            </w:pPr>
          </w:p>
        </w:tc>
        <w:tc>
          <w:tcPr>
            <w:tcW w:w="0" w:type="auto"/>
            <w:gridSpan w:val="3"/>
            <w:shd w:val="clear" w:color="auto" w:fill="auto"/>
          </w:tcPr>
          <w:p w14:paraId="7268FDEE" w14:textId="77777777" w:rsidR="005F762A" w:rsidRDefault="005F762A">
            <w:pPr>
              <w:rPr>
                <w:rFonts w:ascii="宋体"/>
                <w:vanish/>
              </w:rPr>
            </w:pPr>
          </w:p>
        </w:tc>
        <w:tc>
          <w:tcPr>
            <w:tcW w:w="0" w:type="auto"/>
            <w:gridSpan w:val="3"/>
            <w:shd w:val="clear" w:color="auto" w:fill="auto"/>
          </w:tcPr>
          <w:p w14:paraId="7268FDEF" w14:textId="77777777" w:rsidR="005F762A" w:rsidRDefault="005F762A">
            <w:pPr>
              <w:rPr>
                <w:rFonts w:ascii="宋体"/>
                <w:vanish/>
              </w:rPr>
            </w:pPr>
          </w:p>
        </w:tc>
        <w:tc>
          <w:tcPr>
            <w:tcW w:w="0" w:type="auto"/>
            <w:gridSpan w:val="3"/>
            <w:shd w:val="clear" w:color="auto" w:fill="auto"/>
          </w:tcPr>
          <w:p w14:paraId="7268FDF0" w14:textId="77777777" w:rsidR="005F762A" w:rsidRDefault="005F762A">
            <w:pPr>
              <w:rPr>
                <w:rFonts w:ascii="宋体"/>
                <w:vanish/>
              </w:rPr>
            </w:pPr>
          </w:p>
        </w:tc>
        <w:tc>
          <w:tcPr>
            <w:tcW w:w="0" w:type="auto"/>
            <w:gridSpan w:val="3"/>
            <w:shd w:val="clear" w:color="auto" w:fill="auto"/>
          </w:tcPr>
          <w:p w14:paraId="7268FDF1" w14:textId="77777777" w:rsidR="005F762A" w:rsidRDefault="005F762A">
            <w:pPr>
              <w:rPr>
                <w:rFonts w:ascii="宋体"/>
                <w:vanish/>
              </w:rPr>
            </w:pPr>
          </w:p>
        </w:tc>
      </w:tr>
      <w:tr w:rsidR="005F762A" w14:paraId="7268FDFF" w14:textId="77777777">
        <w:trPr>
          <w:hidden/>
        </w:trPr>
        <w:tc>
          <w:tcPr>
            <w:tcW w:w="0" w:type="auto"/>
            <w:gridSpan w:val="3"/>
            <w:shd w:val="clear" w:color="auto" w:fill="auto"/>
          </w:tcPr>
          <w:p w14:paraId="7268FDF3" w14:textId="77777777" w:rsidR="005F762A" w:rsidRDefault="005F762A">
            <w:pPr>
              <w:rPr>
                <w:rFonts w:ascii="宋体"/>
                <w:vanish/>
              </w:rPr>
            </w:pPr>
          </w:p>
        </w:tc>
        <w:tc>
          <w:tcPr>
            <w:tcW w:w="0" w:type="auto"/>
            <w:gridSpan w:val="3"/>
            <w:shd w:val="clear" w:color="auto" w:fill="auto"/>
          </w:tcPr>
          <w:p w14:paraId="7268FDF4" w14:textId="77777777" w:rsidR="005F762A" w:rsidRDefault="005F762A">
            <w:pPr>
              <w:rPr>
                <w:rFonts w:ascii="宋体"/>
                <w:vanish/>
              </w:rPr>
            </w:pPr>
          </w:p>
        </w:tc>
        <w:tc>
          <w:tcPr>
            <w:tcW w:w="0" w:type="auto"/>
            <w:gridSpan w:val="3"/>
            <w:shd w:val="clear" w:color="auto" w:fill="auto"/>
          </w:tcPr>
          <w:p w14:paraId="7268FDF5" w14:textId="77777777" w:rsidR="005F762A" w:rsidRDefault="005F762A">
            <w:pPr>
              <w:rPr>
                <w:rFonts w:ascii="宋体"/>
                <w:vanish/>
              </w:rPr>
            </w:pPr>
          </w:p>
        </w:tc>
        <w:tc>
          <w:tcPr>
            <w:tcW w:w="0" w:type="auto"/>
            <w:gridSpan w:val="3"/>
            <w:shd w:val="clear" w:color="auto" w:fill="auto"/>
          </w:tcPr>
          <w:p w14:paraId="7268FDF6" w14:textId="77777777" w:rsidR="005F762A" w:rsidRDefault="005F762A">
            <w:pPr>
              <w:rPr>
                <w:rFonts w:ascii="宋体"/>
                <w:vanish/>
              </w:rPr>
            </w:pPr>
          </w:p>
        </w:tc>
        <w:tc>
          <w:tcPr>
            <w:tcW w:w="0" w:type="auto"/>
            <w:gridSpan w:val="3"/>
            <w:shd w:val="clear" w:color="auto" w:fill="auto"/>
          </w:tcPr>
          <w:p w14:paraId="7268FDF7" w14:textId="77777777" w:rsidR="005F762A" w:rsidRDefault="005F762A">
            <w:pPr>
              <w:rPr>
                <w:rFonts w:ascii="宋体"/>
                <w:vanish/>
              </w:rPr>
            </w:pPr>
          </w:p>
        </w:tc>
        <w:tc>
          <w:tcPr>
            <w:tcW w:w="0" w:type="auto"/>
            <w:gridSpan w:val="3"/>
            <w:shd w:val="clear" w:color="auto" w:fill="auto"/>
          </w:tcPr>
          <w:p w14:paraId="7268FDF8" w14:textId="77777777" w:rsidR="005F762A" w:rsidRDefault="005F762A">
            <w:pPr>
              <w:rPr>
                <w:rFonts w:ascii="宋体"/>
                <w:vanish/>
              </w:rPr>
            </w:pPr>
          </w:p>
        </w:tc>
        <w:tc>
          <w:tcPr>
            <w:tcW w:w="0" w:type="auto"/>
            <w:gridSpan w:val="3"/>
            <w:shd w:val="clear" w:color="auto" w:fill="auto"/>
          </w:tcPr>
          <w:p w14:paraId="7268FDF9" w14:textId="77777777" w:rsidR="005F762A" w:rsidRDefault="005F762A">
            <w:pPr>
              <w:rPr>
                <w:rFonts w:ascii="宋体"/>
                <w:vanish/>
              </w:rPr>
            </w:pPr>
          </w:p>
        </w:tc>
        <w:tc>
          <w:tcPr>
            <w:tcW w:w="0" w:type="auto"/>
            <w:gridSpan w:val="3"/>
            <w:shd w:val="clear" w:color="auto" w:fill="auto"/>
          </w:tcPr>
          <w:p w14:paraId="7268FDFA" w14:textId="77777777" w:rsidR="005F762A" w:rsidRDefault="005F762A">
            <w:pPr>
              <w:rPr>
                <w:rFonts w:ascii="宋体"/>
                <w:vanish/>
              </w:rPr>
            </w:pPr>
          </w:p>
        </w:tc>
        <w:tc>
          <w:tcPr>
            <w:tcW w:w="0" w:type="auto"/>
            <w:gridSpan w:val="3"/>
            <w:shd w:val="clear" w:color="auto" w:fill="auto"/>
          </w:tcPr>
          <w:p w14:paraId="7268FDFB" w14:textId="77777777" w:rsidR="005F762A" w:rsidRDefault="005F762A">
            <w:pPr>
              <w:rPr>
                <w:rFonts w:ascii="宋体"/>
                <w:vanish/>
              </w:rPr>
            </w:pPr>
          </w:p>
        </w:tc>
        <w:tc>
          <w:tcPr>
            <w:tcW w:w="0" w:type="auto"/>
            <w:gridSpan w:val="3"/>
            <w:shd w:val="clear" w:color="auto" w:fill="auto"/>
          </w:tcPr>
          <w:p w14:paraId="7268FDFC" w14:textId="77777777" w:rsidR="005F762A" w:rsidRDefault="005F762A">
            <w:pPr>
              <w:rPr>
                <w:rFonts w:ascii="宋体"/>
                <w:vanish/>
              </w:rPr>
            </w:pPr>
          </w:p>
        </w:tc>
        <w:tc>
          <w:tcPr>
            <w:tcW w:w="0" w:type="auto"/>
            <w:gridSpan w:val="3"/>
            <w:shd w:val="clear" w:color="auto" w:fill="auto"/>
          </w:tcPr>
          <w:p w14:paraId="7268FDFD" w14:textId="77777777" w:rsidR="005F762A" w:rsidRDefault="005F762A">
            <w:pPr>
              <w:rPr>
                <w:rFonts w:ascii="宋体"/>
                <w:vanish/>
              </w:rPr>
            </w:pPr>
          </w:p>
        </w:tc>
        <w:tc>
          <w:tcPr>
            <w:tcW w:w="0" w:type="auto"/>
            <w:gridSpan w:val="3"/>
            <w:shd w:val="clear" w:color="auto" w:fill="auto"/>
          </w:tcPr>
          <w:p w14:paraId="7268FDFE" w14:textId="77777777" w:rsidR="005F762A" w:rsidRDefault="005F762A">
            <w:pPr>
              <w:rPr>
                <w:rFonts w:ascii="宋体"/>
                <w:vanish/>
              </w:rPr>
            </w:pPr>
          </w:p>
        </w:tc>
      </w:tr>
      <w:tr w:rsidR="005F762A" w14:paraId="7268FE0C" w14:textId="77777777">
        <w:trPr>
          <w:hidden/>
        </w:trPr>
        <w:tc>
          <w:tcPr>
            <w:tcW w:w="0" w:type="auto"/>
            <w:gridSpan w:val="3"/>
            <w:shd w:val="clear" w:color="auto" w:fill="auto"/>
          </w:tcPr>
          <w:p w14:paraId="7268FE00" w14:textId="77777777" w:rsidR="005F762A" w:rsidRDefault="005F762A">
            <w:pPr>
              <w:rPr>
                <w:rFonts w:ascii="宋体"/>
                <w:vanish/>
              </w:rPr>
            </w:pPr>
          </w:p>
        </w:tc>
        <w:tc>
          <w:tcPr>
            <w:tcW w:w="0" w:type="auto"/>
            <w:gridSpan w:val="3"/>
            <w:shd w:val="clear" w:color="auto" w:fill="auto"/>
          </w:tcPr>
          <w:p w14:paraId="7268FE01" w14:textId="77777777" w:rsidR="005F762A" w:rsidRDefault="005F762A">
            <w:pPr>
              <w:rPr>
                <w:rFonts w:ascii="宋体"/>
                <w:vanish/>
              </w:rPr>
            </w:pPr>
          </w:p>
        </w:tc>
        <w:tc>
          <w:tcPr>
            <w:tcW w:w="0" w:type="auto"/>
            <w:gridSpan w:val="3"/>
            <w:shd w:val="clear" w:color="auto" w:fill="auto"/>
          </w:tcPr>
          <w:p w14:paraId="7268FE02" w14:textId="77777777" w:rsidR="005F762A" w:rsidRDefault="005F762A">
            <w:pPr>
              <w:rPr>
                <w:rFonts w:ascii="宋体"/>
                <w:vanish/>
              </w:rPr>
            </w:pPr>
          </w:p>
        </w:tc>
        <w:tc>
          <w:tcPr>
            <w:tcW w:w="0" w:type="auto"/>
            <w:gridSpan w:val="3"/>
            <w:shd w:val="clear" w:color="auto" w:fill="auto"/>
          </w:tcPr>
          <w:p w14:paraId="7268FE03" w14:textId="77777777" w:rsidR="005F762A" w:rsidRDefault="005F762A">
            <w:pPr>
              <w:rPr>
                <w:rFonts w:ascii="宋体"/>
                <w:vanish/>
              </w:rPr>
            </w:pPr>
          </w:p>
        </w:tc>
        <w:tc>
          <w:tcPr>
            <w:tcW w:w="0" w:type="auto"/>
            <w:gridSpan w:val="3"/>
            <w:shd w:val="clear" w:color="auto" w:fill="auto"/>
          </w:tcPr>
          <w:p w14:paraId="7268FE04" w14:textId="77777777" w:rsidR="005F762A" w:rsidRDefault="005F762A">
            <w:pPr>
              <w:rPr>
                <w:rFonts w:ascii="宋体"/>
                <w:vanish/>
              </w:rPr>
            </w:pPr>
          </w:p>
        </w:tc>
        <w:tc>
          <w:tcPr>
            <w:tcW w:w="0" w:type="auto"/>
            <w:gridSpan w:val="3"/>
            <w:shd w:val="clear" w:color="auto" w:fill="auto"/>
          </w:tcPr>
          <w:p w14:paraId="7268FE05" w14:textId="77777777" w:rsidR="005F762A" w:rsidRDefault="005F762A">
            <w:pPr>
              <w:rPr>
                <w:rFonts w:ascii="宋体"/>
                <w:vanish/>
              </w:rPr>
            </w:pPr>
          </w:p>
        </w:tc>
        <w:tc>
          <w:tcPr>
            <w:tcW w:w="0" w:type="auto"/>
            <w:gridSpan w:val="3"/>
            <w:shd w:val="clear" w:color="auto" w:fill="auto"/>
          </w:tcPr>
          <w:p w14:paraId="7268FE06" w14:textId="77777777" w:rsidR="005F762A" w:rsidRDefault="005F762A">
            <w:pPr>
              <w:rPr>
                <w:rFonts w:ascii="宋体"/>
                <w:vanish/>
              </w:rPr>
            </w:pPr>
          </w:p>
        </w:tc>
        <w:tc>
          <w:tcPr>
            <w:tcW w:w="0" w:type="auto"/>
            <w:gridSpan w:val="3"/>
            <w:shd w:val="clear" w:color="auto" w:fill="auto"/>
          </w:tcPr>
          <w:p w14:paraId="7268FE07" w14:textId="77777777" w:rsidR="005F762A" w:rsidRDefault="005F762A">
            <w:pPr>
              <w:rPr>
                <w:rFonts w:ascii="宋体"/>
                <w:vanish/>
              </w:rPr>
            </w:pPr>
          </w:p>
        </w:tc>
        <w:tc>
          <w:tcPr>
            <w:tcW w:w="0" w:type="auto"/>
            <w:gridSpan w:val="3"/>
            <w:shd w:val="clear" w:color="auto" w:fill="auto"/>
          </w:tcPr>
          <w:p w14:paraId="7268FE08" w14:textId="77777777" w:rsidR="005F762A" w:rsidRDefault="005F762A">
            <w:pPr>
              <w:rPr>
                <w:rFonts w:ascii="宋体"/>
                <w:vanish/>
              </w:rPr>
            </w:pPr>
          </w:p>
        </w:tc>
        <w:tc>
          <w:tcPr>
            <w:tcW w:w="0" w:type="auto"/>
            <w:gridSpan w:val="3"/>
            <w:shd w:val="clear" w:color="auto" w:fill="auto"/>
          </w:tcPr>
          <w:p w14:paraId="7268FE09" w14:textId="77777777" w:rsidR="005F762A" w:rsidRDefault="005F762A">
            <w:pPr>
              <w:rPr>
                <w:rFonts w:ascii="宋体"/>
                <w:vanish/>
              </w:rPr>
            </w:pPr>
          </w:p>
        </w:tc>
        <w:tc>
          <w:tcPr>
            <w:tcW w:w="0" w:type="auto"/>
            <w:gridSpan w:val="3"/>
            <w:shd w:val="clear" w:color="auto" w:fill="auto"/>
          </w:tcPr>
          <w:p w14:paraId="7268FE0A" w14:textId="77777777" w:rsidR="005F762A" w:rsidRDefault="005F762A">
            <w:pPr>
              <w:rPr>
                <w:rFonts w:ascii="宋体"/>
                <w:vanish/>
              </w:rPr>
            </w:pPr>
          </w:p>
        </w:tc>
        <w:tc>
          <w:tcPr>
            <w:tcW w:w="0" w:type="auto"/>
            <w:gridSpan w:val="3"/>
            <w:shd w:val="clear" w:color="auto" w:fill="auto"/>
          </w:tcPr>
          <w:p w14:paraId="7268FE0B" w14:textId="77777777" w:rsidR="005F762A" w:rsidRDefault="005F762A">
            <w:pPr>
              <w:rPr>
                <w:rFonts w:ascii="宋体"/>
                <w:vanish/>
              </w:rPr>
            </w:pPr>
          </w:p>
        </w:tc>
      </w:tr>
      <w:tr w:rsidR="005F762A" w14:paraId="7268FE1F" w14:textId="77777777">
        <w:tc>
          <w:tcPr>
            <w:tcW w:w="0" w:type="auto"/>
            <w:gridSpan w:val="3"/>
            <w:shd w:val="clear" w:color="auto" w:fill="FFFFFF"/>
            <w:tcMar>
              <w:top w:w="40" w:type="dxa"/>
              <w:left w:w="140" w:type="dxa"/>
              <w:bottom w:w="40" w:type="dxa"/>
              <w:right w:w="20" w:type="dxa"/>
            </w:tcMar>
            <w:vAlign w:val="bottom"/>
          </w:tcPr>
          <w:p w14:paraId="7268FE0D" w14:textId="77777777" w:rsidR="005F762A" w:rsidRDefault="00D74111">
            <w:pPr>
              <w:textAlignment w:val="bottom"/>
            </w:pPr>
            <w:r>
              <w:rPr>
                <w:rFonts w:ascii="Arial" w:eastAsia="宋体" w:hAnsi="Arial" w:cs="Arial"/>
                <w:color w:val="000000"/>
                <w:sz w:val="16"/>
                <w:szCs w:val="16"/>
              </w:rPr>
              <w:t>Marketing services and other revenues</w:t>
            </w:r>
          </w:p>
        </w:tc>
        <w:tc>
          <w:tcPr>
            <w:tcW w:w="0" w:type="auto"/>
            <w:gridSpan w:val="2"/>
            <w:shd w:val="clear" w:color="auto" w:fill="FFFFFF"/>
            <w:tcMar>
              <w:top w:w="40" w:type="dxa"/>
              <w:left w:w="20" w:type="dxa"/>
              <w:bottom w:w="40" w:type="dxa"/>
              <w:right w:w="0" w:type="dxa"/>
            </w:tcMar>
            <w:vAlign w:val="bottom"/>
          </w:tcPr>
          <w:p w14:paraId="7268FE0E" w14:textId="77777777" w:rsidR="005F762A" w:rsidRDefault="00D74111">
            <w:pPr>
              <w:jc w:val="right"/>
              <w:textAlignment w:val="bottom"/>
            </w:pPr>
            <w:r>
              <w:rPr>
                <w:rFonts w:ascii="Arial" w:eastAsia="宋体" w:hAnsi="Arial" w:cs="Arial"/>
                <w:color w:val="000000"/>
                <w:sz w:val="16"/>
                <w:szCs w:val="16"/>
              </w:rPr>
              <w:t>291 </w:t>
            </w:r>
          </w:p>
        </w:tc>
        <w:tc>
          <w:tcPr>
            <w:tcW w:w="0" w:type="auto"/>
            <w:shd w:val="clear" w:color="auto" w:fill="FFFFFF"/>
            <w:tcMar>
              <w:top w:w="40" w:type="dxa"/>
              <w:left w:w="0" w:type="dxa"/>
              <w:bottom w:w="40" w:type="dxa"/>
              <w:right w:w="20" w:type="dxa"/>
            </w:tcMar>
            <w:vAlign w:val="bottom"/>
          </w:tcPr>
          <w:p w14:paraId="7268FE0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10"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11" w14:textId="77777777" w:rsidR="005F762A" w:rsidRDefault="00D74111">
            <w:pPr>
              <w:jc w:val="right"/>
              <w:textAlignment w:val="bottom"/>
            </w:pPr>
            <w:r>
              <w:rPr>
                <w:rFonts w:ascii="Arial" w:eastAsia="宋体" w:hAnsi="Arial" w:cs="Arial"/>
                <w:color w:val="000000"/>
                <w:sz w:val="16"/>
                <w:szCs w:val="16"/>
              </w:rPr>
              <w:t>11 </w:t>
            </w:r>
          </w:p>
        </w:tc>
        <w:tc>
          <w:tcPr>
            <w:tcW w:w="0" w:type="auto"/>
            <w:shd w:val="clear" w:color="auto" w:fill="FFFFFF"/>
            <w:tcMar>
              <w:top w:w="40" w:type="dxa"/>
              <w:left w:w="0" w:type="dxa"/>
              <w:bottom w:w="40" w:type="dxa"/>
              <w:right w:w="20" w:type="dxa"/>
            </w:tcMar>
            <w:vAlign w:val="bottom"/>
          </w:tcPr>
          <w:p w14:paraId="7268FE12"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13"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14" w14:textId="77777777" w:rsidR="005F762A" w:rsidRDefault="00D74111">
            <w:pPr>
              <w:jc w:val="right"/>
              <w:textAlignment w:val="bottom"/>
            </w:pPr>
            <w:r>
              <w:rPr>
                <w:rFonts w:ascii="Arial" w:eastAsia="宋体" w:hAnsi="Arial" w:cs="Arial"/>
                <w:color w:val="000000"/>
                <w:sz w:val="16"/>
                <w:szCs w:val="16"/>
              </w:rPr>
              <w:t>280 </w:t>
            </w:r>
          </w:p>
        </w:tc>
        <w:tc>
          <w:tcPr>
            <w:tcW w:w="0" w:type="auto"/>
            <w:shd w:val="clear" w:color="auto" w:fill="FFFFFF"/>
            <w:tcMar>
              <w:top w:w="40" w:type="dxa"/>
              <w:left w:w="0" w:type="dxa"/>
              <w:bottom w:w="40" w:type="dxa"/>
              <w:right w:w="20" w:type="dxa"/>
            </w:tcMar>
            <w:vAlign w:val="bottom"/>
          </w:tcPr>
          <w:p w14:paraId="7268FE15"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16"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17" w14:textId="77777777" w:rsidR="005F762A" w:rsidRDefault="00D74111">
            <w:pPr>
              <w:jc w:val="right"/>
              <w:textAlignment w:val="bottom"/>
            </w:pPr>
            <w:r>
              <w:rPr>
                <w:rFonts w:ascii="Arial" w:eastAsia="宋体" w:hAnsi="Arial" w:cs="Arial"/>
                <w:color w:val="000000"/>
                <w:sz w:val="16"/>
                <w:szCs w:val="16"/>
              </w:rPr>
              <w:t>229 </w:t>
            </w:r>
          </w:p>
        </w:tc>
        <w:tc>
          <w:tcPr>
            <w:tcW w:w="0" w:type="auto"/>
            <w:shd w:val="clear" w:color="auto" w:fill="FFFFFF"/>
            <w:tcMar>
              <w:top w:w="40" w:type="dxa"/>
              <w:left w:w="0" w:type="dxa"/>
              <w:bottom w:w="40" w:type="dxa"/>
              <w:right w:w="20" w:type="dxa"/>
            </w:tcMar>
            <w:vAlign w:val="bottom"/>
          </w:tcPr>
          <w:p w14:paraId="7268FE1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1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1A" w14:textId="77777777" w:rsidR="005F762A" w:rsidRDefault="00D74111">
            <w:pPr>
              <w:jc w:val="right"/>
              <w:textAlignment w:val="bottom"/>
            </w:pPr>
            <w:r>
              <w:rPr>
                <w:rFonts w:ascii="Arial" w:eastAsia="宋体" w:hAnsi="Arial" w:cs="Arial"/>
                <w:color w:val="000000"/>
                <w:sz w:val="16"/>
                <w:szCs w:val="16"/>
              </w:rPr>
              <w:t>27 </w:t>
            </w:r>
          </w:p>
        </w:tc>
        <w:tc>
          <w:tcPr>
            <w:tcW w:w="0" w:type="auto"/>
            <w:shd w:val="clear" w:color="auto" w:fill="FFFFFF"/>
            <w:tcMar>
              <w:top w:w="40" w:type="dxa"/>
              <w:left w:w="0" w:type="dxa"/>
              <w:bottom w:w="40" w:type="dxa"/>
              <w:right w:w="20" w:type="dxa"/>
            </w:tcMar>
            <w:vAlign w:val="bottom"/>
          </w:tcPr>
          <w:p w14:paraId="7268FE1B"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tcPr>
          <w:p w14:paraId="7268FE1C"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1D" w14:textId="77777777" w:rsidR="005F762A" w:rsidRDefault="00D74111">
            <w:pPr>
              <w:jc w:val="right"/>
              <w:textAlignment w:val="bottom"/>
            </w:pPr>
            <w:r>
              <w:rPr>
                <w:rFonts w:ascii="Arial" w:eastAsia="宋体" w:hAnsi="Arial" w:cs="Arial"/>
                <w:color w:val="000000"/>
                <w:sz w:val="16"/>
                <w:szCs w:val="16"/>
              </w:rPr>
              <w:t>22 </w:t>
            </w:r>
          </w:p>
        </w:tc>
        <w:tc>
          <w:tcPr>
            <w:tcW w:w="0" w:type="auto"/>
            <w:shd w:val="clear" w:color="auto" w:fill="FFFFFF"/>
            <w:tcMar>
              <w:top w:w="40" w:type="dxa"/>
              <w:left w:w="0" w:type="dxa"/>
              <w:bottom w:w="40" w:type="dxa"/>
              <w:right w:w="20" w:type="dxa"/>
            </w:tcMar>
            <w:vAlign w:val="bottom"/>
          </w:tcPr>
          <w:p w14:paraId="7268FE1E" w14:textId="77777777" w:rsidR="005F762A" w:rsidRDefault="00D74111">
            <w:pPr>
              <w:jc w:val="right"/>
              <w:textAlignment w:val="bottom"/>
            </w:pPr>
            <w:r>
              <w:rPr>
                <w:rFonts w:ascii="Arial" w:eastAsia="宋体" w:hAnsi="Arial" w:cs="Arial"/>
                <w:color w:val="000000"/>
                <w:sz w:val="16"/>
                <w:szCs w:val="16"/>
              </w:rPr>
              <w:t>%</w:t>
            </w:r>
          </w:p>
        </w:tc>
      </w:tr>
      <w:tr w:rsidR="005F762A" w14:paraId="7268FE2C" w14:textId="77777777">
        <w:trPr>
          <w:hidden/>
        </w:trPr>
        <w:tc>
          <w:tcPr>
            <w:tcW w:w="0" w:type="auto"/>
            <w:gridSpan w:val="3"/>
            <w:shd w:val="clear" w:color="auto" w:fill="auto"/>
          </w:tcPr>
          <w:p w14:paraId="7268FE20" w14:textId="77777777" w:rsidR="005F762A" w:rsidRDefault="005F762A">
            <w:pPr>
              <w:rPr>
                <w:rFonts w:ascii="宋体"/>
                <w:vanish/>
              </w:rPr>
            </w:pPr>
          </w:p>
        </w:tc>
        <w:tc>
          <w:tcPr>
            <w:tcW w:w="0" w:type="auto"/>
            <w:gridSpan w:val="3"/>
            <w:shd w:val="clear" w:color="auto" w:fill="auto"/>
          </w:tcPr>
          <w:p w14:paraId="7268FE21" w14:textId="77777777" w:rsidR="005F762A" w:rsidRDefault="005F762A">
            <w:pPr>
              <w:rPr>
                <w:rFonts w:ascii="宋体"/>
                <w:vanish/>
              </w:rPr>
            </w:pPr>
          </w:p>
        </w:tc>
        <w:tc>
          <w:tcPr>
            <w:tcW w:w="0" w:type="auto"/>
            <w:gridSpan w:val="3"/>
            <w:shd w:val="clear" w:color="auto" w:fill="auto"/>
          </w:tcPr>
          <w:p w14:paraId="7268FE22" w14:textId="77777777" w:rsidR="005F762A" w:rsidRDefault="005F762A">
            <w:pPr>
              <w:rPr>
                <w:rFonts w:ascii="宋体"/>
                <w:vanish/>
              </w:rPr>
            </w:pPr>
          </w:p>
        </w:tc>
        <w:tc>
          <w:tcPr>
            <w:tcW w:w="0" w:type="auto"/>
            <w:gridSpan w:val="3"/>
            <w:shd w:val="clear" w:color="auto" w:fill="auto"/>
          </w:tcPr>
          <w:p w14:paraId="7268FE23" w14:textId="77777777" w:rsidR="005F762A" w:rsidRDefault="005F762A">
            <w:pPr>
              <w:rPr>
                <w:rFonts w:ascii="宋体"/>
                <w:vanish/>
              </w:rPr>
            </w:pPr>
          </w:p>
        </w:tc>
        <w:tc>
          <w:tcPr>
            <w:tcW w:w="0" w:type="auto"/>
            <w:gridSpan w:val="3"/>
            <w:shd w:val="clear" w:color="auto" w:fill="auto"/>
          </w:tcPr>
          <w:p w14:paraId="7268FE24" w14:textId="77777777" w:rsidR="005F762A" w:rsidRDefault="005F762A">
            <w:pPr>
              <w:rPr>
                <w:rFonts w:ascii="宋体"/>
                <w:vanish/>
              </w:rPr>
            </w:pPr>
          </w:p>
        </w:tc>
        <w:tc>
          <w:tcPr>
            <w:tcW w:w="0" w:type="auto"/>
            <w:gridSpan w:val="3"/>
            <w:shd w:val="clear" w:color="auto" w:fill="auto"/>
          </w:tcPr>
          <w:p w14:paraId="7268FE25" w14:textId="77777777" w:rsidR="005F762A" w:rsidRDefault="005F762A">
            <w:pPr>
              <w:rPr>
                <w:rFonts w:ascii="宋体"/>
                <w:vanish/>
              </w:rPr>
            </w:pPr>
          </w:p>
        </w:tc>
        <w:tc>
          <w:tcPr>
            <w:tcW w:w="0" w:type="auto"/>
            <w:gridSpan w:val="3"/>
            <w:shd w:val="clear" w:color="auto" w:fill="auto"/>
          </w:tcPr>
          <w:p w14:paraId="7268FE26" w14:textId="77777777" w:rsidR="005F762A" w:rsidRDefault="005F762A">
            <w:pPr>
              <w:rPr>
                <w:rFonts w:ascii="宋体"/>
                <w:vanish/>
              </w:rPr>
            </w:pPr>
          </w:p>
        </w:tc>
        <w:tc>
          <w:tcPr>
            <w:tcW w:w="0" w:type="auto"/>
            <w:gridSpan w:val="3"/>
            <w:shd w:val="clear" w:color="auto" w:fill="auto"/>
          </w:tcPr>
          <w:p w14:paraId="7268FE27" w14:textId="77777777" w:rsidR="005F762A" w:rsidRDefault="005F762A">
            <w:pPr>
              <w:rPr>
                <w:rFonts w:ascii="宋体"/>
                <w:vanish/>
              </w:rPr>
            </w:pPr>
          </w:p>
        </w:tc>
        <w:tc>
          <w:tcPr>
            <w:tcW w:w="0" w:type="auto"/>
            <w:gridSpan w:val="3"/>
            <w:shd w:val="clear" w:color="auto" w:fill="auto"/>
          </w:tcPr>
          <w:p w14:paraId="7268FE28" w14:textId="77777777" w:rsidR="005F762A" w:rsidRDefault="005F762A">
            <w:pPr>
              <w:rPr>
                <w:rFonts w:ascii="宋体"/>
                <w:vanish/>
              </w:rPr>
            </w:pPr>
          </w:p>
        </w:tc>
        <w:tc>
          <w:tcPr>
            <w:tcW w:w="0" w:type="auto"/>
            <w:gridSpan w:val="3"/>
            <w:shd w:val="clear" w:color="auto" w:fill="auto"/>
          </w:tcPr>
          <w:p w14:paraId="7268FE29" w14:textId="77777777" w:rsidR="005F762A" w:rsidRDefault="005F762A">
            <w:pPr>
              <w:rPr>
                <w:rFonts w:ascii="宋体"/>
                <w:vanish/>
              </w:rPr>
            </w:pPr>
          </w:p>
        </w:tc>
        <w:tc>
          <w:tcPr>
            <w:tcW w:w="0" w:type="auto"/>
            <w:gridSpan w:val="3"/>
            <w:shd w:val="clear" w:color="auto" w:fill="auto"/>
          </w:tcPr>
          <w:p w14:paraId="7268FE2A" w14:textId="77777777" w:rsidR="005F762A" w:rsidRDefault="005F762A">
            <w:pPr>
              <w:rPr>
                <w:rFonts w:ascii="宋体"/>
                <w:vanish/>
              </w:rPr>
            </w:pPr>
          </w:p>
        </w:tc>
        <w:tc>
          <w:tcPr>
            <w:tcW w:w="0" w:type="auto"/>
            <w:gridSpan w:val="3"/>
            <w:shd w:val="clear" w:color="auto" w:fill="auto"/>
          </w:tcPr>
          <w:p w14:paraId="7268FE2B" w14:textId="77777777" w:rsidR="005F762A" w:rsidRDefault="005F762A">
            <w:pPr>
              <w:rPr>
                <w:rFonts w:ascii="宋体"/>
                <w:vanish/>
              </w:rPr>
            </w:pPr>
          </w:p>
        </w:tc>
      </w:tr>
      <w:tr w:rsidR="005F762A" w14:paraId="7268FE39" w14:textId="77777777">
        <w:trPr>
          <w:hidden/>
        </w:trPr>
        <w:tc>
          <w:tcPr>
            <w:tcW w:w="0" w:type="auto"/>
            <w:gridSpan w:val="3"/>
            <w:shd w:val="clear" w:color="auto" w:fill="auto"/>
          </w:tcPr>
          <w:p w14:paraId="7268FE2D" w14:textId="77777777" w:rsidR="005F762A" w:rsidRDefault="005F762A">
            <w:pPr>
              <w:rPr>
                <w:rFonts w:ascii="宋体"/>
                <w:vanish/>
              </w:rPr>
            </w:pPr>
          </w:p>
        </w:tc>
        <w:tc>
          <w:tcPr>
            <w:tcW w:w="0" w:type="auto"/>
            <w:gridSpan w:val="3"/>
            <w:shd w:val="clear" w:color="auto" w:fill="auto"/>
          </w:tcPr>
          <w:p w14:paraId="7268FE2E" w14:textId="77777777" w:rsidR="005F762A" w:rsidRDefault="005F762A">
            <w:pPr>
              <w:rPr>
                <w:rFonts w:ascii="宋体"/>
                <w:vanish/>
              </w:rPr>
            </w:pPr>
          </w:p>
        </w:tc>
        <w:tc>
          <w:tcPr>
            <w:tcW w:w="0" w:type="auto"/>
            <w:gridSpan w:val="3"/>
            <w:shd w:val="clear" w:color="auto" w:fill="auto"/>
          </w:tcPr>
          <w:p w14:paraId="7268FE2F" w14:textId="77777777" w:rsidR="005F762A" w:rsidRDefault="005F762A">
            <w:pPr>
              <w:rPr>
                <w:rFonts w:ascii="宋体"/>
                <w:vanish/>
              </w:rPr>
            </w:pPr>
          </w:p>
        </w:tc>
        <w:tc>
          <w:tcPr>
            <w:tcW w:w="0" w:type="auto"/>
            <w:gridSpan w:val="3"/>
            <w:shd w:val="clear" w:color="auto" w:fill="auto"/>
          </w:tcPr>
          <w:p w14:paraId="7268FE30" w14:textId="77777777" w:rsidR="005F762A" w:rsidRDefault="005F762A">
            <w:pPr>
              <w:rPr>
                <w:rFonts w:ascii="宋体"/>
                <w:vanish/>
              </w:rPr>
            </w:pPr>
          </w:p>
        </w:tc>
        <w:tc>
          <w:tcPr>
            <w:tcW w:w="0" w:type="auto"/>
            <w:gridSpan w:val="3"/>
            <w:shd w:val="clear" w:color="auto" w:fill="auto"/>
          </w:tcPr>
          <w:p w14:paraId="7268FE31" w14:textId="77777777" w:rsidR="005F762A" w:rsidRDefault="005F762A">
            <w:pPr>
              <w:rPr>
                <w:rFonts w:ascii="宋体"/>
                <w:vanish/>
              </w:rPr>
            </w:pPr>
          </w:p>
        </w:tc>
        <w:tc>
          <w:tcPr>
            <w:tcW w:w="0" w:type="auto"/>
            <w:gridSpan w:val="3"/>
            <w:shd w:val="clear" w:color="auto" w:fill="auto"/>
          </w:tcPr>
          <w:p w14:paraId="7268FE32" w14:textId="77777777" w:rsidR="005F762A" w:rsidRDefault="005F762A">
            <w:pPr>
              <w:rPr>
                <w:rFonts w:ascii="宋体"/>
                <w:vanish/>
              </w:rPr>
            </w:pPr>
          </w:p>
        </w:tc>
        <w:tc>
          <w:tcPr>
            <w:tcW w:w="0" w:type="auto"/>
            <w:gridSpan w:val="3"/>
            <w:shd w:val="clear" w:color="auto" w:fill="auto"/>
          </w:tcPr>
          <w:p w14:paraId="7268FE33" w14:textId="77777777" w:rsidR="005F762A" w:rsidRDefault="005F762A">
            <w:pPr>
              <w:rPr>
                <w:rFonts w:ascii="宋体"/>
                <w:vanish/>
              </w:rPr>
            </w:pPr>
          </w:p>
        </w:tc>
        <w:tc>
          <w:tcPr>
            <w:tcW w:w="0" w:type="auto"/>
            <w:gridSpan w:val="3"/>
            <w:shd w:val="clear" w:color="auto" w:fill="auto"/>
          </w:tcPr>
          <w:p w14:paraId="7268FE34" w14:textId="77777777" w:rsidR="005F762A" w:rsidRDefault="005F762A">
            <w:pPr>
              <w:rPr>
                <w:rFonts w:ascii="宋体"/>
                <w:vanish/>
              </w:rPr>
            </w:pPr>
          </w:p>
        </w:tc>
        <w:tc>
          <w:tcPr>
            <w:tcW w:w="0" w:type="auto"/>
            <w:gridSpan w:val="3"/>
            <w:shd w:val="clear" w:color="auto" w:fill="auto"/>
          </w:tcPr>
          <w:p w14:paraId="7268FE35" w14:textId="77777777" w:rsidR="005F762A" w:rsidRDefault="005F762A">
            <w:pPr>
              <w:rPr>
                <w:rFonts w:ascii="宋体"/>
                <w:vanish/>
              </w:rPr>
            </w:pPr>
          </w:p>
        </w:tc>
        <w:tc>
          <w:tcPr>
            <w:tcW w:w="0" w:type="auto"/>
            <w:gridSpan w:val="3"/>
            <w:shd w:val="clear" w:color="auto" w:fill="auto"/>
          </w:tcPr>
          <w:p w14:paraId="7268FE36" w14:textId="77777777" w:rsidR="005F762A" w:rsidRDefault="005F762A">
            <w:pPr>
              <w:rPr>
                <w:rFonts w:ascii="宋体"/>
                <w:vanish/>
              </w:rPr>
            </w:pPr>
          </w:p>
        </w:tc>
        <w:tc>
          <w:tcPr>
            <w:tcW w:w="0" w:type="auto"/>
            <w:gridSpan w:val="3"/>
            <w:shd w:val="clear" w:color="auto" w:fill="auto"/>
          </w:tcPr>
          <w:p w14:paraId="7268FE37" w14:textId="77777777" w:rsidR="005F762A" w:rsidRDefault="005F762A">
            <w:pPr>
              <w:rPr>
                <w:rFonts w:ascii="宋体"/>
                <w:vanish/>
              </w:rPr>
            </w:pPr>
          </w:p>
        </w:tc>
        <w:tc>
          <w:tcPr>
            <w:tcW w:w="0" w:type="auto"/>
            <w:gridSpan w:val="3"/>
            <w:shd w:val="clear" w:color="auto" w:fill="auto"/>
          </w:tcPr>
          <w:p w14:paraId="7268FE38" w14:textId="77777777" w:rsidR="005F762A" w:rsidRDefault="005F762A">
            <w:pPr>
              <w:rPr>
                <w:rFonts w:ascii="宋体"/>
                <w:vanish/>
              </w:rPr>
            </w:pPr>
          </w:p>
        </w:tc>
      </w:tr>
      <w:tr w:rsidR="005F762A" w14:paraId="7268FE46" w14:textId="77777777">
        <w:trPr>
          <w:hidden/>
        </w:trPr>
        <w:tc>
          <w:tcPr>
            <w:tcW w:w="0" w:type="auto"/>
            <w:gridSpan w:val="3"/>
            <w:shd w:val="clear" w:color="auto" w:fill="auto"/>
          </w:tcPr>
          <w:p w14:paraId="7268FE3A" w14:textId="77777777" w:rsidR="005F762A" w:rsidRDefault="005F762A">
            <w:pPr>
              <w:rPr>
                <w:rFonts w:ascii="宋体"/>
                <w:vanish/>
              </w:rPr>
            </w:pPr>
          </w:p>
        </w:tc>
        <w:tc>
          <w:tcPr>
            <w:tcW w:w="0" w:type="auto"/>
            <w:gridSpan w:val="3"/>
            <w:shd w:val="clear" w:color="auto" w:fill="auto"/>
          </w:tcPr>
          <w:p w14:paraId="7268FE3B" w14:textId="77777777" w:rsidR="005F762A" w:rsidRDefault="005F762A">
            <w:pPr>
              <w:rPr>
                <w:rFonts w:ascii="宋体"/>
                <w:vanish/>
              </w:rPr>
            </w:pPr>
          </w:p>
        </w:tc>
        <w:tc>
          <w:tcPr>
            <w:tcW w:w="0" w:type="auto"/>
            <w:gridSpan w:val="3"/>
            <w:shd w:val="clear" w:color="auto" w:fill="auto"/>
          </w:tcPr>
          <w:p w14:paraId="7268FE3C" w14:textId="77777777" w:rsidR="005F762A" w:rsidRDefault="005F762A">
            <w:pPr>
              <w:rPr>
                <w:rFonts w:ascii="宋体"/>
                <w:vanish/>
              </w:rPr>
            </w:pPr>
          </w:p>
        </w:tc>
        <w:tc>
          <w:tcPr>
            <w:tcW w:w="0" w:type="auto"/>
            <w:gridSpan w:val="3"/>
            <w:shd w:val="clear" w:color="auto" w:fill="auto"/>
          </w:tcPr>
          <w:p w14:paraId="7268FE3D" w14:textId="77777777" w:rsidR="005F762A" w:rsidRDefault="005F762A">
            <w:pPr>
              <w:rPr>
                <w:rFonts w:ascii="宋体"/>
                <w:vanish/>
              </w:rPr>
            </w:pPr>
          </w:p>
        </w:tc>
        <w:tc>
          <w:tcPr>
            <w:tcW w:w="0" w:type="auto"/>
            <w:gridSpan w:val="3"/>
            <w:shd w:val="clear" w:color="auto" w:fill="auto"/>
          </w:tcPr>
          <w:p w14:paraId="7268FE3E" w14:textId="77777777" w:rsidR="005F762A" w:rsidRDefault="005F762A">
            <w:pPr>
              <w:rPr>
                <w:rFonts w:ascii="宋体"/>
                <w:vanish/>
              </w:rPr>
            </w:pPr>
          </w:p>
        </w:tc>
        <w:tc>
          <w:tcPr>
            <w:tcW w:w="0" w:type="auto"/>
            <w:gridSpan w:val="3"/>
            <w:shd w:val="clear" w:color="auto" w:fill="auto"/>
          </w:tcPr>
          <w:p w14:paraId="7268FE3F" w14:textId="77777777" w:rsidR="005F762A" w:rsidRDefault="005F762A">
            <w:pPr>
              <w:rPr>
                <w:rFonts w:ascii="宋体"/>
                <w:vanish/>
              </w:rPr>
            </w:pPr>
          </w:p>
        </w:tc>
        <w:tc>
          <w:tcPr>
            <w:tcW w:w="0" w:type="auto"/>
            <w:gridSpan w:val="3"/>
            <w:shd w:val="clear" w:color="auto" w:fill="auto"/>
          </w:tcPr>
          <w:p w14:paraId="7268FE40" w14:textId="77777777" w:rsidR="005F762A" w:rsidRDefault="005F762A">
            <w:pPr>
              <w:rPr>
                <w:rFonts w:ascii="宋体"/>
                <w:vanish/>
              </w:rPr>
            </w:pPr>
          </w:p>
        </w:tc>
        <w:tc>
          <w:tcPr>
            <w:tcW w:w="0" w:type="auto"/>
            <w:gridSpan w:val="3"/>
            <w:shd w:val="clear" w:color="auto" w:fill="auto"/>
          </w:tcPr>
          <w:p w14:paraId="7268FE41" w14:textId="77777777" w:rsidR="005F762A" w:rsidRDefault="005F762A">
            <w:pPr>
              <w:rPr>
                <w:rFonts w:ascii="宋体"/>
                <w:vanish/>
              </w:rPr>
            </w:pPr>
          </w:p>
        </w:tc>
        <w:tc>
          <w:tcPr>
            <w:tcW w:w="0" w:type="auto"/>
            <w:gridSpan w:val="3"/>
            <w:shd w:val="clear" w:color="auto" w:fill="auto"/>
          </w:tcPr>
          <w:p w14:paraId="7268FE42" w14:textId="77777777" w:rsidR="005F762A" w:rsidRDefault="005F762A">
            <w:pPr>
              <w:rPr>
                <w:rFonts w:ascii="宋体"/>
                <w:vanish/>
              </w:rPr>
            </w:pPr>
          </w:p>
        </w:tc>
        <w:tc>
          <w:tcPr>
            <w:tcW w:w="0" w:type="auto"/>
            <w:gridSpan w:val="3"/>
            <w:shd w:val="clear" w:color="auto" w:fill="auto"/>
          </w:tcPr>
          <w:p w14:paraId="7268FE43" w14:textId="77777777" w:rsidR="005F762A" w:rsidRDefault="005F762A">
            <w:pPr>
              <w:rPr>
                <w:rFonts w:ascii="宋体"/>
                <w:vanish/>
              </w:rPr>
            </w:pPr>
          </w:p>
        </w:tc>
        <w:tc>
          <w:tcPr>
            <w:tcW w:w="0" w:type="auto"/>
            <w:gridSpan w:val="3"/>
            <w:shd w:val="clear" w:color="auto" w:fill="auto"/>
          </w:tcPr>
          <w:p w14:paraId="7268FE44" w14:textId="77777777" w:rsidR="005F762A" w:rsidRDefault="005F762A">
            <w:pPr>
              <w:rPr>
                <w:rFonts w:ascii="宋体"/>
                <w:vanish/>
              </w:rPr>
            </w:pPr>
          </w:p>
        </w:tc>
        <w:tc>
          <w:tcPr>
            <w:tcW w:w="0" w:type="auto"/>
            <w:gridSpan w:val="3"/>
            <w:shd w:val="clear" w:color="auto" w:fill="auto"/>
          </w:tcPr>
          <w:p w14:paraId="7268FE45" w14:textId="77777777" w:rsidR="005F762A" w:rsidRDefault="005F762A">
            <w:pPr>
              <w:rPr>
                <w:rFonts w:ascii="宋体"/>
                <w:vanish/>
              </w:rPr>
            </w:pPr>
          </w:p>
        </w:tc>
      </w:tr>
      <w:tr w:rsidR="005F762A" w14:paraId="7268FE53" w14:textId="77777777">
        <w:trPr>
          <w:hidden/>
        </w:trPr>
        <w:tc>
          <w:tcPr>
            <w:tcW w:w="0" w:type="auto"/>
            <w:gridSpan w:val="3"/>
            <w:shd w:val="clear" w:color="auto" w:fill="auto"/>
          </w:tcPr>
          <w:p w14:paraId="7268FE47" w14:textId="77777777" w:rsidR="005F762A" w:rsidRDefault="005F762A">
            <w:pPr>
              <w:rPr>
                <w:rFonts w:ascii="宋体"/>
                <w:vanish/>
              </w:rPr>
            </w:pPr>
          </w:p>
        </w:tc>
        <w:tc>
          <w:tcPr>
            <w:tcW w:w="0" w:type="auto"/>
            <w:gridSpan w:val="3"/>
            <w:shd w:val="clear" w:color="auto" w:fill="auto"/>
          </w:tcPr>
          <w:p w14:paraId="7268FE48" w14:textId="77777777" w:rsidR="005F762A" w:rsidRDefault="005F762A">
            <w:pPr>
              <w:rPr>
                <w:rFonts w:ascii="宋体"/>
                <w:vanish/>
              </w:rPr>
            </w:pPr>
          </w:p>
        </w:tc>
        <w:tc>
          <w:tcPr>
            <w:tcW w:w="0" w:type="auto"/>
            <w:gridSpan w:val="3"/>
            <w:shd w:val="clear" w:color="auto" w:fill="auto"/>
          </w:tcPr>
          <w:p w14:paraId="7268FE49" w14:textId="77777777" w:rsidR="005F762A" w:rsidRDefault="005F762A">
            <w:pPr>
              <w:rPr>
                <w:rFonts w:ascii="宋体"/>
                <w:vanish/>
              </w:rPr>
            </w:pPr>
          </w:p>
        </w:tc>
        <w:tc>
          <w:tcPr>
            <w:tcW w:w="0" w:type="auto"/>
            <w:gridSpan w:val="3"/>
            <w:shd w:val="clear" w:color="auto" w:fill="auto"/>
          </w:tcPr>
          <w:p w14:paraId="7268FE4A" w14:textId="77777777" w:rsidR="005F762A" w:rsidRDefault="005F762A">
            <w:pPr>
              <w:rPr>
                <w:rFonts w:ascii="宋体"/>
                <w:vanish/>
              </w:rPr>
            </w:pPr>
          </w:p>
        </w:tc>
        <w:tc>
          <w:tcPr>
            <w:tcW w:w="0" w:type="auto"/>
            <w:gridSpan w:val="3"/>
            <w:shd w:val="clear" w:color="auto" w:fill="auto"/>
          </w:tcPr>
          <w:p w14:paraId="7268FE4B" w14:textId="77777777" w:rsidR="005F762A" w:rsidRDefault="005F762A">
            <w:pPr>
              <w:rPr>
                <w:rFonts w:ascii="宋体"/>
                <w:vanish/>
              </w:rPr>
            </w:pPr>
          </w:p>
        </w:tc>
        <w:tc>
          <w:tcPr>
            <w:tcW w:w="0" w:type="auto"/>
            <w:gridSpan w:val="3"/>
            <w:shd w:val="clear" w:color="auto" w:fill="auto"/>
          </w:tcPr>
          <w:p w14:paraId="7268FE4C" w14:textId="77777777" w:rsidR="005F762A" w:rsidRDefault="005F762A">
            <w:pPr>
              <w:rPr>
                <w:rFonts w:ascii="宋体"/>
                <w:vanish/>
              </w:rPr>
            </w:pPr>
          </w:p>
        </w:tc>
        <w:tc>
          <w:tcPr>
            <w:tcW w:w="0" w:type="auto"/>
            <w:gridSpan w:val="3"/>
            <w:shd w:val="clear" w:color="auto" w:fill="auto"/>
          </w:tcPr>
          <w:p w14:paraId="7268FE4D" w14:textId="77777777" w:rsidR="005F762A" w:rsidRDefault="005F762A">
            <w:pPr>
              <w:rPr>
                <w:rFonts w:ascii="宋体"/>
                <w:vanish/>
              </w:rPr>
            </w:pPr>
          </w:p>
        </w:tc>
        <w:tc>
          <w:tcPr>
            <w:tcW w:w="0" w:type="auto"/>
            <w:gridSpan w:val="3"/>
            <w:shd w:val="clear" w:color="auto" w:fill="auto"/>
          </w:tcPr>
          <w:p w14:paraId="7268FE4E" w14:textId="77777777" w:rsidR="005F762A" w:rsidRDefault="005F762A">
            <w:pPr>
              <w:rPr>
                <w:rFonts w:ascii="宋体"/>
                <w:vanish/>
              </w:rPr>
            </w:pPr>
          </w:p>
        </w:tc>
        <w:tc>
          <w:tcPr>
            <w:tcW w:w="0" w:type="auto"/>
            <w:gridSpan w:val="3"/>
            <w:shd w:val="clear" w:color="auto" w:fill="auto"/>
          </w:tcPr>
          <w:p w14:paraId="7268FE4F" w14:textId="77777777" w:rsidR="005F762A" w:rsidRDefault="005F762A">
            <w:pPr>
              <w:rPr>
                <w:rFonts w:ascii="宋体"/>
                <w:vanish/>
              </w:rPr>
            </w:pPr>
          </w:p>
        </w:tc>
        <w:tc>
          <w:tcPr>
            <w:tcW w:w="0" w:type="auto"/>
            <w:gridSpan w:val="3"/>
            <w:shd w:val="clear" w:color="auto" w:fill="auto"/>
          </w:tcPr>
          <w:p w14:paraId="7268FE50" w14:textId="77777777" w:rsidR="005F762A" w:rsidRDefault="005F762A">
            <w:pPr>
              <w:rPr>
                <w:rFonts w:ascii="宋体"/>
                <w:vanish/>
              </w:rPr>
            </w:pPr>
          </w:p>
        </w:tc>
        <w:tc>
          <w:tcPr>
            <w:tcW w:w="0" w:type="auto"/>
            <w:gridSpan w:val="3"/>
            <w:shd w:val="clear" w:color="auto" w:fill="auto"/>
          </w:tcPr>
          <w:p w14:paraId="7268FE51" w14:textId="77777777" w:rsidR="005F762A" w:rsidRDefault="005F762A">
            <w:pPr>
              <w:rPr>
                <w:rFonts w:ascii="宋体"/>
                <w:vanish/>
              </w:rPr>
            </w:pPr>
          </w:p>
        </w:tc>
        <w:tc>
          <w:tcPr>
            <w:tcW w:w="0" w:type="auto"/>
            <w:gridSpan w:val="3"/>
            <w:shd w:val="clear" w:color="auto" w:fill="auto"/>
          </w:tcPr>
          <w:p w14:paraId="7268FE52" w14:textId="77777777" w:rsidR="005F762A" w:rsidRDefault="005F762A">
            <w:pPr>
              <w:rPr>
                <w:rFonts w:ascii="宋体"/>
                <w:vanish/>
              </w:rPr>
            </w:pPr>
          </w:p>
        </w:tc>
      </w:tr>
      <w:tr w:rsidR="005F762A" w14:paraId="7268FE6A" w14:textId="77777777">
        <w:tc>
          <w:tcPr>
            <w:tcW w:w="0" w:type="auto"/>
            <w:gridSpan w:val="3"/>
            <w:shd w:val="clear" w:color="auto" w:fill="E1E1E1"/>
            <w:tcMar>
              <w:top w:w="40" w:type="dxa"/>
              <w:left w:w="380" w:type="dxa"/>
              <w:bottom w:w="40" w:type="dxa"/>
              <w:right w:w="20" w:type="dxa"/>
            </w:tcMar>
            <w:vAlign w:val="bottom"/>
          </w:tcPr>
          <w:p w14:paraId="7268FE54" w14:textId="77777777" w:rsidR="005F762A" w:rsidRDefault="00D74111">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55"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FE56" w14:textId="77777777" w:rsidR="005F762A" w:rsidRDefault="00D74111">
            <w:pPr>
              <w:jc w:val="right"/>
              <w:textAlignment w:val="bottom"/>
            </w:pPr>
            <w:r>
              <w:rPr>
                <w:rFonts w:ascii="Arial" w:eastAsia="宋体" w:hAnsi="Arial" w:cs="Arial"/>
                <w:color w:val="000000"/>
                <w:sz w:val="16"/>
                <w:szCs w:val="16"/>
              </w:rPr>
              <w:t>3,023 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57"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E58"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59"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FE5A" w14:textId="77777777" w:rsidR="005F762A" w:rsidRDefault="00D74111">
            <w:pPr>
              <w:jc w:val="right"/>
              <w:textAlignment w:val="bottom"/>
            </w:pPr>
            <w:r>
              <w:rPr>
                <w:rFonts w:ascii="Arial" w:eastAsia="宋体" w:hAnsi="Arial" w:cs="Arial"/>
                <w:color w:val="000000"/>
                <w:sz w:val="16"/>
                <w:szCs w:val="16"/>
              </w:rPr>
              <w:t>80 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5B"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E5C"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5D"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FE5E" w14:textId="77777777" w:rsidR="005F762A" w:rsidRDefault="00D74111">
            <w:pPr>
              <w:jc w:val="right"/>
              <w:textAlignment w:val="bottom"/>
            </w:pPr>
            <w:r>
              <w:rPr>
                <w:rFonts w:ascii="Arial" w:eastAsia="宋体" w:hAnsi="Arial" w:cs="Arial"/>
                <w:color w:val="000000"/>
                <w:sz w:val="16"/>
                <w:szCs w:val="16"/>
              </w:rPr>
              <w:t>2,943 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5F"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E60" w14:textId="77777777" w:rsidR="005F762A" w:rsidRDefault="005F762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61" w14:textId="77777777" w:rsidR="005F762A" w:rsidRDefault="00D74111">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7268FE62" w14:textId="77777777" w:rsidR="005F762A" w:rsidRDefault="00D74111">
            <w:pPr>
              <w:jc w:val="right"/>
              <w:textAlignment w:val="bottom"/>
            </w:pPr>
            <w:r>
              <w:rPr>
                <w:rFonts w:ascii="Arial" w:eastAsia="宋体" w:hAnsi="Arial" w:cs="Arial"/>
                <w:color w:val="000000"/>
                <w:sz w:val="16"/>
                <w:szCs w:val="16"/>
              </w:rPr>
              <w:t>2,129 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63" w14:textId="77777777" w:rsidR="005F762A" w:rsidRDefault="005F762A">
            <w:pPr>
              <w:jc w:val="right"/>
              <w:rPr>
                <w:rFonts w:ascii="宋体"/>
              </w:rPr>
            </w:pPr>
          </w:p>
        </w:tc>
        <w:tc>
          <w:tcPr>
            <w:tcW w:w="0" w:type="auto"/>
            <w:gridSpan w:val="3"/>
            <w:shd w:val="clear" w:color="auto" w:fill="E1E1E1"/>
            <w:tcMar>
              <w:top w:w="0" w:type="dxa"/>
              <w:left w:w="20" w:type="dxa"/>
              <w:bottom w:w="0" w:type="dxa"/>
              <w:right w:w="20" w:type="dxa"/>
            </w:tcMar>
          </w:tcPr>
          <w:p w14:paraId="7268FE64"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65" w14:textId="77777777" w:rsidR="005F762A" w:rsidRDefault="00D74111">
            <w:pPr>
              <w:jc w:val="right"/>
              <w:textAlignment w:val="bottom"/>
            </w:pPr>
            <w:r>
              <w:rPr>
                <w:rFonts w:ascii="Arial" w:eastAsia="宋体" w:hAnsi="Arial" w:cs="Arial"/>
                <w:color w:val="000000"/>
                <w:sz w:val="16"/>
                <w:szCs w:val="16"/>
              </w:rPr>
              <w:t>42 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66" w14:textId="77777777" w:rsidR="005F762A" w:rsidRDefault="00D74111">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tcPr>
          <w:p w14:paraId="7268FE67"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7268FE68" w14:textId="77777777" w:rsidR="005F762A" w:rsidRDefault="00D74111">
            <w:pPr>
              <w:jc w:val="right"/>
              <w:textAlignment w:val="bottom"/>
            </w:pPr>
            <w:r>
              <w:rPr>
                <w:rFonts w:ascii="Arial" w:eastAsia="宋体" w:hAnsi="Arial" w:cs="Arial"/>
                <w:color w:val="000000"/>
                <w:sz w:val="16"/>
                <w:szCs w:val="16"/>
              </w:rPr>
              <w:t>38 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7268FE69" w14:textId="77777777" w:rsidR="005F762A" w:rsidRDefault="00D74111">
            <w:pPr>
              <w:jc w:val="right"/>
              <w:textAlignment w:val="bottom"/>
            </w:pPr>
            <w:r>
              <w:rPr>
                <w:rFonts w:ascii="Arial" w:eastAsia="宋体" w:hAnsi="Arial" w:cs="Arial"/>
                <w:color w:val="000000"/>
                <w:sz w:val="16"/>
                <w:szCs w:val="16"/>
              </w:rPr>
              <w:t>%</w:t>
            </w:r>
          </w:p>
        </w:tc>
      </w:tr>
    </w:tbl>
    <w:p w14:paraId="7268FE6B" w14:textId="77777777" w:rsidR="005F762A" w:rsidRDefault="005F762A"/>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5F762A" w14:paraId="7268FE6F" w14:textId="77777777">
        <w:tc>
          <w:tcPr>
            <w:tcW w:w="50" w:type="pct"/>
            <w:shd w:val="clear" w:color="auto" w:fill="auto"/>
          </w:tcPr>
          <w:p w14:paraId="7268FE6C" w14:textId="77777777" w:rsidR="005F762A" w:rsidRDefault="005F762A">
            <w:pPr>
              <w:rPr>
                <w:rFonts w:ascii="宋体"/>
              </w:rPr>
            </w:pPr>
          </w:p>
        </w:tc>
        <w:tc>
          <w:tcPr>
            <w:tcW w:w="4945" w:type="pct"/>
            <w:shd w:val="clear" w:color="auto" w:fill="auto"/>
          </w:tcPr>
          <w:p w14:paraId="7268FE6D" w14:textId="77777777" w:rsidR="005F762A" w:rsidRDefault="005F762A">
            <w:pPr>
              <w:rPr>
                <w:rFonts w:ascii="宋体"/>
              </w:rPr>
            </w:pPr>
          </w:p>
        </w:tc>
        <w:tc>
          <w:tcPr>
            <w:tcW w:w="5" w:type="pct"/>
            <w:shd w:val="clear" w:color="auto" w:fill="auto"/>
          </w:tcPr>
          <w:p w14:paraId="7268FE6E" w14:textId="77777777" w:rsidR="005F762A" w:rsidRDefault="005F762A">
            <w:pPr>
              <w:rPr>
                <w:rFonts w:ascii="宋体"/>
              </w:rPr>
            </w:pPr>
          </w:p>
        </w:tc>
      </w:tr>
      <w:tr w:rsidR="005F762A" w14:paraId="7268FE71"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7268FE70" w14:textId="77777777" w:rsidR="005F762A" w:rsidRDefault="005F762A">
            <w:pPr>
              <w:rPr>
                <w:rFonts w:ascii="宋体"/>
              </w:rPr>
            </w:pPr>
          </w:p>
        </w:tc>
      </w:tr>
    </w:tbl>
    <w:p w14:paraId="7268FE72" w14:textId="77777777" w:rsidR="005F762A" w:rsidRDefault="00D74111">
      <w:pPr>
        <w:spacing w:after="60"/>
        <w:ind w:hanging="360"/>
        <w:jc w:val="both"/>
      </w:pPr>
      <w:r>
        <w:rPr>
          <w:rFonts w:ascii="Arial" w:eastAsia="宋体" w:hAnsi="Arial" w:cs="Arial"/>
          <w:color w:val="000000"/>
          <w:sz w:val="10"/>
          <w:szCs w:val="10"/>
        </w:rPr>
        <w:t>(1)</w:t>
      </w:r>
      <w:r>
        <w:rPr>
          <w:rFonts w:ascii="Arial" w:eastAsia="宋体" w:hAnsi="Arial" w:cs="Arial"/>
          <w:color w:val="000000"/>
          <w:sz w:val="16"/>
          <w:szCs w:val="16"/>
        </w:rPr>
        <w:t xml:space="preserve">We define exchange rate effect as the year-over-year impact of foreign currency movements using prior period foreign currency rates applied to current year transactional currency amounts excluding hedging activity. </w:t>
      </w:r>
    </w:p>
    <w:p w14:paraId="7268FE73" w14:textId="77777777" w:rsidR="005F762A" w:rsidRDefault="00D74111">
      <w:pPr>
        <w:spacing w:after="60"/>
        <w:ind w:hanging="360"/>
        <w:jc w:val="both"/>
      </w:pPr>
      <w:r>
        <w:rPr>
          <w:rFonts w:ascii="Arial" w:eastAsia="宋体" w:hAnsi="Arial" w:cs="Arial"/>
          <w:color w:val="000000"/>
          <w:sz w:val="10"/>
          <w:szCs w:val="10"/>
        </w:rPr>
        <w:t>(2)</w:t>
      </w:r>
      <w:r>
        <w:rPr>
          <w:rFonts w:ascii="Arial" w:eastAsia="宋体" w:hAnsi="Arial" w:cs="Arial"/>
          <w:color w:val="000000"/>
          <w:sz w:val="16"/>
          <w:szCs w:val="16"/>
        </w:rPr>
        <w:t>We define FX-Neutral GMV as GMV minus</w:t>
      </w:r>
      <w:r>
        <w:rPr>
          <w:rFonts w:ascii="Arial" w:eastAsia="宋体" w:hAnsi="Arial" w:cs="Arial"/>
          <w:color w:val="000000"/>
          <w:sz w:val="16"/>
          <w:szCs w:val="16"/>
        </w:rPr>
        <w:t xml:space="preserve"> the exchange rate effect. We define the non-GAAP financial measures of FX-Neutral net revenues as net revenues minus the exchange rate effect.</w:t>
      </w:r>
    </w:p>
    <w:p w14:paraId="7268FE74" w14:textId="77777777" w:rsidR="005F762A" w:rsidRDefault="00D74111">
      <w:pPr>
        <w:spacing w:after="60"/>
        <w:ind w:hanging="360"/>
        <w:jc w:val="both"/>
      </w:pPr>
      <w:r>
        <w:rPr>
          <w:rFonts w:ascii="Arial" w:eastAsia="宋体" w:hAnsi="Arial" w:cs="Arial"/>
          <w:color w:val="000000"/>
          <w:sz w:val="10"/>
          <w:szCs w:val="10"/>
        </w:rPr>
        <w:t>(3)</w:t>
      </w:r>
      <w:r>
        <w:rPr>
          <w:rFonts w:ascii="Arial" w:eastAsia="宋体" w:hAnsi="Arial" w:cs="Arial"/>
          <w:color w:val="000000"/>
          <w:sz w:val="16"/>
          <w:szCs w:val="16"/>
        </w:rPr>
        <w:t xml:space="preserve">Net transaction revenues were net of $28 million of hedging activity during the three months ended March 31, </w:t>
      </w:r>
      <w:r>
        <w:rPr>
          <w:rFonts w:ascii="Arial" w:eastAsia="宋体" w:hAnsi="Arial" w:cs="Arial"/>
          <w:color w:val="000000"/>
          <w:sz w:val="16"/>
          <w:szCs w:val="16"/>
        </w:rPr>
        <w:t>2021, and net of immaterial hedging activity during the three months ended March 31, 2020.</w:t>
      </w:r>
    </w:p>
    <w:p w14:paraId="7268FE75" w14:textId="77777777" w:rsidR="005F762A" w:rsidRDefault="005F762A">
      <w:pPr>
        <w:spacing w:after="60"/>
        <w:jc w:val="both"/>
      </w:pPr>
    </w:p>
    <w:p w14:paraId="7268FE76" w14:textId="77777777" w:rsidR="005F762A" w:rsidRDefault="00D74111">
      <w:r>
        <w:rPr>
          <w:rFonts w:ascii="Arial" w:eastAsia="宋体" w:hAnsi="Arial" w:cs="Arial"/>
          <w:b/>
          <w:bCs/>
          <w:i/>
          <w:iCs/>
          <w:color w:val="000000"/>
          <w:sz w:val="20"/>
          <w:szCs w:val="20"/>
        </w:rPr>
        <w:t xml:space="preserve">Liquidity and Capital Resources </w:t>
      </w:r>
    </w:p>
    <w:p w14:paraId="7268FE77" w14:textId="77777777" w:rsidR="005F762A" w:rsidRDefault="005F762A"/>
    <w:p w14:paraId="7268FE78" w14:textId="77777777" w:rsidR="005F762A" w:rsidRDefault="00D74111">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54"/>
        <w:gridCol w:w="38"/>
        <w:gridCol w:w="122"/>
        <w:gridCol w:w="1096"/>
        <w:gridCol w:w="36"/>
        <w:gridCol w:w="36"/>
        <w:gridCol w:w="36"/>
        <w:gridCol w:w="36"/>
        <w:gridCol w:w="122"/>
        <w:gridCol w:w="1060"/>
        <w:gridCol w:w="36"/>
      </w:tblGrid>
      <w:tr w:rsidR="005F762A" w14:paraId="7268FE85" w14:textId="77777777">
        <w:trPr>
          <w:jc w:val="center"/>
        </w:trPr>
        <w:tc>
          <w:tcPr>
            <w:tcW w:w="50" w:type="pct"/>
            <w:shd w:val="clear" w:color="auto" w:fill="auto"/>
          </w:tcPr>
          <w:p w14:paraId="7268FE79" w14:textId="77777777" w:rsidR="005F762A" w:rsidRDefault="005F762A">
            <w:pPr>
              <w:rPr>
                <w:rFonts w:ascii="宋体"/>
              </w:rPr>
            </w:pPr>
          </w:p>
        </w:tc>
        <w:tc>
          <w:tcPr>
            <w:tcW w:w="3427" w:type="pct"/>
            <w:shd w:val="clear" w:color="auto" w:fill="auto"/>
          </w:tcPr>
          <w:p w14:paraId="7268FE7A" w14:textId="77777777" w:rsidR="005F762A" w:rsidRDefault="005F762A">
            <w:pPr>
              <w:rPr>
                <w:rFonts w:ascii="宋体"/>
              </w:rPr>
            </w:pPr>
          </w:p>
        </w:tc>
        <w:tc>
          <w:tcPr>
            <w:tcW w:w="5" w:type="pct"/>
            <w:shd w:val="clear" w:color="auto" w:fill="auto"/>
          </w:tcPr>
          <w:p w14:paraId="7268FE7B" w14:textId="77777777" w:rsidR="005F762A" w:rsidRDefault="005F762A">
            <w:pPr>
              <w:rPr>
                <w:rFonts w:ascii="宋体"/>
              </w:rPr>
            </w:pPr>
          </w:p>
        </w:tc>
        <w:tc>
          <w:tcPr>
            <w:tcW w:w="50" w:type="pct"/>
            <w:shd w:val="clear" w:color="auto" w:fill="auto"/>
          </w:tcPr>
          <w:p w14:paraId="7268FE7C" w14:textId="77777777" w:rsidR="005F762A" w:rsidRDefault="005F762A">
            <w:pPr>
              <w:rPr>
                <w:rFonts w:ascii="宋体"/>
              </w:rPr>
            </w:pPr>
          </w:p>
        </w:tc>
        <w:tc>
          <w:tcPr>
            <w:tcW w:w="685" w:type="pct"/>
            <w:shd w:val="clear" w:color="auto" w:fill="auto"/>
          </w:tcPr>
          <w:p w14:paraId="7268FE7D" w14:textId="77777777" w:rsidR="005F762A" w:rsidRDefault="005F762A">
            <w:pPr>
              <w:rPr>
                <w:rFonts w:ascii="宋体"/>
              </w:rPr>
            </w:pPr>
          </w:p>
        </w:tc>
        <w:tc>
          <w:tcPr>
            <w:tcW w:w="5" w:type="pct"/>
            <w:shd w:val="clear" w:color="auto" w:fill="auto"/>
          </w:tcPr>
          <w:p w14:paraId="7268FE7E" w14:textId="77777777" w:rsidR="005F762A" w:rsidRDefault="005F762A">
            <w:pPr>
              <w:rPr>
                <w:rFonts w:ascii="宋体"/>
              </w:rPr>
            </w:pPr>
          </w:p>
        </w:tc>
        <w:tc>
          <w:tcPr>
            <w:tcW w:w="5" w:type="pct"/>
            <w:shd w:val="clear" w:color="auto" w:fill="auto"/>
          </w:tcPr>
          <w:p w14:paraId="7268FE7F" w14:textId="77777777" w:rsidR="005F762A" w:rsidRDefault="005F762A">
            <w:pPr>
              <w:rPr>
                <w:rFonts w:ascii="宋体"/>
              </w:rPr>
            </w:pPr>
          </w:p>
        </w:tc>
        <w:tc>
          <w:tcPr>
            <w:tcW w:w="26" w:type="pct"/>
            <w:shd w:val="clear" w:color="auto" w:fill="auto"/>
          </w:tcPr>
          <w:p w14:paraId="7268FE80" w14:textId="77777777" w:rsidR="005F762A" w:rsidRDefault="005F762A">
            <w:pPr>
              <w:rPr>
                <w:rFonts w:ascii="宋体"/>
              </w:rPr>
            </w:pPr>
          </w:p>
        </w:tc>
        <w:tc>
          <w:tcPr>
            <w:tcW w:w="5" w:type="pct"/>
            <w:shd w:val="clear" w:color="auto" w:fill="auto"/>
          </w:tcPr>
          <w:p w14:paraId="7268FE81" w14:textId="77777777" w:rsidR="005F762A" w:rsidRDefault="005F762A">
            <w:pPr>
              <w:rPr>
                <w:rFonts w:ascii="宋体"/>
              </w:rPr>
            </w:pPr>
          </w:p>
        </w:tc>
        <w:tc>
          <w:tcPr>
            <w:tcW w:w="50" w:type="pct"/>
            <w:shd w:val="clear" w:color="auto" w:fill="auto"/>
          </w:tcPr>
          <w:p w14:paraId="7268FE82" w14:textId="77777777" w:rsidR="005F762A" w:rsidRDefault="005F762A">
            <w:pPr>
              <w:rPr>
                <w:rFonts w:ascii="宋体"/>
              </w:rPr>
            </w:pPr>
          </w:p>
        </w:tc>
        <w:tc>
          <w:tcPr>
            <w:tcW w:w="685" w:type="pct"/>
            <w:shd w:val="clear" w:color="auto" w:fill="auto"/>
          </w:tcPr>
          <w:p w14:paraId="7268FE83" w14:textId="77777777" w:rsidR="005F762A" w:rsidRDefault="005F762A">
            <w:pPr>
              <w:rPr>
                <w:rFonts w:ascii="宋体"/>
              </w:rPr>
            </w:pPr>
          </w:p>
        </w:tc>
        <w:tc>
          <w:tcPr>
            <w:tcW w:w="5" w:type="pct"/>
            <w:shd w:val="clear" w:color="auto" w:fill="auto"/>
          </w:tcPr>
          <w:p w14:paraId="7268FE84" w14:textId="77777777" w:rsidR="005F762A" w:rsidRDefault="005F762A">
            <w:pPr>
              <w:rPr>
                <w:rFonts w:ascii="宋体"/>
              </w:rPr>
            </w:pPr>
          </w:p>
        </w:tc>
      </w:tr>
      <w:tr w:rsidR="005F762A" w14:paraId="7268FE88" w14:textId="77777777">
        <w:trPr>
          <w:jc w:val="center"/>
        </w:trPr>
        <w:tc>
          <w:tcPr>
            <w:tcW w:w="0" w:type="auto"/>
            <w:gridSpan w:val="3"/>
            <w:shd w:val="clear" w:color="auto" w:fill="auto"/>
            <w:tcMar>
              <w:top w:w="40" w:type="dxa"/>
              <w:left w:w="20" w:type="dxa"/>
              <w:bottom w:w="40" w:type="dxa"/>
              <w:right w:w="20" w:type="dxa"/>
            </w:tcMar>
            <w:vAlign w:val="bottom"/>
          </w:tcPr>
          <w:p w14:paraId="7268FE86" w14:textId="77777777" w:rsidR="005F762A" w:rsidRDefault="00D74111">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7268FE87" w14:textId="77777777" w:rsidR="005F762A" w:rsidRDefault="00D74111">
            <w:pPr>
              <w:jc w:val="center"/>
              <w:textAlignment w:val="bottom"/>
            </w:pPr>
            <w:r>
              <w:rPr>
                <w:rFonts w:ascii="Arial" w:eastAsia="宋体" w:hAnsi="Arial" w:cs="Arial"/>
                <w:b/>
                <w:bCs/>
                <w:color w:val="000000"/>
                <w:sz w:val="16"/>
                <w:szCs w:val="16"/>
              </w:rPr>
              <w:t>Three Months Ended March 31,</w:t>
            </w:r>
          </w:p>
        </w:tc>
      </w:tr>
      <w:tr w:rsidR="005F762A" w14:paraId="7268FE8D" w14:textId="77777777">
        <w:trPr>
          <w:jc w:val="center"/>
        </w:trPr>
        <w:tc>
          <w:tcPr>
            <w:tcW w:w="0" w:type="auto"/>
            <w:gridSpan w:val="3"/>
            <w:shd w:val="clear" w:color="auto" w:fill="auto"/>
            <w:tcMar>
              <w:top w:w="40" w:type="dxa"/>
              <w:left w:w="20" w:type="dxa"/>
              <w:bottom w:w="40" w:type="dxa"/>
              <w:right w:w="20" w:type="dxa"/>
            </w:tcMar>
            <w:vAlign w:val="bottom"/>
          </w:tcPr>
          <w:p w14:paraId="7268FE89" w14:textId="77777777" w:rsidR="005F762A" w:rsidRDefault="00D74111">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268FE8A" w14:textId="77777777" w:rsidR="005F762A" w:rsidRDefault="00D74111">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7268FE8B" w14:textId="77777777" w:rsidR="005F762A" w:rsidRDefault="005F762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268FE8C" w14:textId="77777777" w:rsidR="005F762A" w:rsidRDefault="00D74111">
            <w:pPr>
              <w:jc w:val="center"/>
              <w:textAlignment w:val="bottom"/>
            </w:pPr>
            <w:r>
              <w:rPr>
                <w:rFonts w:ascii="Arial" w:eastAsia="宋体" w:hAnsi="Arial" w:cs="Arial"/>
                <w:b/>
                <w:bCs/>
                <w:color w:val="000000"/>
                <w:sz w:val="16"/>
                <w:szCs w:val="16"/>
              </w:rPr>
              <w:t>2020</w:t>
            </w:r>
          </w:p>
        </w:tc>
      </w:tr>
      <w:tr w:rsidR="005F762A" w14:paraId="7268FE90" w14:textId="77777777">
        <w:trPr>
          <w:jc w:val="center"/>
        </w:trPr>
        <w:tc>
          <w:tcPr>
            <w:tcW w:w="0" w:type="auto"/>
            <w:gridSpan w:val="3"/>
            <w:shd w:val="clear" w:color="auto" w:fill="auto"/>
            <w:tcMar>
              <w:top w:w="40" w:type="dxa"/>
              <w:left w:w="20" w:type="dxa"/>
              <w:bottom w:w="40" w:type="dxa"/>
              <w:right w:w="20" w:type="dxa"/>
            </w:tcMar>
            <w:vAlign w:val="bottom"/>
          </w:tcPr>
          <w:p w14:paraId="7268FE8E" w14:textId="77777777" w:rsidR="005F762A" w:rsidRDefault="00D74111">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268FE8F" w14:textId="77777777" w:rsidR="005F762A" w:rsidRDefault="00D74111">
            <w:pPr>
              <w:jc w:val="center"/>
              <w:textAlignment w:val="bottom"/>
            </w:pPr>
            <w:r>
              <w:rPr>
                <w:rFonts w:ascii="Arial" w:eastAsia="宋体" w:hAnsi="Arial" w:cs="Arial"/>
                <w:b/>
                <w:bCs/>
                <w:color w:val="000000"/>
                <w:sz w:val="16"/>
                <w:szCs w:val="16"/>
              </w:rPr>
              <w:t>(In millions)</w:t>
            </w:r>
          </w:p>
        </w:tc>
      </w:tr>
      <w:tr w:rsidR="005F762A" w14:paraId="7268FE95" w14:textId="77777777">
        <w:trPr>
          <w:jc w:val="center"/>
        </w:trPr>
        <w:tc>
          <w:tcPr>
            <w:tcW w:w="0" w:type="auto"/>
            <w:gridSpan w:val="3"/>
            <w:shd w:val="clear" w:color="auto" w:fill="E2E2E2"/>
            <w:tcMar>
              <w:top w:w="40" w:type="dxa"/>
              <w:left w:w="20" w:type="dxa"/>
              <w:bottom w:w="40" w:type="dxa"/>
              <w:right w:w="20" w:type="dxa"/>
            </w:tcMar>
            <w:vAlign w:val="bottom"/>
          </w:tcPr>
          <w:p w14:paraId="7268FE91" w14:textId="77777777" w:rsidR="005F762A" w:rsidRDefault="00D74111">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7268FE92" w14:textId="77777777" w:rsidR="005F762A" w:rsidRDefault="00D74111">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tcPr>
          <w:p w14:paraId="7268FE93" w14:textId="77777777" w:rsidR="005F762A" w:rsidRDefault="005F762A">
            <w:pPr>
              <w:rPr>
                <w:rFonts w:ascii="宋体"/>
              </w:rPr>
            </w:pPr>
          </w:p>
        </w:tc>
        <w:tc>
          <w:tcPr>
            <w:tcW w:w="0" w:type="auto"/>
            <w:gridSpan w:val="3"/>
            <w:shd w:val="clear" w:color="auto" w:fill="E2E2E2"/>
            <w:tcMar>
              <w:top w:w="40" w:type="dxa"/>
              <w:left w:w="20" w:type="dxa"/>
              <w:bottom w:w="40" w:type="dxa"/>
              <w:right w:w="20" w:type="dxa"/>
            </w:tcMar>
            <w:vAlign w:val="bottom"/>
          </w:tcPr>
          <w:p w14:paraId="7268FE94" w14:textId="77777777" w:rsidR="005F762A" w:rsidRDefault="00D74111">
            <w:pPr>
              <w:textAlignment w:val="bottom"/>
            </w:pPr>
            <w:r>
              <w:rPr>
                <w:rFonts w:ascii="Arial" w:eastAsia="宋体" w:hAnsi="Arial" w:cs="Arial"/>
                <w:color w:val="000000"/>
                <w:sz w:val="18"/>
                <w:szCs w:val="18"/>
              </w:rPr>
              <w:t> </w:t>
            </w:r>
          </w:p>
        </w:tc>
      </w:tr>
      <w:tr w:rsidR="005F762A" w14:paraId="7268FE9E" w14:textId="77777777">
        <w:trPr>
          <w:jc w:val="center"/>
        </w:trPr>
        <w:tc>
          <w:tcPr>
            <w:tcW w:w="0" w:type="auto"/>
            <w:gridSpan w:val="3"/>
            <w:shd w:val="clear" w:color="auto" w:fill="FFFFFF"/>
            <w:tcMar>
              <w:top w:w="40" w:type="dxa"/>
              <w:left w:w="380" w:type="dxa"/>
              <w:bottom w:w="40" w:type="dxa"/>
              <w:right w:w="20" w:type="dxa"/>
            </w:tcMar>
            <w:vAlign w:val="bottom"/>
          </w:tcPr>
          <w:p w14:paraId="7268FE96" w14:textId="77777777" w:rsidR="005F762A" w:rsidRDefault="00D74111">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7268FE97"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FE98" w14:textId="77777777" w:rsidR="005F762A" w:rsidRDefault="00D74111">
            <w:pPr>
              <w:jc w:val="right"/>
              <w:textAlignment w:val="bottom"/>
            </w:pPr>
            <w:r>
              <w:rPr>
                <w:rFonts w:ascii="Arial" w:eastAsia="宋体" w:hAnsi="Arial" w:cs="Arial"/>
                <w:color w:val="000000"/>
                <w:sz w:val="18"/>
                <w:szCs w:val="18"/>
              </w:rPr>
              <w:t>938 </w:t>
            </w:r>
          </w:p>
        </w:tc>
        <w:tc>
          <w:tcPr>
            <w:tcW w:w="0" w:type="auto"/>
            <w:shd w:val="clear" w:color="auto" w:fill="FFFFFF"/>
            <w:tcMar>
              <w:top w:w="40" w:type="dxa"/>
              <w:left w:w="0" w:type="dxa"/>
              <w:bottom w:w="40" w:type="dxa"/>
              <w:right w:w="20" w:type="dxa"/>
            </w:tcMar>
            <w:vAlign w:val="bottom"/>
          </w:tcPr>
          <w:p w14:paraId="7268FE9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9A"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E9B"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FE9C" w14:textId="77777777" w:rsidR="005F762A" w:rsidRDefault="00D74111">
            <w:pPr>
              <w:jc w:val="right"/>
              <w:textAlignment w:val="bottom"/>
            </w:pPr>
            <w:r>
              <w:rPr>
                <w:rFonts w:ascii="Arial" w:eastAsia="宋体" w:hAnsi="Arial" w:cs="Arial"/>
                <w:color w:val="000000"/>
                <w:sz w:val="18"/>
                <w:szCs w:val="18"/>
              </w:rPr>
              <w:t>614 </w:t>
            </w:r>
          </w:p>
        </w:tc>
        <w:tc>
          <w:tcPr>
            <w:tcW w:w="0" w:type="auto"/>
            <w:shd w:val="clear" w:color="auto" w:fill="FFFFFF"/>
            <w:tcMar>
              <w:top w:w="40" w:type="dxa"/>
              <w:left w:w="0" w:type="dxa"/>
              <w:bottom w:w="40" w:type="dxa"/>
              <w:right w:w="20" w:type="dxa"/>
            </w:tcMar>
            <w:vAlign w:val="bottom"/>
          </w:tcPr>
          <w:p w14:paraId="7268FE9D" w14:textId="77777777" w:rsidR="005F762A" w:rsidRDefault="005F762A">
            <w:pPr>
              <w:jc w:val="right"/>
              <w:rPr>
                <w:rFonts w:ascii="宋体"/>
              </w:rPr>
            </w:pPr>
          </w:p>
        </w:tc>
      </w:tr>
      <w:tr w:rsidR="005F762A" w14:paraId="7268FEA5" w14:textId="77777777">
        <w:trPr>
          <w:jc w:val="center"/>
        </w:trPr>
        <w:tc>
          <w:tcPr>
            <w:tcW w:w="0" w:type="auto"/>
            <w:gridSpan w:val="3"/>
            <w:shd w:val="clear" w:color="auto" w:fill="E2E2E2"/>
            <w:tcMar>
              <w:top w:w="40" w:type="dxa"/>
              <w:left w:w="380" w:type="dxa"/>
              <w:bottom w:w="40" w:type="dxa"/>
              <w:right w:w="20" w:type="dxa"/>
            </w:tcMar>
            <w:vAlign w:val="bottom"/>
          </w:tcPr>
          <w:p w14:paraId="7268FE9F" w14:textId="77777777" w:rsidR="005F762A" w:rsidRDefault="00D74111">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7268FEA0" w14:textId="77777777" w:rsidR="005F762A" w:rsidRDefault="00D74111">
            <w:pPr>
              <w:jc w:val="right"/>
              <w:textAlignment w:val="bottom"/>
            </w:pPr>
            <w:r>
              <w:rPr>
                <w:rFonts w:ascii="Arial" w:eastAsia="宋体" w:hAnsi="Arial" w:cs="Arial"/>
                <w:color w:val="000000"/>
                <w:sz w:val="18"/>
                <w:szCs w:val="18"/>
              </w:rPr>
              <w:t>266 </w:t>
            </w:r>
          </w:p>
        </w:tc>
        <w:tc>
          <w:tcPr>
            <w:tcW w:w="0" w:type="auto"/>
            <w:shd w:val="clear" w:color="auto" w:fill="E2E2E2"/>
            <w:tcMar>
              <w:top w:w="40" w:type="dxa"/>
              <w:left w:w="0" w:type="dxa"/>
              <w:bottom w:w="40" w:type="dxa"/>
              <w:right w:w="20" w:type="dxa"/>
            </w:tcMar>
            <w:vAlign w:val="bottom"/>
          </w:tcPr>
          <w:p w14:paraId="7268FEA1"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EA2"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EA3" w14:textId="77777777" w:rsidR="005F762A" w:rsidRDefault="00D74111">
            <w:pPr>
              <w:jc w:val="right"/>
              <w:textAlignment w:val="bottom"/>
            </w:pPr>
            <w:r>
              <w:rPr>
                <w:rFonts w:ascii="Arial" w:eastAsia="宋体" w:hAnsi="Arial" w:cs="Arial"/>
                <w:color w:val="000000"/>
                <w:sz w:val="18"/>
                <w:szCs w:val="18"/>
              </w:rPr>
              <w:t>(1,568)</w:t>
            </w:r>
          </w:p>
        </w:tc>
        <w:tc>
          <w:tcPr>
            <w:tcW w:w="0" w:type="auto"/>
            <w:shd w:val="clear" w:color="auto" w:fill="E2E2E2"/>
            <w:tcMar>
              <w:top w:w="40" w:type="dxa"/>
              <w:left w:w="0" w:type="dxa"/>
              <w:bottom w:w="40" w:type="dxa"/>
              <w:right w:w="20" w:type="dxa"/>
            </w:tcMar>
            <w:vAlign w:val="bottom"/>
          </w:tcPr>
          <w:p w14:paraId="7268FEA4" w14:textId="77777777" w:rsidR="005F762A" w:rsidRDefault="005F762A">
            <w:pPr>
              <w:jc w:val="right"/>
              <w:rPr>
                <w:rFonts w:ascii="宋体"/>
              </w:rPr>
            </w:pPr>
          </w:p>
        </w:tc>
      </w:tr>
      <w:tr w:rsidR="005F762A" w14:paraId="7268FEAC" w14:textId="77777777">
        <w:trPr>
          <w:jc w:val="center"/>
        </w:trPr>
        <w:tc>
          <w:tcPr>
            <w:tcW w:w="0" w:type="auto"/>
            <w:gridSpan w:val="3"/>
            <w:shd w:val="clear" w:color="auto" w:fill="FFFFFF"/>
            <w:tcMar>
              <w:top w:w="40" w:type="dxa"/>
              <w:left w:w="380" w:type="dxa"/>
              <w:bottom w:w="40" w:type="dxa"/>
              <w:right w:w="20" w:type="dxa"/>
            </w:tcMar>
            <w:vAlign w:val="bottom"/>
          </w:tcPr>
          <w:p w14:paraId="7268FEA6" w14:textId="77777777" w:rsidR="005F762A" w:rsidRDefault="00D74111">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7268FEA7" w14:textId="77777777" w:rsidR="005F762A" w:rsidRDefault="00D74111">
            <w:pPr>
              <w:jc w:val="right"/>
              <w:textAlignment w:val="bottom"/>
            </w:pPr>
            <w:r>
              <w:rPr>
                <w:rFonts w:ascii="Arial" w:eastAsia="宋体" w:hAnsi="Arial" w:cs="Arial"/>
                <w:color w:val="000000"/>
                <w:sz w:val="18"/>
                <w:szCs w:val="18"/>
              </w:rPr>
              <w:t>(1,169)</w:t>
            </w:r>
          </w:p>
        </w:tc>
        <w:tc>
          <w:tcPr>
            <w:tcW w:w="0" w:type="auto"/>
            <w:shd w:val="clear" w:color="auto" w:fill="FFFFFF"/>
            <w:tcMar>
              <w:top w:w="40" w:type="dxa"/>
              <w:left w:w="0" w:type="dxa"/>
              <w:bottom w:w="40" w:type="dxa"/>
              <w:right w:w="20" w:type="dxa"/>
            </w:tcMar>
            <w:vAlign w:val="bottom"/>
          </w:tcPr>
          <w:p w14:paraId="7268FEA8"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A9"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AA" w14:textId="77777777" w:rsidR="005F762A" w:rsidRDefault="00D74111">
            <w:pPr>
              <w:jc w:val="right"/>
              <w:textAlignment w:val="bottom"/>
            </w:pPr>
            <w:r>
              <w:rPr>
                <w:rFonts w:ascii="Arial" w:eastAsia="宋体" w:hAnsi="Arial" w:cs="Arial"/>
                <w:color w:val="000000"/>
                <w:sz w:val="18"/>
                <w:szCs w:val="18"/>
              </w:rPr>
              <w:t>(3,159)</w:t>
            </w:r>
          </w:p>
        </w:tc>
        <w:tc>
          <w:tcPr>
            <w:tcW w:w="0" w:type="auto"/>
            <w:shd w:val="clear" w:color="auto" w:fill="FFFFFF"/>
            <w:tcMar>
              <w:top w:w="40" w:type="dxa"/>
              <w:left w:w="0" w:type="dxa"/>
              <w:bottom w:w="40" w:type="dxa"/>
              <w:right w:w="20" w:type="dxa"/>
            </w:tcMar>
            <w:vAlign w:val="bottom"/>
          </w:tcPr>
          <w:p w14:paraId="7268FEAB" w14:textId="77777777" w:rsidR="005F762A" w:rsidRDefault="005F762A">
            <w:pPr>
              <w:jc w:val="right"/>
              <w:rPr>
                <w:rFonts w:ascii="宋体"/>
              </w:rPr>
            </w:pPr>
          </w:p>
        </w:tc>
      </w:tr>
      <w:tr w:rsidR="005F762A" w14:paraId="7268FEB3" w14:textId="77777777">
        <w:trPr>
          <w:jc w:val="center"/>
        </w:trPr>
        <w:tc>
          <w:tcPr>
            <w:tcW w:w="0" w:type="auto"/>
            <w:gridSpan w:val="3"/>
            <w:shd w:val="clear" w:color="auto" w:fill="E2E2E2"/>
            <w:tcMar>
              <w:top w:w="40" w:type="dxa"/>
              <w:left w:w="380" w:type="dxa"/>
              <w:bottom w:w="40" w:type="dxa"/>
              <w:right w:w="20" w:type="dxa"/>
            </w:tcMar>
            <w:vAlign w:val="bottom"/>
          </w:tcPr>
          <w:p w14:paraId="7268FEAD" w14:textId="77777777" w:rsidR="005F762A" w:rsidRDefault="00D74111">
            <w:pPr>
              <w:textAlignment w:val="bottom"/>
            </w:pPr>
            <w:r>
              <w:rPr>
                <w:rFonts w:ascii="Arial" w:eastAsia="宋体" w:hAnsi="Arial" w:cs="Arial"/>
                <w:color w:val="000000"/>
                <w:sz w:val="18"/>
                <w:szCs w:val="18"/>
              </w:rPr>
              <w:t>Effect of 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7268FEAE" w14:textId="77777777" w:rsidR="005F762A" w:rsidRDefault="00D74111">
            <w:pPr>
              <w:jc w:val="right"/>
              <w:textAlignment w:val="bottom"/>
            </w:pPr>
            <w:r>
              <w:rPr>
                <w:rFonts w:ascii="Arial" w:eastAsia="宋体" w:hAnsi="Arial" w:cs="Arial"/>
                <w:color w:val="000000"/>
                <w:sz w:val="18"/>
                <w:szCs w:val="18"/>
              </w:rPr>
              <w:t>(11)</w:t>
            </w:r>
          </w:p>
        </w:tc>
        <w:tc>
          <w:tcPr>
            <w:tcW w:w="0" w:type="auto"/>
            <w:shd w:val="clear" w:color="auto" w:fill="E2E2E2"/>
            <w:tcMar>
              <w:top w:w="40" w:type="dxa"/>
              <w:left w:w="0" w:type="dxa"/>
              <w:bottom w:w="40" w:type="dxa"/>
              <w:right w:w="20" w:type="dxa"/>
            </w:tcMar>
            <w:vAlign w:val="bottom"/>
          </w:tcPr>
          <w:p w14:paraId="7268FEAF"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EB0"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EB1" w14:textId="77777777" w:rsidR="005F762A" w:rsidRDefault="00D74111">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7268FEB2" w14:textId="77777777" w:rsidR="005F762A" w:rsidRDefault="005F762A">
            <w:pPr>
              <w:jc w:val="right"/>
              <w:rPr>
                <w:rFonts w:ascii="宋体"/>
              </w:rPr>
            </w:pPr>
          </w:p>
        </w:tc>
      </w:tr>
      <w:tr w:rsidR="005F762A" w14:paraId="7268FEBA" w14:textId="77777777">
        <w:trPr>
          <w:jc w:val="center"/>
        </w:trPr>
        <w:tc>
          <w:tcPr>
            <w:tcW w:w="0" w:type="auto"/>
            <w:gridSpan w:val="3"/>
            <w:shd w:val="clear" w:color="auto" w:fill="FFFFFF"/>
            <w:tcMar>
              <w:top w:w="40" w:type="dxa"/>
              <w:left w:w="380" w:type="dxa"/>
              <w:bottom w:w="40" w:type="dxa"/>
              <w:right w:w="20" w:type="dxa"/>
            </w:tcMar>
            <w:vAlign w:val="bottom"/>
          </w:tcPr>
          <w:p w14:paraId="7268FEB4" w14:textId="77777777" w:rsidR="005F762A" w:rsidRDefault="00D74111">
            <w:pPr>
              <w:textAlignment w:val="bottom"/>
            </w:pPr>
            <w:r>
              <w:rPr>
                <w:rFonts w:ascii="Arial" w:eastAsia="宋体" w:hAnsi="Arial" w:cs="Arial"/>
                <w:color w:val="000000"/>
                <w:sz w:val="18"/>
                <w:szCs w:val="18"/>
              </w:rPr>
              <w:t xml:space="preserve">Net increase in </w:t>
            </w:r>
            <w:r>
              <w:rPr>
                <w:rFonts w:ascii="Arial" w:eastAsia="宋体" w:hAnsi="Arial" w:cs="Arial"/>
                <w:color w:val="000000"/>
                <w:sz w:val="18"/>
                <w:szCs w:val="18"/>
              </w:rPr>
              <w:t>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7268FEB5" w14:textId="77777777" w:rsidR="005F762A" w:rsidRDefault="00D74111">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7268FEB6"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EB7"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EB8" w14:textId="77777777" w:rsidR="005F762A" w:rsidRDefault="00D74111">
            <w:pPr>
              <w:jc w:val="right"/>
              <w:textAlignment w:val="bottom"/>
            </w:pPr>
            <w:r>
              <w:rPr>
                <w:rFonts w:ascii="Arial" w:eastAsia="宋体" w:hAnsi="Arial" w:cs="Arial"/>
                <w:color w:val="000000"/>
                <w:sz w:val="18"/>
                <w:szCs w:val="18"/>
              </w:rPr>
              <w:t>4,050 </w:t>
            </w:r>
          </w:p>
        </w:tc>
        <w:tc>
          <w:tcPr>
            <w:tcW w:w="0" w:type="auto"/>
            <w:shd w:val="clear" w:color="auto" w:fill="FFFFFF"/>
            <w:tcMar>
              <w:top w:w="40" w:type="dxa"/>
              <w:left w:w="0" w:type="dxa"/>
              <w:bottom w:w="40" w:type="dxa"/>
              <w:right w:w="20" w:type="dxa"/>
            </w:tcMar>
            <w:vAlign w:val="bottom"/>
          </w:tcPr>
          <w:p w14:paraId="7268FEB9" w14:textId="77777777" w:rsidR="005F762A" w:rsidRDefault="005F762A">
            <w:pPr>
              <w:jc w:val="right"/>
              <w:rPr>
                <w:rFonts w:ascii="宋体"/>
              </w:rPr>
            </w:pPr>
          </w:p>
        </w:tc>
      </w:tr>
      <w:tr w:rsidR="005F762A" w14:paraId="7268FEC3" w14:textId="77777777">
        <w:trPr>
          <w:jc w:val="center"/>
        </w:trPr>
        <w:tc>
          <w:tcPr>
            <w:tcW w:w="0" w:type="auto"/>
            <w:gridSpan w:val="3"/>
            <w:shd w:val="clear" w:color="auto" w:fill="E2E2E2"/>
            <w:tcMar>
              <w:top w:w="40" w:type="dxa"/>
              <w:left w:w="20" w:type="dxa"/>
              <w:bottom w:w="40" w:type="dxa"/>
              <w:right w:w="20" w:type="dxa"/>
            </w:tcMar>
            <w:vAlign w:val="bottom"/>
          </w:tcPr>
          <w:p w14:paraId="7268FEBB" w14:textId="77777777" w:rsidR="005F762A" w:rsidRDefault="00D74111">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EBC"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EBD" w14:textId="77777777" w:rsidR="005F762A" w:rsidRDefault="00D74111">
            <w:pPr>
              <w:jc w:val="right"/>
              <w:textAlignment w:val="bottom"/>
            </w:pPr>
            <w:r>
              <w:rPr>
                <w:rFonts w:ascii="Arial" w:eastAsia="宋体" w:hAnsi="Arial" w:cs="Arial"/>
                <w:color w:val="000000"/>
                <w:sz w:val="18"/>
                <w:szCs w:val="18"/>
              </w:rPr>
              <w:t>127 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EBE"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EBF" w14:textId="77777777" w:rsidR="005F762A" w:rsidRDefault="005F762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7268FEC0" w14:textId="77777777" w:rsidR="005F762A" w:rsidRDefault="00D74111">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7268FEC1" w14:textId="77777777" w:rsidR="005F762A" w:rsidRDefault="00D74111">
            <w:pPr>
              <w:jc w:val="right"/>
              <w:textAlignment w:val="bottom"/>
            </w:pPr>
            <w:r>
              <w:rPr>
                <w:rFonts w:ascii="Arial" w:eastAsia="宋体" w:hAnsi="Arial" w:cs="Arial"/>
                <w:color w:val="000000"/>
                <w:sz w:val="18"/>
                <w:szCs w:val="18"/>
              </w:rPr>
              <w:t>(97)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7268FEC2" w14:textId="77777777" w:rsidR="005F762A" w:rsidRDefault="005F762A">
            <w:pPr>
              <w:jc w:val="right"/>
              <w:rPr>
                <w:rFonts w:ascii="宋体"/>
              </w:rPr>
            </w:pPr>
          </w:p>
        </w:tc>
      </w:tr>
    </w:tbl>
    <w:p w14:paraId="7268FEC4" w14:textId="77777777" w:rsidR="005F762A" w:rsidRDefault="00D74111">
      <w:r>
        <w:rPr>
          <w:rFonts w:ascii="Arial" w:eastAsia="宋体" w:hAnsi="Arial" w:cs="Arial"/>
          <w:color w:val="000000"/>
          <w:sz w:val="20"/>
          <w:szCs w:val="20"/>
        </w:rPr>
        <w:t> </w:t>
      </w:r>
    </w:p>
    <w:p w14:paraId="7268FEC5" w14:textId="77777777" w:rsidR="005F762A" w:rsidRDefault="00D74111">
      <w:pPr>
        <w:ind w:firstLine="270"/>
      </w:pPr>
      <w:r>
        <w:rPr>
          <w:rFonts w:ascii="Arial" w:eastAsia="宋体" w:hAnsi="Arial" w:cs="Arial"/>
          <w:i/>
          <w:iCs/>
          <w:color w:val="000000"/>
          <w:sz w:val="20"/>
          <w:szCs w:val="20"/>
        </w:rPr>
        <w:t>Continuing Operating Activities</w:t>
      </w:r>
    </w:p>
    <w:p w14:paraId="7268FEC6" w14:textId="77777777" w:rsidR="005F762A" w:rsidRDefault="005F762A">
      <w:pPr>
        <w:jc w:val="both"/>
      </w:pPr>
    </w:p>
    <w:p w14:paraId="7268FEC7" w14:textId="77777777" w:rsidR="005F762A" w:rsidRDefault="00D74111">
      <w:pPr>
        <w:ind w:firstLine="540"/>
        <w:jc w:val="both"/>
      </w:pPr>
      <w:r>
        <w:rPr>
          <w:rFonts w:ascii="Arial" w:eastAsia="宋体" w:hAnsi="Arial" w:cs="Arial"/>
          <w:color w:val="000000"/>
          <w:sz w:val="20"/>
          <w:szCs w:val="20"/>
        </w:rPr>
        <w:t xml:space="preserve">Cash provided by continuing operating </w:t>
      </w:r>
      <w:r>
        <w:rPr>
          <w:rFonts w:ascii="Arial" w:eastAsia="宋体" w:hAnsi="Arial" w:cs="Arial"/>
          <w:color w:val="000000"/>
          <w:sz w:val="20"/>
          <w:szCs w:val="20"/>
        </w:rPr>
        <w:t>activities of $938 million in the three months ended March 31, 2021 was primarily attributable to net income of $641 million with adjustments for income from discontinued operations of $72 million, $140 million in depreciation and amortization, $106 millio</w:t>
      </w:r>
      <w:r>
        <w:rPr>
          <w:rFonts w:ascii="Arial" w:eastAsia="宋体" w:hAnsi="Arial" w:cs="Arial"/>
          <w:color w:val="000000"/>
          <w:sz w:val="20"/>
          <w:szCs w:val="20"/>
        </w:rPr>
        <w:t>n in stock-based compensation, $88 million in provision for transaction losses, $95 million for deferred income taxes, adjustments of $36 million for changes in the fair value of the Adyen warrant and $10 million related to the loss extinguishment of debt,</w:t>
      </w:r>
      <w:r>
        <w:rPr>
          <w:rFonts w:ascii="Arial" w:eastAsia="宋体" w:hAnsi="Arial" w:cs="Arial"/>
          <w:color w:val="000000"/>
          <w:sz w:val="20"/>
          <w:szCs w:val="20"/>
        </w:rPr>
        <w:t xml:space="preserve"> partially offset by $105 million in changes in assets and liabilities, net of acquisition effects.</w:t>
      </w:r>
    </w:p>
    <w:p w14:paraId="7268FEC8" w14:textId="77777777" w:rsidR="005F762A" w:rsidRDefault="005F762A">
      <w:pPr>
        <w:ind w:firstLine="540"/>
        <w:jc w:val="both"/>
      </w:pPr>
    </w:p>
    <w:p w14:paraId="7268FEC9" w14:textId="77777777" w:rsidR="005F762A" w:rsidRDefault="00D74111">
      <w:pPr>
        <w:ind w:firstLine="270"/>
      </w:pPr>
      <w:r>
        <w:rPr>
          <w:rFonts w:ascii="Arial" w:eastAsia="宋体" w:hAnsi="Arial" w:cs="Arial"/>
          <w:i/>
          <w:iCs/>
          <w:color w:val="000000"/>
          <w:sz w:val="20"/>
          <w:szCs w:val="20"/>
        </w:rPr>
        <w:t>Continuing Investing Activities</w:t>
      </w:r>
    </w:p>
    <w:p w14:paraId="7268FECA" w14:textId="77777777" w:rsidR="005F762A" w:rsidRDefault="005F762A">
      <w:pPr>
        <w:ind w:firstLine="270"/>
      </w:pPr>
    </w:p>
    <w:p w14:paraId="7268FECB" w14:textId="77777777" w:rsidR="005F762A" w:rsidRDefault="00D74111">
      <w:pPr>
        <w:ind w:firstLine="540"/>
        <w:jc w:val="both"/>
      </w:pPr>
      <w:r>
        <w:rPr>
          <w:rFonts w:ascii="Arial" w:eastAsia="宋体" w:hAnsi="Arial" w:cs="Arial"/>
          <w:color w:val="000000"/>
          <w:sz w:val="20"/>
          <w:szCs w:val="20"/>
        </w:rPr>
        <w:t>Cash provided by continuing investing activities of $266 million in the three months ended March 31, 2021 was primarily at</w:t>
      </w:r>
      <w:r>
        <w:rPr>
          <w:rFonts w:ascii="Arial" w:eastAsia="宋体" w:hAnsi="Arial" w:cs="Arial"/>
          <w:color w:val="000000"/>
          <w:sz w:val="20"/>
          <w:szCs w:val="20"/>
        </w:rPr>
        <w:t>tributable to proceeds of $3.8 billion from the maturities and sales of investments partially offset by cash paid for investments of $3.4 billion and property and equipment of $83 million.</w:t>
      </w:r>
    </w:p>
    <w:p w14:paraId="7268FECC" w14:textId="77777777" w:rsidR="005F762A" w:rsidRDefault="005F762A">
      <w:pPr>
        <w:ind w:firstLine="540"/>
        <w:jc w:val="both"/>
      </w:pPr>
    </w:p>
    <w:p w14:paraId="7268FECD" w14:textId="77777777" w:rsidR="005F762A" w:rsidRDefault="005F762A">
      <w:pPr>
        <w:jc w:val="center"/>
      </w:pPr>
    </w:p>
    <w:p w14:paraId="7268FECE" w14:textId="77777777" w:rsidR="005F762A" w:rsidRDefault="00D74111">
      <w:pPr>
        <w:jc w:val="center"/>
      </w:pPr>
      <w:r>
        <w:rPr>
          <w:rFonts w:ascii="Arial" w:eastAsia="宋体" w:hAnsi="Arial" w:cs="Arial"/>
          <w:color w:val="000000"/>
          <w:sz w:val="20"/>
          <w:szCs w:val="20"/>
        </w:rPr>
        <w:t>38</w:t>
      </w:r>
    </w:p>
    <w:p w14:paraId="7268FECF" w14:textId="77777777" w:rsidR="005F762A" w:rsidRDefault="00D74111">
      <w:r>
        <w:pict w14:anchorId="72690165">
          <v:rect id="_x0000_i1062" style="width:415.3pt;height:1.5pt" o:hralign="center" o:hrstd="t" o:hr="t" fillcolor="#a0a0a0" stroked="f"/>
        </w:pict>
      </w:r>
    </w:p>
    <w:p w14:paraId="7268FED0" w14:textId="77777777" w:rsidR="005F762A" w:rsidRDefault="005F762A"/>
    <w:p w14:paraId="7268FED1" w14:textId="77777777" w:rsidR="005F762A" w:rsidRDefault="00D74111">
      <w:pPr>
        <w:ind w:firstLine="270"/>
      </w:pPr>
      <w:r>
        <w:rPr>
          <w:rFonts w:ascii="Arial" w:eastAsia="宋体" w:hAnsi="Arial" w:cs="Arial"/>
          <w:i/>
          <w:iCs/>
          <w:color w:val="000000"/>
          <w:sz w:val="20"/>
          <w:szCs w:val="20"/>
        </w:rPr>
        <w:t>Continuing Financing Activities</w:t>
      </w:r>
    </w:p>
    <w:p w14:paraId="7268FED2" w14:textId="77777777" w:rsidR="005F762A" w:rsidRDefault="005F762A"/>
    <w:p w14:paraId="7268FED3" w14:textId="77777777" w:rsidR="005F762A" w:rsidRDefault="00D74111">
      <w:pPr>
        <w:ind w:firstLine="540"/>
        <w:jc w:val="both"/>
      </w:pPr>
      <w:r>
        <w:rPr>
          <w:rFonts w:ascii="Arial" w:eastAsia="宋体" w:hAnsi="Arial" w:cs="Arial"/>
          <w:color w:val="000000"/>
          <w:sz w:val="20"/>
          <w:szCs w:val="20"/>
        </w:rPr>
        <w:t>Cash used in continuing fi</w:t>
      </w:r>
      <w:r>
        <w:rPr>
          <w:rFonts w:ascii="Arial" w:eastAsia="宋体" w:hAnsi="Arial" w:cs="Arial"/>
          <w:color w:val="000000"/>
          <w:sz w:val="20"/>
          <w:szCs w:val="20"/>
        </w:rPr>
        <w:t>nancing activities of $1.2 billion in the three months ended March 31, 2021 was primarily attributable to debt repayments of $1.2 billion, which was comprised of $750 million related to our 6.000% senior fixed rate notes due 2056 that were redeemed and $40</w:t>
      </w:r>
      <w:r>
        <w:rPr>
          <w:rFonts w:ascii="Arial" w:eastAsia="宋体" w:hAnsi="Arial" w:cs="Arial"/>
          <w:color w:val="000000"/>
          <w:sz w:val="20"/>
          <w:szCs w:val="20"/>
        </w:rPr>
        <w:t xml:space="preserve">5 million related to our 2.600% senior fixed rate notes due 2022 that were repurchased pursuant to a tender offer, cash paid to repurchase $304 million of common stock, paid $122 million in cash dividends, partially offset by commercial paper issuances of </w:t>
      </w:r>
      <w:r>
        <w:rPr>
          <w:rFonts w:ascii="Arial" w:eastAsia="宋体" w:hAnsi="Arial" w:cs="Arial"/>
          <w:color w:val="000000"/>
          <w:sz w:val="20"/>
          <w:szCs w:val="20"/>
        </w:rPr>
        <w:t xml:space="preserve">$400 million and net funds receivable and payable activity of $32 million. </w:t>
      </w:r>
    </w:p>
    <w:p w14:paraId="7268FED4" w14:textId="77777777" w:rsidR="005F762A" w:rsidRDefault="005F762A">
      <w:pPr>
        <w:ind w:firstLine="540"/>
        <w:jc w:val="both"/>
      </w:pPr>
    </w:p>
    <w:p w14:paraId="7268FED5" w14:textId="77777777" w:rsidR="005F762A" w:rsidRDefault="00D74111">
      <w:pPr>
        <w:ind w:firstLine="540"/>
        <w:jc w:val="both"/>
      </w:pPr>
      <w:r>
        <w:rPr>
          <w:rFonts w:ascii="Arial" w:eastAsia="宋体" w:hAnsi="Arial" w:cs="Arial"/>
          <w:color w:val="000000"/>
          <w:sz w:val="20"/>
          <w:szCs w:val="20"/>
        </w:rPr>
        <w:t>The negative effect of exchange rate movements on cash, cash equivalents and restricted cash was due to the strengthening of the U.S. dollar against other currencies, primarily th</w:t>
      </w:r>
      <w:r>
        <w:rPr>
          <w:rFonts w:ascii="Arial" w:eastAsia="宋体" w:hAnsi="Arial" w:cs="Arial"/>
          <w:color w:val="000000"/>
          <w:sz w:val="20"/>
          <w:szCs w:val="20"/>
        </w:rPr>
        <w:t>e Korean won and Japanese yen during the three months ended March 31, 2021 compared to the 2020 year-end rate.</w:t>
      </w:r>
    </w:p>
    <w:p w14:paraId="7268FED6" w14:textId="77777777" w:rsidR="005F762A" w:rsidRDefault="005F762A">
      <w:pPr>
        <w:ind w:firstLine="540"/>
      </w:pPr>
    </w:p>
    <w:p w14:paraId="7268FED7" w14:textId="77777777" w:rsidR="005F762A" w:rsidRDefault="00D74111">
      <w:pPr>
        <w:ind w:firstLine="270"/>
      </w:pPr>
      <w:r>
        <w:rPr>
          <w:rFonts w:ascii="Arial" w:eastAsia="宋体" w:hAnsi="Arial" w:cs="Arial"/>
          <w:b/>
          <w:bCs/>
          <w:i/>
          <w:iCs/>
          <w:color w:val="000000"/>
          <w:sz w:val="20"/>
          <w:szCs w:val="20"/>
        </w:rPr>
        <w:t>Stock Repurchases</w:t>
      </w:r>
    </w:p>
    <w:p w14:paraId="7268FED8" w14:textId="77777777" w:rsidR="005F762A" w:rsidRDefault="005F762A"/>
    <w:p w14:paraId="7268FED9" w14:textId="77777777" w:rsidR="005F762A" w:rsidRDefault="00D74111">
      <w:pPr>
        <w:ind w:firstLine="540"/>
        <w:jc w:val="both"/>
      </w:pPr>
      <w:r>
        <w:rPr>
          <w:rFonts w:ascii="Arial" w:eastAsia="宋体" w:hAnsi="Arial" w:cs="Arial"/>
          <w:color w:val="000000"/>
          <w:sz w:val="20"/>
          <w:szCs w:val="20"/>
        </w:rPr>
        <w:t>In January 2020, our Board authorized a $5.0 billion stock repurchase program and in February 2021, our Board authorized an a</w:t>
      </w:r>
      <w:r>
        <w:rPr>
          <w:rFonts w:ascii="Arial" w:eastAsia="宋体" w:hAnsi="Arial" w:cs="Arial"/>
          <w:color w:val="000000"/>
          <w:sz w:val="20"/>
          <w:szCs w:val="20"/>
        </w:rPr>
        <w:t xml:space="preserve">dditional $4.0 billion stock repurchase program. These stock repurchase programs have no expiration from the date of authorization. </w:t>
      </w:r>
    </w:p>
    <w:p w14:paraId="7268FEDA" w14:textId="77777777" w:rsidR="005F762A" w:rsidRDefault="005F762A">
      <w:pPr>
        <w:ind w:firstLine="540"/>
        <w:jc w:val="both"/>
      </w:pPr>
    </w:p>
    <w:p w14:paraId="7268FEDB" w14:textId="77777777" w:rsidR="005F762A" w:rsidRDefault="00D74111">
      <w:pPr>
        <w:ind w:firstLine="540"/>
        <w:jc w:val="both"/>
      </w:pPr>
      <w:r>
        <w:rPr>
          <w:rFonts w:ascii="Arial" w:eastAsia="宋体" w:hAnsi="Arial" w:cs="Arial"/>
          <w:color w:val="000000"/>
          <w:sz w:val="20"/>
          <w:szCs w:val="20"/>
        </w:rPr>
        <w:t xml:space="preserve">Our stock repurchase programs are intended to programmatically offset the impact of dilution from our equity compensation </w:t>
      </w:r>
      <w:r>
        <w:rPr>
          <w:rFonts w:ascii="Arial" w:eastAsia="宋体" w:hAnsi="Arial" w:cs="Arial"/>
          <w:color w:val="000000"/>
          <w:sz w:val="20"/>
          <w:szCs w:val="20"/>
        </w:rPr>
        <w:t>programs and, subject to market conditions and other factors, to make opportunistic and programmatic repurchases of our common stock to reduce our outstanding share count. Any share repurchases under our stock repurchase programs may be made through open m</w:t>
      </w:r>
      <w:r>
        <w:rPr>
          <w:rFonts w:ascii="Arial" w:eastAsia="宋体" w:hAnsi="Arial" w:cs="Arial"/>
          <w:color w:val="000000"/>
          <w:sz w:val="20"/>
          <w:szCs w:val="20"/>
        </w:rPr>
        <w:t>arket transactions, block trades, privately negotiated transactions (including accelerated share repurchase transactions) or other means at times and in such amounts as management deems appropriate and will be funded from our working capital or other finan</w:t>
      </w:r>
      <w:r>
        <w:rPr>
          <w:rFonts w:ascii="Arial" w:eastAsia="宋体" w:hAnsi="Arial" w:cs="Arial"/>
          <w:color w:val="000000"/>
          <w:sz w:val="20"/>
          <w:szCs w:val="20"/>
        </w:rPr>
        <w:t>cing alternatives.</w:t>
      </w:r>
    </w:p>
    <w:p w14:paraId="7268FEDC" w14:textId="77777777" w:rsidR="005F762A" w:rsidRDefault="005F762A">
      <w:pPr>
        <w:ind w:firstLine="540"/>
        <w:jc w:val="both"/>
      </w:pPr>
    </w:p>
    <w:p w14:paraId="7268FEDD" w14:textId="77777777" w:rsidR="005F762A" w:rsidRDefault="00D74111">
      <w:pPr>
        <w:ind w:firstLine="540"/>
        <w:jc w:val="both"/>
      </w:pPr>
      <w:r>
        <w:rPr>
          <w:rFonts w:ascii="Arial" w:eastAsia="宋体" w:hAnsi="Arial" w:cs="Arial"/>
          <w:color w:val="000000"/>
          <w:sz w:val="20"/>
          <w:szCs w:val="20"/>
        </w:rPr>
        <w:t>During the three months ended March 31, 2021, we repurchased approximately $292 million of our common stock under our stock repurchase programs. As of March 31, 2021, a total of approximately $5.7 billion remained available for future r</w:t>
      </w:r>
      <w:r>
        <w:rPr>
          <w:rFonts w:ascii="Arial" w:eastAsia="宋体" w:hAnsi="Arial" w:cs="Arial"/>
          <w:color w:val="000000"/>
          <w:sz w:val="20"/>
          <w:szCs w:val="20"/>
        </w:rPr>
        <w:t>epurchases of our common stock under our stock repurchase programs. </w:t>
      </w:r>
    </w:p>
    <w:p w14:paraId="7268FEDE" w14:textId="77777777" w:rsidR="005F762A" w:rsidRDefault="005F762A">
      <w:pPr>
        <w:ind w:firstLine="540"/>
        <w:jc w:val="both"/>
      </w:pPr>
    </w:p>
    <w:p w14:paraId="7268FEDF" w14:textId="77777777" w:rsidR="005F762A" w:rsidRDefault="00D74111">
      <w:pPr>
        <w:ind w:firstLine="540"/>
        <w:jc w:val="both"/>
      </w:pPr>
      <w:r>
        <w:rPr>
          <w:rFonts w:ascii="Arial" w:eastAsia="宋体" w:hAnsi="Arial" w:cs="Arial"/>
          <w:color w:val="000000"/>
          <w:sz w:val="20"/>
          <w:szCs w:val="20"/>
        </w:rPr>
        <w:t xml:space="preserve">We expect, subject to market conditions and other uncertainties, to continue making opportunistic and programmatic repurchases of our common stock. However, our stock </w:t>
      </w:r>
      <w:r>
        <w:rPr>
          <w:rFonts w:ascii="Arial" w:eastAsia="宋体" w:hAnsi="Arial" w:cs="Arial"/>
          <w:color w:val="000000"/>
          <w:sz w:val="20"/>
          <w:szCs w:val="20"/>
        </w:rPr>
        <w:t>repurchase programs may be limited or terminated at any time without prior notice. The timing and actual number of shares repurchased will depend on a variety of factors, including corporate and regulatory requirements, the impacts of the COVID-19 pandemic</w:t>
      </w:r>
      <w:r>
        <w:rPr>
          <w:rFonts w:ascii="Arial" w:eastAsia="宋体" w:hAnsi="Arial" w:cs="Arial"/>
          <w:color w:val="000000"/>
          <w:sz w:val="20"/>
          <w:szCs w:val="20"/>
        </w:rPr>
        <w:t>, price and other market conditions and management’s determination as to the appropriate use of our cash. </w:t>
      </w:r>
    </w:p>
    <w:p w14:paraId="7268FEE0" w14:textId="77777777" w:rsidR="005F762A" w:rsidRDefault="005F762A">
      <w:pPr>
        <w:ind w:firstLine="540"/>
        <w:jc w:val="both"/>
      </w:pPr>
    </w:p>
    <w:p w14:paraId="7268FEE1" w14:textId="77777777" w:rsidR="005F762A" w:rsidRDefault="00D74111">
      <w:pPr>
        <w:ind w:firstLine="270"/>
      </w:pPr>
      <w:r>
        <w:rPr>
          <w:rFonts w:ascii="Arial" w:eastAsia="宋体" w:hAnsi="Arial" w:cs="Arial"/>
          <w:b/>
          <w:bCs/>
          <w:i/>
          <w:iCs/>
          <w:color w:val="000000"/>
          <w:sz w:val="20"/>
          <w:szCs w:val="20"/>
        </w:rPr>
        <w:t>Dividends</w:t>
      </w:r>
    </w:p>
    <w:p w14:paraId="7268FEE2" w14:textId="77777777" w:rsidR="005F762A" w:rsidRDefault="005F762A">
      <w:pPr>
        <w:ind w:firstLine="270"/>
      </w:pPr>
    </w:p>
    <w:p w14:paraId="7268FEE3" w14:textId="77777777" w:rsidR="005F762A" w:rsidRDefault="00D74111">
      <w:pPr>
        <w:ind w:firstLine="540"/>
        <w:jc w:val="both"/>
      </w:pPr>
      <w:r>
        <w:rPr>
          <w:rFonts w:ascii="Arial" w:eastAsia="宋体" w:hAnsi="Arial" w:cs="Arial"/>
          <w:color w:val="000000"/>
          <w:sz w:val="20"/>
          <w:szCs w:val="20"/>
        </w:rPr>
        <w:t>The Company paid a total of $122 million and $114 million in cash dividends during the three months ended March 31, 2021 and March 31, 20</w:t>
      </w:r>
      <w:r>
        <w:rPr>
          <w:rFonts w:ascii="Arial" w:eastAsia="宋体" w:hAnsi="Arial" w:cs="Arial"/>
          <w:color w:val="000000"/>
          <w:sz w:val="20"/>
          <w:szCs w:val="20"/>
        </w:rPr>
        <w:t>20, respectively. In April 2021, our Board of Directors declared a cash dividend of $0.18 per share of common stock to be paid on June 18, 2021 to stockholders of record as of June 1, 2021.</w:t>
      </w:r>
    </w:p>
    <w:p w14:paraId="7268FEE4" w14:textId="77777777" w:rsidR="005F762A" w:rsidRDefault="005F762A">
      <w:pPr>
        <w:ind w:firstLine="540"/>
        <w:jc w:val="both"/>
      </w:pPr>
    </w:p>
    <w:p w14:paraId="7268FEE5" w14:textId="77777777" w:rsidR="005F762A" w:rsidRDefault="005F762A">
      <w:pPr>
        <w:jc w:val="center"/>
      </w:pPr>
    </w:p>
    <w:p w14:paraId="7268FEE6" w14:textId="77777777" w:rsidR="005F762A" w:rsidRDefault="00D74111">
      <w:pPr>
        <w:jc w:val="center"/>
      </w:pPr>
      <w:r>
        <w:rPr>
          <w:rFonts w:ascii="Arial" w:eastAsia="宋体" w:hAnsi="Arial" w:cs="Arial"/>
          <w:color w:val="000000"/>
          <w:sz w:val="20"/>
          <w:szCs w:val="20"/>
        </w:rPr>
        <w:t>39</w:t>
      </w:r>
    </w:p>
    <w:p w14:paraId="7268FEE7" w14:textId="77777777" w:rsidR="005F762A" w:rsidRDefault="00D74111">
      <w:r>
        <w:pict w14:anchorId="72690166">
          <v:rect id="_x0000_i1063" style="width:415.3pt;height:1.5pt" o:hralign="center" o:hrstd="t" o:hr="t" fillcolor="#a0a0a0" stroked="f"/>
        </w:pict>
      </w:r>
    </w:p>
    <w:p w14:paraId="7268FEE8" w14:textId="77777777" w:rsidR="005F762A" w:rsidRDefault="005F762A"/>
    <w:p w14:paraId="7268FEE9" w14:textId="77777777" w:rsidR="005F762A" w:rsidRDefault="00D74111">
      <w:pPr>
        <w:ind w:firstLine="270"/>
      </w:pPr>
      <w:r>
        <w:rPr>
          <w:rFonts w:ascii="Arial" w:eastAsia="宋体" w:hAnsi="Arial" w:cs="Arial"/>
          <w:b/>
          <w:bCs/>
          <w:i/>
          <w:iCs/>
          <w:color w:val="000000"/>
          <w:sz w:val="20"/>
          <w:szCs w:val="20"/>
        </w:rPr>
        <w:t>Debt</w:t>
      </w:r>
    </w:p>
    <w:p w14:paraId="7268FEEA" w14:textId="77777777" w:rsidR="005F762A" w:rsidRDefault="005F762A">
      <w:pPr>
        <w:ind w:firstLine="90"/>
      </w:pPr>
    </w:p>
    <w:p w14:paraId="7268FEEB" w14:textId="77777777" w:rsidR="005F762A" w:rsidRDefault="00D74111">
      <w:pPr>
        <w:ind w:firstLine="270"/>
      </w:pPr>
      <w:r>
        <w:rPr>
          <w:rFonts w:ascii="Arial" w:eastAsia="宋体" w:hAnsi="Arial" w:cs="Arial"/>
          <w:i/>
          <w:iCs/>
          <w:color w:val="000000"/>
          <w:sz w:val="20"/>
          <w:szCs w:val="20"/>
        </w:rPr>
        <w:t>Senior Notes</w:t>
      </w:r>
    </w:p>
    <w:p w14:paraId="7268FEEC" w14:textId="77777777" w:rsidR="005F762A" w:rsidRDefault="005F762A">
      <w:pPr>
        <w:ind w:firstLine="540"/>
        <w:jc w:val="both"/>
      </w:pPr>
    </w:p>
    <w:p w14:paraId="7268FEED" w14:textId="77777777" w:rsidR="005F762A" w:rsidRDefault="00D74111">
      <w:pPr>
        <w:ind w:firstLine="540"/>
        <w:jc w:val="both"/>
      </w:pPr>
      <w:r>
        <w:rPr>
          <w:rFonts w:ascii="Arial" w:eastAsia="宋体" w:hAnsi="Arial" w:cs="Arial"/>
          <w:color w:val="000000"/>
          <w:sz w:val="20"/>
          <w:szCs w:val="20"/>
        </w:rPr>
        <w:t>As of March 31, 2021, we had floating-</w:t>
      </w:r>
      <w:r>
        <w:rPr>
          <w:rFonts w:ascii="Arial" w:eastAsia="宋体" w:hAnsi="Arial" w:cs="Arial"/>
          <w:color w:val="000000"/>
          <w:sz w:val="20"/>
          <w:szCs w:val="20"/>
        </w:rPr>
        <w:t xml:space="preserve"> and fixed-rate senior notes outstanding for an aggregate principal amount of $6.6 billion. The net proceeds from the issuances of these senior notes are used for general corporate purposes, including, among other things, capital expenditures, share repurc</w:t>
      </w:r>
      <w:r>
        <w:rPr>
          <w:rFonts w:ascii="Arial" w:eastAsia="宋体" w:hAnsi="Arial" w:cs="Arial"/>
          <w:color w:val="000000"/>
          <w:sz w:val="20"/>
          <w:szCs w:val="20"/>
        </w:rPr>
        <w:t>hases, repayment of indebtedness and possible acquisitions. The floating rate notes are not redeemable prior to maturity. We may redeem some or all of the other fixed rate notes of each series at any time and from time to time prior to their maturity, gene</w:t>
      </w:r>
      <w:r>
        <w:rPr>
          <w:rFonts w:ascii="Arial" w:eastAsia="宋体" w:hAnsi="Arial" w:cs="Arial"/>
          <w:color w:val="000000"/>
          <w:sz w:val="20"/>
          <w:szCs w:val="20"/>
        </w:rPr>
        <w:t xml:space="preserve">rally at a make-whole redemption price plus accrued and unpaid interest. If a change of control triggering event (as defined in the applicable senior notes) occurs with respect to the 3.800% fixed rate notes due 2022, the floating rate notes due 2023, the </w:t>
      </w:r>
      <w:r>
        <w:rPr>
          <w:rFonts w:ascii="Arial" w:eastAsia="宋体" w:hAnsi="Arial" w:cs="Arial"/>
          <w:color w:val="000000"/>
          <w:sz w:val="20"/>
          <w:szCs w:val="20"/>
        </w:rPr>
        <w:t>2.750% fixed rate notes due 2023, the 1.900% fixed rate notes due 2025, the 3.600% fixed rate notes due 2027 or the 2.700% fixed rate notes due 2030, we must, subject to certain exceptions, offer to repurchase all of the notes of the applicable series at a</w:t>
      </w:r>
      <w:r>
        <w:rPr>
          <w:rFonts w:ascii="Arial" w:eastAsia="宋体" w:hAnsi="Arial" w:cs="Arial"/>
          <w:color w:val="000000"/>
          <w:sz w:val="20"/>
          <w:szCs w:val="20"/>
        </w:rPr>
        <w:t xml:space="preserve"> price equal to 101% of the principal amount plus accrued and unpaid interest. For additional details related to our senior notes, please see “Note 9 – Debt” to the condensed consolidated financial statements included in this report. </w:t>
      </w:r>
    </w:p>
    <w:p w14:paraId="7268FEEE" w14:textId="77777777" w:rsidR="005F762A" w:rsidRDefault="005F762A">
      <w:pPr>
        <w:ind w:firstLine="540"/>
        <w:jc w:val="both"/>
      </w:pPr>
    </w:p>
    <w:p w14:paraId="7268FEEF" w14:textId="77777777" w:rsidR="005F762A" w:rsidRDefault="00D74111">
      <w:pPr>
        <w:ind w:firstLine="540"/>
        <w:jc w:val="both"/>
      </w:pPr>
      <w:r>
        <w:rPr>
          <w:rFonts w:ascii="Arial" w:eastAsia="宋体" w:hAnsi="Arial" w:cs="Arial"/>
          <w:color w:val="000000"/>
          <w:sz w:val="20"/>
          <w:szCs w:val="20"/>
        </w:rPr>
        <w:t>During 2020, we bega</w:t>
      </w:r>
      <w:r>
        <w:rPr>
          <w:rFonts w:ascii="Arial" w:eastAsia="宋体" w:hAnsi="Arial" w:cs="Arial"/>
          <w:color w:val="000000"/>
          <w:sz w:val="20"/>
          <w:szCs w:val="20"/>
        </w:rPr>
        <w:t>n to hedge the variability of the cash flows in interest payments associated with our floating-rate debt using interest rate swaps. These interest rate swap agreements effectively convert our LIBOR-based floating-rate debt to a fixed-rate basis, reducing t</w:t>
      </w:r>
      <w:r>
        <w:rPr>
          <w:rFonts w:ascii="Arial" w:eastAsia="宋体" w:hAnsi="Arial" w:cs="Arial"/>
          <w:color w:val="000000"/>
          <w:sz w:val="20"/>
          <w:szCs w:val="20"/>
        </w:rPr>
        <w:t>he impact of interest-rate changes on future interest expense. The total notional amount of these interest swaps was $400 million as of March 31, 2021 with terms calling for us to receive interest at a variable rate and to pay interest at a fixed rate. Our</w:t>
      </w:r>
      <w:r>
        <w:rPr>
          <w:rFonts w:ascii="Arial" w:eastAsia="宋体" w:hAnsi="Arial" w:cs="Arial"/>
          <w:color w:val="000000"/>
          <w:sz w:val="20"/>
          <w:szCs w:val="20"/>
        </w:rPr>
        <w:t xml:space="preserve"> interest rate swap contracts have maturity dates in 2023.</w:t>
      </w:r>
    </w:p>
    <w:p w14:paraId="7268FEF0" w14:textId="77777777" w:rsidR="005F762A" w:rsidRDefault="005F762A">
      <w:pPr>
        <w:ind w:firstLine="540"/>
        <w:jc w:val="both"/>
      </w:pPr>
    </w:p>
    <w:p w14:paraId="7268FEF1" w14:textId="77777777" w:rsidR="005F762A" w:rsidRDefault="00D74111">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guarantee debt s</w:t>
      </w:r>
      <w:r>
        <w:rPr>
          <w:rFonts w:ascii="Arial" w:eastAsia="宋体" w:hAnsi="Arial" w:cs="Arial"/>
          <w:color w:val="000000"/>
          <w:sz w:val="20"/>
          <w:szCs w:val="20"/>
        </w:rPr>
        <w:t>ecured by liens on specified assets or enter into sale and lease-back transactions with respect to specified properties, and also includes customary events of default with customary grace periods in certain circumstances, including payment defaults and ban</w:t>
      </w:r>
      <w:r>
        <w:rPr>
          <w:rFonts w:ascii="Arial" w:eastAsia="宋体" w:hAnsi="Arial" w:cs="Arial"/>
          <w:color w:val="000000"/>
          <w:sz w:val="20"/>
          <w:szCs w:val="20"/>
        </w:rPr>
        <w:t>kruptcy-related defaults.</w:t>
      </w:r>
    </w:p>
    <w:p w14:paraId="7268FEF2" w14:textId="77777777" w:rsidR="005F762A" w:rsidRDefault="005F762A">
      <w:pPr>
        <w:ind w:firstLine="270"/>
      </w:pPr>
    </w:p>
    <w:p w14:paraId="7268FEF3" w14:textId="77777777" w:rsidR="005F762A" w:rsidRDefault="00D74111">
      <w:pPr>
        <w:ind w:firstLine="270"/>
      </w:pPr>
      <w:r>
        <w:rPr>
          <w:rFonts w:ascii="Arial" w:eastAsia="宋体" w:hAnsi="Arial" w:cs="Arial"/>
          <w:i/>
          <w:iCs/>
          <w:color w:val="000000"/>
          <w:sz w:val="20"/>
          <w:szCs w:val="20"/>
        </w:rPr>
        <w:t>Commercial Paper</w:t>
      </w:r>
    </w:p>
    <w:p w14:paraId="7268FEF4" w14:textId="77777777" w:rsidR="005F762A" w:rsidRDefault="005F762A">
      <w:pPr>
        <w:ind w:firstLine="360"/>
      </w:pPr>
    </w:p>
    <w:p w14:paraId="7268FEF5" w14:textId="77777777" w:rsidR="005F762A" w:rsidRDefault="00D74111">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outstanding at any time with maturities of up to 397 da</w:t>
      </w:r>
      <w:r>
        <w:rPr>
          <w:rFonts w:ascii="Arial" w:eastAsia="宋体" w:hAnsi="Arial" w:cs="Arial"/>
          <w:color w:val="000000"/>
          <w:sz w:val="20"/>
          <w:szCs w:val="20"/>
        </w:rPr>
        <w:t xml:space="preserve">ys from the date of issue. As of March 31, 2021, there were $400 million of commercial paper notes outstanding, with a weighted average interest rate of 0.20% per annum, and a weighted average remaining term of 25 days. </w:t>
      </w:r>
    </w:p>
    <w:p w14:paraId="7268FEF6" w14:textId="77777777" w:rsidR="005F762A" w:rsidRDefault="005F762A">
      <w:pPr>
        <w:ind w:firstLine="360"/>
      </w:pPr>
    </w:p>
    <w:p w14:paraId="7268FEF7" w14:textId="77777777" w:rsidR="005F762A" w:rsidRDefault="00D74111">
      <w:pPr>
        <w:ind w:firstLine="270"/>
      </w:pPr>
      <w:r>
        <w:rPr>
          <w:rFonts w:ascii="Arial" w:eastAsia="宋体" w:hAnsi="Arial" w:cs="Arial"/>
          <w:i/>
          <w:iCs/>
          <w:color w:val="000000"/>
          <w:sz w:val="20"/>
          <w:szCs w:val="20"/>
        </w:rPr>
        <w:t>Credit Agreement</w:t>
      </w:r>
    </w:p>
    <w:p w14:paraId="7268FEF8" w14:textId="77777777" w:rsidR="005F762A" w:rsidRDefault="005F762A">
      <w:pPr>
        <w:ind w:firstLine="90"/>
        <w:jc w:val="both"/>
      </w:pPr>
    </w:p>
    <w:p w14:paraId="7268FEF9" w14:textId="77777777" w:rsidR="005F762A" w:rsidRDefault="00D74111">
      <w:pPr>
        <w:ind w:firstLine="540"/>
        <w:jc w:val="both"/>
      </w:pPr>
      <w:r>
        <w:rPr>
          <w:rFonts w:ascii="Arial" w:eastAsia="宋体" w:hAnsi="Arial" w:cs="Arial"/>
          <w:color w:val="000000"/>
          <w:sz w:val="20"/>
          <w:szCs w:val="20"/>
        </w:rPr>
        <w:t xml:space="preserve">In March </w:t>
      </w:r>
      <w:r>
        <w:rPr>
          <w:rFonts w:ascii="Arial" w:eastAsia="宋体" w:hAnsi="Arial" w:cs="Arial"/>
          <w:color w:val="000000"/>
          <w:sz w:val="20"/>
          <w:szCs w:val="20"/>
        </w:rPr>
        <w:t>2020, we entered into a credit agreement that provides for an unsecured $2 billion five-year credit facility. We may also, subject to the agreement of the applicable lenders, increase commitments under the revolving credit facility by up to $1 billion. Fun</w:t>
      </w:r>
      <w:r>
        <w:rPr>
          <w:rFonts w:ascii="Arial" w:eastAsia="宋体" w:hAnsi="Arial" w:cs="Arial"/>
          <w:color w:val="000000"/>
          <w:sz w:val="20"/>
          <w:szCs w:val="20"/>
        </w:rPr>
        <w:t>ds borrowed under the credit agreement may be used for working capital, capital expenditures, acquisitions and other general corporate purposes. The credit agreement replaced our prior $2 billion unsecured revolving credit agreement dated November 2015, wh</w:t>
      </w:r>
      <w:r>
        <w:rPr>
          <w:rFonts w:ascii="Arial" w:eastAsia="宋体" w:hAnsi="Arial" w:cs="Arial"/>
          <w:color w:val="000000"/>
          <w:sz w:val="20"/>
          <w:szCs w:val="20"/>
        </w:rPr>
        <w:t>ich was terminated effective March 2020.</w:t>
      </w:r>
    </w:p>
    <w:p w14:paraId="7268FEFA" w14:textId="77777777" w:rsidR="005F762A" w:rsidRDefault="005F762A">
      <w:pPr>
        <w:ind w:firstLine="540"/>
        <w:jc w:val="both"/>
      </w:pPr>
    </w:p>
    <w:p w14:paraId="7268FEFB" w14:textId="77777777" w:rsidR="005F762A" w:rsidRDefault="00D74111">
      <w:pPr>
        <w:ind w:firstLine="540"/>
        <w:jc w:val="both"/>
      </w:pPr>
      <w:r>
        <w:rPr>
          <w:rFonts w:ascii="Arial" w:eastAsia="宋体" w:hAnsi="Arial" w:cs="Arial"/>
          <w:color w:val="000000"/>
          <w:sz w:val="20"/>
          <w:szCs w:val="20"/>
        </w:rPr>
        <w:t xml:space="preserve">As of March 31, 2021, no borrowings were outstanding under our $2 billion credit agreement. However, as described above, we have an up to $1.5 billion commercial paper program and are required to maintain </w:t>
      </w:r>
      <w:r>
        <w:rPr>
          <w:rFonts w:ascii="Arial" w:eastAsia="宋体" w:hAnsi="Arial" w:cs="Arial"/>
          <w:color w:val="000000"/>
          <w:sz w:val="20"/>
          <w:szCs w:val="20"/>
        </w:rPr>
        <w:t>available borrowing capacity under our credit agreement in order to repay commercial paper borrowings in the event we are unable to repay those borrowings from other sources when they become due, in an aggregate amount of $1.5 billion. As of March 31, 2021</w:t>
      </w:r>
      <w:r>
        <w:rPr>
          <w:rFonts w:ascii="Arial" w:eastAsia="宋体" w:hAnsi="Arial" w:cs="Arial"/>
          <w:color w:val="000000"/>
          <w:sz w:val="20"/>
          <w:szCs w:val="20"/>
        </w:rPr>
        <w:t>, $400 million borrowings were outstanding under our commercial paper program; therefore, $1.6 billion of borrowing capacity was available for other purposes permitted by the credit agreement. The credit agreement includes a covenant limiting our consolida</w:t>
      </w:r>
      <w:r>
        <w:rPr>
          <w:rFonts w:ascii="Arial" w:eastAsia="宋体" w:hAnsi="Arial" w:cs="Arial"/>
          <w:color w:val="000000"/>
          <w:sz w:val="20"/>
          <w:szCs w:val="20"/>
        </w:rPr>
        <w:t>ted leverage ratio to no more than 4.0:1.0, subject to, upon the occurrence of a qualified material acquisition, if so elected by us, a step-up to 4.5:1.0 for the four fiscal quarters completed following such qualified material acquisition. The credit agre</w:t>
      </w:r>
      <w:r>
        <w:rPr>
          <w:rFonts w:ascii="Arial" w:eastAsia="宋体" w:hAnsi="Arial" w:cs="Arial"/>
          <w:color w:val="000000"/>
          <w:sz w:val="20"/>
          <w:szCs w:val="20"/>
        </w:rPr>
        <w:t>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w:t>
      </w:r>
      <w:r>
        <w:rPr>
          <w:rFonts w:ascii="Arial" w:eastAsia="宋体" w:hAnsi="Arial" w:cs="Arial"/>
          <w:color w:val="000000"/>
          <w:sz w:val="20"/>
          <w:szCs w:val="20"/>
        </w:rPr>
        <w:t xml:space="preserve"> covenants, including restrictions regarding the incurrence of liens and subsidiary indebtedness, in each case, </w:t>
      </w:r>
    </w:p>
    <w:p w14:paraId="7268FEFC" w14:textId="77777777" w:rsidR="005F762A" w:rsidRDefault="005F762A">
      <w:pPr>
        <w:jc w:val="center"/>
      </w:pPr>
    </w:p>
    <w:p w14:paraId="7268FEFD" w14:textId="77777777" w:rsidR="005F762A" w:rsidRDefault="00D74111">
      <w:pPr>
        <w:jc w:val="center"/>
      </w:pPr>
      <w:r>
        <w:rPr>
          <w:rFonts w:ascii="Arial" w:eastAsia="宋体" w:hAnsi="Arial" w:cs="Arial"/>
          <w:color w:val="000000"/>
          <w:sz w:val="20"/>
          <w:szCs w:val="20"/>
        </w:rPr>
        <w:t>40</w:t>
      </w:r>
    </w:p>
    <w:p w14:paraId="7268FEFE" w14:textId="77777777" w:rsidR="005F762A" w:rsidRDefault="00D74111">
      <w:r>
        <w:pict w14:anchorId="72690167">
          <v:rect id="_x0000_i1064" style="width:415.3pt;height:1.5pt" o:hralign="center" o:hrstd="t" o:hr="t" fillcolor="#a0a0a0" stroked="f"/>
        </w:pict>
      </w:r>
    </w:p>
    <w:p w14:paraId="7268FEFF" w14:textId="77777777" w:rsidR="005F762A" w:rsidRDefault="005F762A"/>
    <w:p w14:paraId="7268FF00" w14:textId="77777777" w:rsidR="005F762A" w:rsidRDefault="00D74111">
      <w:pPr>
        <w:jc w:val="both"/>
      </w:pPr>
      <w:r>
        <w:rPr>
          <w:rFonts w:ascii="Arial" w:eastAsia="宋体" w:hAnsi="Arial" w:cs="Arial"/>
          <w:color w:val="000000"/>
          <w:sz w:val="20"/>
          <w:szCs w:val="20"/>
        </w:rPr>
        <w:t>subject to customary exceptions. The credit agreement also contains customary representations and warranties.</w:t>
      </w:r>
    </w:p>
    <w:p w14:paraId="7268FF01" w14:textId="77777777" w:rsidR="005F762A" w:rsidRDefault="005F762A">
      <w:pPr>
        <w:ind w:firstLine="540"/>
      </w:pPr>
    </w:p>
    <w:p w14:paraId="7268FF02" w14:textId="77777777" w:rsidR="005F762A" w:rsidRDefault="00D74111">
      <w:pPr>
        <w:ind w:firstLine="540"/>
        <w:jc w:val="both"/>
      </w:pPr>
      <w:r>
        <w:rPr>
          <w:rFonts w:ascii="Arial" w:eastAsia="宋体" w:hAnsi="Arial" w:cs="Arial"/>
          <w:color w:val="000000"/>
          <w:sz w:val="20"/>
          <w:szCs w:val="20"/>
        </w:rPr>
        <w:t>We were in compliance wit</w:t>
      </w:r>
      <w:r>
        <w:rPr>
          <w:rFonts w:ascii="Arial" w:eastAsia="宋体" w:hAnsi="Arial" w:cs="Arial"/>
          <w:color w:val="000000"/>
          <w:sz w:val="20"/>
          <w:szCs w:val="20"/>
        </w:rPr>
        <w:t>h all financial covenants in our outstanding debt instruments for the three months ended March 31, 2021.</w:t>
      </w:r>
    </w:p>
    <w:p w14:paraId="7268FF03" w14:textId="77777777" w:rsidR="005F762A" w:rsidRDefault="005F762A">
      <w:pPr>
        <w:ind w:firstLine="540"/>
      </w:pPr>
    </w:p>
    <w:p w14:paraId="7268FF04" w14:textId="77777777" w:rsidR="005F762A" w:rsidRDefault="00D74111">
      <w:pPr>
        <w:ind w:firstLine="270"/>
      </w:pPr>
      <w:r>
        <w:rPr>
          <w:rFonts w:ascii="Arial" w:eastAsia="宋体" w:hAnsi="Arial" w:cs="Arial"/>
          <w:i/>
          <w:iCs/>
          <w:color w:val="000000"/>
          <w:sz w:val="20"/>
          <w:szCs w:val="20"/>
        </w:rPr>
        <w:t>Credit Ratings</w:t>
      </w:r>
    </w:p>
    <w:p w14:paraId="7268FF05" w14:textId="77777777" w:rsidR="005F762A" w:rsidRDefault="005F762A">
      <w:pPr>
        <w:ind w:firstLine="270"/>
      </w:pPr>
    </w:p>
    <w:p w14:paraId="7268FF06" w14:textId="77777777" w:rsidR="005F762A" w:rsidRDefault="00D74111">
      <w:pPr>
        <w:ind w:firstLine="540"/>
        <w:jc w:val="both"/>
      </w:pPr>
      <w:r>
        <w:rPr>
          <w:rFonts w:ascii="Arial" w:eastAsia="宋体" w:hAnsi="Arial" w:cs="Arial"/>
          <w:color w:val="000000"/>
          <w:sz w:val="20"/>
          <w:szCs w:val="20"/>
        </w:rPr>
        <w:t xml:space="preserve">As of March 31, 2021, we were rated investment grade by Standard and Poor’s Financial Services, LLC (long-term rated BBB+, short-term </w:t>
      </w:r>
      <w:r>
        <w:rPr>
          <w:rFonts w:ascii="Arial" w:eastAsia="宋体" w:hAnsi="Arial" w:cs="Arial"/>
          <w:color w:val="000000"/>
          <w:sz w:val="20"/>
          <w:szCs w:val="20"/>
        </w:rPr>
        <w:t>rated A-2, with a stable outlook), Moody’s Investor Service (long-term rated Baa1, short-term rated P-2, with a stable outlook), and Fitch Ratings, Inc. (long-term rated BBB, short-term rated F-2, with a positive outlook). We disclose these ratings to enha</w:t>
      </w:r>
      <w:r>
        <w:rPr>
          <w:rFonts w:ascii="Arial" w:eastAsia="宋体" w:hAnsi="Arial" w:cs="Arial"/>
          <w:color w:val="000000"/>
          <w:sz w:val="20"/>
          <w:szCs w:val="20"/>
        </w:rPr>
        <w:t>nce the understanding of our sources of liquidity and the effects of our ratings on our costs of funds. Our borrowing costs depend, in part, on our credit ratings and any actions taken by these credit rating agencies to lower our credit ratings, as describ</w:t>
      </w:r>
      <w:r>
        <w:rPr>
          <w:rFonts w:ascii="Arial" w:eastAsia="宋体" w:hAnsi="Arial" w:cs="Arial"/>
          <w:color w:val="000000"/>
          <w:sz w:val="20"/>
          <w:szCs w:val="20"/>
        </w:rPr>
        <w:t xml:space="preserve">ed above, will likely increase our borrowing costs. </w:t>
      </w:r>
    </w:p>
    <w:p w14:paraId="7268FF07" w14:textId="77777777" w:rsidR="005F762A" w:rsidRDefault="005F762A">
      <w:pPr>
        <w:ind w:firstLine="540"/>
      </w:pPr>
    </w:p>
    <w:p w14:paraId="7268FF08" w14:textId="77777777" w:rsidR="005F762A" w:rsidRDefault="00D74111">
      <w:r>
        <w:rPr>
          <w:rFonts w:ascii="Arial" w:eastAsia="宋体" w:hAnsi="Arial" w:cs="Arial"/>
          <w:b/>
          <w:bCs/>
          <w:i/>
          <w:iCs/>
          <w:color w:val="000000"/>
          <w:sz w:val="20"/>
          <w:szCs w:val="20"/>
        </w:rPr>
        <w:t>Liquidity and Capital Resource Requirements</w:t>
      </w:r>
    </w:p>
    <w:p w14:paraId="7268FF09" w14:textId="77777777" w:rsidR="005F762A" w:rsidRDefault="005F762A"/>
    <w:p w14:paraId="7268FF0A" w14:textId="77777777" w:rsidR="005F762A" w:rsidRDefault="00D74111">
      <w:pPr>
        <w:ind w:firstLine="540"/>
        <w:jc w:val="both"/>
      </w:pPr>
      <w:r>
        <w:rPr>
          <w:rFonts w:ascii="Arial" w:eastAsia="宋体" w:hAnsi="Arial" w:cs="Arial"/>
          <w:color w:val="000000"/>
          <w:sz w:val="20"/>
          <w:szCs w:val="20"/>
        </w:rPr>
        <w:t>As of March 31, 2021 and December 31, 2020, we had assets classified as cash and cash equivalents, as well as short-term and long-term non-equity investments</w:t>
      </w:r>
      <w:r>
        <w:rPr>
          <w:rFonts w:ascii="Arial" w:eastAsia="宋体" w:hAnsi="Arial" w:cs="Arial"/>
          <w:color w:val="000000"/>
          <w:sz w:val="20"/>
          <w:szCs w:val="20"/>
        </w:rPr>
        <w:t xml:space="preserve"> from continuing operations, in an aggregate amount of $3.9 billion and $4.1 billion, respectively. As of March 31, 2021, this amount included assets held in certain of our foreign operations totaling approximately $3.4 billion. As we repatriate these fund</w:t>
      </w:r>
      <w:r>
        <w:rPr>
          <w:rFonts w:ascii="Arial" w:eastAsia="宋体" w:hAnsi="Arial" w:cs="Arial"/>
          <w:color w:val="000000"/>
          <w:sz w:val="20"/>
          <w:szCs w:val="20"/>
        </w:rPr>
        <w:t>s to the U.S., we will be required to pay income taxes in certain U.S. states and applicable foreign withholding taxes on those amounts during the period when such repatriation occurs. We have accrued deferred taxes for the tax effect of repatriating the f</w:t>
      </w:r>
      <w:r>
        <w:rPr>
          <w:rFonts w:ascii="Arial" w:eastAsia="宋体" w:hAnsi="Arial" w:cs="Arial"/>
          <w:color w:val="000000"/>
          <w:sz w:val="20"/>
          <w:szCs w:val="20"/>
        </w:rPr>
        <w:t xml:space="preserve">unds to the U.S. </w:t>
      </w:r>
    </w:p>
    <w:p w14:paraId="7268FF0B" w14:textId="77777777" w:rsidR="005F762A" w:rsidRDefault="005F762A">
      <w:pPr>
        <w:ind w:firstLine="540"/>
        <w:jc w:val="both"/>
      </w:pPr>
    </w:p>
    <w:p w14:paraId="7268FF0C" w14:textId="77777777" w:rsidR="005F762A" w:rsidRDefault="00D74111">
      <w:pPr>
        <w:ind w:firstLine="540"/>
        <w:jc w:val="both"/>
      </w:pPr>
      <w:r>
        <w:rPr>
          <w:rFonts w:ascii="Arial" w:eastAsia="宋体" w:hAnsi="Arial" w:cs="Arial"/>
          <w:color w:val="000000"/>
          <w:sz w:val="20"/>
          <w:szCs w:val="20"/>
        </w:rPr>
        <w:t>We actively monitor all counterparties that hold our cash and cash equivalents and non-equity investments, focusing primarily on the safety of principal and secondarily on improving yield on these assets. We diversify our cash and cash e</w:t>
      </w:r>
      <w:r>
        <w:rPr>
          <w:rFonts w:ascii="Arial" w:eastAsia="宋体" w:hAnsi="Arial" w:cs="Arial"/>
          <w:color w:val="000000"/>
          <w:sz w:val="20"/>
          <w:szCs w:val="20"/>
        </w:rPr>
        <w:t>quivalents and investments among various counterparties in order to reduce our exposure should any one of these counterparties fail or encounter difficulties. To date, we have not experienced any material loss or lack of access to our invested cash, cash e</w:t>
      </w:r>
      <w:r>
        <w:rPr>
          <w:rFonts w:ascii="Arial" w:eastAsia="宋体" w:hAnsi="Arial" w:cs="Arial"/>
          <w:color w:val="000000"/>
          <w:sz w:val="20"/>
          <w:szCs w:val="20"/>
        </w:rPr>
        <w:t xml:space="preserve">quivalents or short-term investments; however, we can provide no assurances that access to our invested cash, cash equivalents or short-term investments will not be impacted by adverse conditions in the financial markets, including, without limitation, as </w:t>
      </w:r>
      <w:r>
        <w:rPr>
          <w:rFonts w:ascii="Arial" w:eastAsia="宋体" w:hAnsi="Arial" w:cs="Arial"/>
          <w:color w:val="000000"/>
          <w:sz w:val="20"/>
          <w:szCs w:val="20"/>
        </w:rPr>
        <w:t>a result of the impact of the COVID-19 pandemic. At any point in time we have funds in our operating accounts and customer accounts that are deposited and invested with third party financial institutions.</w:t>
      </w:r>
    </w:p>
    <w:p w14:paraId="7268FF0D" w14:textId="77777777" w:rsidR="005F762A" w:rsidRDefault="005F762A">
      <w:pPr>
        <w:ind w:firstLine="540"/>
        <w:jc w:val="both"/>
      </w:pPr>
    </w:p>
    <w:p w14:paraId="7268FF0E" w14:textId="77777777" w:rsidR="005F762A" w:rsidRDefault="00D74111">
      <w:pPr>
        <w:ind w:firstLine="540"/>
        <w:jc w:val="both"/>
      </w:pPr>
      <w:r>
        <w:rPr>
          <w:rFonts w:ascii="Arial" w:eastAsia="宋体" w:hAnsi="Arial" w:cs="Arial"/>
          <w:color w:val="000000"/>
          <w:sz w:val="20"/>
          <w:szCs w:val="20"/>
        </w:rPr>
        <w:t>We believe that our existing cash, cash equivalent</w:t>
      </w:r>
      <w:r>
        <w:rPr>
          <w:rFonts w:ascii="Arial" w:eastAsia="宋体" w:hAnsi="Arial" w:cs="Arial"/>
          <w:color w:val="000000"/>
          <w:sz w:val="20"/>
          <w:szCs w:val="20"/>
        </w:rPr>
        <w:t>s and short-term and long-term investments, together with cash expected to be generated from operations, borrowings available under our credit agreement and commercial paper program, and our access to capital markets, will be sufficient to fund our operati</w:t>
      </w:r>
      <w:r>
        <w:rPr>
          <w:rFonts w:ascii="Arial" w:eastAsia="宋体" w:hAnsi="Arial" w:cs="Arial"/>
          <w:color w:val="000000"/>
          <w:sz w:val="20"/>
          <w:szCs w:val="20"/>
        </w:rPr>
        <w:t>ng activities, anticipated capital expenditures, repayment of debt and stock repurchases for the foreseeable future. However, COVID-19 and related measures to contain its impact have caused material disruptions in both national and global financial markets</w:t>
      </w:r>
      <w:r>
        <w:rPr>
          <w:rFonts w:ascii="Arial" w:eastAsia="宋体" w:hAnsi="Arial" w:cs="Arial"/>
          <w:color w:val="000000"/>
          <w:sz w:val="20"/>
          <w:szCs w:val="20"/>
        </w:rPr>
        <w:t xml:space="preserve"> and economies. The future impact of COVID-19 and these containment measures cannot be predicted with certainty and may increase our borrowing costs and other costs of capital and otherwise adversely affect our business, results of operations, financial co</w:t>
      </w:r>
      <w:r>
        <w:rPr>
          <w:rFonts w:ascii="Arial" w:eastAsia="宋体" w:hAnsi="Arial" w:cs="Arial"/>
          <w:color w:val="000000"/>
          <w:sz w:val="20"/>
          <w:szCs w:val="20"/>
        </w:rPr>
        <w:t>ndition and liquidity, and we cannot assure that we will have access to external financing at times and on terms we consider acceptable, or at all, or that we will not experience other liquidity issues going forward.</w:t>
      </w:r>
    </w:p>
    <w:p w14:paraId="7268FF0F" w14:textId="77777777" w:rsidR="005F762A" w:rsidRDefault="005F762A">
      <w:pPr>
        <w:ind w:firstLine="540"/>
        <w:jc w:val="both"/>
      </w:pPr>
    </w:p>
    <w:p w14:paraId="7268FF10" w14:textId="77777777" w:rsidR="005F762A" w:rsidRDefault="00D74111">
      <w:r>
        <w:rPr>
          <w:rFonts w:ascii="Arial" w:eastAsia="宋体" w:hAnsi="Arial" w:cs="Arial"/>
          <w:b/>
          <w:bCs/>
          <w:i/>
          <w:iCs/>
          <w:color w:val="000000"/>
          <w:sz w:val="20"/>
          <w:szCs w:val="20"/>
        </w:rPr>
        <w:t xml:space="preserve">Off-Balance Sheet </w:t>
      </w:r>
      <w:r>
        <w:rPr>
          <w:rFonts w:ascii="Arial" w:eastAsia="宋体" w:hAnsi="Arial" w:cs="Arial"/>
          <w:b/>
          <w:bCs/>
          <w:i/>
          <w:iCs/>
          <w:color w:val="000000"/>
          <w:sz w:val="20"/>
          <w:szCs w:val="20"/>
        </w:rPr>
        <w:t>Arrangements</w:t>
      </w:r>
    </w:p>
    <w:p w14:paraId="7268FF11" w14:textId="77777777" w:rsidR="005F762A" w:rsidRDefault="005F762A"/>
    <w:p w14:paraId="7268FF12" w14:textId="77777777" w:rsidR="005F762A" w:rsidRDefault="00D74111">
      <w:pPr>
        <w:ind w:firstLine="540"/>
        <w:jc w:val="both"/>
      </w:pPr>
      <w:r>
        <w:rPr>
          <w:rFonts w:ascii="Arial" w:eastAsia="宋体" w:hAnsi="Arial" w:cs="Arial"/>
          <w:color w:val="000000"/>
          <w:sz w:val="20"/>
          <w:szCs w:val="20"/>
        </w:rPr>
        <w:t>As of March 31, 2021, we had no off-balance sheet arrangements that have, or are reasonably likely to have, a current or future material effect on our consolidated financial condition, results of operations, liquidity, capital expenditures or</w:t>
      </w:r>
      <w:r>
        <w:rPr>
          <w:rFonts w:ascii="Arial" w:eastAsia="宋体" w:hAnsi="Arial" w:cs="Arial"/>
          <w:color w:val="000000"/>
          <w:sz w:val="20"/>
          <w:szCs w:val="20"/>
        </w:rPr>
        <w:t xml:space="preserve"> capital resources. </w:t>
      </w:r>
    </w:p>
    <w:p w14:paraId="7268FF13" w14:textId="77777777" w:rsidR="005F762A" w:rsidRDefault="005F762A">
      <w:pPr>
        <w:ind w:firstLine="540"/>
        <w:jc w:val="both"/>
      </w:pPr>
    </w:p>
    <w:p w14:paraId="7268FF14" w14:textId="77777777" w:rsidR="005F762A" w:rsidRDefault="00D74111">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w:t>
      </w:r>
      <w:r>
        <w:rPr>
          <w:rFonts w:ascii="Arial" w:eastAsia="宋体" w:hAnsi="Arial" w:cs="Arial"/>
          <w:color w:val="000000"/>
          <w:sz w:val="20"/>
          <w:szCs w:val="20"/>
        </w:rPr>
        <w:t xml:space="preserve"> same financial institution (“Aggregate Cash Deposits”). This arrangement also allows us to withdraw amounts exceeding the Aggregate Cash Deposits up to an agreed-upon limit. The net balance of the withdrawals and the Aggregate Cash Deposits are used by th</w:t>
      </w:r>
      <w:r>
        <w:rPr>
          <w:rFonts w:ascii="Arial" w:eastAsia="宋体" w:hAnsi="Arial" w:cs="Arial"/>
          <w:color w:val="000000"/>
          <w:sz w:val="20"/>
          <w:szCs w:val="20"/>
        </w:rPr>
        <w:t xml:space="preserve">e financial institution as a basis for calculating our net interest expense or income under the arrangement. As of March 31, 2021, we had a total of $4.5 billion in aggregate </w:t>
      </w:r>
    </w:p>
    <w:p w14:paraId="7268FF15" w14:textId="77777777" w:rsidR="005F762A" w:rsidRDefault="005F762A">
      <w:pPr>
        <w:jc w:val="center"/>
      </w:pPr>
    </w:p>
    <w:p w14:paraId="7268FF16" w14:textId="77777777" w:rsidR="005F762A" w:rsidRDefault="00D74111">
      <w:pPr>
        <w:jc w:val="center"/>
      </w:pPr>
      <w:r>
        <w:rPr>
          <w:rFonts w:ascii="Arial" w:eastAsia="宋体" w:hAnsi="Arial" w:cs="Arial"/>
          <w:color w:val="000000"/>
          <w:sz w:val="20"/>
          <w:szCs w:val="20"/>
        </w:rPr>
        <w:t>41</w:t>
      </w:r>
    </w:p>
    <w:p w14:paraId="7268FF17" w14:textId="77777777" w:rsidR="005F762A" w:rsidRDefault="00D74111">
      <w:r>
        <w:pict w14:anchorId="72690168">
          <v:rect id="_x0000_i1065" style="width:415.3pt;height:1.5pt" o:hralign="center" o:hrstd="t" o:hr="t" fillcolor="#a0a0a0" stroked="f"/>
        </w:pict>
      </w:r>
    </w:p>
    <w:p w14:paraId="7268FF18" w14:textId="77777777" w:rsidR="005F762A" w:rsidRDefault="005F762A"/>
    <w:p w14:paraId="7268FF19" w14:textId="77777777" w:rsidR="005F762A" w:rsidRDefault="00D74111">
      <w:pPr>
        <w:jc w:val="both"/>
      </w:pPr>
      <w:r>
        <w:rPr>
          <w:rFonts w:ascii="Arial" w:eastAsia="宋体" w:hAnsi="Arial" w:cs="Arial"/>
          <w:color w:val="000000"/>
          <w:sz w:val="20"/>
          <w:szCs w:val="20"/>
        </w:rPr>
        <w:t>cash deposits, partially offset by $4.2 billion in cash withdrawals, held</w:t>
      </w:r>
      <w:r>
        <w:rPr>
          <w:rFonts w:ascii="Arial" w:eastAsia="宋体" w:hAnsi="Arial" w:cs="Arial"/>
          <w:color w:val="000000"/>
          <w:sz w:val="20"/>
          <w:szCs w:val="20"/>
        </w:rPr>
        <w:t xml:space="preserve"> within the financial institution under the cash pooling arrangement.</w:t>
      </w:r>
    </w:p>
    <w:p w14:paraId="7268FF1A" w14:textId="77777777" w:rsidR="005F762A" w:rsidRDefault="005F762A">
      <w:pPr>
        <w:jc w:val="both"/>
      </w:pPr>
    </w:p>
    <w:p w14:paraId="7268FF1B" w14:textId="77777777" w:rsidR="005F762A" w:rsidRDefault="00D74111">
      <w:r>
        <w:rPr>
          <w:rFonts w:ascii="Arial" w:eastAsia="宋体" w:hAnsi="Arial" w:cs="Arial"/>
          <w:b/>
          <w:bCs/>
          <w:i/>
          <w:iCs/>
          <w:color w:val="000000"/>
          <w:sz w:val="20"/>
          <w:szCs w:val="20"/>
        </w:rPr>
        <w:t>Indemnification Provisions</w:t>
      </w:r>
    </w:p>
    <w:p w14:paraId="7268FF1C" w14:textId="77777777" w:rsidR="005F762A" w:rsidRDefault="005F762A"/>
    <w:p w14:paraId="7268FF1D" w14:textId="77777777" w:rsidR="005F762A" w:rsidRDefault="00D74111">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compani</w:t>
      </w:r>
      <w:r>
        <w:rPr>
          <w:rFonts w:ascii="Arial" w:eastAsia="宋体" w:hAnsi="Arial" w:cs="Arial"/>
          <w:color w:val="000000"/>
          <w:sz w:val="20"/>
          <w:szCs w:val="20"/>
        </w:rPr>
        <w:t>es. These agreements provide for specific indemnity and liability obligations and could lead to disputes between us and PayPal, which may be significant. In addition, the indemnity rights we have against PayPal under the agreements may not be sufficient to</w:t>
      </w:r>
      <w:r>
        <w:rPr>
          <w:rFonts w:ascii="Arial" w:eastAsia="宋体" w:hAnsi="Arial" w:cs="Arial"/>
          <w:color w:val="000000"/>
          <w:sz w:val="20"/>
          <w:szCs w:val="20"/>
        </w:rPr>
        <w:t xml:space="preserve"> protect us and our indemnity obligations to PayPal may be significant.</w:t>
      </w:r>
    </w:p>
    <w:p w14:paraId="7268FF1E" w14:textId="77777777" w:rsidR="005F762A" w:rsidRDefault="005F762A">
      <w:pPr>
        <w:ind w:firstLine="540"/>
        <w:jc w:val="both"/>
      </w:pPr>
    </w:p>
    <w:p w14:paraId="7268FF1F" w14:textId="77777777" w:rsidR="005F762A" w:rsidRDefault="00D74111">
      <w:pPr>
        <w:ind w:firstLine="540"/>
        <w:jc w:val="both"/>
      </w:pPr>
      <w:r>
        <w:rPr>
          <w:rFonts w:ascii="Arial" w:eastAsia="宋体" w:hAnsi="Arial" w:cs="Arial"/>
          <w:color w:val="000000"/>
          <w:sz w:val="20"/>
          <w:szCs w:val="20"/>
        </w:rPr>
        <w:t>In addition, we have entered into indemnification agreements with each of our directors, executive officers and certain other officers. These agreements require us to indemnify such i</w:t>
      </w:r>
      <w:r>
        <w:rPr>
          <w:rFonts w:ascii="Arial" w:eastAsia="宋体" w:hAnsi="Arial" w:cs="Arial"/>
          <w:color w:val="000000"/>
          <w:sz w:val="20"/>
          <w:szCs w:val="20"/>
        </w:rPr>
        <w:t>ndividuals, to the fullest extent permitted by Delaware law, for certain liabilities to which they may become subject as a result of their affiliation with us.</w:t>
      </w:r>
    </w:p>
    <w:p w14:paraId="7268FF20" w14:textId="77777777" w:rsidR="005F762A" w:rsidRDefault="005F762A">
      <w:pPr>
        <w:ind w:firstLine="540"/>
        <w:jc w:val="both"/>
      </w:pPr>
    </w:p>
    <w:p w14:paraId="7268FF21" w14:textId="77777777" w:rsidR="005F762A" w:rsidRDefault="00D74111">
      <w:pPr>
        <w:ind w:firstLine="540"/>
        <w:jc w:val="both"/>
      </w:pPr>
      <w:r>
        <w:rPr>
          <w:rFonts w:ascii="Arial" w:eastAsia="宋体" w:hAnsi="Arial" w:cs="Arial"/>
          <w:color w:val="000000"/>
          <w:sz w:val="20"/>
          <w:szCs w:val="20"/>
        </w:rPr>
        <w:t>In the ordinary course of business, we have included limited indemnification provisions in cert</w:t>
      </w:r>
      <w:r>
        <w:rPr>
          <w:rFonts w:ascii="Arial" w:eastAsia="宋体" w:hAnsi="Arial" w:cs="Arial"/>
          <w:color w:val="000000"/>
          <w:sz w:val="20"/>
          <w:szCs w:val="20"/>
        </w:rPr>
        <w:t>ain of our agreements with parties with which we have commercial relations, including our standard marketing, promotions and application programming interface license agreements. Under these contracts, we generally indemnify, hold harmless and agree to rei</w:t>
      </w:r>
      <w:r>
        <w:rPr>
          <w:rFonts w:ascii="Arial" w:eastAsia="宋体" w:hAnsi="Arial" w:cs="Arial"/>
          <w:color w:val="000000"/>
          <w:sz w:val="20"/>
          <w:szCs w:val="20"/>
        </w:rPr>
        <w:t>mburse the indemnified party for losses suffered or incurred by the indemnified party in connection with claims by a third party with respect to our domain names, trademarks, logos and other branding elements to the extent that such marks are applicable to</w:t>
      </w:r>
      <w:r>
        <w:rPr>
          <w:rFonts w:ascii="Arial" w:eastAsia="宋体" w:hAnsi="Arial" w:cs="Arial"/>
          <w:color w:val="000000"/>
          <w:sz w:val="20"/>
          <w:szCs w:val="20"/>
        </w:rPr>
        <w:t xml:space="preserve"> our performance under the subject agreement. In certain cases, we have agreed to provide indemnification for intellectual property infringement. It is not possible to determine the maximum potential loss under these indemnification provisions due to our l</w:t>
      </w:r>
      <w:r>
        <w:rPr>
          <w:rFonts w:ascii="Arial" w:eastAsia="宋体" w:hAnsi="Arial" w:cs="Arial"/>
          <w:color w:val="000000"/>
          <w:sz w:val="20"/>
          <w:szCs w:val="20"/>
        </w:rPr>
        <w:t>imited history of prior indemnification claims and the unique facts and circumstances involved in each particular provision. To date, losses recorded in our condensed consolidated statement of income in connection with our indemnification provisions have n</w:t>
      </w:r>
      <w:r>
        <w:rPr>
          <w:rFonts w:ascii="Arial" w:eastAsia="宋体" w:hAnsi="Arial" w:cs="Arial"/>
          <w:color w:val="000000"/>
          <w:sz w:val="20"/>
          <w:szCs w:val="20"/>
        </w:rPr>
        <w:t>ot been significant, either individually or collectively.</w:t>
      </w:r>
    </w:p>
    <w:p w14:paraId="7268FF22" w14:textId="77777777" w:rsidR="005F762A" w:rsidRDefault="005F762A"/>
    <w:p w14:paraId="7268FF23" w14:textId="77777777" w:rsidR="005F762A" w:rsidRDefault="00D74111">
      <w:pPr>
        <w:ind w:hanging="1080"/>
      </w:pPr>
      <w:r>
        <w:rPr>
          <w:rFonts w:ascii="Arial" w:eastAsia="宋体" w:hAnsi="Arial" w:cs="Arial"/>
          <w:b/>
          <w:bCs/>
          <w:color w:val="000000"/>
          <w:sz w:val="20"/>
          <w:szCs w:val="20"/>
        </w:rPr>
        <w:t>Item 3:    Quantitative and Qualitative Disclosures About Market Risk</w:t>
      </w:r>
    </w:p>
    <w:p w14:paraId="7268FF24" w14:textId="77777777" w:rsidR="005F762A" w:rsidRDefault="005F762A">
      <w:pPr>
        <w:jc w:val="both"/>
      </w:pPr>
    </w:p>
    <w:p w14:paraId="7268FF25" w14:textId="77777777" w:rsidR="005F762A" w:rsidRDefault="00D74111">
      <w:pPr>
        <w:jc w:val="both"/>
      </w:pPr>
      <w:r>
        <w:rPr>
          <w:rFonts w:ascii="Arial" w:eastAsia="宋体" w:hAnsi="Arial" w:cs="Arial"/>
          <w:b/>
          <w:bCs/>
          <w:i/>
          <w:iCs/>
          <w:color w:val="000000"/>
          <w:sz w:val="20"/>
          <w:szCs w:val="20"/>
        </w:rPr>
        <w:t>Interest Rate Risk</w:t>
      </w:r>
    </w:p>
    <w:p w14:paraId="7268FF26" w14:textId="77777777" w:rsidR="005F762A" w:rsidRDefault="005F762A">
      <w:pPr>
        <w:ind w:firstLine="540"/>
        <w:jc w:val="both"/>
      </w:pPr>
    </w:p>
    <w:p w14:paraId="7268FF27" w14:textId="77777777" w:rsidR="005F762A" w:rsidRDefault="00D74111">
      <w:pPr>
        <w:ind w:firstLine="540"/>
        <w:jc w:val="both"/>
      </w:pPr>
      <w:r>
        <w:rPr>
          <w:rFonts w:ascii="Arial" w:eastAsia="宋体" w:hAnsi="Arial" w:cs="Arial"/>
          <w:color w:val="000000"/>
          <w:sz w:val="20"/>
          <w:szCs w:val="20"/>
        </w:rPr>
        <w:t>We are exposed to interest rate risk relating to our investments and outstanding debt. In addition, advers</w:t>
      </w:r>
      <w:r>
        <w:rPr>
          <w:rFonts w:ascii="Arial" w:eastAsia="宋体" w:hAnsi="Arial" w:cs="Arial"/>
          <w:color w:val="000000"/>
          <w:sz w:val="20"/>
          <w:szCs w:val="20"/>
        </w:rPr>
        <w:t>e economic conditions and events (including volatility or distress in the equity and/or debt or credit markets) may impact regional and global financial markets. These events and conditions could us to write down our assets or investments. We seek to reduc</w:t>
      </w:r>
      <w:r>
        <w:rPr>
          <w:rFonts w:ascii="Arial" w:eastAsia="宋体" w:hAnsi="Arial" w:cs="Arial"/>
          <w:color w:val="000000"/>
          <w:sz w:val="20"/>
          <w:szCs w:val="20"/>
        </w:rPr>
        <w:t>e earnings volatility that may result from adverse economic conditions and events or changes in interest rates.</w:t>
      </w:r>
    </w:p>
    <w:p w14:paraId="7268FF28" w14:textId="77777777" w:rsidR="005F762A" w:rsidRDefault="005F762A">
      <w:pPr>
        <w:ind w:firstLine="450"/>
        <w:jc w:val="both"/>
      </w:pPr>
    </w:p>
    <w:p w14:paraId="7268FF29" w14:textId="77777777" w:rsidR="005F762A" w:rsidRDefault="00D74111">
      <w:pPr>
        <w:ind w:firstLine="540"/>
        <w:jc w:val="both"/>
      </w:pPr>
      <w:r>
        <w:rPr>
          <w:rFonts w:ascii="Arial" w:eastAsia="宋体" w:hAnsi="Arial" w:cs="Arial"/>
          <w:color w:val="000000"/>
          <w:sz w:val="20"/>
          <w:szCs w:val="20"/>
        </w:rPr>
        <w:t xml:space="preserve">The primary objective of our investment activities is to preserve principal while at the same time improving yields without significantly increasing risk. To achieve this objective, we maintain our cash equivalents and short-term and long-term investments </w:t>
      </w:r>
      <w:r>
        <w:rPr>
          <w:rFonts w:ascii="Arial" w:eastAsia="宋体" w:hAnsi="Arial" w:cs="Arial"/>
          <w:color w:val="000000"/>
          <w:sz w:val="20"/>
          <w:szCs w:val="20"/>
        </w:rPr>
        <w:t>in a variety of asset types, including bank deposits, government bonds and corporate debt securities. As of March 31, 2021, approximately 38% of our total cash and investments was held in cash and cash equivalents. As such, changes in interest rates will i</w:t>
      </w:r>
      <w:r>
        <w:rPr>
          <w:rFonts w:ascii="Arial" w:eastAsia="宋体" w:hAnsi="Arial" w:cs="Arial"/>
          <w:color w:val="000000"/>
          <w:sz w:val="20"/>
          <w:szCs w:val="20"/>
        </w:rPr>
        <w:t>mpact interest income. As discussed below, the fair market values of our fixed rate securities may be adversely affected due to a rise in interest rates, and we may suffer losses in principal if we are forced to sell securities that have declined in market</w:t>
      </w:r>
      <w:r>
        <w:rPr>
          <w:rFonts w:ascii="Arial" w:eastAsia="宋体" w:hAnsi="Arial" w:cs="Arial"/>
          <w:color w:val="000000"/>
          <w:sz w:val="20"/>
          <w:szCs w:val="20"/>
        </w:rPr>
        <w:t xml:space="preserve"> value due to changes in interest rates. </w:t>
      </w:r>
    </w:p>
    <w:p w14:paraId="7268FF2A" w14:textId="77777777" w:rsidR="005F762A" w:rsidRDefault="00D74111">
      <w:pPr>
        <w:jc w:val="both"/>
      </w:pPr>
      <w:r>
        <w:rPr>
          <w:rFonts w:ascii="Arial" w:eastAsia="宋体" w:hAnsi="Arial" w:cs="Arial"/>
          <w:color w:val="000000"/>
          <w:sz w:val="14"/>
          <w:szCs w:val="14"/>
        </w:rPr>
        <w:t> </w:t>
      </w:r>
    </w:p>
    <w:p w14:paraId="7268FF2B" w14:textId="77777777" w:rsidR="005F762A" w:rsidRDefault="00D74111">
      <w:pPr>
        <w:ind w:firstLine="540"/>
        <w:jc w:val="both"/>
      </w:pPr>
      <w:r>
        <w:rPr>
          <w:rFonts w:ascii="Arial" w:eastAsia="宋体" w:hAnsi="Arial" w:cs="Arial"/>
          <w:color w:val="000000"/>
          <w:sz w:val="20"/>
          <w:szCs w:val="20"/>
        </w:rPr>
        <w:t xml:space="preserve">As of March 31, 2021, the balance of our corporate debt and government bond securities was $2.2 billion, which represented approximately 50% of our total cash and investments. Investments in both </w:t>
      </w:r>
      <w:r>
        <w:rPr>
          <w:rFonts w:ascii="Arial" w:eastAsia="宋体" w:hAnsi="Arial" w:cs="Arial"/>
          <w:color w:val="000000"/>
          <w:sz w:val="20"/>
          <w:szCs w:val="20"/>
        </w:rPr>
        <w:t>fixed-rate and floating-rate interest-earning instruments carry varying degrees of interest rate risk. The fair market value of our fixed-rate investment securities may be adversely impacted due to a rise in interest rates. In general, fixed-rate securitie</w:t>
      </w:r>
      <w:r>
        <w:rPr>
          <w:rFonts w:ascii="Arial" w:eastAsia="宋体" w:hAnsi="Arial" w:cs="Arial"/>
          <w:color w:val="000000"/>
          <w:sz w:val="20"/>
          <w:szCs w:val="20"/>
        </w:rPr>
        <w:t>s with longer maturities are subject to greater interest rate risk than those with shorter maturities. While floating rate securities generally are subject to less interest rate risk than fixed-rate securities, floating-rate securities may produce less inc</w:t>
      </w:r>
      <w:r>
        <w:rPr>
          <w:rFonts w:ascii="Arial" w:eastAsia="宋体" w:hAnsi="Arial" w:cs="Arial"/>
          <w:color w:val="000000"/>
          <w:sz w:val="20"/>
          <w:szCs w:val="20"/>
        </w:rPr>
        <w:t>ome than expected if interest rates decrease and may also suffer a decline in market value if interest rates increase. Due in part to these factors, our investment income may fall short of expectations or we may suffer losses in principal if we sell securi</w:t>
      </w:r>
      <w:r>
        <w:rPr>
          <w:rFonts w:ascii="Arial" w:eastAsia="宋体" w:hAnsi="Arial" w:cs="Arial"/>
          <w:color w:val="000000"/>
          <w:sz w:val="20"/>
          <w:szCs w:val="20"/>
        </w:rPr>
        <w:t>ties that have declined in market value due to changes in interest rates. A hypothetical 100 basis point increase in interest rates would have resulted in a decrease in the fair value of our investments of $8 million and $5 million as of March 31, 2021 and</w:t>
      </w:r>
      <w:r>
        <w:rPr>
          <w:rFonts w:ascii="Arial" w:eastAsia="宋体" w:hAnsi="Arial" w:cs="Arial"/>
          <w:color w:val="000000"/>
          <w:sz w:val="20"/>
          <w:szCs w:val="20"/>
        </w:rPr>
        <w:t xml:space="preserve"> December 31, 2020, respectively.</w:t>
      </w:r>
    </w:p>
    <w:p w14:paraId="7268FF2C" w14:textId="77777777" w:rsidR="005F762A" w:rsidRDefault="005F762A">
      <w:pPr>
        <w:ind w:firstLine="540"/>
        <w:jc w:val="both"/>
      </w:pPr>
    </w:p>
    <w:p w14:paraId="7268FF2D" w14:textId="77777777" w:rsidR="005F762A" w:rsidRDefault="005F762A">
      <w:pPr>
        <w:jc w:val="center"/>
      </w:pPr>
    </w:p>
    <w:p w14:paraId="7268FF2E" w14:textId="77777777" w:rsidR="005F762A" w:rsidRDefault="00D74111">
      <w:pPr>
        <w:jc w:val="center"/>
      </w:pPr>
      <w:r>
        <w:rPr>
          <w:rFonts w:ascii="Arial" w:eastAsia="宋体" w:hAnsi="Arial" w:cs="Arial"/>
          <w:color w:val="000000"/>
          <w:sz w:val="20"/>
          <w:szCs w:val="20"/>
        </w:rPr>
        <w:t>42</w:t>
      </w:r>
    </w:p>
    <w:p w14:paraId="7268FF2F" w14:textId="77777777" w:rsidR="005F762A" w:rsidRDefault="00D74111">
      <w:r>
        <w:pict w14:anchorId="72690169">
          <v:rect id="_x0000_i1066" style="width:415.3pt;height:1.5pt" o:hralign="center" o:hrstd="t" o:hr="t" fillcolor="#a0a0a0" stroked="f"/>
        </w:pict>
      </w:r>
    </w:p>
    <w:p w14:paraId="7268FF30" w14:textId="77777777" w:rsidR="005F762A" w:rsidRDefault="005F762A"/>
    <w:p w14:paraId="7268FF31" w14:textId="77777777" w:rsidR="005F762A" w:rsidRDefault="00D74111">
      <w:pPr>
        <w:ind w:firstLine="540"/>
        <w:jc w:val="both"/>
      </w:pPr>
      <w:r>
        <w:rPr>
          <w:rFonts w:ascii="Arial" w:eastAsia="宋体" w:hAnsi="Arial" w:cs="Arial"/>
          <w:color w:val="000000"/>
          <w:sz w:val="20"/>
          <w:szCs w:val="20"/>
        </w:rPr>
        <w:t>As of March 31, 2021, we had an aggregate principal amount of $6.6 billion of outstanding senior notes, of which 94% bore interest at fixed rates. During 2020, we began to hedge the variability of the cash flows in</w:t>
      </w:r>
      <w:r>
        <w:rPr>
          <w:rFonts w:ascii="Arial" w:eastAsia="宋体" w:hAnsi="Arial" w:cs="Arial"/>
          <w:color w:val="000000"/>
          <w:sz w:val="20"/>
          <w:szCs w:val="20"/>
        </w:rPr>
        <w:t xml:space="preserve"> interest payments associated with our floating-rate debt using interest rate swaps. These interest rate swap agreements effectively convert our LIBOR-based floating-rate debt to a fixed-rate basis, reducing the impact of interest-rate changes on future in</w:t>
      </w:r>
      <w:r>
        <w:rPr>
          <w:rFonts w:ascii="Arial" w:eastAsia="宋体" w:hAnsi="Arial" w:cs="Arial"/>
          <w:color w:val="000000"/>
          <w:sz w:val="20"/>
          <w:szCs w:val="20"/>
        </w:rPr>
        <w:t>terest expense. The total notional amount of these interest swaps was $400 million as of March 31, 2021 with terms calling for us to receive interest at a variable rate and to pay interest at a fixed rate. Our interest rate swap contracts have maturity dat</w:t>
      </w:r>
      <w:r>
        <w:rPr>
          <w:rFonts w:ascii="Arial" w:eastAsia="宋体" w:hAnsi="Arial" w:cs="Arial"/>
          <w:color w:val="000000"/>
          <w:sz w:val="20"/>
          <w:szCs w:val="20"/>
        </w:rPr>
        <w:t>es in 2023. At March 31, 2021, we did not have an unhedged balance on our floating-rate debt.</w:t>
      </w:r>
    </w:p>
    <w:p w14:paraId="7268FF32" w14:textId="77777777" w:rsidR="005F762A" w:rsidRDefault="005F762A">
      <w:pPr>
        <w:ind w:firstLine="540"/>
        <w:jc w:val="both"/>
      </w:pPr>
    </w:p>
    <w:p w14:paraId="7268FF33" w14:textId="77777777" w:rsidR="005F762A" w:rsidRDefault="00D74111">
      <w:pPr>
        <w:ind w:firstLine="540"/>
        <w:jc w:val="both"/>
      </w:pPr>
      <w:r>
        <w:rPr>
          <w:rFonts w:ascii="Arial" w:eastAsia="宋体" w:hAnsi="Arial" w:cs="Arial"/>
          <w:color w:val="000000"/>
          <w:sz w:val="20"/>
          <w:szCs w:val="20"/>
        </w:rPr>
        <w:t>During 2020, we also began to hedge the variability of forecasted interest payments using forward-starting interest rate swaps. The notional amount of these swap</w:t>
      </w:r>
      <w:r>
        <w:rPr>
          <w:rFonts w:ascii="Arial" w:eastAsia="宋体" w:hAnsi="Arial" w:cs="Arial"/>
          <w:color w:val="000000"/>
          <w:sz w:val="20"/>
          <w:szCs w:val="20"/>
        </w:rPr>
        <w:t xml:space="preserve">s was $700 million as of March 31, 2021, with terms calling for us to receive interest at a variable rate and to pay interest at a fixed rate. These interest rate swaps effectively fix the benchmark interest rate on anticipated debt issuance likely within </w:t>
      </w:r>
      <w:r>
        <w:rPr>
          <w:rFonts w:ascii="Arial" w:eastAsia="宋体" w:hAnsi="Arial" w:cs="Arial"/>
          <w:color w:val="000000"/>
          <w:sz w:val="20"/>
          <w:szCs w:val="20"/>
        </w:rPr>
        <w:t>the next twelve months, and they will be terminated upon issuance of the debt. When entering into forward-starting interest rate swaps, we are subject to market risk with respect to changes in the underlying benchmark interest rate that impacts the fair va</w:t>
      </w:r>
      <w:r>
        <w:rPr>
          <w:rFonts w:ascii="Arial" w:eastAsia="宋体" w:hAnsi="Arial" w:cs="Arial"/>
          <w:color w:val="000000"/>
          <w:sz w:val="20"/>
          <w:szCs w:val="20"/>
        </w:rPr>
        <w:t>lue of the forward-starting interest rate swaps. We manage market risk by matching the terms of the swaps with the terms of the expected debt issuance. We considered the historical volatility of short-term interest rates and determined that it was reasonab</w:t>
      </w:r>
      <w:r>
        <w:rPr>
          <w:rFonts w:ascii="Arial" w:eastAsia="宋体" w:hAnsi="Arial" w:cs="Arial"/>
          <w:color w:val="000000"/>
          <w:sz w:val="20"/>
          <w:szCs w:val="20"/>
        </w:rPr>
        <w:t>ly possible that an adverse change of 100 basis points could be experienced in the near term. A hypothetical 1% (100 basis points) decrease in interest rates would have resulted in a decrease in the fair values of our forward-starting and floating to fixed</w:t>
      </w:r>
      <w:r>
        <w:rPr>
          <w:rFonts w:ascii="Arial" w:eastAsia="宋体" w:hAnsi="Arial" w:cs="Arial"/>
          <w:color w:val="000000"/>
          <w:sz w:val="20"/>
          <w:szCs w:val="20"/>
        </w:rPr>
        <w:t xml:space="preserve"> rate interest swaps of approximately $56 million at March 31, 2021. </w:t>
      </w:r>
    </w:p>
    <w:p w14:paraId="7268FF34" w14:textId="77777777" w:rsidR="005F762A" w:rsidRDefault="005F762A">
      <w:pPr>
        <w:ind w:firstLine="540"/>
        <w:jc w:val="both"/>
      </w:pPr>
    </w:p>
    <w:p w14:paraId="7268FF35" w14:textId="77777777" w:rsidR="005F762A" w:rsidRDefault="00D74111">
      <w:pPr>
        <w:ind w:firstLine="540"/>
        <w:jc w:val="both"/>
      </w:pPr>
      <w:r>
        <w:rPr>
          <w:rFonts w:ascii="Arial" w:eastAsia="宋体" w:hAnsi="Arial" w:cs="Arial"/>
          <w:color w:val="000000"/>
          <w:sz w:val="20"/>
          <w:szCs w:val="20"/>
        </w:rPr>
        <w:t>Further changes in interest rates will impact interest expense on any borrowings under our revolving credit facility, which bear interest at floating rates, and the interest rate on any</w:t>
      </w:r>
      <w:r>
        <w:rPr>
          <w:rFonts w:ascii="Arial" w:eastAsia="宋体" w:hAnsi="Arial" w:cs="Arial"/>
          <w:color w:val="000000"/>
          <w:sz w:val="20"/>
          <w:szCs w:val="20"/>
        </w:rPr>
        <w:t xml:space="preserve"> commercial paper borrowings we make and any debt securities we may issue in the future and, accordingly, will impact interest expense. For additional details related to our debt, see “Note 9 – Debt” to the condensed consolidated financial statements inclu</w:t>
      </w:r>
      <w:r>
        <w:rPr>
          <w:rFonts w:ascii="Arial" w:eastAsia="宋体" w:hAnsi="Arial" w:cs="Arial"/>
          <w:color w:val="000000"/>
          <w:sz w:val="20"/>
          <w:szCs w:val="20"/>
        </w:rPr>
        <w:t xml:space="preserve">ded in this report. </w:t>
      </w:r>
    </w:p>
    <w:p w14:paraId="7268FF36" w14:textId="77777777" w:rsidR="005F762A" w:rsidRDefault="00D74111">
      <w:pPr>
        <w:jc w:val="both"/>
      </w:pPr>
      <w:r>
        <w:rPr>
          <w:rFonts w:ascii="Arial" w:eastAsia="宋体" w:hAnsi="Arial" w:cs="Arial"/>
          <w:color w:val="000000"/>
          <w:sz w:val="20"/>
          <w:szCs w:val="20"/>
        </w:rPr>
        <w:t> </w:t>
      </w:r>
    </w:p>
    <w:p w14:paraId="7268FF37" w14:textId="77777777" w:rsidR="005F762A" w:rsidRDefault="00D74111">
      <w:pPr>
        <w:jc w:val="both"/>
      </w:pPr>
      <w:r>
        <w:rPr>
          <w:rFonts w:ascii="Arial" w:eastAsia="宋体" w:hAnsi="Arial" w:cs="Arial"/>
          <w:b/>
          <w:bCs/>
          <w:i/>
          <w:iCs/>
          <w:color w:val="000000"/>
          <w:sz w:val="20"/>
          <w:szCs w:val="20"/>
        </w:rPr>
        <w:t>Equity Price Risk</w:t>
      </w:r>
    </w:p>
    <w:p w14:paraId="7268FF38" w14:textId="77777777" w:rsidR="005F762A" w:rsidRDefault="005F762A">
      <w:pPr>
        <w:jc w:val="both"/>
      </w:pPr>
    </w:p>
    <w:p w14:paraId="7268FF39" w14:textId="77777777" w:rsidR="005F762A" w:rsidRDefault="00D74111">
      <w:pPr>
        <w:jc w:val="both"/>
      </w:pPr>
      <w:r>
        <w:rPr>
          <w:rFonts w:ascii="Arial" w:eastAsia="宋体" w:hAnsi="Arial" w:cs="Arial"/>
          <w:i/>
          <w:iCs/>
          <w:color w:val="000000"/>
          <w:sz w:val="20"/>
          <w:szCs w:val="20"/>
        </w:rPr>
        <w:t>Equity Investments</w:t>
      </w:r>
    </w:p>
    <w:p w14:paraId="7268FF3A" w14:textId="77777777" w:rsidR="005F762A" w:rsidRDefault="005F762A">
      <w:pPr>
        <w:ind w:firstLine="540"/>
        <w:jc w:val="both"/>
      </w:pPr>
    </w:p>
    <w:p w14:paraId="7268FF3B" w14:textId="77777777" w:rsidR="005F762A" w:rsidRDefault="00D74111">
      <w:pPr>
        <w:ind w:firstLine="540"/>
        <w:jc w:val="both"/>
      </w:pPr>
      <w:r>
        <w:rPr>
          <w:rFonts w:ascii="Arial" w:eastAsia="宋体" w:hAnsi="Arial" w:cs="Arial"/>
          <w:color w:val="000000"/>
          <w:sz w:val="20"/>
          <w:szCs w:val="20"/>
        </w:rPr>
        <w:t>Our equity investments are primarily investments in privately-held companies. Our consolidated results of operations include, as a component of interest and other, net, our share of the net inco</w:t>
      </w:r>
      <w:r>
        <w:rPr>
          <w:rFonts w:ascii="Arial" w:eastAsia="宋体" w:hAnsi="Arial" w:cs="Arial"/>
          <w:color w:val="000000"/>
          <w:sz w:val="20"/>
          <w:szCs w:val="20"/>
        </w:rPr>
        <w:t>me or loss of the equity investments accounted for under the equity method of accounting. Equity investments without readily determinable fair values are accounted for at cost, less impairment and adjusted for subsequent observable price changes obtained f</w:t>
      </w:r>
      <w:r>
        <w:rPr>
          <w:rFonts w:ascii="Arial" w:eastAsia="宋体" w:hAnsi="Arial" w:cs="Arial"/>
          <w:color w:val="000000"/>
          <w:sz w:val="20"/>
          <w:szCs w:val="20"/>
        </w:rPr>
        <w:t>rom orderly transactions for identical or similar investments issued by the same investee. Such changes in the basis of the equity investment are recognized in interest and other, net. As of March 31, 2021, our equity investments totaled $535 million, whic</w:t>
      </w:r>
      <w:r>
        <w:rPr>
          <w:rFonts w:ascii="Arial" w:eastAsia="宋体" w:hAnsi="Arial" w:cs="Arial"/>
          <w:color w:val="000000"/>
          <w:sz w:val="20"/>
          <w:szCs w:val="20"/>
        </w:rPr>
        <w:t xml:space="preserve">h represented approximately 12% of our total cash and investments, and were primarily related to equity investments without readily determinable fair values. </w:t>
      </w:r>
    </w:p>
    <w:p w14:paraId="7268FF3C" w14:textId="77777777" w:rsidR="005F762A" w:rsidRDefault="005F762A">
      <w:pPr>
        <w:ind w:firstLine="540"/>
        <w:jc w:val="both"/>
      </w:pPr>
    </w:p>
    <w:p w14:paraId="7268FF3D" w14:textId="77777777" w:rsidR="005F762A" w:rsidRDefault="00D74111">
      <w:pPr>
        <w:jc w:val="both"/>
      </w:pPr>
      <w:r>
        <w:rPr>
          <w:rFonts w:ascii="Arial" w:eastAsia="宋体" w:hAnsi="Arial" w:cs="Arial"/>
          <w:i/>
          <w:iCs/>
          <w:color w:val="000000"/>
          <w:sz w:val="20"/>
          <w:szCs w:val="20"/>
        </w:rPr>
        <w:t>Warrant</w:t>
      </w:r>
    </w:p>
    <w:p w14:paraId="7268FF3E" w14:textId="77777777" w:rsidR="005F762A" w:rsidRDefault="005F762A">
      <w:pPr>
        <w:ind w:firstLine="540"/>
        <w:jc w:val="both"/>
      </w:pPr>
    </w:p>
    <w:p w14:paraId="7268FF3F" w14:textId="77777777" w:rsidR="005F762A" w:rsidRDefault="00D74111">
      <w:pPr>
        <w:ind w:firstLine="540"/>
        <w:jc w:val="both"/>
      </w:pPr>
      <w:r>
        <w:rPr>
          <w:rFonts w:ascii="Arial" w:eastAsia="宋体" w:hAnsi="Arial" w:cs="Arial"/>
          <w:color w:val="000000"/>
          <w:sz w:val="20"/>
          <w:szCs w:val="20"/>
        </w:rPr>
        <w:t>We entered into a warrant agreement in conjunction with a commercial agreement with Ady</w:t>
      </w:r>
      <w:r>
        <w:rPr>
          <w:rFonts w:ascii="Arial" w:eastAsia="宋体" w:hAnsi="Arial" w:cs="Arial"/>
          <w:color w:val="000000"/>
          <w:sz w:val="20"/>
          <w:szCs w:val="20"/>
        </w:rPr>
        <w:t>en that, subject to meeting certain conditions, entitles us to acquire a fixed number of shares up to 5% of Adyen’s fully diluted issued and outstanding share capital at a specific date. The warrant is accounted for as a derivative instrument under ASC Top</w:t>
      </w:r>
      <w:r>
        <w:rPr>
          <w:rFonts w:ascii="Arial" w:eastAsia="宋体" w:hAnsi="Arial" w:cs="Arial"/>
          <w:color w:val="000000"/>
          <w:sz w:val="20"/>
          <w:szCs w:val="20"/>
        </w:rPr>
        <w:t xml:space="preserve">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the warrant. As of March 31, 2021, a one dollar change in Adyen’s common stock, holding other factors constant, would</w:t>
      </w:r>
      <w:r>
        <w:rPr>
          <w:rFonts w:ascii="Arial" w:eastAsia="宋体" w:hAnsi="Arial" w:cs="Arial"/>
          <w:color w:val="000000"/>
          <w:sz w:val="20"/>
          <w:szCs w:val="20"/>
        </w:rPr>
        <w:t xml:space="preserve"> increase or decrease the fair value of the warrant by approximately $1 million. For additional details related to the warrant, please see “Note 7 – Derivative Instruments” to our condensed consolidated financial statements included in this report.</w:t>
      </w:r>
    </w:p>
    <w:p w14:paraId="7268FF40" w14:textId="77777777" w:rsidR="005F762A" w:rsidRDefault="005F762A">
      <w:pPr>
        <w:ind w:firstLine="495"/>
        <w:jc w:val="both"/>
      </w:pPr>
    </w:p>
    <w:p w14:paraId="7268FF41" w14:textId="77777777" w:rsidR="005F762A" w:rsidRDefault="005F762A">
      <w:pPr>
        <w:jc w:val="center"/>
      </w:pPr>
    </w:p>
    <w:p w14:paraId="7268FF42" w14:textId="77777777" w:rsidR="005F762A" w:rsidRDefault="00D74111">
      <w:pPr>
        <w:jc w:val="center"/>
      </w:pPr>
      <w:r>
        <w:rPr>
          <w:rFonts w:ascii="Arial" w:eastAsia="宋体" w:hAnsi="Arial" w:cs="Arial"/>
          <w:color w:val="000000"/>
          <w:sz w:val="20"/>
          <w:szCs w:val="20"/>
        </w:rPr>
        <w:t>43</w:t>
      </w:r>
    </w:p>
    <w:p w14:paraId="7268FF43" w14:textId="77777777" w:rsidR="005F762A" w:rsidRDefault="00D74111">
      <w:r>
        <w:pict w14:anchorId="7269016A">
          <v:rect id="_x0000_i1067" style="width:415.3pt;height:1.5pt" o:hralign="center" o:hrstd="t" o:hr="t" fillcolor="#a0a0a0" stroked="f"/>
        </w:pict>
      </w:r>
    </w:p>
    <w:p w14:paraId="7268FF44" w14:textId="77777777" w:rsidR="005F762A" w:rsidRDefault="005F762A"/>
    <w:p w14:paraId="7268FF45" w14:textId="77777777" w:rsidR="005F762A" w:rsidRDefault="00D74111">
      <w:pPr>
        <w:jc w:val="both"/>
      </w:pPr>
      <w:r>
        <w:rPr>
          <w:rFonts w:ascii="Arial" w:eastAsia="宋体" w:hAnsi="Arial" w:cs="Arial"/>
          <w:b/>
          <w:bCs/>
          <w:i/>
          <w:iCs/>
          <w:color w:val="000000"/>
          <w:sz w:val="20"/>
          <w:szCs w:val="20"/>
        </w:rPr>
        <w:t>Foreign Currency Risk</w:t>
      </w:r>
    </w:p>
    <w:p w14:paraId="7268FF46" w14:textId="77777777" w:rsidR="005F762A" w:rsidRDefault="005F762A">
      <w:pPr>
        <w:jc w:val="both"/>
      </w:pPr>
    </w:p>
    <w:p w14:paraId="7268FF47" w14:textId="77777777" w:rsidR="005F762A" w:rsidRDefault="00D74111">
      <w:pPr>
        <w:ind w:firstLine="540"/>
        <w:jc w:val="both"/>
      </w:pPr>
      <w:r>
        <w:rPr>
          <w:rFonts w:ascii="Arial" w:eastAsia="宋体" w:hAnsi="Arial" w:cs="Arial"/>
          <w:color w:val="000000"/>
          <w:sz w:val="20"/>
          <w:szCs w:val="20"/>
        </w:rPr>
        <w:t>Our commerce platforms operate globally, resulting in certain revenues and costs that are denominated in foreign currencies, primarily the euro, British pound, Korean won and Australian dollar, subjecting us to foreign currency ris</w:t>
      </w:r>
      <w:r>
        <w:rPr>
          <w:rFonts w:ascii="Arial" w:eastAsia="宋体" w:hAnsi="Arial" w:cs="Arial"/>
          <w:color w:val="000000"/>
          <w:sz w:val="20"/>
          <w:szCs w:val="20"/>
        </w:rPr>
        <w:t>k, which may adversely impact our financial results. We transact business in various foreign currencies and have significant international revenues as well as costs. In addition, we charge our international subsidiaries for their use of intellectual proper</w:t>
      </w:r>
      <w:r>
        <w:rPr>
          <w:rFonts w:ascii="Arial" w:eastAsia="宋体" w:hAnsi="Arial" w:cs="Arial"/>
          <w:color w:val="000000"/>
          <w:sz w:val="20"/>
          <w:szCs w:val="20"/>
        </w:rPr>
        <w:t xml:space="preserve">ty and technology and for certain corporate services we provide. Our cash flow, results of operations and certain of our intercompany balances that are exposed to foreign exchange rate fluctuations may differ materially from expectations and we may record </w:t>
      </w:r>
      <w:r>
        <w:rPr>
          <w:rFonts w:ascii="Arial" w:eastAsia="宋体" w:hAnsi="Arial" w:cs="Arial"/>
          <w:color w:val="000000"/>
          <w:sz w:val="20"/>
          <w:szCs w:val="20"/>
        </w:rPr>
        <w:t>significant gains or losses due to foreign currency fluctuations and related hedging activities.</w:t>
      </w:r>
    </w:p>
    <w:p w14:paraId="7268FF48" w14:textId="77777777" w:rsidR="005F762A" w:rsidRDefault="005F762A">
      <w:pPr>
        <w:jc w:val="both"/>
      </w:pPr>
    </w:p>
    <w:p w14:paraId="7268FF49" w14:textId="77777777" w:rsidR="005F762A" w:rsidRDefault="00D74111">
      <w:pPr>
        <w:ind w:firstLine="540"/>
        <w:jc w:val="both"/>
      </w:pPr>
      <w:r>
        <w:rPr>
          <w:rFonts w:ascii="Arial" w:eastAsia="宋体" w:hAnsi="Arial" w:cs="Arial"/>
          <w:color w:val="000000"/>
          <w:sz w:val="20"/>
          <w:szCs w:val="20"/>
        </w:rPr>
        <w:t>We have a foreign exchange exposure management program designed to identify material foreign currency exposures, manage these exposures and reduce the potenti</w:t>
      </w:r>
      <w:r>
        <w:rPr>
          <w:rFonts w:ascii="Arial" w:eastAsia="宋体" w:hAnsi="Arial" w:cs="Arial"/>
          <w:color w:val="000000"/>
          <w:sz w:val="20"/>
          <w:szCs w:val="20"/>
        </w:rPr>
        <w:t>al effects of currency fluctuations on our reported condensed consolidated cash flows and results of operations through the purchase of foreign currency exchange contracts. The effectiveness of the program and resulting usage of foreign exchange derivative</w:t>
      </w:r>
      <w:r>
        <w:rPr>
          <w:rFonts w:ascii="Arial" w:eastAsia="宋体" w:hAnsi="Arial" w:cs="Arial"/>
          <w:color w:val="000000"/>
          <w:sz w:val="20"/>
          <w:szCs w:val="20"/>
        </w:rPr>
        <w:t xml:space="preserve"> contracts is at times limited by our ability to achieve cash flow hedge accounting. For additional details related to our derivative instruments, please see “Note 7 – Derivative Instruments” to our condensed consolidated financial statements included in t</w:t>
      </w:r>
      <w:r>
        <w:rPr>
          <w:rFonts w:ascii="Arial" w:eastAsia="宋体" w:hAnsi="Arial" w:cs="Arial"/>
          <w:color w:val="000000"/>
          <w:sz w:val="20"/>
          <w:szCs w:val="20"/>
        </w:rPr>
        <w:t xml:space="preserve">his report. </w:t>
      </w:r>
    </w:p>
    <w:p w14:paraId="7268FF4A" w14:textId="77777777" w:rsidR="005F762A" w:rsidRDefault="005F762A">
      <w:pPr>
        <w:ind w:firstLine="540"/>
        <w:jc w:val="both"/>
      </w:pPr>
    </w:p>
    <w:p w14:paraId="7268FF4B" w14:textId="77777777" w:rsidR="005F762A" w:rsidRDefault="00D74111">
      <w:pPr>
        <w:ind w:firstLine="540"/>
        <w:jc w:val="both"/>
      </w:pPr>
      <w:r>
        <w:rPr>
          <w:rFonts w:ascii="Arial" w:eastAsia="宋体" w:hAnsi="Arial" w:cs="Arial"/>
          <w:color w:val="000000"/>
          <w:sz w:val="20"/>
          <w:szCs w:val="20"/>
        </w:rPr>
        <w:t xml:space="preserve">We use foreign exchange derivative contracts to help protect our forecasted U.S. dollar-equivalent earnings from adverse changes in foreign currency exchange rates. These hedging contracts reduce, but do not entirely eliminate, the impact of </w:t>
      </w:r>
      <w:r>
        <w:rPr>
          <w:rFonts w:ascii="Arial" w:eastAsia="宋体" w:hAnsi="Arial" w:cs="Arial"/>
          <w:color w:val="000000"/>
          <w:sz w:val="20"/>
          <w:szCs w:val="20"/>
        </w:rPr>
        <w:t>adverse currency exchange rate movements. Most of these contracts are designated as cash flow hedges for accounting purposes. For qualifying cash flow hedges, the derivative’s gain or loss is initially reported as a component of accumulated other comprehen</w:t>
      </w:r>
      <w:r>
        <w:rPr>
          <w:rFonts w:ascii="Arial" w:eastAsia="宋体" w:hAnsi="Arial" w:cs="Arial"/>
          <w:color w:val="000000"/>
          <w:sz w:val="20"/>
          <w:szCs w:val="20"/>
        </w:rPr>
        <w:t>sive income and subsequently reclassified into earnings in the same period the forecasted transaction affects earnings. For contracts not designated as cash flow hedges for accounting purposes, the derivative’s gain or loss is recognized immediately in ear</w:t>
      </w:r>
      <w:r>
        <w:rPr>
          <w:rFonts w:ascii="Arial" w:eastAsia="宋体" w:hAnsi="Arial" w:cs="Arial"/>
          <w:color w:val="000000"/>
          <w:sz w:val="20"/>
          <w:szCs w:val="20"/>
        </w:rPr>
        <w:t xml:space="preserve">nings in our condensed consolidated statement of income. However, only certain revenue and costs are eligible for cash flow hedge accounting. </w:t>
      </w:r>
    </w:p>
    <w:p w14:paraId="7268FF4C" w14:textId="77777777" w:rsidR="005F762A" w:rsidRDefault="005F762A">
      <w:pPr>
        <w:jc w:val="both"/>
      </w:pPr>
    </w:p>
    <w:p w14:paraId="7268FF4D" w14:textId="77777777" w:rsidR="005F762A" w:rsidRDefault="00D74111">
      <w:pPr>
        <w:ind w:firstLine="540"/>
        <w:jc w:val="both"/>
      </w:pPr>
      <w:r>
        <w:rPr>
          <w:rFonts w:ascii="Arial" w:eastAsia="宋体" w:hAnsi="Arial" w:cs="Arial"/>
          <w:color w:val="000000"/>
          <w:sz w:val="20"/>
          <w:szCs w:val="20"/>
        </w:rPr>
        <w:t>The following table illustrates the fair values of outstanding foreign exchange contracts designated as cash flo</w:t>
      </w:r>
      <w:r>
        <w:rPr>
          <w:rFonts w:ascii="Arial" w:eastAsia="宋体" w:hAnsi="Arial" w:cs="Arial"/>
          <w:color w:val="000000"/>
          <w:sz w:val="20"/>
          <w:szCs w:val="20"/>
        </w:rPr>
        <w:t>w hedges and net investment hedges, and the before-tax effect on fair values of a hypothetical adverse change in the foreign exchange rates that existed as of March 31, 2021. The sensitivity for foreign currency contracts is based on a 20% adverse change i</w:t>
      </w:r>
      <w:r>
        <w:rPr>
          <w:rFonts w:ascii="Arial" w:eastAsia="宋体" w:hAnsi="Arial" w:cs="Arial"/>
          <w:color w:val="000000"/>
          <w:sz w:val="20"/>
          <w:szCs w:val="20"/>
        </w:rPr>
        <w:t>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8"/>
        <w:gridCol w:w="37"/>
        <w:gridCol w:w="122"/>
        <w:gridCol w:w="1131"/>
        <w:gridCol w:w="36"/>
        <w:gridCol w:w="36"/>
        <w:gridCol w:w="36"/>
        <w:gridCol w:w="36"/>
        <w:gridCol w:w="122"/>
        <w:gridCol w:w="768"/>
        <w:gridCol w:w="36"/>
      </w:tblGrid>
      <w:tr w:rsidR="005F762A" w14:paraId="7268FF5A" w14:textId="77777777">
        <w:tc>
          <w:tcPr>
            <w:tcW w:w="50" w:type="pct"/>
            <w:shd w:val="clear" w:color="auto" w:fill="auto"/>
          </w:tcPr>
          <w:p w14:paraId="7268FF4E" w14:textId="77777777" w:rsidR="005F762A" w:rsidRDefault="005F762A">
            <w:pPr>
              <w:rPr>
                <w:rFonts w:ascii="宋体"/>
              </w:rPr>
            </w:pPr>
          </w:p>
        </w:tc>
        <w:tc>
          <w:tcPr>
            <w:tcW w:w="3629" w:type="pct"/>
            <w:shd w:val="clear" w:color="auto" w:fill="auto"/>
          </w:tcPr>
          <w:p w14:paraId="7268FF4F" w14:textId="77777777" w:rsidR="005F762A" w:rsidRDefault="005F762A">
            <w:pPr>
              <w:rPr>
                <w:rFonts w:ascii="宋体"/>
              </w:rPr>
            </w:pPr>
          </w:p>
        </w:tc>
        <w:tc>
          <w:tcPr>
            <w:tcW w:w="5" w:type="pct"/>
            <w:shd w:val="clear" w:color="auto" w:fill="auto"/>
          </w:tcPr>
          <w:p w14:paraId="7268FF50" w14:textId="77777777" w:rsidR="005F762A" w:rsidRDefault="005F762A">
            <w:pPr>
              <w:rPr>
                <w:rFonts w:ascii="宋体"/>
              </w:rPr>
            </w:pPr>
          </w:p>
        </w:tc>
        <w:tc>
          <w:tcPr>
            <w:tcW w:w="50" w:type="pct"/>
            <w:shd w:val="clear" w:color="auto" w:fill="auto"/>
          </w:tcPr>
          <w:p w14:paraId="7268FF51" w14:textId="77777777" w:rsidR="005F762A" w:rsidRDefault="005F762A">
            <w:pPr>
              <w:rPr>
                <w:rFonts w:ascii="宋体"/>
              </w:rPr>
            </w:pPr>
          </w:p>
        </w:tc>
        <w:tc>
          <w:tcPr>
            <w:tcW w:w="617" w:type="pct"/>
            <w:shd w:val="clear" w:color="auto" w:fill="auto"/>
          </w:tcPr>
          <w:p w14:paraId="7268FF52" w14:textId="77777777" w:rsidR="005F762A" w:rsidRDefault="005F762A">
            <w:pPr>
              <w:rPr>
                <w:rFonts w:ascii="宋体"/>
              </w:rPr>
            </w:pPr>
          </w:p>
        </w:tc>
        <w:tc>
          <w:tcPr>
            <w:tcW w:w="5" w:type="pct"/>
            <w:shd w:val="clear" w:color="auto" w:fill="auto"/>
          </w:tcPr>
          <w:p w14:paraId="7268FF53" w14:textId="77777777" w:rsidR="005F762A" w:rsidRDefault="005F762A">
            <w:pPr>
              <w:rPr>
                <w:rFonts w:ascii="宋体"/>
              </w:rPr>
            </w:pPr>
          </w:p>
        </w:tc>
        <w:tc>
          <w:tcPr>
            <w:tcW w:w="5" w:type="pct"/>
            <w:shd w:val="clear" w:color="auto" w:fill="auto"/>
          </w:tcPr>
          <w:p w14:paraId="7268FF54" w14:textId="77777777" w:rsidR="005F762A" w:rsidRDefault="005F762A">
            <w:pPr>
              <w:rPr>
                <w:rFonts w:ascii="宋体"/>
              </w:rPr>
            </w:pPr>
          </w:p>
        </w:tc>
        <w:tc>
          <w:tcPr>
            <w:tcW w:w="26" w:type="pct"/>
            <w:shd w:val="clear" w:color="auto" w:fill="auto"/>
          </w:tcPr>
          <w:p w14:paraId="7268FF55" w14:textId="77777777" w:rsidR="005F762A" w:rsidRDefault="005F762A">
            <w:pPr>
              <w:rPr>
                <w:rFonts w:ascii="宋体"/>
              </w:rPr>
            </w:pPr>
          </w:p>
        </w:tc>
        <w:tc>
          <w:tcPr>
            <w:tcW w:w="5" w:type="pct"/>
            <w:shd w:val="clear" w:color="auto" w:fill="auto"/>
          </w:tcPr>
          <w:p w14:paraId="7268FF56" w14:textId="77777777" w:rsidR="005F762A" w:rsidRDefault="005F762A">
            <w:pPr>
              <w:rPr>
                <w:rFonts w:ascii="宋体"/>
              </w:rPr>
            </w:pPr>
          </w:p>
        </w:tc>
        <w:tc>
          <w:tcPr>
            <w:tcW w:w="50" w:type="pct"/>
            <w:shd w:val="clear" w:color="auto" w:fill="auto"/>
          </w:tcPr>
          <w:p w14:paraId="7268FF57" w14:textId="77777777" w:rsidR="005F762A" w:rsidRDefault="005F762A">
            <w:pPr>
              <w:rPr>
                <w:rFonts w:ascii="宋体"/>
              </w:rPr>
            </w:pPr>
          </w:p>
        </w:tc>
        <w:tc>
          <w:tcPr>
            <w:tcW w:w="551" w:type="pct"/>
            <w:shd w:val="clear" w:color="auto" w:fill="auto"/>
          </w:tcPr>
          <w:p w14:paraId="7268FF58" w14:textId="77777777" w:rsidR="005F762A" w:rsidRDefault="005F762A">
            <w:pPr>
              <w:rPr>
                <w:rFonts w:ascii="宋体"/>
              </w:rPr>
            </w:pPr>
          </w:p>
        </w:tc>
        <w:tc>
          <w:tcPr>
            <w:tcW w:w="5" w:type="pct"/>
            <w:shd w:val="clear" w:color="auto" w:fill="auto"/>
          </w:tcPr>
          <w:p w14:paraId="7268FF59" w14:textId="77777777" w:rsidR="005F762A" w:rsidRDefault="005F762A">
            <w:pPr>
              <w:rPr>
                <w:rFonts w:ascii="宋体"/>
              </w:rPr>
            </w:pPr>
          </w:p>
        </w:tc>
      </w:tr>
      <w:tr w:rsidR="005F762A" w14:paraId="7268FF5F" w14:textId="77777777">
        <w:tc>
          <w:tcPr>
            <w:tcW w:w="0" w:type="auto"/>
            <w:gridSpan w:val="3"/>
            <w:shd w:val="clear" w:color="auto" w:fill="auto"/>
            <w:tcMar>
              <w:top w:w="40" w:type="dxa"/>
              <w:left w:w="20" w:type="dxa"/>
              <w:bottom w:w="40" w:type="dxa"/>
              <w:right w:w="20" w:type="dxa"/>
            </w:tcMar>
            <w:vAlign w:val="bottom"/>
          </w:tcPr>
          <w:p w14:paraId="7268FF5B" w14:textId="77777777" w:rsidR="005F762A" w:rsidRDefault="00D74111">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7268FF5C" w14:textId="77777777" w:rsidR="005F762A" w:rsidRDefault="00D74111">
            <w:pPr>
              <w:jc w:val="center"/>
              <w:textAlignment w:val="bottom"/>
            </w:pPr>
            <w:r>
              <w:rPr>
                <w:rFonts w:ascii="Arial" w:eastAsia="宋体" w:hAnsi="Arial" w:cs="Arial"/>
                <w:b/>
                <w:bCs/>
                <w:color w:val="000000"/>
                <w:sz w:val="16"/>
                <w:szCs w:val="16"/>
              </w:rPr>
              <w:t>Fair Value Asset/(Liability)</w:t>
            </w:r>
          </w:p>
        </w:tc>
        <w:tc>
          <w:tcPr>
            <w:tcW w:w="0" w:type="auto"/>
            <w:gridSpan w:val="3"/>
            <w:shd w:val="clear" w:color="auto" w:fill="auto"/>
            <w:tcMar>
              <w:top w:w="0" w:type="dxa"/>
              <w:left w:w="20" w:type="dxa"/>
              <w:bottom w:w="0" w:type="dxa"/>
              <w:right w:w="20" w:type="dxa"/>
            </w:tcMar>
          </w:tcPr>
          <w:p w14:paraId="7268FF5D" w14:textId="77777777" w:rsidR="005F762A" w:rsidRDefault="005F762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268FF5E" w14:textId="77777777" w:rsidR="005F762A" w:rsidRDefault="00D74111">
            <w:pPr>
              <w:jc w:val="center"/>
              <w:textAlignment w:val="bottom"/>
            </w:pPr>
            <w:r>
              <w:rPr>
                <w:rFonts w:ascii="Arial" w:eastAsia="宋体" w:hAnsi="Arial" w:cs="Arial"/>
                <w:b/>
                <w:bCs/>
                <w:color w:val="000000"/>
                <w:sz w:val="16"/>
                <w:szCs w:val="16"/>
              </w:rPr>
              <w:t>Fair Value Sensitivity</w:t>
            </w:r>
          </w:p>
        </w:tc>
      </w:tr>
      <w:tr w:rsidR="005F762A" w14:paraId="7268FF62" w14:textId="77777777">
        <w:tc>
          <w:tcPr>
            <w:tcW w:w="0" w:type="auto"/>
            <w:gridSpan w:val="3"/>
            <w:shd w:val="clear" w:color="auto" w:fill="auto"/>
            <w:tcMar>
              <w:top w:w="0" w:type="dxa"/>
              <w:left w:w="20" w:type="dxa"/>
              <w:bottom w:w="0" w:type="dxa"/>
              <w:right w:w="20" w:type="dxa"/>
            </w:tcMar>
          </w:tcPr>
          <w:p w14:paraId="7268FF60" w14:textId="77777777" w:rsidR="005F762A" w:rsidRDefault="005F762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268FF61" w14:textId="77777777" w:rsidR="005F762A" w:rsidRDefault="00D74111">
            <w:pPr>
              <w:jc w:val="center"/>
              <w:textAlignment w:val="bottom"/>
            </w:pPr>
            <w:r>
              <w:rPr>
                <w:rFonts w:ascii="Arial" w:eastAsia="宋体" w:hAnsi="Arial" w:cs="Arial"/>
                <w:b/>
                <w:bCs/>
                <w:color w:val="000000"/>
                <w:sz w:val="16"/>
                <w:szCs w:val="16"/>
              </w:rPr>
              <w:t>(In millions)</w:t>
            </w:r>
          </w:p>
        </w:tc>
      </w:tr>
      <w:tr w:rsidR="005F762A" w14:paraId="7268FF6B" w14:textId="77777777">
        <w:tc>
          <w:tcPr>
            <w:tcW w:w="0" w:type="auto"/>
            <w:gridSpan w:val="3"/>
            <w:shd w:val="clear" w:color="auto" w:fill="E2E2E2"/>
            <w:tcMar>
              <w:top w:w="40" w:type="dxa"/>
              <w:left w:w="20" w:type="dxa"/>
              <w:bottom w:w="40" w:type="dxa"/>
              <w:right w:w="20" w:type="dxa"/>
            </w:tcMar>
            <w:vAlign w:val="bottom"/>
          </w:tcPr>
          <w:p w14:paraId="7268FF63" w14:textId="77777777" w:rsidR="005F762A" w:rsidRDefault="00D74111">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7268FF64"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FF65" w14:textId="77777777" w:rsidR="005F762A" w:rsidRDefault="00D74111">
            <w:pPr>
              <w:jc w:val="right"/>
              <w:textAlignment w:val="bottom"/>
            </w:pPr>
            <w:r>
              <w:rPr>
                <w:rFonts w:ascii="Arial" w:eastAsia="宋体" w:hAnsi="Arial" w:cs="Arial"/>
                <w:color w:val="000000"/>
                <w:sz w:val="18"/>
                <w:szCs w:val="18"/>
              </w:rPr>
              <w:t>27 </w:t>
            </w:r>
          </w:p>
        </w:tc>
        <w:tc>
          <w:tcPr>
            <w:tcW w:w="0" w:type="auto"/>
            <w:shd w:val="clear" w:color="auto" w:fill="E2E2E2"/>
            <w:tcMar>
              <w:top w:w="40" w:type="dxa"/>
              <w:left w:w="0" w:type="dxa"/>
              <w:bottom w:w="40" w:type="dxa"/>
              <w:right w:w="20" w:type="dxa"/>
            </w:tcMar>
            <w:vAlign w:val="bottom"/>
          </w:tcPr>
          <w:p w14:paraId="7268FF66"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F67"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F68" w14:textId="77777777" w:rsidR="005F762A" w:rsidRDefault="00D74111">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7268FF69" w14:textId="77777777" w:rsidR="005F762A" w:rsidRDefault="00D74111">
            <w:pPr>
              <w:jc w:val="right"/>
              <w:textAlignment w:val="bottom"/>
            </w:pPr>
            <w:r>
              <w:rPr>
                <w:rFonts w:ascii="Arial" w:eastAsia="宋体" w:hAnsi="Arial" w:cs="Arial"/>
                <w:color w:val="000000"/>
                <w:sz w:val="18"/>
                <w:szCs w:val="18"/>
              </w:rPr>
              <w:t>(238)</w:t>
            </w:r>
          </w:p>
        </w:tc>
        <w:tc>
          <w:tcPr>
            <w:tcW w:w="0" w:type="auto"/>
            <w:shd w:val="clear" w:color="auto" w:fill="E2E2E2"/>
            <w:tcMar>
              <w:top w:w="40" w:type="dxa"/>
              <w:left w:w="0" w:type="dxa"/>
              <w:bottom w:w="40" w:type="dxa"/>
              <w:right w:w="20" w:type="dxa"/>
            </w:tcMar>
            <w:vAlign w:val="bottom"/>
          </w:tcPr>
          <w:p w14:paraId="7268FF6A" w14:textId="77777777" w:rsidR="005F762A" w:rsidRDefault="005F762A">
            <w:pPr>
              <w:jc w:val="right"/>
              <w:rPr>
                <w:rFonts w:ascii="宋体"/>
              </w:rPr>
            </w:pPr>
          </w:p>
        </w:tc>
      </w:tr>
      <w:tr w:rsidR="005F762A" w14:paraId="7268FF74" w14:textId="77777777">
        <w:tc>
          <w:tcPr>
            <w:tcW w:w="0" w:type="auto"/>
            <w:gridSpan w:val="3"/>
            <w:shd w:val="clear" w:color="auto" w:fill="FFFFFF"/>
            <w:tcMar>
              <w:top w:w="40" w:type="dxa"/>
              <w:left w:w="20" w:type="dxa"/>
              <w:bottom w:w="40" w:type="dxa"/>
              <w:right w:w="20" w:type="dxa"/>
            </w:tcMar>
            <w:vAlign w:val="bottom"/>
          </w:tcPr>
          <w:p w14:paraId="7268FF6C" w14:textId="77777777" w:rsidR="005F762A" w:rsidRDefault="00D74111">
            <w:pPr>
              <w:textAlignment w:val="bottom"/>
            </w:pPr>
            <w:r>
              <w:rPr>
                <w:rFonts w:ascii="Arial" w:eastAsia="宋体" w:hAnsi="Arial" w:cs="Arial"/>
                <w:color w:val="000000"/>
                <w:sz w:val="18"/>
                <w:szCs w:val="18"/>
              </w:rPr>
              <w:t xml:space="preserve">Foreign exchange contracts - Net </w:t>
            </w:r>
            <w:r>
              <w:rPr>
                <w:rFonts w:ascii="Arial" w:eastAsia="宋体" w:hAnsi="Arial" w:cs="Arial"/>
                <w:color w:val="000000"/>
                <w:sz w:val="18"/>
                <w:szCs w:val="18"/>
              </w:rPr>
              <w:t>investment hedges</w:t>
            </w:r>
          </w:p>
        </w:tc>
        <w:tc>
          <w:tcPr>
            <w:tcW w:w="0" w:type="auto"/>
            <w:shd w:val="clear" w:color="auto" w:fill="FFFFFF"/>
            <w:tcMar>
              <w:top w:w="40" w:type="dxa"/>
              <w:left w:w="20" w:type="dxa"/>
              <w:bottom w:w="40" w:type="dxa"/>
              <w:right w:w="0" w:type="dxa"/>
            </w:tcMar>
            <w:vAlign w:val="bottom"/>
          </w:tcPr>
          <w:p w14:paraId="7268FF6D"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FF6E" w14:textId="77777777" w:rsidR="005F762A" w:rsidRDefault="00D74111">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7268FF6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F70"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F71" w14:textId="77777777" w:rsidR="005F762A" w:rsidRDefault="00D74111">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268FF72" w14:textId="77777777" w:rsidR="005F762A" w:rsidRDefault="00D74111">
            <w:pPr>
              <w:jc w:val="right"/>
              <w:textAlignment w:val="bottom"/>
            </w:pPr>
            <w:r>
              <w:rPr>
                <w:rFonts w:ascii="Arial" w:eastAsia="宋体" w:hAnsi="Arial" w:cs="Arial"/>
                <w:color w:val="000000"/>
                <w:sz w:val="18"/>
                <w:szCs w:val="18"/>
              </w:rPr>
              <w:t>(42)</w:t>
            </w:r>
          </w:p>
        </w:tc>
        <w:tc>
          <w:tcPr>
            <w:tcW w:w="0" w:type="auto"/>
            <w:shd w:val="clear" w:color="auto" w:fill="FFFFFF"/>
            <w:tcMar>
              <w:top w:w="40" w:type="dxa"/>
              <w:left w:w="0" w:type="dxa"/>
              <w:bottom w:w="40" w:type="dxa"/>
              <w:right w:w="20" w:type="dxa"/>
            </w:tcMar>
            <w:vAlign w:val="bottom"/>
          </w:tcPr>
          <w:p w14:paraId="7268FF73" w14:textId="77777777" w:rsidR="005F762A" w:rsidRDefault="005F762A">
            <w:pPr>
              <w:jc w:val="right"/>
              <w:rPr>
                <w:rFonts w:ascii="宋体"/>
              </w:rPr>
            </w:pPr>
          </w:p>
        </w:tc>
      </w:tr>
    </w:tbl>
    <w:p w14:paraId="7268FF75" w14:textId="77777777" w:rsidR="005F762A" w:rsidRDefault="005F762A">
      <w:pPr>
        <w:ind w:firstLine="540"/>
        <w:jc w:val="both"/>
      </w:pPr>
    </w:p>
    <w:p w14:paraId="7268FF76" w14:textId="77777777" w:rsidR="005F762A" w:rsidRDefault="00D74111">
      <w:pPr>
        <w:ind w:firstLine="540"/>
        <w:jc w:val="both"/>
      </w:pPr>
      <w:r>
        <w:rPr>
          <w:rFonts w:ascii="Arial" w:eastAsia="宋体" w:hAnsi="Arial" w:cs="Arial"/>
          <w:color w:val="000000"/>
          <w:sz w:val="20"/>
          <w:szCs w:val="20"/>
        </w:rPr>
        <w:t>Since our risk management programs are highly effective, the potential loss in value described above would be largely offset by changes in the value of the underlying exposure.</w:t>
      </w:r>
    </w:p>
    <w:p w14:paraId="7268FF77" w14:textId="77777777" w:rsidR="005F762A" w:rsidRDefault="005F762A">
      <w:pPr>
        <w:ind w:firstLine="540"/>
        <w:jc w:val="both"/>
      </w:pPr>
    </w:p>
    <w:p w14:paraId="7268FF78" w14:textId="77777777" w:rsidR="005F762A" w:rsidRDefault="00D74111">
      <w:pPr>
        <w:ind w:firstLine="540"/>
        <w:jc w:val="both"/>
      </w:pPr>
      <w:r>
        <w:rPr>
          <w:rFonts w:ascii="Arial" w:eastAsia="宋体" w:hAnsi="Arial" w:cs="Arial"/>
          <w:color w:val="000000"/>
          <w:sz w:val="20"/>
          <w:szCs w:val="20"/>
        </w:rPr>
        <w:t xml:space="preserve">We also use foreign exchange </w:t>
      </w:r>
      <w:r>
        <w:rPr>
          <w:rFonts w:ascii="Arial" w:eastAsia="宋体" w:hAnsi="Arial" w:cs="Arial"/>
          <w:color w:val="000000"/>
          <w:sz w:val="20"/>
          <w:szCs w:val="20"/>
        </w:rPr>
        <w:t>contracts to offset the foreign exchange risk on our assets and liabilities denominated in currencies other than the functional currency of our subsidiaries. These contracts reduce, but do not entirely eliminate, the impact of currency exchange rate moveme</w:t>
      </w:r>
      <w:r>
        <w:rPr>
          <w:rFonts w:ascii="Arial" w:eastAsia="宋体" w:hAnsi="Arial" w:cs="Arial"/>
          <w:color w:val="000000"/>
          <w:sz w:val="20"/>
          <w:szCs w:val="20"/>
        </w:rPr>
        <w:t>nts on our assets and liabilities. The foreign currency gains and losses on the assets and liabilities are recorded in interest and other, net, which are offset by the gains and losses on the foreign exchange contracts.</w:t>
      </w:r>
    </w:p>
    <w:p w14:paraId="7268FF79" w14:textId="77777777" w:rsidR="005F762A" w:rsidRDefault="005F762A">
      <w:pPr>
        <w:jc w:val="both"/>
      </w:pPr>
    </w:p>
    <w:p w14:paraId="7268FF7A" w14:textId="77777777" w:rsidR="005F762A" w:rsidRDefault="00D74111">
      <w:pPr>
        <w:ind w:firstLine="540"/>
        <w:jc w:val="both"/>
      </w:pPr>
      <w:r>
        <w:rPr>
          <w:rFonts w:ascii="Arial" w:eastAsia="宋体" w:hAnsi="Arial" w:cs="Arial"/>
          <w:color w:val="000000"/>
          <w:sz w:val="20"/>
          <w:szCs w:val="20"/>
        </w:rPr>
        <w:t xml:space="preserve">We considered the </w:t>
      </w:r>
      <w:r>
        <w:rPr>
          <w:rFonts w:ascii="Arial" w:eastAsia="宋体" w:hAnsi="Arial" w:cs="Arial"/>
          <w:color w:val="000000"/>
          <w:sz w:val="20"/>
          <w:szCs w:val="20"/>
        </w:rPr>
        <w:t>historical trends in currency exchange rates and determined that it was reasonably possible that adverse changes in exchange rates of 20% for all currencies could be experienced in the near term. These changes would have resulted in an adverse impact on in</w:t>
      </w:r>
      <w:r>
        <w:rPr>
          <w:rFonts w:ascii="Arial" w:eastAsia="宋体" w:hAnsi="Arial" w:cs="Arial"/>
          <w:color w:val="000000"/>
          <w:sz w:val="20"/>
          <w:szCs w:val="20"/>
        </w:rPr>
        <w:t>come before income taxes of approximately $25 million as of March 31, 2021 taking into consideration the offsetting effect of foreign exchange forwards in place as of March 31, 2021.</w:t>
      </w:r>
    </w:p>
    <w:p w14:paraId="7268FF7B" w14:textId="77777777" w:rsidR="005F762A" w:rsidRDefault="005F762A">
      <w:pPr>
        <w:ind w:firstLine="540"/>
        <w:jc w:val="both"/>
      </w:pPr>
    </w:p>
    <w:p w14:paraId="7268FF7C" w14:textId="77777777" w:rsidR="005F762A" w:rsidRDefault="005F762A">
      <w:pPr>
        <w:jc w:val="center"/>
      </w:pPr>
    </w:p>
    <w:p w14:paraId="7268FF7D" w14:textId="77777777" w:rsidR="005F762A" w:rsidRDefault="00D74111">
      <w:pPr>
        <w:jc w:val="center"/>
      </w:pPr>
      <w:r>
        <w:rPr>
          <w:rFonts w:ascii="Arial" w:eastAsia="宋体" w:hAnsi="Arial" w:cs="Arial"/>
          <w:color w:val="000000"/>
          <w:sz w:val="20"/>
          <w:szCs w:val="20"/>
        </w:rPr>
        <w:t>44</w:t>
      </w:r>
    </w:p>
    <w:p w14:paraId="7268FF7E" w14:textId="77777777" w:rsidR="005F762A" w:rsidRDefault="00D74111">
      <w:r>
        <w:pict w14:anchorId="7269016B">
          <v:rect id="_x0000_i1068" style="width:415.3pt;height:1.5pt" o:hralign="center" o:hrstd="t" o:hr="t" fillcolor="#a0a0a0" stroked="f"/>
        </w:pict>
      </w:r>
    </w:p>
    <w:p w14:paraId="7268FF7F" w14:textId="77777777" w:rsidR="005F762A" w:rsidRDefault="005F762A"/>
    <w:p w14:paraId="7268FF80" w14:textId="77777777" w:rsidR="005F762A" w:rsidRDefault="00D74111">
      <w:pPr>
        <w:ind w:hanging="1080"/>
      </w:pPr>
      <w:r>
        <w:rPr>
          <w:rFonts w:ascii="Arial" w:eastAsia="宋体" w:hAnsi="Arial" w:cs="Arial"/>
          <w:b/>
          <w:bCs/>
          <w:color w:val="000000"/>
          <w:sz w:val="20"/>
          <w:szCs w:val="20"/>
        </w:rPr>
        <w:t>Item 4:    Controls and Procedures</w:t>
      </w:r>
    </w:p>
    <w:p w14:paraId="7268FF81" w14:textId="77777777" w:rsidR="005F762A" w:rsidRDefault="005F762A">
      <w:pPr>
        <w:ind w:hanging="1080"/>
      </w:pPr>
    </w:p>
    <w:p w14:paraId="7268FF82" w14:textId="77777777" w:rsidR="005F762A" w:rsidRDefault="00D74111">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 xml:space="preserve">Evaluation of disclosure </w:t>
      </w:r>
      <w:r>
        <w:rPr>
          <w:rFonts w:ascii="Arial" w:eastAsia="宋体" w:hAnsi="Arial" w:cs="Arial"/>
          <w:i/>
          <w:iCs/>
          <w:color w:val="000000"/>
          <w:sz w:val="20"/>
          <w:szCs w:val="20"/>
        </w:rPr>
        <w:t>controls and procedures.</w:t>
      </w:r>
      <w:r>
        <w:rPr>
          <w:rFonts w:ascii="Arial" w:eastAsia="宋体" w:hAnsi="Arial" w:cs="Arial"/>
          <w:color w:val="000000"/>
          <w:sz w:val="20"/>
          <w:szCs w:val="20"/>
        </w:rPr>
        <w:t xml:space="preserve"> Based on the evaluation of our disclosure controls and procedures (as defined in Rules 13a-15(e) and 15d-15(e) under the Securities Exchange Act of 1934, as amended, or the Exchange Act) required by Exchange Act Rules 13a-15(b) or </w:t>
      </w:r>
      <w:r>
        <w:rPr>
          <w:rFonts w:ascii="Arial" w:eastAsia="宋体" w:hAnsi="Arial" w:cs="Arial"/>
          <w:color w:val="000000"/>
          <w:sz w:val="20"/>
          <w:szCs w:val="20"/>
        </w:rPr>
        <w:t>15d-15(b), our principal executive officer and our principal financial officer have concluded that our disclosure controls and procedures were effective as of March 31, 2021.</w:t>
      </w:r>
    </w:p>
    <w:p w14:paraId="7268FF83" w14:textId="77777777" w:rsidR="005F762A" w:rsidRDefault="005F762A">
      <w:pPr>
        <w:ind w:firstLine="495"/>
        <w:jc w:val="both"/>
      </w:pPr>
    </w:p>
    <w:p w14:paraId="7268FF84" w14:textId="77777777" w:rsidR="005F762A" w:rsidRDefault="00D74111">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xml:space="preserve"> There were no changes in our internal control </w:t>
      </w:r>
      <w:r>
        <w:rPr>
          <w:rFonts w:ascii="Arial" w:eastAsia="宋体" w:hAnsi="Arial" w:cs="Arial"/>
          <w:color w:val="000000"/>
          <w:sz w:val="20"/>
          <w:szCs w:val="20"/>
        </w:rPr>
        <w:t>over financial reporting as defined in Exchange Act Rules 13a-15(f) that occurred during our most recently completed fiscal quarter that have materially affected, or are reasonably likely to materially affect, our internal control over financial reporting.</w:t>
      </w:r>
      <w:r>
        <w:rPr>
          <w:rFonts w:ascii="Arial" w:eastAsia="宋体" w:hAnsi="Arial" w:cs="Arial"/>
          <w:color w:val="000000"/>
          <w:sz w:val="20"/>
          <w:szCs w:val="20"/>
        </w:rPr>
        <w:t xml:space="preserve"> </w:t>
      </w:r>
    </w:p>
    <w:p w14:paraId="7268FF85" w14:textId="77777777" w:rsidR="005F762A" w:rsidRDefault="005F762A">
      <w:pPr>
        <w:ind w:firstLine="540"/>
        <w:jc w:val="both"/>
      </w:pPr>
    </w:p>
    <w:p w14:paraId="7268FF86" w14:textId="77777777" w:rsidR="005F762A" w:rsidRDefault="005F762A">
      <w:pPr>
        <w:ind w:firstLine="540"/>
        <w:jc w:val="both"/>
      </w:pPr>
    </w:p>
    <w:p w14:paraId="7268FF87" w14:textId="77777777" w:rsidR="005F762A" w:rsidRDefault="005F762A">
      <w:pPr>
        <w:jc w:val="center"/>
      </w:pPr>
    </w:p>
    <w:p w14:paraId="7268FF88" w14:textId="77777777" w:rsidR="005F762A" w:rsidRDefault="00D74111">
      <w:pPr>
        <w:jc w:val="center"/>
      </w:pPr>
      <w:r>
        <w:rPr>
          <w:rFonts w:ascii="Arial" w:eastAsia="宋体" w:hAnsi="Arial" w:cs="Arial"/>
          <w:color w:val="000000"/>
          <w:sz w:val="20"/>
          <w:szCs w:val="20"/>
        </w:rPr>
        <w:t>45</w:t>
      </w:r>
    </w:p>
    <w:p w14:paraId="7268FF89" w14:textId="77777777" w:rsidR="005F762A" w:rsidRDefault="00D74111">
      <w:r>
        <w:pict w14:anchorId="7269016C">
          <v:rect id="_x0000_i1069" style="width:415.3pt;height:1.5pt" o:hralign="center" o:hrstd="t" o:hr="t" fillcolor="#a0a0a0" stroked="f"/>
        </w:pict>
      </w:r>
    </w:p>
    <w:p w14:paraId="7268FF8A" w14:textId="77777777" w:rsidR="005F762A" w:rsidRDefault="005F762A"/>
    <w:p w14:paraId="7268FF8B" w14:textId="77777777" w:rsidR="005F762A" w:rsidRDefault="005F762A">
      <w:pPr>
        <w:jc w:val="center"/>
      </w:pPr>
    </w:p>
    <w:p w14:paraId="7268FF8C" w14:textId="77777777" w:rsidR="005F762A" w:rsidRDefault="00D74111">
      <w:pPr>
        <w:jc w:val="center"/>
      </w:pPr>
      <w:r>
        <w:rPr>
          <w:rFonts w:ascii="Arial" w:eastAsia="宋体" w:hAnsi="Arial" w:cs="Arial"/>
          <w:b/>
          <w:bCs/>
          <w:color w:val="000000"/>
          <w:sz w:val="20"/>
          <w:szCs w:val="20"/>
        </w:rPr>
        <w:t>PART II: OTHER INFORMATION</w:t>
      </w:r>
    </w:p>
    <w:p w14:paraId="7268FF8D" w14:textId="77777777" w:rsidR="005F762A" w:rsidRDefault="005F762A">
      <w:pPr>
        <w:jc w:val="center"/>
      </w:pPr>
    </w:p>
    <w:p w14:paraId="7268FF8E" w14:textId="77777777" w:rsidR="005F762A" w:rsidRDefault="00D74111">
      <w:pPr>
        <w:ind w:hanging="1080"/>
      </w:pPr>
      <w:r>
        <w:rPr>
          <w:rFonts w:ascii="Arial" w:eastAsia="宋体" w:hAnsi="Arial" w:cs="Arial"/>
          <w:b/>
          <w:bCs/>
          <w:color w:val="000000"/>
          <w:sz w:val="20"/>
          <w:szCs w:val="20"/>
        </w:rPr>
        <w:t>Item 1:    Legal Proceedings</w:t>
      </w:r>
    </w:p>
    <w:p w14:paraId="7268FF8F" w14:textId="77777777" w:rsidR="005F762A" w:rsidRDefault="005F762A">
      <w:pPr>
        <w:ind w:hanging="1080"/>
      </w:pPr>
    </w:p>
    <w:p w14:paraId="7268FF90" w14:textId="77777777" w:rsidR="005F762A" w:rsidRDefault="00D74111">
      <w:pPr>
        <w:ind w:firstLine="450"/>
        <w:jc w:val="both"/>
      </w:pPr>
      <w:r>
        <w:rPr>
          <w:rFonts w:ascii="Arial" w:eastAsia="宋体" w:hAnsi="Arial" w:cs="Arial"/>
          <w:color w:val="000000"/>
          <w:sz w:val="20"/>
          <w:szCs w:val="20"/>
        </w:rPr>
        <w:t xml:space="preserve">The information set forth under “Note 11 – Commitments and Contingencies – Litigation and Other Legal Matters” to the condensed consolidated financial statements included in Part I, </w:t>
      </w:r>
      <w:r>
        <w:rPr>
          <w:rFonts w:ascii="Arial" w:eastAsia="宋体" w:hAnsi="Arial" w:cs="Arial"/>
          <w:color w:val="000000"/>
          <w:sz w:val="20"/>
          <w:szCs w:val="20"/>
        </w:rPr>
        <w:t>Item 1 of this Quarterly Report on Form 10-Q is incorporated herein by reference.</w:t>
      </w:r>
    </w:p>
    <w:p w14:paraId="7268FF91" w14:textId="77777777" w:rsidR="005F762A" w:rsidRDefault="005F762A"/>
    <w:p w14:paraId="7268FF92" w14:textId="77777777" w:rsidR="005F762A" w:rsidRDefault="00D74111">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7268FF93" w14:textId="77777777" w:rsidR="005F762A" w:rsidRDefault="005F762A">
      <w:pPr>
        <w:ind w:hanging="1080"/>
        <w:jc w:val="both"/>
      </w:pPr>
    </w:p>
    <w:p w14:paraId="7268FF94" w14:textId="77777777" w:rsidR="005F762A" w:rsidRDefault="00D74111">
      <w:pPr>
        <w:ind w:firstLine="180"/>
        <w:jc w:val="both"/>
      </w:pPr>
      <w:r>
        <w:rPr>
          <w:rFonts w:ascii="Arial" w:eastAsia="宋体" w:hAnsi="Arial" w:cs="Arial"/>
          <w:b/>
          <w:bCs/>
          <w:i/>
          <w:iCs/>
          <w:color w:val="000000"/>
          <w:sz w:val="20"/>
          <w:szCs w:val="20"/>
          <w:u w:val="single"/>
        </w:rPr>
        <w:t>Risk Factors:</w:t>
      </w:r>
    </w:p>
    <w:p w14:paraId="7268FF95" w14:textId="77777777" w:rsidR="005F762A" w:rsidRDefault="005F762A">
      <w:pPr>
        <w:ind w:firstLine="450"/>
        <w:jc w:val="both"/>
      </w:pPr>
    </w:p>
    <w:p w14:paraId="7268FF96" w14:textId="77777777" w:rsidR="005F762A" w:rsidRDefault="00D74111">
      <w:pPr>
        <w:ind w:firstLine="450"/>
        <w:jc w:val="both"/>
      </w:pPr>
      <w:r>
        <w:rPr>
          <w:rFonts w:ascii="Arial" w:eastAsia="宋体" w:hAnsi="Arial" w:cs="Arial"/>
          <w:color w:val="000000"/>
          <w:sz w:val="20"/>
          <w:szCs w:val="20"/>
        </w:rPr>
        <w:t>We are subject to various risks and uncertainties that may affect our business, results of operations and financial condition including not limited to, those described in Part I, Item 1A, Risk Factors in our Annual Report on Form 10-K for the year ended De</w:t>
      </w:r>
      <w:r>
        <w:rPr>
          <w:rFonts w:ascii="Arial" w:eastAsia="宋体" w:hAnsi="Arial" w:cs="Arial"/>
          <w:color w:val="000000"/>
          <w:sz w:val="20"/>
          <w:szCs w:val="20"/>
        </w:rPr>
        <w:t>cember 31, 2020 (“2020 Form 10-K”). Current global economic events and conditions may amplify many of these risks. These risks are not the only risks that may affect us. Additional risks that we are not aware of or do not believe are material at the time o</w:t>
      </w:r>
      <w:r>
        <w:rPr>
          <w:rFonts w:ascii="Arial" w:eastAsia="宋体" w:hAnsi="Arial" w:cs="Arial"/>
          <w:color w:val="000000"/>
          <w:sz w:val="20"/>
          <w:szCs w:val="20"/>
        </w:rPr>
        <w:t xml:space="preserve">f this filing may also become important factors that adversely affect our business. There have been no material changes to the Company’s risk factors since the 2020 Form 10-K. </w:t>
      </w:r>
    </w:p>
    <w:p w14:paraId="7268FF97" w14:textId="77777777" w:rsidR="005F762A" w:rsidRDefault="005F762A">
      <w:pPr>
        <w:ind w:firstLine="450"/>
        <w:jc w:val="both"/>
      </w:pPr>
    </w:p>
    <w:p w14:paraId="7268FF98" w14:textId="77777777" w:rsidR="005F762A" w:rsidRDefault="005F762A">
      <w:pPr>
        <w:jc w:val="center"/>
      </w:pPr>
    </w:p>
    <w:p w14:paraId="7268FF99" w14:textId="77777777" w:rsidR="005F762A" w:rsidRDefault="00D74111">
      <w:pPr>
        <w:jc w:val="center"/>
      </w:pPr>
      <w:r>
        <w:rPr>
          <w:rFonts w:ascii="Arial" w:eastAsia="宋体" w:hAnsi="Arial" w:cs="Arial"/>
          <w:color w:val="000000"/>
          <w:sz w:val="20"/>
          <w:szCs w:val="20"/>
        </w:rPr>
        <w:t>46</w:t>
      </w:r>
    </w:p>
    <w:p w14:paraId="7268FF9A" w14:textId="77777777" w:rsidR="005F762A" w:rsidRDefault="00D74111">
      <w:r>
        <w:pict w14:anchorId="7269016D">
          <v:rect id="_x0000_i1070" style="width:415.3pt;height:1.5pt" o:hralign="center" o:hrstd="t" o:hr="t" fillcolor="#a0a0a0" stroked="f"/>
        </w:pict>
      </w:r>
    </w:p>
    <w:p w14:paraId="7268FF9B" w14:textId="77777777" w:rsidR="005F762A" w:rsidRDefault="005F762A"/>
    <w:p w14:paraId="7268FF9C" w14:textId="77777777" w:rsidR="005F762A" w:rsidRDefault="00D74111">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7268FF9D" w14:textId="77777777" w:rsidR="005F762A" w:rsidRDefault="005F762A">
      <w:pPr>
        <w:ind w:firstLine="540"/>
      </w:pPr>
    </w:p>
    <w:p w14:paraId="7268FF9E" w14:textId="77777777" w:rsidR="005F762A" w:rsidRDefault="00D74111">
      <w:pPr>
        <w:ind w:firstLine="450"/>
      </w:pPr>
      <w:r>
        <w:rPr>
          <w:rFonts w:ascii="Arial" w:eastAsia="宋体" w:hAnsi="Arial" w:cs="Arial"/>
          <w:color w:val="000000"/>
          <w:sz w:val="20"/>
          <w:szCs w:val="20"/>
        </w:rPr>
        <w:t>Stock repurchase activity during the three months ended March 31, 2021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758"/>
        <w:gridCol w:w="38"/>
        <w:gridCol w:w="36"/>
        <w:gridCol w:w="36"/>
        <w:gridCol w:w="36"/>
        <w:gridCol w:w="59"/>
        <w:gridCol w:w="1011"/>
        <w:gridCol w:w="36"/>
        <w:gridCol w:w="36"/>
        <w:gridCol w:w="173"/>
        <w:gridCol w:w="36"/>
        <w:gridCol w:w="115"/>
        <w:gridCol w:w="1052"/>
        <w:gridCol w:w="36"/>
        <w:gridCol w:w="44"/>
        <w:gridCol w:w="124"/>
        <w:gridCol w:w="36"/>
        <w:gridCol w:w="36"/>
        <w:gridCol w:w="36"/>
        <w:gridCol w:w="36"/>
        <w:gridCol w:w="58"/>
        <w:gridCol w:w="1036"/>
        <w:gridCol w:w="36"/>
        <w:gridCol w:w="36"/>
        <w:gridCol w:w="36"/>
        <w:gridCol w:w="36"/>
        <w:gridCol w:w="115"/>
        <w:gridCol w:w="1135"/>
        <w:gridCol w:w="36"/>
      </w:tblGrid>
      <w:tr w:rsidR="005F762A" w14:paraId="7268FFBD" w14:textId="77777777">
        <w:trPr>
          <w:jc w:val="center"/>
        </w:trPr>
        <w:tc>
          <w:tcPr>
            <w:tcW w:w="50" w:type="pct"/>
            <w:shd w:val="clear" w:color="auto" w:fill="auto"/>
          </w:tcPr>
          <w:p w14:paraId="7268FF9F" w14:textId="77777777" w:rsidR="005F762A" w:rsidRDefault="005F762A">
            <w:pPr>
              <w:rPr>
                <w:rFonts w:ascii="宋体"/>
              </w:rPr>
            </w:pPr>
          </w:p>
        </w:tc>
        <w:tc>
          <w:tcPr>
            <w:tcW w:w="1677" w:type="pct"/>
            <w:shd w:val="clear" w:color="auto" w:fill="auto"/>
          </w:tcPr>
          <w:p w14:paraId="7268FFA0" w14:textId="77777777" w:rsidR="005F762A" w:rsidRDefault="005F762A">
            <w:pPr>
              <w:rPr>
                <w:rFonts w:ascii="宋体"/>
              </w:rPr>
            </w:pPr>
          </w:p>
        </w:tc>
        <w:tc>
          <w:tcPr>
            <w:tcW w:w="5" w:type="pct"/>
            <w:shd w:val="clear" w:color="auto" w:fill="auto"/>
          </w:tcPr>
          <w:p w14:paraId="7268FFA1" w14:textId="77777777" w:rsidR="005F762A" w:rsidRDefault="005F762A">
            <w:pPr>
              <w:rPr>
                <w:rFonts w:ascii="宋体"/>
              </w:rPr>
            </w:pPr>
          </w:p>
        </w:tc>
        <w:tc>
          <w:tcPr>
            <w:tcW w:w="5" w:type="pct"/>
            <w:shd w:val="clear" w:color="auto" w:fill="auto"/>
          </w:tcPr>
          <w:p w14:paraId="7268FFA2" w14:textId="77777777" w:rsidR="005F762A" w:rsidRDefault="005F762A">
            <w:pPr>
              <w:rPr>
                <w:rFonts w:ascii="宋体"/>
              </w:rPr>
            </w:pPr>
          </w:p>
        </w:tc>
        <w:tc>
          <w:tcPr>
            <w:tcW w:w="26" w:type="pct"/>
            <w:shd w:val="clear" w:color="auto" w:fill="auto"/>
          </w:tcPr>
          <w:p w14:paraId="7268FFA3" w14:textId="77777777" w:rsidR="005F762A" w:rsidRDefault="005F762A">
            <w:pPr>
              <w:rPr>
                <w:rFonts w:ascii="宋体"/>
              </w:rPr>
            </w:pPr>
          </w:p>
        </w:tc>
        <w:tc>
          <w:tcPr>
            <w:tcW w:w="5" w:type="pct"/>
            <w:shd w:val="clear" w:color="auto" w:fill="auto"/>
          </w:tcPr>
          <w:p w14:paraId="7268FFA4" w14:textId="77777777" w:rsidR="005F762A" w:rsidRDefault="005F762A">
            <w:pPr>
              <w:rPr>
                <w:rFonts w:ascii="宋体"/>
              </w:rPr>
            </w:pPr>
          </w:p>
        </w:tc>
        <w:tc>
          <w:tcPr>
            <w:tcW w:w="50" w:type="pct"/>
            <w:shd w:val="clear" w:color="auto" w:fill="auto"/>
          </w:tcPr>
          <w:p w14:paraId="7268FFA5" w14:textId="77777777" w:rsidR="005F762A" w:rsidRDefault="005F762A">
            <w:pPr>
              <w:rPr>
                <w:rFonts w:ascii="宋体"/>
              </w:rPr>
            </w:pPr>
          </w:p>
        </w:tc>
        <w:tc>
          <w:tcPr>
            <w:tcW w:w="654" w:type="pct"/>
            <w:shd w:val="clear" w:color="auto" w:fill="auto"/>
          </w:tcPr>
          <w:p w14:paraId="7268FFA6" w14:textId="77777777" w:rsidR="005F762A" w:rsidRDefault="005F762A">
            <w:pPr>
              <w:rPr>
                <w:rFonts w:ascii="宋体"/>
              </w:rPr>
            </w:pPr>
          </w:p>
        </w:tc>
        <w:tc>
          <w:tcPr>
            <w:tcW w:w="5" w:type="pct"/>
            <w:shd w:val="clear" w:color="auto" w:fill="auto"/>
          </w:tcPr>
          <w:p w14:paraId="7268FFA7" w14:textId="77777777" w:rsidR="005F762A" w:rsidRDefault="005F762A">
            <w:pPr>
              <w:rPr>
                <w:rFonts w:ascii="宋体"/>
              </w:rPr>
            </w:pPr>
          </w:p>
        </w:tc>
        <w:tc>
          <w:tcPr>
            <w:tcW w:w="5" w:type="pct"/>
            <w:shd w:val="clear" w:color="auto" w:fill="auto"/>
          </w:tcPr>
          <w:p w14:paraId="7268FFA8" w14:textId="77777777" w:rsidR="005F762A" w:rsidRDefault="005F762A">
            <w:pPr>
              <w:rPr>
                <w:rFonts w:ascii="宋体"/>
              </w:rPr>
            </w:pPr>
          </w:p>
        </w:tc>
        <w:tc>
          <w:tcPr>
            <w:tcW w:w="128" w:type="pct"/>
            <w:shd w:val="clear" w:color="auto" w:fill="auto"/>
          </w:tcPr>
          <w:p w14:paraId="7268FFA9" w14:textId="77777777" w:rsidR="005F762A" w:rsidRDefault="005F762A">
            <w:pPr>
              <w:rPr>
                <w:rFonts w:ascii="宋体"/>
              </w:rPr>
            </w:pPr>
          </w:p>
        </w:tc>
        <w:tc>
          <w:tcPr>
            <w:tcW w:w="5" w:type="pct"/>
            <w:shd w:val="clear" w:color="auto" w:fill="auto"/>
          </w:tcPr>
          <w:p w14:paraId="7268FFAA" w14:textId="77777777" w:rsidR="005F762A" w:rsidRDefault="005F762A">
            <w:pPr>
              <w:rPr>
                <w:rFonts w:ascii="宋体"/>
              </w:rPr>
            </w:pPr>
          </w:p>
        </w:tc>
        <w:tc>
          <w:tcPr>
            <w:tcW w:w="50" w:type="pct"/>
            <w:shd w:val="clear" w:color="auto" w:fill="auto"/>
          </w:tcPr>
          <w:p w14:paraId="7268FFAB" w14:textId="77777777" w:rsidR="005F762A" w:rsidRDefault="005F762A">
            <w:pPr>
              <w:rPr>
                <w:rFonts w:ascii="宋体"/>
              </w:rPr>
            </w:pPr>
          </w:p>
        </w:tc>
        <w:tc>
          <w:tcPr>
            <w:tcW w:w="654" w:type="pct"/>
            <w:shd w:val="clear" w:color="auto" w:fill="auto"/>
          </w:tcPr>
          <w:p w14:paraId="7268FFAC" w14:textId="77777777" w:rsidR="005F762A" w:rsidRDefault="005F762A">
            <w:pPr>
              <w:rPr>
                <w:rFonts w:ascii="宋体"/>
              </w:rPr>
            </w:pPr>
          </w:p>
        </w:tc>
        <w:tc>
          <w:tcPr>
            <w:tcW w:w="5" w:type="pct"/>
            <w:shd w:val="clear" w:color="auto" w:fill="auto"/>
          </w:tcPr>
          <w:p w14:paraId="7268FFAD" w14:textId="77777777" w:rsidR="005F762A" w:rsidRDefault="005F762A">
            <w:pPr>
              <w:rPr>
                <w:rFonts w:ascii="宋体"/>
              </w:rPr>
            </w:pPr>
          </w:p>
        </w:tc>
        <w:tc>
          <w:tcPr>
            <w:tcW w:w="50" w:type="pct"/>
            <w:shd w:val="clear" w:color="auto" w:fill="auto"/>
          </w:tcPr>
          <w:p w14:paraId="7268FFAE" w14:textId="77777777" w:rsidR="005F762A" w:rsidRDefault="005F762A">
            <w:pPr>
              <w:rPr>
                <w:rFonts w:ascii="宋体"/>
              </w:rPr>
            </w:pPr>
          </w:p>
        </w:tc>
        <w:tc>
          <w:tcPr>
            <w:tcW w:w="98" w:type="pct"/>
            <w:shd w:val="clear" w:color="auto" w:fill="auto"/>
          </w:tcPr>
          <w:p w14:paraId="7268FFAF" w14:textId="77777777" w:rsidR="005F762A" w:rsidRDefault="005F762A">
            <w:pPr>
              <w:rPr>
                <w:rFonts w:ascii="宋体"/>
              </w:rPr>
            </w:pPr>
          </w:p>
        </w:tc>
        <w:tc>
          <w:tcPr>
            <w:tcW w:w="5" w:type="pct"/>
            <w:shd w:val="clear" w:color="auto" w:fill="auto"/>
          </w:tcPr>
          <w:p w14:paraId="7268FFB0" w14:textId="77777777" w:rsidR="005F762A" w:rsidRDefault="005F762A">
            <w:pPr>
              <w:rPr>
                <w:rFonts w:ascii="宋体"/>
              </w:rPr>
            </w:pPr>
          </w:p>
        </w:tc>
        <w:tc>
          <w:tcPr>
            <w:tcW w:w="5" w:type="pct"/>
            <w:shd w:val="clear" w:color="auto" w:fill="auto"/>
          </w:tcPr>
          <w:p w14:paraId="7268FFB1" w14:textId="77777777" w:rsidR="005F762A" w:rsidRDefault="005F762A">
            <w:pPr>
              <w:rPr>
                <w:rFonts w:ascii="宋体"/>
              </w:rPr>
            </w:pPr>
          </w:p>
        </w:tc>
        <w:tc>
          <w:tcPr>
            <w:tcW w:w="26" w:type="pct"/>
            <w:shd w:val="clear" w:color="auto" w:fill="auto"/>
          </w:tcPr>
          <w:p w14:paraId="7268FFB2" w14:textId="77777777" w:rsidR="005F762A" w:rsidRDefault="005F762A">
            <w:pPr>
              <w:rPr>
                <w:rFonts w:ascii="宋体"/>
              </w:rPr>
            </w:pPr>
          </w:p>
        </w:tc>
        <w:tc>
          <w:tcPr>
            <w:tcW w:w="5" w:type="pct"/>
            <w:shd w:val="clear" w:color="auto" w:fill="auto"/>
          </w:tcPr>
          <w:p w14:paraId="7268FFB3" w14:textId="77777777" w:rsidR="005F762A" w:rsidRDefault="005F762A">
            <w:pPr>
              <w:rPr>
                <w:rFonts w:ascii="宋体"/>
              </w:rPr>
            </w:pPr>
          </w:p>
        </w:tc>
        <w:tc>
          <w:tcPr>
            <w:tcW w:w="50" w:type="pct"/>
            <w:shd w:val="clear" w:color="auto" w:fill="auto"/>
          </w:tcPr>
          <w:p w14:paraId="7268FFB4" w14:textId="77777777" w:rsidR="005F762A" w:rsidRDefault="005F762A">
            <w:pPr>
              <w:rPr>
                <w:rFonts w:ascii="宋体"/>
              </w:rPr>
            </w:pPr>
          </w:p>
        </w:tc>
        <w:tc>
          <w:tcPr>
            <w:tcW w:w="668" w:type="pct"/>
            <w:shd w:val="clear" w:color="auto" w:fill="auto"/>
          </w:tcPr>
          <w:p w14:paraId="7268FFB5" w14:textId="77777777" w:rsidR="005F762A" w:rsidRDefault="005F762A">
            <w:pPr>
              <w:rPr>
                <w:rFonts w:ascii="宋体"/>
              </w:rPr>
            </w:pPr>
          </w:p>
        </w:tc>
        <w:tc>
          <w:tcPr>
            <w:tcW w:w="5" w:type="pct"/>
            <w:shd w:val="clear" w:color="auto" w:fill="auto"/>
          </w:tcPr>
          <w:p w14:paraId="7268FFB6" w14:textId="77777777" w:rsidR="005F762A" w:rsidRDefault="005F762A">
            <w:pPr>
              <w:rPr>
                <w:rFonts w:ascii="宋体"/>
              </w:rPr>
            </w:pPr>
          </w:p>
        </w:tc>
        <w:tc>
          <w:tcPr>
            <w:tcW w:w="5" w:type="pct"/>
            <w:shd w:val="clear" w:color="auto" w:fill="auto"/>
          </w:tcPr>
          <w:p w14:paraId="7268FFB7" w14:textId="77777777" w:rsidR="005F762A" w:rsidRDefault="005F762A">
            <w:pPr>
              <w:rPr>
                <w:rFonts w:ascii="宋体"/>
              </w:rPr>
            </w:pPr>
          </w:p>
        </w:tc>
        <w:tc>
          <w:tcPr>
            <w:tcW w:w="26" w:type="pct"/>
            <w:shd w:val="clear" w:color="auto" w:fill="auto"/>
          </w:tcPr>
          <w:p w14:paraId="7268FFB8" w14:textId="77777777" w:rsidR="005F762A" w:rsidRDefault="005F762A">
            <w:pPr>
              <w:rPr>
                <w:rFonts w:ascii="宋体"/>
              </w:rPr>
            </w:pPr>
          </w:p>
        </w:tc>
        <w:tc>
          <w:tcPr>
            <w:tcW w:w="5" w:type="pct"/>
            <w:shd w:val="clear" w:color="auto" w:fill="auto"/>
          </w:tcPr>
          <w:p w14:paraId="7268FFB9" w14:textId="77777777" w:rsidR="005F762A" w:rsidRDefault="005F762A">
            <w:pPr>
              <w:rPr>
                <w:rFonts w:ascii="宋体"/>
              </w:rPr>
            </w:pPr>
          </w:p>
        </w:tc>
        <w:tc>
          <w:tcPr>
            <w:tcW w:w="50" w:type="pct"/>
            <w:shd w:val="clear" w:color="auto" w:fill="auto"/>
          </w:tcPr>
          <w:p w14:paraId="7268FFBA" w14:textId="77777777" w:rsidR="005F762A" w:rsidRDefault="005F762A">
            <w:pPr>
              <w:rPr>
                <w:rFonts w:ascii="宋体"/>
              </w:rPr>
            </w:pPr>
          </w:p>
        </w:tc>
        <w:tc>
          <w:tcPr>
            <w:tcW w:w="668" w:type="pct"/>
            <w:shd w:val="clear" w:color="auto" w:fill="auto"/>
          </w:tcPr>
          <w:p w14:paraId="7268FFBB" w14:textId="77777777" w:rsidR="005F762A" w:rsidRDefault="005F762A">
            <w:pPr>
              <w:rPr>
                <w:rFonts w:ascii="宋体"/>
              </w:rPr>
            </w:pPr>
          </w:p>
        </w:tc>
        <w:tc>
          <w:tcPr>
            <w:tcW w:w="5" w:type="pct"/>
            <w:shd w:val="clear" w:color="auto" w:fill="auto"/>
          </w:tcPr>
          <w:p w14:paraId="7268FFBC" w14:textId="77777777" w:rsidR="005F762A" w:rsidRDefault="005F762A">
            <w:pPr>
              <w:rPr>
                <w:rFonts w:ascii="宋体"/>
              </w:rPr>
            </w:pPr>
          </w:p>
        </w:tc>
      </w:tr>
      <w:tr w:rsidR="005F762A" w14:paraId="7268FFD2" w14:textId="77777777">
        <w:trPr>
          <w:jc w:val="center"/>
        </w:trPr>
        <w:tc>
          <w:tcPr>
            <w:tcW w:w="0" w:type="auto"/>
            <w:gridSpan w:val="3"/>
            <w:shd w:val="clear" w:color="auto" w:fill="auto"/>
            <w:tcMar>
              <w:top w:w="40" w:type="dxa"/>
              <w:left w:w="20" w:type="dxa"/>
              <w:bottom w:w="40" w:type="dxa"/>
              <w:right w:w="20" w:type="dxa"/>
            </w:tcMar>
            <w:vAlign w:val="bottom"/>
          </w:tcPr>
          <w:p w14:paraId="7268FFBE" w14:textId="77777777" w:rsidR="005F762A" w:rsidRDefault="00D74111">
            <w:pPr>
              <w:textAlignment w:val="bottom"/>
            </w:pPr>
            <w:r>
              <w:rPr>
                <w:rFonts w:ascii="Arial" w:eastAsia="宋体" w:hAnsi="Arial" w:cs="Arial"/>
                <w:b/>
                <w:bCs/>
                <w:color w:val="000000"/>
                <w:sz w:val="14"/>
                <w:szCs w:val="14"/>
              </w:rPr>
              <w:t>Period Ended</w:t>
            </w:r>
          </w:p>
        </w:tc>
        <w:tc>
          <w:tcPr>
            <w:tcW w:w="0" w:type="auto"/>
            <w:gridSpan w:val="3"/>
            <w:shd w:val="clear" w:color="auto" w:fill="auto"/>
            <w:tcMar>
              <w:top w:w="0" w:type="dxa"/>
              <w:left w:w="20" w:type="dxa"/>
              <w:bottom w:w="0" w:type="dxa"/>
              <w:right w:w="20" w:type="dxa"/>
            </w:tcMar>
          </w:tcPr>
          <w:p w14:paraId="7268FFBF"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FC0" w14:textId="77777777" w:rsidR="005F762A" w:rsidRDefault="00D74111">
            <w:pPr>
              <w:jc w:val="center"/>
              <w:textAlignment w:val="bottom"/>
            </w:pPr>
            <w:r>
              <w:rPr>
                <w:rFonts w:ascii="Arial" w:eastAsia="宋体" w:hAnsi="Arial" w:cs="Arial"/>
                <w:b/>
                <w:bCs/>
                <w:color w:val="000000"/>
                <w:sz w:val="14"/>
                <w:szCs w:val="14"/>
              </w:rPr>
              <w:t>Total Number of</w:t>
            </w:r>
          </w:p>
          <w:p w14:paraId="7268FFC1" w14:textId="77777777" w:rsidR="005F762A" w:rsidRDefault="00D74111">
            <w:pPr>
              <w:jc w:val="center"/>
              <w:textAlignment w:val="bottom"/>
            </w:pPr>
            <w:r>
              <w:rPr>
                <w:rFonts w:ascii="Arial" w:eastAsia="宋体" w:hAnsi="Arial" w:cs="Arial"/>
                <w:b/>
                <w:bCs/>
                <w:color w:val="000000"/>
                <w:sz w:val="14"/>
                <w:szCs w:val="14"/>
              </w:rPr>
              <w:t>Shares</w:t>
            </w:r>
          </w:p>
          <w:p w14:paraId="7268FFC2" w14:textId="77777777" w:rsidR="005F762A" w:rsidRDefault="00D74111">
            <w:pPr>
              <w:jc w:val="center"/>
              <w:textAlignment w:val="bottom"/>
            </w:pPr>
            <w:r>
              <w:rPr>
                <w:rFonts w:ascii="Arial" w:eastAsia="宋体" w:hAnsi="Arial" w:cs="Arial"/>
                <w:b/>
                <w:bCs/>
                <w:color w:val="000000"/>
                <w:sz w:val="14"/>
                <w:szCs w:val="14"/>
              </w:rPr>
              <w:t>Purchased</w:t>
            </w:r>
          </w:p>
        </w:tc>
        <w:tc>
          <w:tcPr>
            <w:tcW w:w="0" w:type="auto"/>
            <w:gridSpan w:val="3"/>
            <w:shd w:val="clear" w:color="auto" w:fill="auto"/>
            <w:tcMar>
              <w:top w:w="0" w:type="dxa"/>
              <w:left w:w="20" w:type="dxa"/>
              <w:bottom w:w="0" w:type="dxa"/>
              <w:right w:w="20" w:type="dxa"/>
            </w:tcMar>
          </w:tcPr>
          <w:p w14:paraId="7268FFC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FC4" w14:textId="77777777" w:rsidR="005F762A" w:rsidRDefault="00D74111">
            <w:pPr>
              <w:jc w:val="center"/>
              <w:textAlignment w:val="bottom"/>
            </w:pPr>
            <w:r>
              <w:rPr>
                <w:rFonts w:ascii="Arial" w:eastAsia="宋体" w:hAnsi="Arial" w:cs="Arial"/>
                <w:b/>
                <w:bCs/>
                <w:color w:val="000000"/>
                <w:sz w:val="14"/>
                <w:szCs w:val="14"/>
              </w:rPr>
              <w:t>Average Price Paid</w:t>
            </w:r>
          </w:p>
          <w:p w14:paraId="7268FFC5" w14:textId="77777777" w:rsidR="005F762A" w:rsidRDefault="00D74111">
            <w:pPr>
              <w:jc w:val="center"/>
              <w:textAlignment w:val="bottom"/>
            </w:pPr>
            <w:r>
              <w:rPr>
                <w:rFonts w:ascii="Arial" w:eastAsia="宋体" w:hAnsi="Arial" w:cs="Arial"/>
                <w:b/>
                <w:bCs/>
                <w:color w:val="000000"/>
                <w:sz w:val="14"/>
                <w:szCs w:val="14"/>
              </w:rPr>
              <w:t xml:space="preserve">per Share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tcPr>
          <w:p w14:paraId="7268FFC6"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8FFC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FC8" w14:textId="77777777" w:rsidR="005F762A" w:rsidRDefault="00D74111">
            <w:pPr>
              <w:jc w:val="center"/>
              <w:textAlignment w:val="bottom"/>
            </w:pPr>
            <w:r>
              <w:rPr>
                <w:rFonts w:ascii="Arial" w:eastAsia="宋体" w:hAnsi="Arial" w:cs="Arial"/>
                <w:b/>
                <w:bCs/>
                <w:color w:val="000000"/>
                <w:sz w:val="14"/>
                <w:szCs w:val="14"/>
              </w:rPr>
              <w:t>Total Number of</w:t>
            </w:r>
          </w:p>
          <w:p w14:paraId="7268FFC9" w14:textId="77777777" w:rsidR="005F762A" w:rsidRDefault="00D74111">
            <w:pPr>
              <w:jc w:val="center"/>
              <w:textAlignment w:val="bottom"/>
            </w:pPr>
            <w:r>
              <w:rPr>
                <w:rFonts w:ascii="Arial" w:eastAsia="宋体" w:hAnsi="Arial" w:cs="Arial"/>
                <w:b/>
                <w:bCs/>
                <w:color w:val="000000"/>
                <w:sz w:val="14"/>
                <w:szCs w:val="14"/>
              </w:rPr>
              <w:t>Shares Purchased</w:t>
            </w:r>
          </w:p>
          <w:p w14:paraId="7268FFCA" w14:textId="77777777" w:rsidR="005F762A" w:rsidRDefault="00D74111">
            <w:pPr>
              <w:jc w:val="center"/>
              <w:textAlignment w:val="bottom"/>
            </w:pPr>
            <w:r>
              <w:rPr>
                <w:rFonts w:ascii="Arial" w:eastAsia="宋体" w:hAnsi="Arial" w:cs="Arial"/>
                <w:b/>
                <w:bCs/>
                <w:color w:val="000000"/>
                <w:sz w:val="14"/>
                <w:szCs w:val="14"/>
              </w:rPr>
              <w:t>as Part of Publicly</w:t>
            </w:r>
          </w:p>
          <w:p w14:paraId="7268FFCB" w14:textId="77777777" w:rsidR="005F762A" w:rsidRDefault="00D74111">
            <w:pPr>
              <w:jc w:val="center"/>
              <w:textAlignment w:val="bottom"/>
            </w:pPr>
            <w:r>
              <w:rPr>
                <w:rFonts w:ascii="Arial" w:eastAsia="宋体" w:hAnsi="Arial" w:cs="Arial"/>
                <w:b/>
                <w:bCs/>
                <w:color w:val="000000"/>
                <w:sz w:val="14"/>
                <w:szCs w:val="14"/>
              </w:rPr>
              <w:t>Announced</w:t>
            </w:r>
          </w:p>
          <w:p w14:paraId="7268FFCC" w14:textId="77777777" w:rsidR="005F762A" w:rsidRDefault="00D74111">
            <w:pPr>
              <w:jc w:val="center"/>
              <w:textAlignment w:val="bottom"/>
            </w:pPr>
            <w:r>
              <w:rPr>
                <w:rFonts w:ascii="Arial" w:eastAsia="宋体" w:hAnsi="Arial" w:cs="Arial"/>
                <w:b/>
                <w:bCs/>
                <w:color w:val="000000"/>
                <w:sz w:val="14"/>
                <w:szCs w:val="14"/>
              </w:rPr>
              <w:t>Programs</w:t>
            </w:r>
          </w:p>
        </w:tc>
        <w:tc>
          <w:tcPr>
            <w:tcW w:w="0" w:type="auto"/>
            <w:gridSpan w:val="3"/>
            <w:shd w:val="clear" w:color="auto" w:fill="auto"/>
            <w:tcMar>
              <w:top w:w="0" w:type="dxa"/>
              <w:left w:w="20" w:type="dxa"/>
              <w:bottom w:w="0" w:type="dxa"/>
              <w:right w:w="20" w:type="dxa"/>
            </w:tcMar>
          </w:tcPr>
          <w:p w14:paraId="7268FFC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8FFCE" w14:textId="77777777" w:rsidR="005F762A" w:rsidRDefault="00D74111">
            <w:pPr>
              <w:jc w:val="center"/>
              <w:textAlignment w:val="bottom"/>
            </w:pPr>
            <w:r>
              <w:rPr>
                <w:rFonts w:ascii="Arial" w:eastAsia="宋体" w:hAnsi="Arial" w:cs="Arial"/>
                <w:b/>
                <w:bCs/>
                <w:color w:val="000000"/>
                <w:sz w:val="14"/>
                <w:szCs w:val="14"/>
              </w:rPr>
              <w:t>Maximum Dollar</w:t>
            </w:r>
          </w:p>
          <w:p w14:paraId="7268FFCF" w14:textId="77777777" w:rsidR="005F762A" w:rsidRDefault="00D74111">
            <w:pPr>
              <w:jc w:val="center"/>
              <w:textAlignment w:val="bottom"/>
            </w:pPr>
            <w:r>
              <w:rPr>
                <w:rFonts w:ascii="Arial" w:eastAsia="宋体" w:hAnsi="Arial" w:cs="Arial"/>
                <w:b/>
                <w:bCs/>
                <w:color w:val="000000"/>
                <w:sz w:val="14"/>
                <w:szCs w:val="14"/>
              </w:rPr>
              <w:t>Value that May Yet</w:t>
            </w:r>
          </w:p>
          <w:p w14:paraId="7268FFD0" w14:textId="77777777" w:rsidR="005F762A" w:rsidRDefault="00D74111">
            <w:pPr>
              <w:jc w:val="center"/>
              <w:textAlignment w:val="bottom"/>
            </w:pPr>
            <w:r>
              <w:rPr>
                <w:rFonts w:ascii="Arial" w:eastAsia="宋体" w:hAnsi="Arial" w:cs="Arial"/>
                <w:b/>
                <w:bCs/>
                <w:color w:val="000000"/>
                <w:sz w:val="14"/>
                <w:szCs w:val="14"/>
              </w:rPr>
              <w:t>be Purchased Under</w:t>
            </w:r>
          </w:p>
          <w:p w14:paraId="7268FFD1" w14:textId="77777777" w:rsidR="005F762A" w:rsidRDefault="00D74111">
            <w:pPr>
              <w:jc w:val="center"/>
              <w:textAlignment w:val="bottom"/>
            </w:pPr>
            <w:r>
              <w:rPr>
                <w:rFonts w:ascii="Arial" w:eastAsia="宋体" w:hAnsi="Arial" w:cs="Arial"/>
                <w:b/>
                <w:bCs/>
                <w:color w:val="000000"/>
                <w:sz w:val="14"/>
                <w:szCs w:val="14"/>
              </w:rPr>
              <w:t>the Programs</w:t>
            </w:r>
            <w:r>
              <w:rPr>
                <w:rFonts w:ascii="Arial" w:eastAsia="宋体" w:hAnsi="Arial" w:cs="Arial"/>
                <w:b/>
                <w:bCs/>
                <w:color w:val="000000"/>
                <w:sz w:val="16"/>
                <w:szCs w:val="16"/>
              </w:rPr>
              <w:t xml:space="preserve"> </w:t>
            </w:r>
            <w:r>
              <w:rPr>
                <w:rFonts w:ascii="Arial" w:eastAsia="宋体" w:hAnsi="Arial" w:cs="Arial"/>
                <w:b/>
                <w:bCs/>
                <w:color w:val="000000"/>
                <w:sz w:val="10"/>
                <w:szCs w:val="10"/>
              </w:rPr>
              <w:t>(1)</w:t>
            </w:r>
          </w:p>
        </w:tc>
      </w:tr>
      <w:tr w:rsidR="005F762A" w14:paraId="7268FFE3" w14:textId="77777777">
        <w:trPr>
          <w:jc w:val="center"/>
        </w:trPr>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7268FFD3" w14:textId="77777777" w:rsidR="005F762A" w:rsidRDefault="00D74111">
            <w:pPr>
              <w:textAlignment w:val="bottom"/>
            </w:pPr>
            <w:r>
              <w:rPr>
                <w:rFonts w:ascii="Arial" w:eastAsia="宋体" w:hAnsi="Arial" w:cs="Arial"/>
                <w:color w:val="000000"/>
                <w:sz w:val="17"/>
                <w:szCs w:val="17"/>
              </w:rPr>
              <w:t>January 31, 2021</w:t>
            </w:r>
          </w:p>
        </w:tc>
        <w:tc>
          <w:tcPr>
            <w:tcW w:w="0" w:type="auto"/>
            <w:gridSpan w:val="3"/>
            <w:tcBorders>
              <w:top w:val="single" w:sz="8" w:space="0" w:color="000000"/>
            </w:tcBorders>
            <w:shd w:val="clear" w:color="auto" w:fill="E2E2E2"/>
            <w:tcMar>
              <w:top w:w="0" w:type="dxa"/>
              <w:left w:w="20" w:type="dxa"/>
              <w:bottom w:w="0" w:type="dxa"/>
              <w:right w:w="20" w:type="dxa"/>
            </w:tcMar>
          </w:tcPr>
          <w:p w14:paraId="7268FFD4"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FD5" w14:textId="77777777" w:rsidR="005F762A" w:rsidRDefault="00D74111">
            <w:pPr>
              <w:jc w:val="right"/>
              <w:textAlignment w:val="bottom"/>
            </w:pPr>
            <w:r>
              <w:rPr>
                <w:rFonts w:ascii="Arial" w:eastAsia="宋体" w:hAnsi="Arial" w:cs="Arial"/>
                <w:color w:val="000000"/>
                <w:sz w:val="17"/>
                <w:szCs w:val="17"/>
              </w:rPr>
              <w:t>3,609,821 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FD6" w14:textId="77777777" w:rsidR="005F762A" w:rsidRDefault="005F762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FD7"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FD8" w14:textId="77777777" w:rsidR="005F762A" w:rsidRDefault="00D74111">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FD9" w14:textId="77777777" w:rsidR="005F762A" w:rsidRDefault="00D74111">
            <w:pPr>
              <w:jc w:val="right"/>
              <w:textAlignment w:val="bottom"/>
            </w:pPr>
            <w:r>
              <w:rPr>
                <w:rFonts w:ascii="Arial" w:eastAsia="宋体" w:hAnsi="Arial" w:cs="Arial"/>
                <w:color w:val="000000"/>
                <w:sz w:val="17"/>
                <w:szCs w:val="17"/>
              </w:rPr>
              <w:t>55.40 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FDA" w14:textId="77777777" w:rsidR="005F762A" w:rsidRDefault="005F762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FDB" w14:textId="77777777" w:rsidR="005F762A" w:rsidRDefault="005F762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FDC" w14:textId="77777777" w:rsidR="005F762A" w:rsidRDefault="005F762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7268FFDD" w14:textId="77777777" w:rsidR="005F762A" w:rsidRDefault="00D74111">
            <w:pPr>
              <w:jc w:val="right"/>
              <w:textAlignment w:val="bottom"/>
            </w:pPr>
            <w:r>
              <w:rPr>
                <w:rFonts w:ascii="Arial" w:eastAsia="宋体" w:hAnsi="Arial" w:cs="Arial"/>
                <w:color w:val="000000"/>
                <w:sz w:val="17"/>
                <w:szCs w:val="17"/>
              </w:rPr>
              <w:t>3,609,821 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FDE" w14:textId="77777777" w:rsidR="005F762A" w:rsidRDefault="005F762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tcPr>
          <w:p w14:paraId="7268FFDF" w14:textId="77777777" w:rsidR="005F762A" w:rsidRDefault="005F762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7268FFE0" w14:textId="77777777" w:rsidR="005F762A" w:rsidRDefault="00D74111">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7268FFE1" w14:textId="77777777" w:rsidR="005F762A" w:rsidRDefault="00D74111">
            <w:pPr>
              <w:jc w:val="right"/>
              <w:textAlignment w:val="bottom"/>
            </w:pPr>
            <w:r>
              <w:rPr>
                <w:rFonts w:ascii="Arial" w:eastAsia="宋体" w:hAnsi="Arial" w:cs="Arial"/>
                <w:color w:val="000000"/>
                <w:sz w:val="17"/>
                <w:szCs w:val="17"/>
              </w:rPr>
              <w:t>1,833,023,515 </w:t>
            </w:r>
          </w:p>
        </w:tc>
        <w:tc>
          <w:tcPr>
            <w:tcW w:w="0" w:type="auto"/>
            <w:tcBorders>
              <w:top w:val="single" w:sz="8" w:space="0" w:color="000000"/>
            </w:tcBorders>
            <w:shd w:val="clear" w:color="auto" w:fill="E2E2E2"/>
            <w:tcMar>
              <w:top w:w="40" w:type="dxa"/>
              <w:left w:w="0" w:type="dxa"/>
              <w:bottom w:w="40" w:type="dxa"/>
              <w:right w:w="20" w:type="dxa"/>
            </w:tcMar>
            <w:vAlign w:val="bottom"/>
          </w:tcPr>
          <w:p w14:paraId="7268FFE2" w14:textId="77777777" w:rsidR="005F762A" w:rsidRDefault="005F762A">
            <w:pPr>
              <w:jc w:val="right"/>
              <w:rPr>
                <w:rFonts w:ascii="宋体"/>
              </w:rPr>
            </w:pPr>
          </w:p>
        </w:tc>
      </w:tr>
      <w:tr w:rsidR="005F762A" w14:paraId="7268FFF4" w14:textId="77777777">
        <w:trPr>
          <w:jc w:val="center"/>
        </w:trPr>
        <w:tc>
          <w:tcPr>
            <w:tcW w:w="0" w:type="auto"/>
            <w:gridSpan w:val="3"/>
            <w:shd w:val="clear" w:color="auto" w:fill="FFFFFF"/>
            <w:tcMar>
              <w:top w:w="40" w:type="dxa"/>
              <w:left w:w="20" w:type="dxa"/>
              <w:bottom w:w="40" w:type="dxa"/>
              <w:right w:w="20" w:type="dxa"/>
            </w:tcMar>
            <w:vAlign w:val="bottom"/>
          </w:tcPr>
          <w:p w14:paraId="7268FFE4" w14:textId="77777777" w:rsidR="005F762A" w:rsidRDefault="00D74111">
            <w:pPr>
              <w:textAlignment w:val="bottom"/>
            </w:pPr>
            <w:r>
              <w:rPr>
                <w:rFonts w:ascii="Arial" w:eastAsia="宋体" w:hAnsi="Arial" w:cs="Arial"/>
                <w:color w:val="000000"/>
                <w:sz w:val="17"/>
                <w:szCs w:val="17"/>
              </w:rPr>
              <w:t>February 28, 2021</w:t>
            </w:r>
          </w:p>
        </w:tc>
        <w:tc>
          <w:tcPr>
            <w:tcW w:w="0" w:type="auto"/>
            <w:gridSpan w:val="3"/>
            <w:shd w:val="clear" w:color="auto" w:fill="FFFFFF"/>
            <w:tcMar>
              <w:top w:w="0" w:type="dxa"/>
              <w:left w:w="20" w:type="dxa"/>
              <w:bottom w:w="0" w:type="dxa"/>
              <w:right w:w="20" w:type="dxa"/>
            </w:tcMar>
          </w:tcPr>
          <w:p w14:paraId="7268FFE5"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FE6" w14:textId="77777777" w:rsidR="005F762A" w:rsidRDefault="00D74111">
            <w:pPr>
              <w:jc w:val="right"/>
              <w:textAlignment w:val="bottom"/>
            </w:pPr>
            <w:r>
              <w:rPr>
                <w:rFonts w:ascii="Arial" w:eastAsia="宋体" w:hAnsi="Arial" w:cs="Arial"/>
                <w:color w:val="000000"/>
                <w:sz w:val="17"/>
                <w:szCs w:val="17"/>
              </w:rPr>
              <w:t>425,878 </w:t>
            </w:r>
          </w:p>
        </w:tc>
        <w:tc>
          <w:tcPr>
            <w:tcW w:w="0" w:type="auto"/>
            <w:shd w:val="clear" w:color="auto" w:fill="FFFFFF"/>
            <w:tcMar>
              <w:top w:w="40" w:type="dxa"/>
              <w:left w:w="0" w:type="dxa"/>
              <w:bottom w:w="40" w:type="dxa"/>
              <w:right w:w="20" w:type="dxa"/>
            </w:tcMar>
            <w:vAlign w:val="bottom"/>
          </w:tcPr>
          <w:p w14:paraId="7268FFE7"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FE8"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FE9" w14:textId="77777777" w:rsidR="005F762A" w:rsidRDefault="00D74111">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7268FFEA" w14:textId="77777777" w:rsidR="005F762A" w:rsidRDefault="00D74111">
            <w:pPr>
              <w:jc w:val="right"/>
              <w:textAlignment w:val="bottom"/>
            </w:pPr>
            <w:r>
              <w:rPr>
                <w:rFonts w:ascii="Arial" w:eastAsia="宋体" w:hAnsi="Arial" w:cs="Arial"/>
                <w:color w:val="000000"/>
                <w:sz w:val="17"/>
                <w:szCs w:val="17"/>
              </w:rPr>
              <w:t>55.70 </w:t>
            </w:r>
          </w:p>
        </w:tc>
        <w:tc>
          <w:tcPr>
            <w:tcW w:w="0" w:type="auto"/>
            <w:shd w:val="clear" w:color="auto" w:fill="FFFFFF"/>
            <w:tcMar>
              <w:top w:w="40" w:type="dxa"/>
              <w:left w:w="0" w:type="dxa"/>
              <w:bottom w:w="40" w:type="dxa"/>
              <w:right w:w="20" w:type="dxa"/>
            </w:tcMar>
            <w:vAlign w:val="bottom"/>
          </w:tcPr>
          <w:p w14:paraId="7268FFEB"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FE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8FFED" w14:textId="77777777" w:rsidR="005F762A" w:rsidRDefault="005F762A">
            <w:pPr>
              <w:rPr>
                <w:rFonts w:ascii="宋体"/>
              </w:rPr>
            </w:pPr>
          </w:p>
        </w:tc>
        <w:tc>
          <w:tcPr>
            <w:tcW w:w="0" w:type="auto"/>
            <w:gridSpan w:val="2"/>
            <w:shd w:val="clear" w:color="auto" w:fill="FFFFFF"/>
            <w:tcMar>
              <w:top w:w="40" w:type="dxa"/>
              <w:left w:w="20" w:type="dxa"/>
              <w:bottom w:w="40" w:type="dxa"/>
              <w:right w:w="0" w:type="dxa"/>
            </w:tcMar>
            <w:vAlign w:val="bottom"/>
          </w:tcPr>
          <w:p w14:paraId="7268FFEE" w14:textId="77777777" w:rsidR="005F762A" w:rsidRDefault="00D74111">
            <w:pPr>
              <w:jc w:val="right"/>
              <w:textAlignment w:val="bottom"/>
            </w:pPr>
            <w:r>
              <w:rPr>
                <w:rFonts w:ascii="Arial" w:eastAsia="宋体" w:hAnsi="Arial" w:cs="Arial"/>
                <w:color w:val="000000"/>
                <w:sz w:val="17"/>
                <w:szCs w:val="17"/>
              </w:rPr>
              <w:t>425,878 </w:t>
            </w:r>
          </w:p>
        </w:tc>
        <w:tc>
          <w:tcPr>
            <w:tcW w:w="0" w:type="auto"/>
            <w:shd w:val="clear" w:color="auto" w:fill="FFFFFF"/>
            <w:tcMar>
              <w:top w:w="40" w:type="dxa"/>
              <w:left w:w="0" w:type="dxa"/>
              <w:bottom w:w="40" w:type="dxa"/>
              <w:right w:w="20" w:type="dxa"/>
            </w:tcMar>
            <w:vAlign w:val="bottom"/>
          </w:tcPr>
          <w:p w14:paraId="7268FFE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8FFF0" w14:textId="77777777" w:rsidR="005F762A" w:rsidRDefault="005F762A">
            <w:pPr>
              <w:rPr>
                <w:rFonts w:ascii="宋体"/>
              </w:rPr>
            </w:pPr>
          </w:p>
        </w:tc>
        <w:tc>
          <w:tcPr>
            <w:tcW w:w="0" w:type="auto"/>
            <w:shd w:val="clear" w:color="auto" w:fill="FFFFFF"/>
            <w:tcMar>
              <w:top w:w="40" w:type="dxa"/>
              <w:left w:w="20" w:type="dxa"/>
              <w:bottom w:w="40" w:type="dxa"/>
              <w:right w:w="0" w:type="dxa"/>
            </w:tcMar>
            <w:vAlign w:val="bottom"/>
          </w:tcPr>
          <w:p w14:paraId="7268FFF1" w14:textId="77777777" w:rsidR="005F762A" w:rsidRDefault="00D74111">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7268FFF2" w14:textId="77777777" w:rsidR="005F762A" w:rsidRDefault="00D74111">
            <w:pPr>
              <w:jc w:val="right"/>
              <w:textAlignment w:val="bottom"/>
            </w:pPr>
            <w:r>
              <w:rPr>
                <w:rFonts w:ascii="Arial" w:eastAsia="宋体" w:hAnsi="Arial" w:cs="Arial"/>
                <w:color w:val="000000"/>
                <w:sz w:val="17"/>
                <w:szCs w:val="17"/>
              </w:rPr>
              <w:t>5,808,023,642 </w:t>
            </w:r>
          </w:p>
        </w:tc>
        <w:tc>
          <w:tcPr>
            <w:tcW w:w="0" w:type="auto"/>
            <w:shd w:val="clear" w:color="auto" w:fill="FFFFFF"/>
            <w:tcMar>
              <w:top w:w="40" w:type="dxa"/>
              <w:left w:w="0" w:type="dxa"/>
              <w:bottom w:w="40" w:type="dxa"/>
              <w:right w:w="20" w:type="dxa"/>
            </w:tcMar>
            <w:vAlign w:val="bottom"/>
          </w:tcPr>
          <w:p w14:paraId="7268FFF3" w14:textId="77777777" w:rsidR="005F762A" w:rsidRDefault="005F762A">
            <w:pPr>
              <w:jc w:val="right"/>
              <w:rPr>
                <w:rFonts w:ascii="宋体"/>
              </w:rPr>
            </w:pPr>
          </w:p>
        </w:tc>
      </w:tr>
      <w:tr w:rsidR="005F762A" w14:paraId="72690005" w14:textId="77777777">
        <w:trPr>
          <w:jc w:val="center"/>
        </w:trPr>
        <w:tc>
          <w:tcPr>
            <w:tcW w:w="0" w:type="auto"/>
            <w:gridSpan w:val="3"/>
            <w:shd w:val="clear" w:color="auto" w:fill="E2E2E2"/>
            <w:tcMar>
              <w:top w:w="40" w:type="dxa"/>
              <w:left w:w="20" w:type="dxa"/>
              <w:bottom w:w="40" w:type="dxa"/>
              <w:right w:w="20" w:type="dxa"/>
            </w:tcMar>
            <w:vAlign w:val="bottom"/>
          </w:tcPr>
          <w:p w14:paraId="7268FFF5" w14:textId="77777777" w:rsidR="005F762A" w:rsidRDefault="00D74111">
            <w:pPr>
              <w:textAlignment w:val="bottom"/>
            </w:pPr>
            <w:r>
              <w:rPr>
                <w:rFonts w:ascii="Arial" w:eastAsia="宋体" w:hAnsi="Arial" w:cs="Arial"/>
                <w:color w:val="000000"/>
                <w:sz w:val="17"/>
                <w:szCs w:val="17"/>
              </w:rPr>
              <w:t>March 31, 2021</w:t>
            </w:r>
          </w:p>
        </w:tc>
        <w:tc>
          <w:tcPr>
            <w:tcW w:w="0" w:type="auto"/>
            <w:gridSpan w:val="3"/>
            <w:shd w:val="clear" w:color="auto" w:fill="E2E2E2"/>
            <w:tcMar>
              <w:top w:w="0" w:type="dxa"/>
              <w:left w:w="20" w:type="dxa"/>
              <w:bottom w:w="0" w:type="dxa"/>
              <w:right w:w="20" w:type="dxa"/>
            </w:tcMar>
          </w:tcPr>
          <w:p w14:paraId="7268FFF6"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FF7" w14:textId="77777777" w:rsidR="005F762A" w:rsidRDefault="00D74111">
            <w:pPr>
              <w:jc w:val="right"/>
              <w:textAlignment w:val="bottom"/>
            </w:pPr>
            <w:r>
              <w:rPr>
                <w:rFonts w:ascii="Arial" w:eastAsia="宋体" w:hAnsi="Arial" w:cs="Arial"/>
                <w:color w:val="000000"/>
                <w:sz w:val="17"/>
                <w:szCs w:val="17"/>
              </w:rPr>
              <w:t>1,202,165 </w:t>
            </w:r>
          </w:p>
        </w:tc>
        <w:tc>
          <w:tcPr>
            <w:tcW w:w="0" w:type="auto"/>
            <w:shd w:val="clear" w:color="auto" w:fill="E2E2E2"/>
            <w:tcMar>
              <w:top w:w="40" w:type="dxa"/>
              <w:left w:w="0" w:type="dxa"/>
              <w:bottom w:w="40" w:type="dxa"/>
              <w:right w:w="20" w:type="dxa"/>
            </w:tcMar>
            <w:vAlign w:val="bottom"/>
          </w:tcPr>
          <w:p w14:paraId="7268FFF8"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FF9"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8FFFA" w14:textId="77777777" w:rsidR="005F762A" w:rsidRDefault="00D74111">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7268FFFB" w14:textId="77777777" w:rsidR="005F762A" w:rsidRDefault="00D74111">
            <w:pPr>
              <w:jc w:val="right"/>
              <w:textAlignment w:val="bottom"/>
            </w:pPr>
            <w:r>
              <w:rPr>
                <w:rFonts w:ascii="Arial" w:eastAsia="宋体" w:hAnsi="Arial" w:cs="Arial"/>
                <w:color w:val="000000"/>
                <w:sz w:val="17"/>
                <w:szCs w:val="17"/>
              </w:rPr>
              <w:t>55.53 </w:t>
            </w:r>
          </w:p>
        </w:tc>
        <w:tc>
          <w:tcPr>
            <w:tcW w:w="0" w:type="auto"/>
            <w:shd w:val="clear" w:color="auto" w:fill="E2E2E2"/>
            <w:tcMar>
              <w:top w:w="40" w:type="dxa"/>
              <w:left w:w="0" w:type="dxa"/>
              <w:bottom w:w="40" w:type="dxa"/>
              <w:right w:w="20" w:type="dxa"/>
            </w:tcMar>
            <w:vAlign w:val="bottom"/>
          </w:tcPr>
          <w:p w14:paraId="7268FFFC"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8FFFD" w14:textId="77777777" w:rsidR="005F762A" w:rsidRDefault="005F762A">
            <w:pPr>
              <w:rPr>
                <w:rFonts w:ascii="宋体"/>
              </w:rPr>
            </w:pPr>
          </w:p>
        </w:tc>
        <w:tc>
          <w:tcPr>
            <w:tcW w:w="0" w:type="auto"/>
            <w:gridSpan w:val="3"/>
            <w:shd w:val="clear" w:color="auto" w:fill="E2E2E2"/>
            <w:tcMar>
              <w:top w:w="0" w:type="dxa"/>
              <w:left w:w="20" w:type="dxa"/>
              <w:bottom w:w="0" w:type="dxa"/>
              <w:right w:w="20" w:type="dxa"/>
            </w:tcMar>
          </w:tcPr>
          <w:p w14:paraId="7268FFFE" w14:textId="77777777" w:rsidR="005F762A" w:rsidRDefault="005F762A">
            <w:pPr>
              <w:rPr>
                <w:rFonts w:ascii="宋体"/>
              </w:rPr>
            </w:pPr>
          </w:p>
        </w:tc>
        <w:tc>
          <w:tcPr>
            <w:tcW w:w="0" w:type="auto"/>
            <w:gridSpan w:val="2"/>
            <w:shd w:val="clear" w:color="auto" w:fill="E2E2E2"/>
            <w:tcMar>
              <w:top w:w="40" w:type="dxa"/>
              <w:left w:w="20" w:type="dxa"/>
              <w:bottom w:w="40" w:type="dxa"/>
              <w:right w:w="0" w:type="dxa"/>
            </w:tcMar>
            <w:vAlign w:val="bottom"/>
          </w:tcPr>
          <w:p w14:paraId="7268FFFF" w14:textId="77777777" w:rsidR="005F762A" w:rsidRDefault="00D74111">
            <w:pPr>
              <w:jc w:val="right"/>
              <w:textAlignment w:val="bottom"/>
            </w:pPr>
            <w:r>
              <w:rPr>
                <w:rFonts w:ascii="Arial" w:eastAsia="宋体" w:hAnsi="Arial" w:cs="Arial"/>
                <w:color w:val="000000"/>
                <w:sz w:val="17"/>
                <w:szCs w:val="17"/>
              </w:rPr>
              <w:t>1,202,165 </w:t>
            </w:r>
          </w:p>
        </w:tc>
        <w:tc>
          <w:tcPr>
            <w:tcW w:w="0" w:type="auto"/>
            <w:shd w:val="clear" w:color="auto" w:fill="E2E2E2"/>
            <w:tcMar>
              <w:top w:w="40" w:type="dxa"/>
              <w:left w:w="0" w:type="dxa"/>
              <w:bottom w:w="40" w:type="dxa"/>
              <w:right w:w="20" w:type="dxa"/>
            </w:tcMar>
            <w:vAlign w:val="bottom"/>
          </w:tcPr>
          <w:p w14:paraId="72690000" w14:textId="77777777" w:rsidR="005F762A" w:rsidRDefault="005F762A">
            <w:pPr>
              <w:jc w:val="right"/>
              <w:rPr>
                <w:rFonts w:ascii="宋体"/>
              </w:rPr>
            </w:pPr>
          </w:p>
        </w:tc>
        <w:tc>
          <w:tcPr>
            <w:tcW w:w="0" w:type="auto"/>
            <w:gridSpan w:val="3"/>
            <w:shd w:val="clear" w:color="auto" w:fill="E2E2E2"/>
            <w:tcMar>
              <w:top w:w="0" w:type="dxa"/>
              <w:left w:w="20" w:type="dxa"/>
              <w:bottom w:w="0" w:type="dxa"/>
              <w:right w:w="20" w:type="dxa"/>
            </w:tcMar>
          </w:tcPr>
          <w:p w14:paraId="72690001" w14:textId="77777777" w:rsidR="005F762A" w:rsidRDefault="005F762A">
            <w:pPr>
              <w:rPr>
                <w:rFonts w:ascii="宋体"/>
              </w:rPr>
            </w:pPr>
          </w:p>
        </w:tc>
        <w:tc>
          <w:tcPr>
            <w:tcW w:w="0" w:type="auto"/>
            <w:shd w:val="clear" w:color="auto" w:fill="E2E2E2"/>
            <w:tcMar>
              <w:top w:w="40" w:type="dxa"/>
              <w:left w:w="20" w:type="dxa"/>
              <w:bottom w:w="40" w:type="dxa"/>
              <w:right w:w="0" w:type="dxa"/>
            </w:tcMar>
            <w:vAlign w:val="bottom"/>
          </w:tcPr>
          <w:p w14:paraId="72690002" w14:textId="77777777" w:rsidR="005F762A" w:rsidRDefault="00D74111">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72690003" w14:textId="77777777" w:rsidR="005F762A" w:rsidRDefault="00D74111">
            <w:pPr>
              <w:jc w:val="right"/>
              <w:textAlignment w:val="bottom"/>
            </w:pPr>
            <w:r>
              <w:rPr>
                <w:rFonts w:ascii="Arial" w:eastAsia="宋体" w:hAnsi="Arial" w:cs="Arial"/>
                <w:color w:val="000000"/>
                <w:sz w:val="17"/>
                <w:szCs w:val="17"/>
              </w:rPr>
              <w:t>5,741,264,858 </w:t>
            </w:r>
          </w:p>
        </w:tc>
        <w:tc>
          <w:tcPr>
            <w:tcW w:w="0" w:type="auto"/>
            <w:shd w:val="clear" w:color="auto" w:fill="E2E2E2"/>
            <w:tcMar>
              <w:top w:w="40" w:type="dxa"/>
              <w:left w:w="0" w:type="dxa"/>
              <w:bottom w:w="40" w:type="dxa"/>
              <w:right w:w="20" w:type="dxa"/>
            </w:tcMar>
            <w:vAlign w:val="bottom"/>
          </w:tcPr>
          <w:p w14:paraId="72690004" w14:textId="77777777" w:rsidR="005F762A" w:rsidRDefault="005F762A">
            <w:pPr>
              <w:jc w:val="right"/>
              <w:rPr>
                <w:rFonts w:ascii="宋体"/>
              </w:rPr>
            </w:pPr>
          </w:p>
        </w:tc>
      </w:tr>
      <w:tr w:rsidR="005F762A" w14:paraId="72690012" w14:textId="77777777">
        <w:trPr>
          <w:jc w:val="center"/>
        </w:trPr>
        <w:tc>
          <w:tcPr>
            <w:tcW w:w="0" w:type="auto"/>
            <w:gridSpan w:val="3"/>
            <w:shd w:val="clear" w:color="auto" w:fill="FFFFFF"/>
            <w:tcMar>
              <w:top w:w="0" w:type="dxa"/>
              <w:left w:w="20" w:type="dxa"/>
              <w:bottom w:w="0" w:type="dxa"/>
              <w:right w:w="20" w:type="dxa"/>
            </w:tcMar>
          </w:tcPr>
          <w:p w14:paraId="72690006"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90007"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90008" w14:textId="77777777" w:rsidR="005F762A" w:rsidRDefault="00D74111">
            <w:pPr>
              <w:jc w:val="right"/>
              <w:textAlignment w:val="bottom"/>
            </w:pPr>
            <w:r>
              <w:rPr>
                <w:rFonts w:ascii="Arial" w:eastAsia="宋体" w:hAnsi="Arial" w:cs="Arial"/>
                <w:color w:val="000000"/>
                <w:sz w:val="17"/>
                <w:szCs w:val="17"/>
              </w:rPr>
              <w:t>5,237,864 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90009"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9000A"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9000B"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9000C"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9000D" w14:textId="77777777" w:rsidR="005F762A" w:rsidRDefault="005F762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269000E" w14:textId="77777777" w:rsidR="005F762A" w:rsidRDefault="00D74111">
            <w:pPr>
              <w:jc w:val="right"/>
              <w:textAlignment w:val="bottom"/>
            </w:pPr>
            <w:r>
              <w:rPr>
                <w:rFonts w:ascii="Arial" w:eastAsia="宋体" w:hAnsi="Arial" w:cs="Arial"/>
                <w:color w:val="000000"/>
                <w:sz w:val="17"/>
                <w:szCs w:val="17"/>
              </w:rPr>
              <w:t>5,237,864 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269000F" w14:textId="77777777" w:rsidR="005F762A" w:rsidRDefault="005F762A">
            <w:pPr>
              <w:jc w:val="right"/>
              <w:rPr>
                <w:rFonts w:ascii="宋体"/>
              </w:rPr>
            </w:pPr>
          </w:p>
        </w:tc>
        <w:tc>
          <w:tcPr>
            <w:tcW w:w="0" w:type="auto"/>
            <w:gridSpan w:val="3"/>
            <w:shd w:val="clear" w:color="auto" w:fill="FFFFFF"/>
            <w:tcMar>
              <w:top w:w="0" w:type="dxa"/>
              <w:left w:w="20" w:type="dxa"/>
              <w:bottom w:w="0" w:type="dxa"/>
              <w:right w:w="20" w:type="dxa"/>
            </w:tcMar>
          </w:tcPr>
          <w:p w14:paraId="72690010" w14:textId="77777777" w:rsidR="005F762A" w:rsidRDefault="005F762A">
            <w:pPr>
              <w:rPr>
                <w:rFonts w:ascii="宋体"/>
              </w:rPr>
            </w:pPr>
          </w:p>
        </w:tc>
        <w:tc>
          <w:tcPr>
            <w:tcW w:w="0" w:type="auto"/>
            <w:gridSpan w:val="3"/>
            <w:shd w:val="clear" w:color="auto" w:fill="FFFFFF"/>
            <w:tcMar>
              <w:top w:w="0" w:type="dxa"/>
              <w:left w:w="20" w:type="dxa"/>
              <w:bottom w:w="0" w:type="dxa"/>
              <w:right w:w="20" w:type="dxa"/>
            </w:tcMar>
          </w:tcPr>
          <w:p w14:paraId="72690011" w14:textId="77777777" w:rsidR="005F762A" w:rsidRDefault="005F762A">
            <w:pPr>
              <w:rPr>
                <w:rFonts w:ascii="宋体"/>
              </w:rPr>
            </w:pPr>
          </w:p>
        </w:tc>
      </w:tr>
    </w:tbl>
    <w:p w14:paraId="72690013" w14:textId="77777777" w:rsidR="005F762A" w:rsidRDefault="005F762A"/>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5F762A" w14:paraId="72690017" w14:textId="77777777">
        <w:tc>
          <w:tcPr>
            <w:tcW w:w="50" w:type="pct"/>
            <w:shd w:val="clear" w:color="auto" w:fill="auto"/>
          </w:tcPr>
          <w:p w14:paraId="72690014" w14:textId="77777777" w:rsidR="005F762A" w:rsidRDefault="005F762A">
            <w:pPr>
              <w:rPr>
                <w:rFonts w:ascii="宋体"/>
              </w:rPr>
            </w:pPr>
          </w:p>
        </w:tc>
        <w:tc>
          <w:tcPr>
            <w:tcW w:w="4945" w:type="pct"/>
            <w:shd w:val="clear" w:color="auto" w:fill="auto"/>
          </w:tcPr>
          <w:p w14:paraId="72690015" w14:textId="77777777" w:rsidR="005F762A" w:rsidRDefault="005F762A">
            <w:pPr>
              <w:rPr>
                <w:rFonts w:ascii="宋体"/>
              </w:rPr>
            </w:pPr>
          </w:p>
        </w:tc>
        <w:tc>
          <w:tcPr>
            <w:tcW w:w="5" w:type="pct"/>
            <w:shd w:val="clear" w:color="auto" w:fill="auto"/>
          </w:tcPr>
          <w:p w14:paraId="72690016" w14:textId="77777777" w:rsidR="005F762A" w:rsidRDefault="005F762A">
            <w:pPr>
              <w:rPr>
                <w:rFonts w:ascii="宋体"/>
              </w:rPr>
            </w:pPr>
          </w:p>
        </w:tc>
      </w:tr>
      <w:tr w:rsidR="005F762A" w14:paraId="72690019"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72690018" w14:textId="77777777" w:rsidR="005F762A" w:rsidRDefault="005F762A">
            <w:pPr>
              <w:rPr>
                <w:rFonts w:ascii="宋体"/>
              </w:rPr>
            </w:pPr>
          </w:p>
        </w:tc>
      </w:tr>
    </w:tbl>
    <w:p w14:paraId="7269001A" w14:textId="77777777" w:rsidR="005F762A" w:rsidRDefault="00D74111">
      <w:pPr>
        <w:spacing w:before="60"/>
        <w:ind w:hanging="360"/>
        <w:jc w:val="both"/>
      </w:pPr>
      <w:r>
        <w:rPr>
          <w:rFonts w:ascii="sans-serif" w:eastAsia="宋体" w:hAnsi="sans-serif" w:cs="sans-serif"/>
          <w:color w:val="212529"/>
          <w:sz w:val="10"/>
          <w:szCs w:val="10"/>
        </w:rPr>
        <w:t>(1)</w:t>
      </w:r>
      <w:r>
        <w:rPr>
          <w:rFonts w:ascii="Arial" w:eastAsia="宋体" w:hAnsi="Arial" w:cs="Arial"/>
          <w:color w:val="000000"/>
          <w:sz w:val="16"/>
          <w:szCs w:val="16"/>
        </w:rPr>
        <w:t xml:space="preserve">In January 2020 our Board authorized a $5.0 billion stock repurchase program and in February 2021 our Board authorized an </w:t>
      </w:r>
      <w:r>
        <w:rPr>
          <w:rFonts w:ascii="Arial" w:eastAsia="宋体" w:hAnsi="Arial" w:cs="Arial"/>
          <w:color w:val="000000"/>
          <w:sz w:val="16"/>
          <w:szCs w:val="16"/>
        </w:rPr>
        <w:t>additional $4.0 billion stock repurchase program. These stock repurchase programs have no expiration from the date of authorization.</w:t>
      </w:r>
    </w:p>
    <w:p w14:paraId="7269001B" w14:textId="77777777" w:rsidR="005F762A" w:rsidRDefault="00D74111">
      <w:pPr>
        <w:spacing w:before="60" w:after="120"/>
        <w:jc w:val="both"/>
      </w:pPr>
      <w:r>
        <w:rPr>
          <w:rFonts w:ascii="Arial" w:eastAsia="宋体" w:hAnsi="Arial" w:cs="Arial"/>
          <w:color w:val="000000"/>
          <w:sz w:val="16"/>
          <w:szCs w:val="16"/>
        </w:rPr>
        <w:t>Our stock repurchase programs are intended to programmatically offset the impact of dilution from our equity compensation p</w:t>
      </w:r>
      <w:r>
        <w:rPr>
          <w:rFonts w:ascii="Arial" w:eastAsia="宋体" w:hAnsi="Arial" w:cs="Arial"/>
          <w:color w:val="000000"/>
          <w:sz w:val="16"/>
          <w:szCs w:val="16"/>
        </w:rPr>
        <w:t>rograms and, subject to market conditions and other factors, to make opportunistic and programmatic repurchases of our common stock to reduce our outstanding share count. Any share repurchases under our stock repurchase programs may be made through open ma</w:t>
      </w:r>
      <w:r>
        <w:rPr>
          <w:rFonts w:ascii="Arial" w:eastAsia="宋体" w:hAnsi="Arial" w:cs="Arial"/>
          <w:color w:val="000000"/>
          <w:sz w:val="16"/>
          <w:szCs w:val="16"/>
        </w:rPr>
        <w:t>rket transactions, block trades, privately negotiated transactions (including accelerated share repurchase transactions) or other means at times and in such amounts as management deems appropriate and will be funded from our working capital or other financ</w:t>
      </w:r>
      <w:r>
        <w:rPr>
          <w:rFonts w:ascii="Arial" w:eastAsia="宋体" w:hAnsi="Arial" w:cs="Arial"/>
          <w:color w:val="000000"/>
          <w:sz w:val="16"/>
          <w:szCs w:val="16"/>
        </w:rPr>
        <w:t xml:space="preserve">ing alternatives. </w:t>
      </w:r>
    </w:p>
    <w:p w14:paraId="7269001C" w14:textId="77777777" w:rsidR="005F762A" w:rsidRDefault="00D74111">
      <w:r>
        <w:rPr>
          <w:rFonts w:ascii="Arial" w:eastAsia="宋体" w:hAnsi="Arial" w:cs="Arial"/>
          <w:color w:val="000000"/>
          <w:sz w:val="16"/>
          <w:szCs w:val="16"/>
        </w:rPr>
        <w:t>During the three months ended March 31, 2021, we repurchased approximately $292 million of our common stock under our stock repurchase programs. As of March 31, 2021, a total of approximately $5.7 billion remained available for future re</w:t>
      </w:r>
      <w:r>
        <w:rPr>
          <w:rFonts w:ascii="Arial" w:eastAsia="宋体" w:hAnsi="Arial" w:cs="Arial"/>
          <w:color w:val="000000"/>
          <w:sz w:val="16"/>
          <w:szCs w:val="16"/>
        </w:rPr>
        <w:t>purchases of our common stock under our stock repurchase programs.</w:t>
      </w:r>
    </w:p>
    <w:p w14:paraId="7269001D" w14:textId="77777777" w:rsidR="005F762A" w:rsidRDefault="00D74111">
      <w:pPr>
        <w:spacing w:before="120" w:after="120"/>
        <w:jc w:val="both"/>
      </w:pPr>
      <w:r>
        <w:rPr>
          <w:rFonts w:ascii="Arial" w:eastAsia="宋体" w:hAnsi="Arial" w:cs="Arial"/>
          <w:color w:val="000000"/>
          <w:sz w:val="16"/>
          <w:szCs w:val="16"/>
        </w:rPr>
        <w:t>We expect, subject to market conditions and other uncertainties, to continue making opportunistic and programmatic repurchases of our common stock. However, our stock repurchase programs ma</w:t>
      </w:r>
      <w:r>
        <w:rPr>
          <w:rFonts w:ascii="Arial" w:eastAsia="宋体" w:hAnsi="Arial" w:cs="Arial"/>
          <w:color w:val="000000"/>
          <w:sz w:val="16"/>
          <w:szCs w:val="16"/>
        </w:rPr>
        <w:t>y be limited or terminated at any time without prior notice. The timing and actual number of shares repurchased will depend on a variety of factors, including corporate and regulatory requirements, price and other market conditions and management’s determi</w:t>
      </w:r>
      <w:r>
        <w:rPr>
          <w:rFonts w:ascii="Arial" w:eastAsia="宋体" w:hAnsi="Arial" w:cs="Arial"/>
          <w:color w:val="000000"/>
          <w:sz w:val="16"/>
          <w:szCs w:val="16"/>
        </w:rPr>
        <w:t>nation as to the appropriate use of our cash. </w:t>
      </w:r>
    </w:p>
    <w:p w14:paraId="7269001E" w14:textId="77777777" w:rsidR="005F762A" w:rsidRDefault="00D74111">
      <w:pPr>
        <w:ind w:hanging="360"/>
      </w:pPr>
      <w:r>
        <w:rPr>
          <w:rFonts w:ascii="Arial" w:eastAsia="宋体" w:hAnsi="Arial" w:cs="Arial"/>
          <w:color w:val="000000"/>
          <w:sz w:val="10"/>
          <w:szCs w:val="10"/>
        </w:rPr>
        <w:t>(2)</w:t>
      </w:r>
      <w:r>
        <w:rPr>
          <w:rFonts w:ascii="Arial" w:eastAsia="宋体" w:hAnsi="Arial" w:cs="Arial"/>
          <w:color w:val="000000"/>
          <w:sz w:val="16"/>
          <w:szCs w:val="16"/>
        </w:rPr>
        <w:t>Excludes broker commissions.</w:t>
      </w:r>
    </w:p>
    <w:p w14:paraId="7269001F" w14:textId="77777777" w:rsidR="005F762A" w:rsidRDefault="005F762A">
      <w:pPr>
        <w:ind w:firstLine="450"/>
      </w:pPr>
    </w:p>
    <w:p w14:paraId="72690020" w14:textId="77777777" w:rsidR="005F762A" w:rsidRDefault="00D74111">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72690021" w14:textId="77777777" w:rsidR="005F762A" w:rsidRDefault="005F762A">
      <w:pPr>
        <w:ind w:hanging="1080"/>
      </w:pPr>
    </w:p>
    <w:p w14:paraId="72690022" w14:textId="77777777" w:rsidR="005F762A" w:rsidRDefault="00D74111">
      <w:pPr>
        <w:ind w:firstLine="540"/>
      </w:pPr>
      <w:r>
        <w:rPr>
          <w:rFonts w:ascii="Arial" w:eastAsia="宋体" w:hAnsi="Arial" w:cs="Arial"/>
          <w:color w:val="000000"/>
          <w:sz w:val="20"/>
          <w:szCs w:val="20"/>
        </w:rPr>
        <w:t>Not applicable.</w:t>
      </w:r>
    </w:p>
    <w:p w14:paraId="72690023" w14:textId="77777777" w:rsidR="005F762A" w:rsidRDefault="005F762A">
      <w:pPr>
        <w:ind w:hanging="1080"/>
      </w:pPr>
    </w:p>
    <w:p w14:paraId="72690024" w14:textId="77777777" w:rsidR="005F762A" w:rsidRDefault="00D74111">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Mine Safety Disclosures</w:t>
      </w:r>
    </w:p>
    <w:p w14:paraId="72690025" w14:textId="77777777" w:rsidR="005F762A" w:rsidRDefault="005F762A">
      <w:pPr>
        <w:ind w:firstLine="540"/>
      </w:pPr>
    </w:p>
    <w:p w14:paraId="72690026" w14:textId="77777777" w:rsidR="005F762A" w:rsidRDefault="00D74111">
      <w:pPr>
        <w:ind w:firstLine="540"/>
      </w:pPr>
      <w:r>
        <w:rPr>
          <w:rFonts w:ascii="Arial" w:eastAsia="宋体" w:hAnsi="Arial" w:cs="Arial"/>
          <w:color w:val="000000"/>
          <w:sz w:val="20"/>
          <w:szCs w:val="20"/>
        </w:rPr>
        <w:t>Not applicable.</w:t>
      </w:r>
    </w:p>
    <w:p w14:paraId="72690027" w14:textId="77777777" w:rsidR="005F762A" w:rsidRDefault="005F762A">
      <w:pPr>
        <w:ind w:hanging="1080"/>
      </w:pPr>
    </w:p>
    <w:p w14:paraId="72690028" w14:textId="77777777" w:rsidR="005F762A" w:rsidRDefault="00D74111">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72690029" w14:textId="77777777" w:rsidR="005F762A" w:rsidRDefault="005F762A">
      <w:pPr>
        <w:ind w:hanging="1080"/>
      </w:pPr>
    </w:p>
    <w:p w14:paraId="7269002A" w14:textId="77777777" w:rsidR="005F762A" w:rsidRDefault="00D74111">
      <w:pPr>
        <w:ind w:firstLine="540"/>
      </w:pPr>
      <w:r>
        <w:rPr>
          <w:rFonts w:ascii="Arial" w:eastAsia="宋体" w:hAnsi="Arial" w:cs="Arial"/>
          <w:color w:val="000000"/>
          <w:sz w:val="20"/>
          <w:szCs w:val="20"/>
        </w:rPr>
        <w:t>Not applicable.</w:t>
      </w:r>
    </w:p>
    <w:p w14:paraId="7269002B" w14:textId="77777777" w:rsidR="005F762A" w:rsidRDefault="005F762A">
      <w:pPr>
        <w:ind w:hanging="1080"/>
      </w:pPr>
    </w:p>
    <w:p w14:paraId="7269002C" w14:textId="77777777" w:rsidR="005F762A" w:rsidRDefault="00D74111">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7269002D" w14:textId="77777777" w:rsidR="005F762A" w:rsidRDefault="005F762A">
      <w:pPr>
        <w:ind w:hanging="1080"/>
      </w:pPr>
    </w:p>
    <w:p w14:paraId="7269002E" w14:textId="77777777" w:rsidR="005F762A" w:rsidRDefault="00D74111">
      <w:pPr>
        <w:ind w:firstLine="540"/>
      </w:pPr>
      <w:r>
        <w:rPr>
          <w:rFonts w:ascii="Arial" w:eastAsia="宋体" w:hAnsi="Arial" w:cs="Arial"/>
          <w:color w:val="000000"/>
          <w:sz w:val="20"/>
          <w:szCs w:val="20"/>
        </w:rPr>
        <w:t>The information required by this Item is set forth in the Index to Exhibits of this Quarterly Report.</w:t>
      </w:r>
    </w:p>
    <w:p w14:paraId="7269002F" w14:textId="77777777" w:rsidR="005F762A" w:rsidRDefault="005F762A">
      <w:pPr>
        <w:jc w:val="center"/>
      </w:pPr>
    </w:p>
    <w:p w14:paraId="72690030" w14:textId="77777777" w:rsidR="005F762A" w:rsidRDefault="00D74111">
      <w:pPr>
        <w:jc w:val="center"/>
      </w:pPr>
      <w:r>
        <w:rPr>
          <w:rFonts w:ascii="Arial" w:eastAsia="宋体" w:hAnsi="Arial" w:cs="Arial"/>
          <w:color w:val="000000"/>
          <w:sz w:val="20"/>
          <w:szCs w:val="20"/>
        </w:rPr>
        <w:t>47</w:t>
      </w:r>
    </w:p>
    <w:p w14:paraId="72690031" w14:textId="77777777" w:rsidR="005F762A" w:rsidRDefault="00D74111">
      <w:r>
        <w:pict w14:anchorId="7269016E">
          <v:rect id="_x0000_i1071" style="width:415.3pt;height:1.5pt" o:hralign="center" o:hrstd="t" o:hr="t" fillcolor="#a0a0a0" stroked="f"/>
        </w:pict>
      </w:r>
    </w:p>
    <w:p w14:paraId="72690032" w14:textId="77777777" w:rsidR="005F762A" w:rsidRDefault="005F762A"/>
    <w:p w14:paraId="72690033" w14:textId="77777777" w:rsidR="005F762A" w:rsidRDefault="00D74111">
      <w:pPr>
        <w:jc w:val="center"/>
      </w:pPr>
      <w:r>
        <w:rPr>
          <w:rFonts w:ascii="Arial" w:eastAsia="宋体" w:hAnsi="Arial" w:cs="Arial"/>
          <w:b/>
          <w:bCs/>
          <w:color w:val="000000"/>
          <w:sz w:val="20"/>
          <w:szCs w:val="20"/>
        </w:rPr>
        <w:t xml:space="preserve">INDEX TO EXHIBITS </w:t>
      </w:r>
    </w:p>
    <w:p w14:paraId="72690034" w14:textId="77777777" w:rsidR="005F762A" w:rsidRDefault="00D74111">
      <w:r>
        <w:rPr>
          <w:rFonts w:ascii="Arial" w:eastAsia="宋体" w:hAnsi="Arial" w:cs="Arial"/>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864"/>
        <w:gridCol w:w="38"/>
        <w:gridCol w:w="36"/>
        <w:gridCol w:w="73"/>
        <w:gridCol w:w="36"/>
        <w:gridCol w:w="66"/>
        <w:gridCol w:w="864"/>
        <w:gridCol w:w="36"/>
        <w:gridCol w:w="63"/>
        <w:gridCol w:w="6158"/>
        <w:gridCol w:w="36"/>
      </w:tblGrid>
      <w:tr w:rsidR="005F762A" w14:paraId="72690041" w14:textId="77777777">
        <w:trPr>
          <w:jc w:val="center"/>
        </w:trPr>
        <w:tc>
          <w:tcPr>
            <w:tcW w:w="50" w:type="pct"/>
            <w:shd w:val="clear" w:color="auto" w:fill="auto"/>
          </w:tcPr>
          <w:p w14:paraId="72690035" w14:textId="77777777" w:rsidR="005F762A" w:rsidRDefault="005F762A">
            <w:pPr>
              <w:rPr>
                <w:rFonts w:ascii="宋体"/>
              </w:rPr>
            </w:pPr>
          </w:p>
        </w:tc>
        <w:tc>
          <w:tcPr>
            <w:tcW w:w="532" w:type="pct"/>
            <w:shd w:val="clear" w:color="auto" w:fill="auto"/>
          </w:tcPr>
          <w:p w14:paraId="72690036" w14:textId="77777777" w:rsidR="005F762A" w:rsidRDefault="005F762A">
            <w:pPr>
              <w:rPr>
                <w:rFonts w:ascii="宋体"/>
              </w:rPr>
            </w:pPr>
          </w:p>
        </w:tc>
        <w:tc>
          <w:tcPr>
            <w:tcW w:w="5" w:type="pct"/>
            <w:shd w:val="clear" w:color="auto" w:fill="auto"/>
          </w:tcPr>
          <w:p w14:paraId="72690037" w14:textId="77777777" w:rsidR="005F762A" w:rsidRDefault="005F762A">
            <w:pPr>
              <w:rPr>
                <w:rFonts w:ascii="宋体"/>
              </w:rPr>
            </w:pPr>
          </w:p>
        </w:tc>
        <w:tc>
          <w:tcPr>
            <w:tcW w:w="5" w:type="pct"/>
            <w:shd w:val="clear" w:color="auto" w:fill="auto"/>
          </w:tcPr>
          <w:p w14:paraId="72690038" w14:textId="77777777" w:rsidR="005F762A" w:rsidRDefault="005F762A">
            <w:pPr>
              <w:rPr>
                <w:rFonts w:ascii="宋体"/>
              </w:rPr>
            </w:pPr>
          </w:p>
        </w:tc>
        <w:tc>
          <w:tcPr>
            <w:tcW w:w="56" w:type="pct"/>
            <w:shd w:val="clear" w:color="auto" w:fill="auto"/>
          </w:tcPr>
          <w:p w14:paraId="72690039" w14:textId="77777777" w:rsidR="005F762A" w:rsidRDefault="005F762A">
            <w:pPr>
              <w:rPr>
                <w:rFonts w:ascii="宋体"/>
              </w:rPr>
            </w:pPr>
          </w:p>
        </w:tc>
        <w:tc>
          <w:tcPr>
            <w:tcW w:w="5" w:type="pct"/>
            <w:shd w:val="clear" w:color="auto" w:fill="auto"/>
          </w:tcPr>
          <w:p w14:paraId="7269003A" w14:textId="77777777" w:rsidR="005F762A" w:rsidRDefault="005F762A">
            <w:pPr>
              <w:rPr>
                <w:rFonts w:ascii="宋体"/>
              </w:rPr>
            </w:pPr>
          </w:p>
        </w:tc>
        <w:tc>
          <w:tcPr>
            <w:tcW w:w="50" w:type="pct"/>
            <w:shd w:val="clear" w:color="auto" w:fill="auto"/>
          </w:tcPr>
          <w:p w14:paraId="7269003B" w14:textId="77777777" w:rsidR="005F762A" w:rsidRDefault="005F762A">
            <w:pPr>
              <w:rPr>
                <w:rFonts w:ascii="宋体"/>
              </w:rPr>
            </w:pPr>
          </w:p>
        </w:tc>
        <w:tc>
          <w:tcPr>
            <w:tcW w:w="532" w:type="pct"/>
            <w:shd w:val="clear" w:color="auto" w:fill="auto"/>
          </w:tcPr>
          <w:p w14:paraId="7269003C" w14:textId="77777777" w:rsidR="005F762A" w:rsidRDefault="005F762A">
            <w:pPr>
              <w:rPr>
                <w:rFonts w:ascii="宋体"/>
              </w:rPr>
            </w:pPr>
          </w:p>
        </w:tc>
        <w:tc>
          <w:tcPr>
            <w:tcW w:w="5" w:type="pct"/>
            <w:shd w:val="clear" w:color="auto" w:fill="auto"/>
          </w:tcPr>
          <w:p w14:paraId="7269003D" w14:textId="77777777" w:rsidR="005F762A" w:rsidRDefault="005F762A">
            <w:pPr>
              <w:rPr>
                <w:rFonts w:ascii="宋体"/>
              </w:rPr>
            </w:pPr>
          </w:p>
        </w:tc>
        <w:tc>
          <w:tcPr>
            <w:tcW w:w="50" w:type="pct"/>
            <w:shd w:val="clear" w:color="auto" w:fill="auto"/>
          </w:tcPr>
          <w:p w14:paraId="7269003E" w14:textId="77777777" w:rsidR="005F762A" w:rsidRDefault="005F762A">
            <w:pPr>
              <w:rPr>
                <w:rFonts w:ascii="宋体"/>
              </w:rPr>
            </w:pPr>
          </w:p>
        </w:tc>
        <w:tc>
          <w:tcPr>
            <w:tcW w:w="3704" w:type="pct"/>
            <w:shd w:val="clear" w:color="auto" w:fill="auto"/>
          </w:tcPr>
          <w:p w14:paraId="7269003F" w14:textId="77777777" w:rsidR="005F762A" w:rsidRDefault="005F762A">
            <w:pPr>
              <w:rPr>
                <w:rFonts w:ascii="宋体"/>
              </w:rPr>
            </w:pPr>
          </w:p>
        </w:tc>
        <w:tc>
          <w:tcPr>
            <w:tcW w:w="5" w:type="pct"/>
            <w:shd w:val="clear" w:color="auto" w:fill="auto"/>
          </w:tcPr>
          <w:p w14:paraId="72690040" w14:textId="77777777" w:rsidR="005F762A" w:rsidRDefault="005F762A">
            <w:pPr>
              <w:rPr>
                <w:rFonts w:ascii="宋体"/>
              </w:rPr>
            </w:pPr>
          </w:p>
        </w:tc>
      </w:tr>
      <w:tr w:rsidR="005F762A" w14:paraId="72690046" w14:textId="77777777">
        <w:trPr>
          <w:jc w:val="center"/>
        </w:trPr>
        <w:tc>
          <w:tcPr>
            <w:tcW w:w="0" w:type="auto"/>
            <w:gridSpan w:val="3"/>
            <w:shd w:val="clear" w:color="auto" w:fill="auto"/>
            <w:tcMar>
              <w:top w:w="40" w:type="dxa"/>
              <w:left w:w="20" w:type="dxa"/>
              <w:bottom w:w="40" w:type="dxa"/>
              <w:right w:w="20" w:type="dxa"/>
            </w:tcMar>
            <w:vAlign w:val="bottom"/>
          </w:tcPr>
          <w:p w14:paraId="72690042" w14:textId="77777777" w:rsidR="005F762A" w:rsidRDefault="00D74111">
            <w:pPr>
              <w:textAlignment w:val="bottom"/>
            </w:pPr>
            <w:r>
              <w:rPr>
                <w:rFonts w:ascii="Arial" w:eastAsia="宋体" w:hAnsi="Arial" w:cs="Arial"/>
                <w:b/>
                <w:bCs/>
                <w:color w:val="000000"/>
                <w:sz w:val="16"/>
                <w:szCs w:val="16"/>
              </w:rPr>
              <w:t>Exhibit Number</w:t>
            </w:r>
          </w:p>
        </w:tc>
        <w:tc>
          <w:tcPr>
            <w:tcW w:w="0" w:type="auto"/>
            <w:gridSpan w:val="3"/>
            <w:shd w:val="clear" w:color="auto" w:fill="auto"/>
            <w:tcMar>
              <w:top w:w="0" w:type="dxa"/>
              <w:left w:w="20" w:type="dxa"/>
              <w:bottom w:w="0" w:type="dxa"/>
              <w:right w:w="20" w:type="dxa"/>
            </w:tcMar>
          </w:tcPr>
          <w:p w14:paraId="7269004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vAlign w:val="bottom"/>
          </w:tcPr>
          <w:p w14:paraId="72690044" w14:textId="77777777" w:rsidR="005F762A" w:rsidRDefault="00D74111">
            <w:pPr>
              <w:textAlignment w:val="bottom"/>
            </w:pPr>
            <w:r>
              <w:rPr>
                <w:rFonts w:ascii="Arial" w:eastAsia="宋体" w:hAnsi="Arial" w:cs="Arial"/>
                <w:b/>
                <w:bCs/>
                <w:color w:val="000000"/>
                <w:sz w:val="16"/>
                <w:szCs w:val="16"/>
              </w:rPr>
              <w:t>Filed or furnished with this 10-Q</w:t>
            </w:r>
          </w:p>
        </w:tc>
        <w:tc>
          <w:tcPr>
            <w:tcW w:w="0" w:type="auto"/>
            <w:gridSpan w:val="3"/>
            <w:shd w:val="clear" w:color="auto" w:fill="auto"/>
            <w:tcMar>
              <w:top w:w="40" w:type="dxa"/>
              <w:left w:w="20" w:type="dxa"/>
              <w:bottom w:w="40" w:type="dxa"/>
              <w:right w:w="20" w:type="dxa"/>
            </w:tcMar>
            <w:vAlign w:val="bottom"/>
          </w:tcPr>
          <w:p w14:paraId="72690045" w14:textId="77777777" w:rsidR="005F762A" w:rsidRDefault="00D74111">
            <w:pPr>
              <w:textAlignment w:val="bottom"/>
            </w:pPr>
            <w:r>
              <w:rPr>
                <w:rFonts w:ascii="Arial" w:eastAsia="宋体" w:hAnsi="Arial" w:cs="Arial"/>
                <w:b/>
                <w:bCs/>
                <w:color w:val="000000"/>
                <w:sz w:val="16"/>
                <w:szCs w:val="16"/>
              </w:rPr>
              <w:t>Description</w:t>
            </w:r>
          </w:p>
        </w:tc>
      </w:tr>
      <w:tr w:rsidR="005F762A" w14:paraId="7269004B" w14:textId="77777777">
        <w:trPr>
          <w:jc w:val="center"/>
        </w:trPr>
        <w:tc>
          <w:tcPr>
            <w:tcW w:w="0" w:type="auto"/>
            <w:gridSpan w:val="3"/>
            <w:shd w:val="clear" w:color="auto" w:fill="auto"/>
            <w:tcMar>
              <w:top w:w="40" w:type="dxa"/>
              <w:left w:w="20" w:type="dxa"/>
              <w:bottom w:w="40" w:type="dxa"/>
              <w:right w:w="20" w:type="dxa"/>
            </w:tcMar>
          </w:tcPr>
          <w:p w14:paraId="72690047" w14:textId="77777777" w:rsidR="005F762A" w:rsidRDefault="00D74111">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tcPr>
          <w:p w14:paraId="72690048"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49"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4A" w14:textId="77777777" w:rsidR="005F762A" w:rsidRDefault="00D74111">
            <w:pPr>
              <w:textAlignment w:val="top"/>
            </w:pPr>
            <w:hyperlink r:id="rId7" w:history="1">
              <w:r>
                <w:rPr>
                  <w:rStyle w:val="a5"/>
                  <w:rFonts w:ascii="Arial" w:eastAsia="宋体" w:hAnsi="Arial" w:cs="Arial"/>
                  <w:sz w:val="18"/>
                  <w:szCs w:val="18"/>
                </w:rPr>
                <w:t>Certification of Registrant’s Chief Executive Officer, as required by Section 302 of the Sarbanes-Oxley Act of 2002.</w:t>
              </w:r>
            </w:hyperlink>
          </w:p>
        </w:tc>
      </w:tr>
      <w:tr w:rsidR="005F762A" w14:paraId="72690050" w14:textId="77777777">
        <w:trPr>
          <w:jc w:val="center"/>
        </w:trPr>
        <w:tc>
          <w:tcPr>
            <w:tcW w:w="0" w:type="auto"/>
            <w:gridSpan w:val="3"/>
            <w:shd w:val="clear" w:color="auto" w:fill="auto"/>
            <w:tcMar>
              <w:top w:w="40" w:type="dxa"/>
              <w:left w:w="20" w:type="dxa"/>
              <w:bottom w:w="40" w:type="dxa"/>
              <w:right w:w="20" w:type="dxa"/>
            </w:tcMar>
          </w:tcPr>
          <w:p w14:paraId="7269004C" w14:textId="77777777" w:rsidR="005F762A" w:rsidRDefault="00D74111">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tcPr>
          <w:p w14:paraId="7269004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4E"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4F" w14:textId="77777777" w:rsidR="005F762A" w:rsidRDefault="00D74111">
            <w:pPr>
              <w:textAlignment w:val="top"/>
            </w:pPr>
            <w:hyperlink r:id="rId8" w:history="1">
              <w:r>
                <w:rPr>
                  <w:rStyle w:val="a5"/>
                  <w:rFonts w:ascii="Arial" w:eastAsia="宋体" w:hAnsi="Arial" w:cs="Arial"/>
                  <w:sz w:val="18"/>
                  <w:szCs w:val="18"/>
                </w:rPr>
                <w:t>Certification of Registrant’s Chief Financial Officer, as required by Section 302 of the Sarbanes-Oxley Act of 2002.</w:t>
              </w:r>
            </w:hyperlink>
          </w:p>
        </w:tc>
      </w:tr>
      <w:tr w:rsidR="005F762A" w14:paraId="72690055" w14:textId="77777777">
        <w:trPr>
          <w:jc w:val="center"/>
        </w:trPr>
        <w:tc>
          <w:tcPr>
            <w:tcW w:w="0" w:type="auto"/>
            <w:gridSpan w:val="3"/>
            <w:shd w:val="clear" w:color="auto" w:fill="auto"/>
            <w:tcMar>
              <w:top w:w="40" w:type="dxa"/>
              <w:left w:w="20" w:type="dxa"/>
              <w:bottom w:w="40" w:type="dxa"/>
              <w:right w:w="20" w:type="dxa"/>
            </w:tcMar>
          </w:tcPr>
          <w:p w14:paraId="72690051" w14:textId="77777777" w:rsidR="005F762A" w:rsidRDefault="00D74111">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tcPr>
          <w:p w14:paraId="7269005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53"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54" w14:textId="77777777" w:rsidR="005F762A" w:rsidRDefault="00D74111">
            <w:pPr>
              <w:textAlignment w:val="top"/>
            </w:pPr>
            <w:hyperlink r:id="rId9" w:history="1">
              <w:r>
                <w:rPr>
                  <w:rStyle w:val="a5"/>
                  <w:rFonts w:ascii="Arial" w:eastAsia="宋体" w:hAnsi="Arial" w:cs="Arial"/>
                  <w:sz w:val="18"/>
                  <w:szCs w:val="18"/>
                </w:rPr>
                <w:t>Certification of Registrant’s Chief Executive Officer, as required by Section 906 of the Sarbanes-Oxley Act of 2002.</w:t>
              </w:r>
            </w:hyperlink>
          </w:p>
        </w:tc>
      </w:tr>
      <w:tr w:rsidR="005F762A" w14:paraId="7269005A" w14:textId="77777777">
        <w:trPr>
          <w:jc w:val="center"/>
        </w:trPr>
        <w:tc>
          <w:tcPr>
            <w:tcW w:w="0" w:type="auto"/>
            <w:gridSpan w:val="3"/>
            <w:shd w:val="clear" w:color="auto" w:fill="auto"/>
            <w:tcMar>
              <w:top w:w="40" w:type="dxa"/>
              <w:left w:w="20" w:type="dxa"/>
              <w:bottom w:w="40" w:type="dxa"/>
              <w:right w:w="20" w:type="dxa"/>
            </w:tcMar>
          </w:tcPr>
          <w:p w14:paraId="72690056" w14:textId="77777777" w:rsidR="005F762A" w:rsidRDefault="00D74111">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tcPr>
          <w:p w14:paraId="7269005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58"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59" w14:textId="77777777" w:rsidR="005F762A" w:rsidRDefault="00D74111">
            <w:pPr>
              <w:textAlignment w:val="top"/>
            </w:pPr>
            <w:hyperlink r:id="rId10" w:history="1">
              <w:r>
                <w:rPr>
                  <w:rStyle w:val="a5"/>
                  <w:rFonts w:ascii="Arial" w:eastAsia="宋体" w:hAnsi="Arial" w:cs="Arial"/>
                  <w:sz w:val="18"/>
                  <w:szCs w:val="18"/>
                </w:rPr>
                <w:t>Certification of Registrant’s Chief Financial Officer, as required by Section 906 of the Sarbanes-Oxley Act of 2002.</w:t>
              </w:r>
            </w:hyperlink>
          </w:p>
        </w:tc>
      </w:tr>
      <w:tr w:rsidR="005F762A" w14:paraId="7269005F" w14:textId="77777777">
        <w:trPr>
          <w:jc w:val="center"/>
        </w:trPr>
        <w:tc>
          <w:tcPr>
            <w:tcW w:w="0" w:type="auto"/>
            <w:gridSpan w:val="3"/>
            <w:shd w:val="clear" w:color="auto" w:fill="auto"/>
            <w:tcMar>
              <w:top w:w="40" w:type="dxa"/>
              <w:left w:w="20" w:type="dxa"/>
              <w:bottom w:w="40" w:type="dxa"/>
              <w:right w:w="20" w:type="dxa"/>
            </w:tcMar>
          </w:tcPr>
          <w:p w14:paraId="7269005B" w14:textId="77777777" w:rsidR="005F762A" w:rsidRDefault="00D74111">
            <w:pPr>
              <w:textAlignment w:val="top"/>
            </w:pPr>
            <w:r>
              <w:rPr>
                <w:rFonts w:ascii="Arial" w:eastAsia="宋体" w:hAnsi="Arial" w:cs="Arial"/>
                <w:color w:val="000000"/>
                <w:sz w:val="18"/>
                <w:szCs w:val="18"/>
              </w:rPr>
              <w:t>101.INS</w:t>
            </w:r>
          </w:p>
        </w:tc>
        <w:tc>
          <w:tcPr>
            <w:tcW w:w="0" w:type="auto"/>
            <w:gridSpan w:val="3"/>
            <w:shd w:val="clear" w:color="auto" w:fill="auto"/>
            <w:tcMar>
              <w:top w:w="0" w:type="dxa"/>
              <w:left w:w="20" w:type="dxa"/>
              <w:bottom w:w="0" w:type="dxa"/>
              <w:right w:w="20" w:type="dxa"/>
            </w:tcMar>
          </w:tcPr>
          <w:p w14:paraId="7269005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5D"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5E" w14:textId="77777777" w:rsidR="005F762A" w:rsidRDefault="00D74111">
            <w:pPr>
              <w:textAlignment w:val="top"/>
            </w:pPr>
            <w:r>
              <w:rPr>
                <w:rFonts w:ascii="Arial" w:eastAsia="宋体" w:hAnsi="Arial" w:cs="Arial"/>
                <w:color w:val="000000"/>
                <w:sz w:val="18"/>
                <w:szCs w:val="18"/>
              </w:rPr>
              <w:t>Inline XBRL Instance</w:t>
            </w:r>
            <w:r>
              <w:rPr>
                <w:rFonts w:ascii="Arial" w:eastAsia="宋体" w:hAnsi="Arial" w:cs="Arial"/>
                <w:color w:val="000000"/>
                <w:sz w:val="18"/>
                <w:szCs w:val="18"/>
              </w:rPr>
              <w:t xml:space="preserve"> Document (the Instance Document does not appear in the Interactive Data File because its XBRL tags are embedded within the Inline XBRL document)</w:t>
            </w:r>
          </w:p>
        </w:tc>
      </w:tr>
      <w:tr w:rsidR="005F762A" w14:paraId="72690064" w14:textId="77777777">
        <w:trPr>
          <w:jc w:val="center"/>
        </w:trPr>
        <w:tc>
          <w:tcPr>
            <w:tcW w:w="0" w:type="auto"/>
            <w:gridSpan w:val="3"/>
            <w:shd w:val="clear" w:color="auto" w:fill="auto"/>
            <w:tcMar>
              <w:top w:w="40" w:type="dxa"/>
              <w:left w:w="20" w:type="dxa"/>
              <w:bottom w:w="40" w:type="dxa"/>
              <w:right w:w="20" w:type="dxa"/>
            </w:tcMar>
          </w:tcPr>
          <w:p w14:paraId="72690060" w14:textId="77777777" w:rsidR="005F762A" w:rsidRDefault="00D74111">
            <w:pPr>
              <w:textAlignment w:val="top"/>
            </w:pPr>
            <w:r>
              <w:rPr>
                <w:rFonts w:ascii="Arial" w:eastAsia="宋体" w:hAnsi="Arial" w:cs="Arial"/>
                <w:color w:val="000000"/>
                <w:sz w:val="18"/>
                <w:szCs w:val="18"/>
              </w:rPr>
              <w:t>101.SCH</w:t>
            </w:r>
          </w:p>
        </w:tc>
        <w:tc>
          <w:tcPr>
            <w:tcW w:w="0" w:type="auto"/>
            <w:gridSpan w:val="3"/>
            <w:shd w:val="clear" w:color="auto" w:fill="auto"/>
            <w:tcMar>
              <w:top w:w="0" w:type="dxa"/>
              <w:left w:w="20" w:type="dxa"/>
              <w:bottom w:w="0" w:type="dxa"/>
              <w:right w:w="20" w:type="dxa"/>
            </w:tcMar>
          </w:tcPr>
          <w:p w14:paraId="7269006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62"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63" w14:textId="77777777" w:rsidR="005F762A" w:rsidRDefault="00D74111">
            <w:pPr>
              <w:textAlignment w:val="top"/>
            </w:pPr>
            <w:r>
              <w:rPr>
                <w:rFonts w:ascii="Arial" w:eastAsia="宋体" w:hAnsi="Arial" w:cs="Arial"/>
                <w:color w:val="000000"/>
                <w:sz w:val="18"/>
                <w:szCs w:val="18"/>
              </w:rPr>
              <w:t>Inline XBRL Taxonomy Extension Schema Document</w:t>
            </w:r>
          </w:p>
        </w:tc>
      </w:tr>
      <w:tr w:rsidR="005F762A" w14:paraId="72690069" w14:textId="77777777">
        <w:trPr>
          <w:jc w:val="center"/>
        </w:trPr>
        <w:tc>
          <w:tcPr>
            <w:tcW w:w="0" w:type="auto"/>
            <w:gridSpan w:val="3"/>
            <w:shd w:val="clear" w:color="auto" w:fill="auto"/>
            <w:tcMar>
              <w:top w:w="40" w:type="dxa"/>
              <w:left w:w="20" w:type="dxa"/>
              <w:bottom w:w="40" w:type="dxa"/>
              <w:right w:w="20" w:type="dxa"/>
            </w:tcMar>
          </w:tcPr>
          <w:p w14:paraId="72690065" w14:textId="77777777" w:rsidR="005F762A" w:rsidRDefault="00D74111">
            <w:pPr>
              <w:textAlignment w:val="top"/>
            </w:pPr>
            <w:r>
              <w:rPr>
                <w:rFonts w:ascii="Arial" w:eastAsia="宋体" w:hAnsi="Arial" w:cs="Arial"/>
                <w:color w:val="000000"/>
                <w:sz w:val="18"/>
                <w:szCs w:val="18"/>
              </w:rPr>
              <w:t>101.CAL</w:t>
            </w:r>
          </w:p>
        </w:tc>
        <w:tc>
          <w:tcPr>
            <w:tcW w:w="0" w:type="auto"/>
            <w:gridSpan w:val="3"/>
            <w:shd w:val="clear" w:color="auto" w:fill="auto"/>
            <w:tcMar>
              <w:top w:w="0" w:type="dxa"/>
              <w:left w:w="20" w:type="dxa"/>
              <w:bottom w:w="0" w:type="dxa"/>
              <w:right w:w="20" w:type="dxa"/>
            </w:tcMar>
          </w:tcPr>
          <w:p w14:paraId="72690066"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67"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68" w14:textId="77777777" w:rsidR="005F762A" w:rsidRDefault="00D74111">
            <w:pPr>
              <w:textAlignment w:val="top"/>
            </w:pPr>
            <w:r>
              <w:rPr>
                <w:rFonts w:ascii="Arial" w:eastAsia="宋体" w:hAnsi="Arial" w:cs="Arial"/>
                <w:color w:val="000000"/>
                <w:sz w:val="18"/>
                <w:szCs w:val="18"/>
              </w:rPr>
              <w:t xml:space="preserve">Inline XBRL Taxonomy Extension </w:t>
            </w:r>
            <w:r>
              <w:rPr>
                <w:rFonts w:ascii="Arial" w:eastAsia="宋体" w:hAnsi="Arial" w:cs="Arial"/>
                <w:color w:val="000000"/>
                <w:sz w:val="18"/>
                <w:szCs w:val="18"/>
              </w:rPr>
              <w:t>Calculation Linkbase Document</w:t>
            </w:r>
          </w:p>
        </w:tc>
      </w:tr>
      <w:tr w:rsidR="005F762A" w14:paraId="7269006E" w14:textId="77777777">
        <w:trPr>
          <w:jc w:val="center"/>
        </w:trPr>
        <w:tc>
          <w:tcPr>
            <w:tcW w:w="0" w:type="auto"/>
            <w:gridSpan w:val="3"/>
            <w:shd w:val="clear" w:color="auto" w:fill="auto"/>
            <w:tcMar>
              <w:top w:w="40" w:type="dxa"/>
              <w:left w:w="20" w:type="dxa"/>
              <w:bottom w:w="40" w:type="dxa"/>
              <w:right w:w="20" w:type="dxa"/>
            </w:tcMar>
          </w:tcPr>
          <w:p w14:paraId="7269006A" w14:textId="77777777" w:rsidR="005F762A" w:rsidRDefault="00D74111">
            <w:pPr>
              <w:textAlignment w:val="top"/>
            </w:pPr>
            <w:r>
              <w:rPr>
                <w:rFonts w:ascii="Arial" w:eastAsia="宋体" w:hAnsi="Arial" w:cs="Arial"/>
                <w:color w:val="000000"/>
                <w:sz w:val="18"/>
                <w:szCs w:val="18"/>
              </w:rPr>
              <w:t>101.DEF</w:t>
            </w:r>
          </w:p>
        </w:tc>
        <w:tc>
          <w:tcPr>
            <w:tcW w:w="0" w:type="auto"/>
            <w:gridSpan w:val="3"/>
            <w:shd w:val="clear" w:color="auto" w:fill="auto"/>
            <w:tcMar>
              <w:top w:w="0" w:type="dxa"/>
              <w:left w:w="20" w:type="dxa"/>
              <w:bottom w:w="0" w:type="dxa"/>
              <w:right w:w="20" w:type="dxa"/>
            </w:tcMar>
          </w:tcPr>
          <w:p w14:paraId="7269006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6C"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6D" w14:textId="77777777" w:rsidR="005F762A" w:rsidRDefault="00D74111">
            <w:pPr>
              <w:textAlignment w:val="top"/>
            </w:pPr>
            <w:r>
              <w:rPr>
                <w:rFonts w:ascii="Arial" w:eastAsia="宋体" w:hAnsi="Arial" w:cs="Arial"/>
                <w:color w:val="000000"/>
                <w:sz w:val="18"/>
                <w:szCs w:val="18"/>
              </w:rPr>
              <w:t>Inline XBRL Taxonomy Extension Definition Linkbase Document</w:t>
            </w:r>
          </w:p>
        </w:tc>
      </w:tr>
      <w:tr w:rsidR="005F762A" w14:paraId="72690073" w14:textId="77777777">
        <w:trPr>
          <w:jc w:val="center"/>
        </w:trPr>
        <w:tc>
          <w:tcPr>
            <w:tcW w:w="0" w:type="auto"/>
            <w:gridSpan w:val="3"/>
            <w:shd w:val="clear" w:color="auto" w:fill="auto"/>
            <w:tcMar>
              <w:top w:w="40" w:type="dxa"/>
              <w:left w:w="20" w:type="dxa"/>
              <w:bottom w:w="40" w:type="dxa"/>
              <w:right w:w="20" w:type="dxa"/>
            </w:tcMar>
          </w:tcPr>
          <w:p w14:paraId="7269006F" w14:textId="77777777" w:rsidR="005F762A" w:rsidRDefault="00D74111">
            <w:pPr>
              <w:textAlignment w:val="top"/>
            </w:pPr>
            <w:r>
              <w:rPr>
                <w:rFonts w:ascii="Arial" w:eastAsia="宋体" w:hAnsi="Arial" w:cs="Arial"/>
                <w:color w:val="000000"/>
                <w:sz w:val="18"/>
                <w:szCs w:val="18"/>
              </w:rPr>
              <w:t>101.LAB</w:t>
            </w:r>
          </w:p>
        </w:tc>
        <w:tc>
          <w:tcPr>
            <w:tcW w:w="0" w:type="auto"/>
            <w:gridSpan w:val="3"/>
            <w:shd w:val="clear" w:color="auto" w:fill="auto"/>
            <w:tcMar>
              <w:top w:w="0" w:type="dxa"/>
              <w:left w:w="20" w:type="dxa"/>
              <w:bottom w:w="0" w:type="dxa"/>
              <w:right w:w="20" w:type="dxa"/>
            </w:tcMar>
          </w:tcPr>
          <w:p w14:paraId="72690070"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71"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72" w14:textId="77777777" w:rsidR="005F762A" w:rsidRDefault="00D74111">
            <w:pPr>
              <w:textAlignment w:val="top"/>
            </w:pPr>
            <w:r>
              <w:rPr>
                <w:rFonts w:ascii="Arial" w:eastAsia="宋体" w:hAnsi="Arial" w:cs="Arial"/>
                <w:color w:val="000000"/>
                <w:sz w:val="18"/>
                <w:szCs w:val="18"/>
              </w:rPr>
              <w:t>Inline XBRL Taxonomy Extension Label Linkbase Document</w:t>
            </w:r>
          </w:p>
        </w:tc>
      </w:tr>
      <w:tr w:rsidR="005F762A" w14:paraId="72690078" w14:textId="77777777">
        <w:trPr>
          <w:jc w:val="center"/>
        </w:trPr>
        <w:tc>
          <w:tcPr>
            <w:tcW w:w="0" w:type="auto"/>
            <w:gridSpan w:val="3"/>
            <w:shd w:val="clear" w:color="auto" w:fill="auto"/>
            <w:tcMar>
              <w:top w:w="40" w:type="dxa"/>
              <w:left w:w="20" w:type="dxa"/>
              <w:bottom w:w="40" w:type="dxa"/>
              <w:right w:w="20" w:type="dxa"/>
            </w:tcMar>
          </w:tcPr>
          <w:p w14:paraId="72690074" w14:textId="77777777" w:rsidR="005F762A" w:rsidRDefault="00D74111">
            <w:pPr>
              <w:textAlignment w:val="top"/>
            </w:pPr>
            <w:r>
              <w:rPr>
                <w:rFonts w:ascii="Arial" w:eastAsia="宋体" w:hAnsi="Arial" w:cs="Arial"/>
                <w:color w:val="000000"/>
                <w:sz w:val="18"/>
                <w:szCs w:val="18"/>
              </w:rPr>
              <w:t>101.PRE</w:t>
            </w:r>
          </w:p>
        </w:tc>
        <w:tc>
          <w:tcPr>
            <w:tcW w:w="0" w:type="auto"/>
            <w:gridSpan w:val="3"/>
            <w:shd w:val="clear" w:color="auto" w:fill="auto"/>
            <w:tcMar>
              <w:top w:w="0" w:type="dxa"/>
              <w:left w:w="20" w:type="dxa"/>
              <w:bottom w:w="0" w:type="dxa"/>
              <w:right w:w="20" w:type="dxa"/>
            </w:tcMar>
          </w:tcPr>
          <w:p w14:paraId="7269007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76"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77" w14:textId="77777777" w:rsidR="005F762A" w:rsidRDefault="00D74111">
            <w:pPr>
              <w:textAlignment w:val="top"/>
            </w:pPr>
            <w:r>
              <w:rPr>
                <w:rFonts w:ascii="Arial" w:eastAsia="宋体" w:hAnsi="Arial" w:cs="Arial"/>
                <w:color w:val="000000"/>
                <w:sz w:val="18"/>
                <w:szCs w:val="18"/>
              </w:rPr>
              <w:t>Inline XBRL Taxonomy Extension Presentation Linkbase Document</w:t>
            </w:r>
          </w:p>
        </w:tc>
      </w:tr>
      <w:tr w:rsidR="005F762A" w14:paraId="7269007D" w14:textId="77777777">
        <w:trPr>
          <w:jc w:val="center"/>
        </w:trPr>
        <w:tc>
          <w:tcPr>
            <w:tcW w:w="0" w:type="auto"/>
            <w:gridSpan w:val="3"/>
            <w:shd w:val="clear" w:color="auto" w:fill="auto"/>
            <w:tcMar>
              <w:top w:w="40" w:type="dxa"/>
              <w:left w:w="20" w:type="dxa"/>
              <w:bottom w:w="40" w:type="dxa"/>
              <w:right w:w="20" w:type="dxa"/>
            </w:tcMar>
          </w:tcPr>
          <w:p w14:paraId="72690079" w14:textId="77777777" w:rsidR="005F762A" w:rsidRDefault="00D74111">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tcPr>
          <w:p w14:paraId="7269007A"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7B" w14:textId="77777777" w:rsidR="005F762A" w:rsidRDefault="00D74111">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7269007C" w14:textId="77777777" w:rsidR="005F762A" w:rsidRDefault="00D74111">
            <w:pPr>
              <w:textAlignment w:val="top"/>
            </w:pPr>
            <w:r>
              <w:rPr>
                <w:rFonts w:ascii="Arial" w:eastAsia="宋体" w:hAnsi="Arial" w:cs="Arial"/>
                <w:color w:val="000000"/>
                <w:sz w:val="18"/>
                <w:szCs w:val="18"/>
              </w:rPr>
              <w:t>Cover Page Interactive Data File (formatted as Inline XBRL and contained in Exhibit 101)</w:t>
            </w:r>
          </w:p>
        </w:tc>
      </w:tr>
    </w:tbl>
    <w:p w14:paraId="7269007E" w14:textId="77777777" w:rsidR="005F762A" w:rsidRDefault="005F762A"/>
    <w:p w14:paraId="7269007F" w14:textId="77777777" w:rsidR="005F762A" w:rsidRDefault="005F762A"/>
    <w:p w14:paraId="72690080" w14:textId="77777777" w:rsidR="005F762A" w:rsidRDefault="005F762A">
      <w:pPr>
        <w:ind w:hanging="180"/>
      </w:pPr>
    </w:p>
    <w:p w14:paraId="72690081" w14:textId="77777777" w:rsidR="005F762A" w:rsidRDefault="005F762A">
      <w:pPr>
        <w:spacing w:before="60"/>
      </w:pPr>
    </w:p>
    <w:p w14:paraId="72690082" w14:textId="77777777" w:rsidR="005F762A" w:rsidRDefault="005F762A">
      <w:pPr>
        <w:ind w:hanging="360"/>
      </w:pPr>
    </w:p>
    <w:p w14:paraId="72690083" w14:textId="77777777" w:rsidR="005F762A" w:rsidRDefault="005F762A">
      <w:pPr>
        <w:ind w:hanging="360"/>
      </w:pPr>
    </w:p>
    <w:p w14:paraId="72690084" w14:textId="77777777" w:rsidR="005F762A" w:rsidRDefault="005F762A">
      <w:pPr>
        <w:ind w:hanging="360"/>
      </w:pPr>
    </w:p>
    <w:p w14:paraId="72690085" w14:textId="77777777" w:rsidR="005F762A" w:rsidRDefault="005F762A">
      <w:pPr>
        <w:ind w:hanging="360"/>
      </w:pPr>
    </w:p>
    <w:p w14:paraId="72690086" w14:textId="77777777" w:rsidR="005F762A" w:rsidRDefault="005F762A">
      <w:pPr>
        <w:ind w:hanging="360"/>
      </w:pPr>
    </w:p>
    <w:p w14:paraId="72690087" w14:textId="77777777" w:rsidR="005F762A" w:rsidRDefault="005F762A">
      <w:pPr>
        <w:jc w:val="center"/>
      </w:pPr>
    </w:p>
    <w:p w14:paraId="72690088" w14:textId="77777777" w:rsidR="005F762A" w:rsidRDefault="005F762A"/>
    <w:p w14:paraId="72690089" w14:textId="77777777" w:rsidR="005F762A" w:rsidRDefault="005F762A">
      <w:pPr>
        <w:jc w:val="center"/>
      </w:pPr>
    </w:p>
    <w:p w14:paraId="7269008A" w14:textId="77777777" w:rsidR="005F762A" w:rsidRDefault="00D74111">
      <w:pPr>
        <w:jc w:val="center"/>
      </w:pPr>
      <w:r>
        <w:rPr>
          <w:rFonts w:ascii="Arial" w:eastAsia="宋体" w:hAnsi="Arial" w:cs="Arial"/>
          <w:color w:val="000000"/>
          <w:sz w:val="20"/>
          <w:szCs w:val="20"/>
        </w:rPr>
        <w:t>48</w:t>
      </w:r>
    </w:p>
    <w:p w14:paraId="7269008B" w14:textId="77777777" w:rsidR="005F762A" w:rsidRDefault="00D74111">
      <w:r>
        <w:pict w14:anchorId="7269016F">
          <v:rect id="_x0000_i1072" style="width:415.3pt;height:1.5pt" o:hralign="center" o:hrstd="t" o:hr="t" fillcolor="#a0a0a0" stroked="f"/>
        </w:pict>
      </w:r>
    </w:p>
    <w:p w14:paraId="7269008C" w14:textId="77777777" w:rsidR="005F762A" w:rsidRDefault="005F762A"/>
    <w:p w14:paraId="7269008D" w14:textId="77777777" w:rsidR="005F762A" w:rsidRDefault="00D74111">
      <w:pPr>
        <w:jc w:val="center"/>
      </w:pPr>
      <w:r>
        <w:rPr>
          <w:rFonts w:ascii="Arial" w:eastAsia="宋体" w:hAnsi="Arial" w:cs="Arial"/>
          <w:b/>
          <w:bCs/>
          <w:color w:val="000000"/>
          <w:sz w:val="20"/>
          <w:szCs w:val="20"/>
        </w:rPr>
        <w:t>SIGNATURES</w:t>
      </w:r>
    </w:p>
    <w:p w14:paraId="7269008E" w14:textId="77777777" w:rsidR="005F762A" w:rsidRDefault="005F762A">
      <w:pPr>
        <w:jc w:val="center"/>
      </w:pPr>
    </w:p>
    <w:p w14:paraId="7269008F" w14:textId="77777777" w:rsidR="005F762A" w:rsidRDefault="00D74111">
      <w:pPr>
        <w:ind w:firstLine="495"/>
      </w:pPr>
      <w:r>
        <w:rPr>
          <w:rFonts w:ascii="Arial" w:eastAsia="宋体" w:hAnsi="Arial" w:cs="Arial"/>
          <w:color w:val="000000"/>
          <w:sz w:val="20"/>
          <w:szCs w:val="20"/>
        </w:rPr>
        <w:t xml:space="preserve">Pursuant to the requirements of the Securities Exchange Act of 1934, the registrant has duly caused this report to be signed on its </w:t>
      </w:r>
      <w:r>
        <w:rPr>
          <w:rFonts w:ascii="Arial" w:eastAsia="宋体" w:hAnsi="Arial" w:cs="Arial"/>
          <w:color w:val="000000"/>
          <w:sz w:val="20"/>
          <w:szCs w:val="20"/>
        </w:rPr>
        <w:t>behalf by the undersigned thereunto duly authorized.</w:t>
      </w:r>
    </w:p>
    <w:p w14:paraId="72690090" w14:textId="77777777" w:rsidR="005F762A" w:rsidRDefault="00D74111">
      <w:r>
        <w:rPr>
          <w:rFonts w:ascii="Arial" w:eastAsia="宋体" w:hAnsi="Arial" w:cs="Arial"/>
          <w:color w:val="000000"/>
          <w:sz w:val="20"/>
          <w:szCs w:val="20"/>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5F762A" w14:paraId="7269009D" w14:textId="77777777">
        <w:trPr>
          <w:jc w:val="center"/>
        </w:trPr>
        <w:tc>
          <w:tcPr>
            <w:tcW w:w="50" w:type="pct"/>
            <w:shd w:val="clear" w:color="auto" w:fill="auto"/>
          </w:tcPr>
          <w:p w14:paraId="72690091" w14:textId="77777777" w:rsidR="005F762A" w:rsidRDefault="005F762A">
            <w:pPr>
              <w:rPr>
                <w:rFonts w:ascii="宋体"/>
              </w:rPr>
            </w:pPr>
          </w:p>
        </w:tc>
        <w:tc>
          <w:tcPr>
            <w:tcW w:w="289" w:type="pct"/>
            <w:shd w:val="clear" w:color="auto" w:fill="auto"/>
          </w:tcPr>
          <w:p w14:paraId="72690092" w14:textId="77777777" w:rsidR="005F762A" w:rsidRDefault="005F762A">
            <w:pPr>
              <w:rPr>
                <w:rFonts w:ascii="宋体"/>
              </w:rPr>
            </w:pPr>
          </w:p>
        </w:tc>
        <w:tc>
          <w:tcPr>
            <w:tcW w:w="5" w:type="pct"/>
            <w:shd w:val="clear" w:color="auto" w:fill="auto"/>
          </w:tcPr>
          <w:p w14:paraId="72690093" w14:textId="77777777" w:rsidR="005F762A" w:rsidRDefault="005F762A">
            <w:pPr>
              <w:rPr>
                <w:rFonts w:ascii="宋体"/>
              </w:rPr>
            </w:pPr>
          </w:p>
        </w:tc>
        <w:tc>
          <w:tcPr>
            <w:tcW w:w="50" w:type="pct"/>
            <w:shd w:val="clear" w:color="auto" w:fill="auto"/>
          </w:tcPr>
          <w:p w14:paraId="72690094" w14:textId="77777777" w:rsidR="005F762A" w:rsidRDefault="005F762A">
            <w:pPr>
              <w:rPr>
                <w:rFonts w:ascii="宋体"/>
              </w:rPr>
            </w:pPr>
          </w:p>
        </w:tc>
        <w:tc>
          <w:tcPr>
            <w:tcW w:w="2104" w:type="pct"/>
            <w:shd w:val="clear" w:color="auto" w:fill="auto"/>
          </w:tcPr>
          <w:p w14:paraId="72690095" w14:textId="77777777" w:rsidR="005F762A" w:rsidRDefault="005F762A">
            <w:pPr>
              <w:rPr>
                <w:rFonts w:ascii="宋体"/>
              </w:rPr>
            </w:pPr>
          </w:p>
        </w:tc>
        <w:tc>
          <w:tcPr>
            <w:tcW w:w="5" w:type="pct"/>
            <w:shd w:val="clear" w:color="auto" w:fill="auto"/>
          </w:tcPr>
          <w:p w14:paraId="72690096" w14:textId="77777777" w:rsidR="005F762A" w:rsidRDefault="005F762A">
            <w:pPr>
              <w:rPr>
                <w:rFonts w:ascii="宋体"/>
              </w:rPr>
            </w:pPr>
          </w:p>
        </w:tc>
        <w:tc>
          <w:tcPr>
            <w:tcW w:w="50" w:type="pct"/>
            <w:shd w:val="clear" w:color="auto" w:fill="auto"/>
          </w:tcPr>
          <w:p w14:paraId="72690097" w14:textId="77777777" w:rsidR="005F762A" w:rsidRDefault="005F762A">
            <w:pPr>
              <w:rPr>
                <w:rFonts w:ascii="宋体"/>
              </w:rPr>
            </w:pPr>
          </w:p>
        </w:tc>
        <w:tc>
          <w:tcPr>
            <w:tcW w:w="215" w:type="pct"/>
            <w:shd w:val="clear" w:color="auto" w:fill="auto"/>
          </w:tcPr>
          <w:p w14:paraId="72690098" w14:textId="77777777" w:rsidR="005F762A" w:rsidRDefault="005F762A">
            <w:pPr>
              <w:rPr>
                <w:rFonts w:ascii="宋体"/>
              </w:rPr>
            </w:pPr>
          </w:p>
        </w:tc>
        <w:tc>
          <w:tcPr>
            <w:tcW w:w="5" w:type="pct"/>
            <w:shd w:val="clear" w:color="auto" w:fill="auto"/>
          </w:tcPr>
          <w:p w14:paraId="72690099" w14:textId="77777777" w:rsidR="005F762A" w:rsidRDefault="005F762A">
            <w:pPr>
              <w:rPr>
                <w:rFonts w:ascii="宋体"/>
              </w:rPr>
            </w:pPr>
          </w:p>
        </w:tc>
        <w:tc>
          <w:tcPr>
            <w:tcW w:w="50" w:type="pct"/>
            <w:shd w:val="clear" w:color="auto" w:fill="auto"/>
          </w:tcPr>
          <w:p w14:paraId="7269009A" w14:textId="77777777" w:rsidR="005F762A" w:rsidRDefault="005F762A">
            <w:pPr>
              <w:rPr>
                <w:rFonts w:ascii="宋体"/>
              </w:rPr>
            </w:pPr>
          </w:p>
        </w:tc>
        <w:tc>
          <w:tcPr>
            <w:tcW w:w="2170" w:type="pct"/>
            <w:shd w:val="clear" w:color="auto" w:fill="auto"/>
          </w:tcPr>
          <w:p w14:paraId="7269009B" w14:textId="77777777" w:rsidR="005F762A" w:rsidRDefault="005F762A">
            <w:pPr>
              <w:rPr>
                <w:rFonts w:ascii="宋体"/>
              </w:rPr>
            </w:pPr>
          </w:p>
        </w:tc>
        <w:tc>
          <w:tcPr>
            <w:tcW w:w="5" w:type="pct"/>
            <w:shd w:val="clear" w:color="auto" w:fill="auto"/>
          </w:tcPr>
          <w:p w14:paraId="7269009C" w14:textId="77777777" w:rsidR="005F762A" w:rsidRDefault="005F762A">
            <w:pPr>
              <w:rPr>
                <w:rFonts w:ascii="宋体"/>
              </w:rPr>
            </w:pPr>
          </w:p>
        </w:tc>
      </w:tr>
      <w:tr w:rsidR="005F762A" w14:paraId="726900A1" w14:textId="77777777">
        <w:trPr>
          <w:jc w:val="center"/>
        </w:trPr>
        <w:tc>
          <w:tcPr>
            <w:tcW w:w="0" w:type="auto"/>
            <w:gridSpan w:val="3"/>
            <w:shd w:val="clear" w:color="auto" w:fill="auto"/>
            <w:tcMar>
              <w:top w:w="0" w:type="dxa"/>
              <w:left w:w="20" w:type="dxa"/>
              <w:bottom w:w="0" w:type="dxa"/>
              <w:right w:w="20" w:type="dxa"/>
            </w:tcMar>
          </w:tcPr>
          <w:p w14:paraId="7269009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9F" w14:textId="77777777" w:rsidR="005F762A" w:rsidRDefault="00D74111">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726900A0" w14:textId="77777777" w:rsidR="005F762A" w:rsidRDefault="00D74111">
            <w:pPr>
              <w:textAlignment w:val="top"/>
            </w:pPr>
            <w:r>
              <w:rPr>
                <w:rFonts w:ascii="Arial" w:eastAsia="宋体" w:hAnsi="Arial" w:cs="Arial"/>
                <w:color w:val="000000"/>
                <w:sz w:val="20"/>
                <w:szCs w:val="20"/>
              </w:rPr>
              <w:t>eBay Inc.</w:t>
            </w:r>
          </w:p>
        </w:tc>
      </w:tr>
      <w:tr w:rsidR="005F762A" w14:paraId="726900A5" w14:textId="77777777">
        <w:trPr>
          <w:jc w:val="center"/>
        </w:trPr>
        <w:tc>
          <w:tcPr>
            <w:tcW w:w="0" w:type="auto"/>
            <w:gridSpan w:val="3"/>
            <w:shd w:val="clear" w:color="auto" w:fill="auto"/>
            <w:tcMar>
              <w:top w:w="0" w:type="dxa"/>
              <w:left w:w="20" w:type="dxa"/>
              <w:bottom w:w="0" w:type="dxa"/>
              <w:right w:w="20" w:type="dxa"/>
            </w:tcMar>
          </w:tcPr>
          <w:p w14:paraId="726900A2"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A3" w14:textId="77777777" w:rsidR="005F762A" w:rsidRDefault="00D74111">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726900A4" w14:textId="77777777" w:rsidR="005F762A" w:rsidRDefault="00D74111">
            <w:pPr>
              <w:textAlignment w:val="top"/>
            </w:pPr>
            <w:r>
              <w:rPr>
                <w:rFonts w:ascii="Arial" w:eastAsia="宋体" w:hAnsi="Arial" w:cs="Arial"/>
                <w:color w:val="000000"/>
                <w:sz w:val="20"/>
                <w:szCs w:val="20"/>
              </w:rPr>
              <w:t>Principal Executive Officer:</w:t>
            </w:r>
          </w:p>
        </w:tc>
      </w:tr>
      <w:tr w:rsidR="005F762A" w14:paraId="726900AA" w14:textId="77777777">
        <w:trPr>
          <w:trHeight w:val="280"/>
          <w:jc w:val="center"/>
        </w:trPr>
        <w:tc>
          <w:tcPr>
            <w:tcW w:w="0" w:type="auto"/>
            <w:gridSpan w:val="3"/>
            <w:shd w:val="clear" w:color="auto" w:fill="auto"/>
            <w:tcMar>
              <w:top w:w="0" w:type="dxa"/>
              <w:left w:w="20" w:type="dxa"/>
              <w:bottom w:w="0" w:type="dxa"/>
              <w:right w:w="20" w:type="dxa"/>
            </w:tcMar>
          </w:tcPr>
          <w:p w14:paraId="726900A6"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A7"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A8"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A9" w14:textId="77777777" w:rsidR="005F762A" w:rsidRDefault="005F762A">
            <w:pPr>
              <w:rPr>
                <w:rFonts w:ascii="宋体"/>
              </w:rPr>
            </w:pPr>
          </w:p>
        </w:tc>
      </w:tr>
      <w:tr w:rsidR="005F762A" w14:paraId="726900AF" w14:textId="77777777">
        <w:trPr>
          <w:jc w:val="center"/>
        </w:trPr>
        <w:tc>
          <w:tcPr>
            <w:tcW w:w="0" w:type="auto"/>
            <w:gridSpan w:val="3"/>
            <w:shd w:val="clear" w:color="auto" w:fill="auto"/>
            <w:tcMar>
              <w:top w:w="0" w:type="dxa"/>
              <w:left w:w="20" w:type="dxa"/>
              <w:bottom w:w="0" w:type="dxa"/>
              <w:right w:w="20" w:type="dxa"/>
            </w:tcMar>
          </w:tcPr>
          <w:p w14:paraId="726900AB"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AC" w14:textId="77777777" w:rsidR="005F762A" w:rsidRDefault="00D74111">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726900AD" w14:textId="77777777" w:rsidR="005F762A" w:rsidRDefault="00D74111">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726900AE" w14:textId="77777777" w:rsidR="005F762A" w:rsidRDefault="00D74111">
            <w:pPr>
              <w:textAlignment w:val="bottom"/>
            </w:pPr>
            <w:r>
              <w:rPr>
                <w:rFonts w:ascii="Arial" w:eastAsia="宋体" w:hAnsi="Arial" w:cs="Arial"/>
                <w:color w:val="000000"/>
                <w:sz w:val="20"/>
                <w:szCs w:val="20"/>
              </w:rPr>
              <w:t>/s/ Jamie Iannone</w:t>
            </w:r>
          </w:p>
        </w:tc>
      </w:tr>
      <w:tr w:rsidR="005F762A" w14:paraId="726900B4" w14:textId="77777777">
        <w:trPr>
          <w:jc w:val="center"/>
        </w:trPr>
        <w:tc>
          <w:tcPr>
            <w:tcW w:w="0" w:type="auto"/>
            <w:gridSpan w:val="3"/>
            <w:shd w:val="clear" w:color="auto" w:fill="auto"/>
            <w:tcMar>
              <w:top w:w="0" w:type="dxa"/>
              <w:left w:w="20" w:type="dxa"/>
              <w:bottom w:w="0" w:type="dxa"/>
              <w:right w:w="20" w:type="dxa"/>
            </w:tcMar>
          </w:tcPr>
          <w:p w14:paraId="726900B0"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B1" w14:textId="77777777" w:rsidR="005F762A" w:rsidRDefault="00D74111">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726900B2" w14:textId="77777777" w:rsidR="005F762A" w:rsidRDefault="00D74111">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726900B3" w14:textId="77777777" w:rsidR="005F762A" w:rsidRDefault="00D74111">
            <w:pPr>
              <w:jc w:val="center"/>
              <w:textAlignment w:val="top"/>
            </w:pPr>
            <w:r>
              <w:rPr>
                <w:rFonts w:ascii="Arial" w:eastAsia="宋体" w:hAnsi="Arial" w:cs="Arial"/>
                <w:b/>
                <w:bCs/>
                <w:color w:val="000000"/>
                <w:sz w:val="16"/>
                <w:szCs w:val="16"/>
              </w:rPr>
              <w:t>Jamie Iannone</w:t>
            </w:r>
          </w:p>
        </w:tc>
      </w:tr>
      <w:tr w:rsidR="005F762A" w14:paraId="726900B9" w14:textId="77777777">
        <w:trPr>
          <w:jc w:val="center"/>
        </w:trPr>
        <w:tc>
          <w:tcPr>
            <w:tcW w:w="0" w:type="auto"/>
            <w:gridSpan w:val="3"/>
            <w:shd w:val="clear" w:color="auto" w:fill="auto"/>
            <w:tcMar>
              <w:top w:w="0" w:type="dxa"/>
              <w:left w:w="20" w:type="dxa"/>
              <w:bottom w:w="0" w:type="dxa"/>
              <w:right w:w="20" w:type="dxa"/>
            </w:tcMar>
          </w:tcPr>
          <w:p w14:paraId="726900B5"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B6" w14:textId="77777777" w:rsidR="005F762A" w:rsidRDefault="00D74111">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726900B7" w14:textId="77777777" w:rsidR="005F762A" w:rsidRDefault="00D74111">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726900B8" w14:textId="77777777" w:rsidR="005F762A" w:rsidRDefault="00D74111">
            <w:pPr>
              <w:jc w:val="center"/>
              <w:textAlignment w:val="top"/>
            </w:pPr>
            <w:r>
              <w:rPr>
                <w:rFonts w:ascii="Arial" w:eastAsia="宋体" w:hAnsi="Arial" w:cs="Arial"/>
                <w:b/>
                <w:bCs/>
                <w:color w:val="000000"/>
                <w:sz w:val="16"/>
                <w:szCs w:val="16"/>
              </w:rPr>
              <w:t>Chief Executive Officer</w:t>
            </w:r>
          </w:p>
        </w:tc>
      </w:tr>
      <w:tr w:rsidR="005F762A" w14:paraId="726900BD" w14:textId="77777777">
        <w:trPr>
          <w:jc w:val="center"/>
        </w:trPr>
        <w:tc>
          <w:tcPr>
            <w:tcW w:w="0" w:type="auto"/>
            <w:gridSpan w:val="3"/>
            <w:shd w:val="clear" w:color="auto" w:fill="auto"/>
            <w:tcMar>
              <w:top w:w="40" w:type="dxa"/>
              <w:left w:w="20" w:type="dxa"/>
              <w:bottom w:w="40" w:type="dxa"/>
              <w:right w:w="20" w:type="dxa"/>
            </w:tcMar>
            <w:vAlign w:val="bottom"/>
          </w:tcPr>
          <w:p w14:paraId="726900BA" w14:textId="77777777" w:rsidR="005F762A" w:rsidRDefault="00D74111">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26900BB" w14:textId="77777777" w:rsidR="005F762A" w:rsidRDefault="00D74111">
            <w:pPr>
              <w:textAlignment w:val="top"/>
            </w:pPr>
            <w:r>
              <w:rPr>
                <w:rFonts w:ascii="Arial" w:eastAsia="宋体" w:hAnsi="Arial" w:cs="Arial"/>
                <w:color w:val="000000"/>
                <w:sz w:val="20"/>
                <w:szCs w:val="20"/>
              </w:rPr>
              <w:t>April 29, 2021</w:t>
            </w:r>
          </w:p>
        </w:tc>
        <w:tc>
          <w:tcPr>
            <w:tcW w:w="0" w:type="auto"/>
            <w:gridSpan w:val="6"/>
            <w:shd w:val="clear" w:color="auto" w:fill="auto"/>
            <w:tcMar>
              <w:top w:w="40" w:type="dxa"/>
              <w:left w:w="20" w:type="dxa"/>
              <w:bottom w:w="40" w:type="dxa"/>
              <w:right w:w="20" w:type="dxa"/>
            </w:tcMar>
          </w:tcPr>
          <w:p w14:paraId="726900BC" w14:textId="77777777" w:rsidR="005F762A" w:rsidRDefault="00D74111">
            <w:pPr>
              <w:textAlignment w:val="top"/>
            </w:pPr>
            <w:r>
              <w:rPr>
                <w:rFonts w:ascii="Arial" w:eastAsia="宋体" w:hAnsi="Arial" w:cs="Arial"/>
                <w:color w:val="000000"/>
                <w:sz w:val="20"/>
                <w:szCs w:val="20"/>
              </w:rPr>
              <w:t> </w:t>
            </w:r>
          </w:p>
        </w:tc>
      </w:tr>
      <w:tr w:rsidR="005F762A" w14:paraId="726900C1" w14:textId="77777777">
        <w:trPr>
          <w:jc w:val="center"/>
        </w:trPr>
        <w:tc>
          <w:tcPr>
            <w:tcW w:w="0" w:type="auto"/>
            <w:gridSpan w:val="3"/>
            <w:shd w:val="clear" w:color="auto" w:fill="auto"/>
            <w:tcMar>
              <w:top w:w="0" w:type="dxa"/>
              <w:left w:w="20" w:type="dxa"/>
              <w:bottom w:w="0" w:type="dxa"/>
              <w:right w:w="20" w:type="dxa"/>
            </w:tcMar>
          </w:tcPr>
          <w:p w14:paraId="726900BE"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BF" w14:textId="77777777" w:rsidR="005F762A" w:rsidRDefault="00D74111">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726900C0" w14:textId="77777777" w:rsidR="005F762A" w:rsidRDefault="00D74111">
            <w:pPr>
              <w:textAlignment w:val="top"/>
            </w:pPr>
            <w:r>
              <w:rPr>
                <w:rFonts w:ascii="Arial" w:eastAsia="宋体" w:hAnsi="Arial" w:cs="Arial"/>
                <w:color w:val="000000"/>
                <w:sz w:val="20"/>
                <w:szCs w:val="20"/>
              </w:rPr>
              <w:t xml:space="preserve">Principal Financial </w:t>
            </w:r>
            <w:r>
              <w:rPr>
                <w:rFonts w:ascii="Arial" w:eastAsia="宋体" w:hAnsi="Arial" w:cs="Arial"/>
                <w:color w:val="000000"/>
                <w:sz w:val="20"/>
                <w:szCs w:val="20"/>
              </w:rPr>
              <w:t>Officer:</w:t>
            </w:r>
          </w:p>
        </w:tc>
      </w:tr>
      <w:tr w:rsidR="005F762A" w14:paraId="726900C6" w14:textId="77777777">
        <w:trPr>
          <w:trHeight w:val="280"/>
          <w:jc w:val="center"/>
        </w:trPr>
        <w:tc>
          <w:tcPr>
            <w:tcW w:w="0" w:type="auto"/>
            <w:gridSpan w:val="3"/>
            <w:shd w:val="clear" w:color="auto" w:fill="auto"/>
            <w:tcMar>
              <w:top w:w="0" w:type="dxa"/>
              <w:left w:w="20" w:type="dxa"/>
              <w:bottom w:w="0" w:type="dxa"/>
              <w:right w:w="20" w:type="dxa"/>
            </w:tcMar>
          </w:tcPr>
          <w:p w14:paraId="726900C2"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C3"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C4"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C5" w14:textId="77777777" w:rsidR="005F762A" w:rsidRDefault="005F762A">
            <w:pPr>
              <w:rPr>
                <w:rFonts w:ascii="宋体"/>
              </w:rPr>
            </w:pPr>
          </w:p>
        </w:tc>
      </w:tr>
      <w:tr w:rsidR="005F762A" w14:paraId="726900CB" w14:textId="77777777">
        <w:trPr>
          <w:jc w:val="center"/>
        </w:trPr>
        <w:tc>
          <w:tcPr>
            <w:tcW w:w="0" w:type="auto"/>
            <w:gridSpan w:val="3"/>
            <w:shd w:val="clear" w:color="auto" w:fill="auto"/>
            <w:tcMar>
              <w:top w:w="0" w:type="dxa"/>
              <w:left w:w="20" w:type="dxa"/>
              <w:bottom w:w="0" w:type="dxa"/>
              <w:right w:w="20" w:type="dxa"/>
            </w:tcMar>
          </w:tcPr>
          <w:p w14:paraId="726900C7"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C8" w14:textId="77777777" w:rsidR="005F762A" w:rsidRDefault="00D74111">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726900C9" w14:textId="77777777" w:rsidR="005F762A" w:rsidRDefault="00D74111">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726900CA" w14:textId="77777777" w:rsidR="005F762A" w:rsidRDefault="00D74111">
            <w:pPr>
              <w:textAlignment w:val="bottom"/>
            </w:pPr>
            <w:r>
              <w:rPr>
                <w:rFonts w:ascii="Arial" w:eastAsia="宋体" w:hAnsi="Arial" w:cs="Arial"/>
                <w:color w:val="000000"/>
                <w:sz w:val="20"/>
                <w:szCs w:val="20"/>
              </w:rPr>
              <w:t>/s/ Andy Cring</w:t>
            </w:r>
          </w:p>
        </w:tc>
      </w:tr>
      <w:tr w:rsidR="005F762A" w14:paraId="726900D0" w14:textId="77777777">
        <w:trPr>
          <w:jc w:val="center"/>
        </w:trPr>
        <w:tc>
          <w:tcPr>
            <w:tcW w:w="0" w:type="auto"/>
            <w:gridSpan w:val="3"/>
            <w:shd w:val="clear" w:color="auto" w:fill="auto"/>
            <w:tcMar>
              <w:top w:w="0" w:type="dxa"/>
              <w:left w:w="20" w:type="dxa"/>
              <w:bottom w:w="0" w:type="dxa"/>
              <w:right w:w="20" w:type="dxa"/>
            </w:tcMar>
          </w:tcPr>
          <w:p w14:paraId="726900CC"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CD" w14:textId="77777777" w:rsidR="005F762A" w:rsidRDefault="00D74111">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726900CE" w14:textId="77777777" w:rsidR="005F762A" w:rsidRDefault="00D74111">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726900CF" w14:textId="77777777" w:rsidR="005F762A" w:rsidRDefault="00D74111">
            <w:pPr>
              <w:jc w:val="center"/>
              <w:textAlignment w:val="top"/>
            </w:pPr>
            <w:r>
              <w:rPr>
                <w:rFonts w:ascii="Arial" w:eastAsia="宋体" w:hAnsi="Arial" w:cs="Arial"/>
                <w:b/>
                <w:bCs/>
                <w:color w:val="000000"/>
                <w:sz w:val="16"/>
                <w:szCs w:val="16"/>
              </w:rPr>
              <w:t>Andy Cring</w:t>
            </w:r>
          </w:p>
        </w:tc>
      </w:tr>
      <w:tr w:rsidR="005F762A" w14:paraId="726900D5" w14:textId="77777777">
        <w:trPr>
          <w:jc w:val="center"/>
        </w:trPr>
        <w:tc>
          <w:tcPr>
            <w:tcW w:w="0" w:type="auto"/>
            <w:gridSpan w:val="3"/>
            <w:shd w:val="clear" w:color="auto" w:fill="auto"/>
            <w:tcMar>
              <w:top w:w="0" w:type="dxa"/>
              <w:left w:w="20" w:type="dxa"/>
              <w:bottom w:w="0" w:type="dxa"/>
              <w:right w:w="20" w:type="dxa"/>
            </w:tcMar>
          </w:tcPr>
          <w:p w14:paraId="726900D1"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D2" w14:textId="77777777" w:rsidR="005F762A" w:rsidRDefault="00D74111">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726900D3" w14:textId="77777777" w:rsidR="005F762A" w:rsidRDefault="00D74111">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726900D4" w14:textId="77777777" w:rsidR="005F762A" w:rsidRDefault="00D74111">
            <w:pPr>
              <w:jc w:val="center"/>
              <w:textAlignment w:val="top"/>
            </w:pPr>
            <w:r>
              <w:rPr>
                <w:rFonts w:ascii="Arial" w:eastAsia="宋体" w:hAnsi="Arial" w:cs="Arial"/>
                <w:b/>
                <w:bCs/>
                <w:color w:val="000000"/>
                <w:sz w:val="16"/>
                <w:szCs w:val="16"/>
              </w:rPr>
              <w:t>Interim Chief Financial Officer</w:t>
            </w:r>
          </w:p>
        </w:tc>
      </w:tr>
      <w:tr w:rsidR="005F762A" w14:paraId="726900D9" w14:textId="77777777">
        <w:trPr>
          <w:jc w:val="center"/>
        </w:trPr>
        <w:tc>
          <w:tcPr>
            <w:tcW w:w="0" w:type="auto"/>
            <w:gridSpan w:val="3"/>
            <w:shd w:val="clear" w:color="auto" w:fill="auto"/>
            <w:tcMar>
              <w:top w:w="40" w:type="dxa"/>
              <w:left w:w="20" w:type="dxa"/>
              <w:bottom w:w="40" w:type="dxa"/>
              <w:right w:w="20" w:type="dxa"/>
            </w:tcMar>
            <w:vAlign w:val="bottom"/>
          </w:tcPr>
          <w:p w14:paraId="726900D6" w14:textId="77777777" w:rsidR="005F762A" w:rsidRDefault="00D74111">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26900D7" w14:textId="77777777" w:rsidR="005F762A" w:rsidRDefault="00D74111">
            <w:pPr>
              <w:textAlignment w:val="top"/>
            </w:pPr>
            <w:r>
              <w:rPr>
                <w:rFonts w:ascii="Arial" w:eastAsia="宋体" w:hAnsi="Arial" w:cs="Arial"/>
                <w:color w:val="000000"/>
                <w:sz w:val="20"/>
                <w:szCs w:val="20"/>
              </w:rPr>
              <w:t>April 29, 2021</w:t>
            </w:r>
          </w:p>
        </w:tc>
        <w:tc>
          <w:tcPr>
            <w:tcW w:w="0" w:type="auto"/>
            <w:gridSpan w:val="6"/>
            <w:shd w:val="clear" w:color="auto" w:fill="auto"/>
            <w:tcMar>
              <w:top w:w="40" w:type="dxa"/>
              <w:left w:w="20" w:type="dxa"/>
              <w:bottom w:w="40" w:type="dxa"/>
              <w:right w:w="20" w:type="dxa"/>
            </w:tcMar>
          </w:tcPr>
          <w:p w14:paraId="726900D8" w14:textId="77777777" w:rsidR="005F762A" w:rsidRDefault="00D74111">
            <w:pPr>
              <w:textAlignment w:val="top"/>
            </w:pPr>
            <w:r>
              <w:rPr>
                <w:rFonts w:ascii="Arial" w:eastAsia="宋体" w:hAnsi="Arial" w:cs="Arial"/>
                <w:color w:val="000000"/>
                <w:sz w:val="20"/>
                <w:szCs w:val="20"/>
              </w:rPr>
              <w:t> </w:t>
            </w:r>
          </w:p>
        </w:tc>
      </w:tr>
      <w:tr w:rsidR="005F762A" w14:paraId="726900DD" w14:textId="77777777">
        <w:trPr>
          <w:jc w:val="center"/>
        </w:trPr>
        <w:tc>
          <w:tcPr>
            <w:tcW w:w="0" w:type="auto"/>
            <w:gridSpan w:val="3"/>
            <w:shd w:val="clear" w:color="auto" w:fill="auto"/>
            <w:tcMar>
              <w:top w:w="0" w:type="dxa"/>
              <w:left w:w="20" w:type="dxa"/>
              <w:bottom w:w="0" w:type="dxa"/>
              <w:right w:w="20" w:type="dxa"/>
            </w:tcMar>
          </w:tcPr>
          <w:p w14:paraId="726900DA"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DB" w14:textId="77777777" w:rsidR="005F762A" w:rsidRDefault="00D74111">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726900DC" w14:textId="77777777" w:rsidR="005F762A" w:rsidRDefault="00D74111">
            <w:pPr>
              <w:textAlignment w:val="top"/>
            </w:pPr>
            <w:r>
              <w:rPr>
                <w:rFonts w:ascii="Arial" w:eastAsia="宋体" w:hAnsi="Arial" w:cs="Arial"/>
                <w:color w:val="000000"/>
                <w:sz w:val="20"/>
                <w:szCs w:val="20"/>
              </w:rPr>
              <w:t>Principal Accounting Officer:</w:t>
            </w:r>
          </w:p>
        </w:tc>
      </w:tr>
      <w:tr w:rsidR="005F762A" w14:paraId="726900E2" w14:textId="77777777">
        <w:trPr>
          <w:trHeight w:val="280"/>
          <w:jc w:val="center"/>
        </w:trPr>
        <w:tc>
          <w:tcPr>
            <w:tcW w:w="0" w:type="auto"/>
            <w:gridSpan w:val="3"/>
            <w:shd w:val="clear" w:color="auto" w:fill="auto"/>
            <w:tcMar>
              <w:top w:w="0" w:type="dxa"/>
              <w:left w:w="20" w:type="dxa"/>
              <w:bottom w:w="0" w:type="dxa"/>
              <w:right w:w="20" w:type="dxa"/>
            </w:tcMar>
          </w:tcPr>
          <w:p w14:paraId="726900DE"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DF"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E0" w14:textId="77777777" w:rsidR="005F762A" w:rsidRDefault="005F762A">
            <w:pPr>
              <w:rPr>
                <w:rFonts w:ascii="宋体"/>
              </w:rPr>
            </w:pPr>
          </w:p>
        </w:tc>
        <w:tc>
          <w:tcPr>
            <w:tcW w:w="0" w:type="auto"/>
            <w:gridSpan w:val="3"/>
            <w:shd w:val="clear" w:color="auto" w:fill="auto"/>
            <w:tcMar>
              <w:top w:w="0" w:type="dxa"/>
              <w:left w:w="20" w:type="dxa"/>
              <w:bottom w:w="0" w:type="dxa"/>
              <w:right w:w="20" w:type="dxa"/>
            </w:tcMar>
          </w:tcPr>
          <w:p w14:paraId="726900E1" w14:textId="77777777" w:rsidR="005F762A" w:rsidRDefault="005F762A">
            <w:pPr>
              <w:rPr>
                <w:rFonts w:ascii="宋体"/>
              </w:rPr>
            </w:pPr>
          </w:p>
        </w:tc>
      </w:tr>
      <w:tr w:rsidR="005F762A" w14:paraId="726900E7" w14:textId="77777777">
        <w:trPr>
          <w:jc w:val="center"/>
        </w:trPr>
        <w:tc>
          <w:tcPr>
            <w:tcW w:w="0" w:type="auto"/>
            <w:gridSpan w:val="3"/>
            <w:shd w:val="clear" w:color="auto" w:fill="auto"/>
            <w:tcMar>
              <w:top w:w="0" w:type="dxa"/>
              <w:left w:w="20" w:type="dxa"/>
              <w:bottom w:w="0" w:type="dxa"/>
              <w:right w:w="20" w:type="dxa"/>
            </w:tcMar>
          </w:tcPr>
          <w:p w14:paraId="726900E3"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E4" w14:textId="77777777" w:rsidR="005F762A" w:rsidRDefault="00D74111">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726900E5" w14:textId="77777777" w:rsidR="005F762A" w:rsidRDefault="00D74111">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726900E6" w14:textId="77777777" w:rsidR="005F762A" w:rsidRDefault="00D74111">
            <w:pPr>
              <w:textAlignment w:val="bottom"/>
            </w:pPr>
            <w:r>
              <w:rPr>
                <w:rFonts w:ascii="Arial" w:eastAsia="宋体" w:hAnsi="Arial" w:cs="Arial"/>
                <w:color w:val="000000"/>
                <w:sz w:val="20"/>
                <w:szCs w:val="20"/>
              </w:rPr>
              <w:t xml:space="preserve">/s/ </w:t>
            </w:r>
            <w:r>
              <w:rPr>
                <w:rFonts w:ascii="Arial" w:eastAsia="宋体" w:hAnsi="Arial" w:cs="Arial"/>
                <w:color w:val="000000"/>
                <w:sz w:val="20"/>
                <w:szCs w:val="20"/>
              </w:rPr>
              <w:t>Brian J. Doerger</w:t>
            </w:r>
          </w:p>
        </w:tc>
      </w:tr>
      <w:tr w:rsidR="005F762A" w14:paraId="726900EC" w14:textId="77777777">
        <w:trPr>
          <w:jc w:val="center"/>
        </w:trPr>
        <w:tc>
          <w:tcPr>
            <w:tcW w:w="0" w:type="auto"/>
            <w:gridSpan w:val="3"/>
            <w:shd w:val="clear" w:color="auto" w:fill="auto"/>
            <w:tcMar>
              <w:top w:w="0" w:type="dxa"/>
              <w:left w:w="20" w:type="dxa"/>
              <w:bottom w:w="0" w:type="dxa"/>
              <w:right w:w="20" w:type="dxa"/>
            </w:tcMar>
          </w:tcPr>
          <w:p w14:paraId="726900E8"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E9" w14:textId="77777777" w:rsidR="005F762A" w:rsidRDefault="00D74111">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726900EA" w14:textId="77777777" w:rsidR="005F762A" w:rsidRDefault="00D74111">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726900EB" w14:textId="77777777" w:rsidR="005F762A" w:rsidRDefault="00D74111">
            <w:pPr>
              <w:jc w:val="center"/>
              <w:textAlignment w:val="top"/>
            </w:pPr>
            <w:r>
              <w:rPr>
                <w:rFonts w:ascii="Arial" w:eastAsia="宋体" w:hAnsi="Arial" w:cs="Arial"/>
                <w:b/>
                <w:bCs/>
                <w:color w:val="000000"/>
                <w:sz w:val="16"/>
                <w:szCs w:val="16"/>
              </w:rPr>
              <w:t>Brian J. Doerger</w:t>
            </w:r>
          </w:p>
        </w:tc>
      </w:tr>
      <w:tr w:rsidR="005F762A" w14:paraId="726900F1" w14:textId="77777777">
        <w:trPr>
          <w:jc w:val="center"/>
        </w:trPr>
        <w:tc>
          <w:tcPr>
            <w:tcW w:w="0" w:type="auto"/>
            <w:gridSpan w:val="3"/>
            <w:shd w:val="clear" w:color="auto" w:fill="auto"/>
            <w:tcMar>
              <w:top w:w="0" w:type="dxa"/>
              <w:left w:w="20" w:type="dxa"/>
              <w:bottom w:w="0" w:type="dxa"/>
              <w:right w:w="20" w:type="dxa"/>
            </w:tcMar>
          </w:tcPr>
          <w:p w14:paraId="726900ED" w14:textId="77777777" w:rsidR="005F762A" w:rsidRDefault="005F762A">
            <w:pPr>
              <w:rPr>
                <w:rFonts w:ascii="宋体"/>
              </w:rPr>
            </w:pPr>
          </w:p>
        </w:tc>
        <w:tc>
          <w:tcPr>
            <w:tcW w:w="0" w:type="auto"/>
            <w:gridSpan w:val="3"/>
            <w:shd w:val="clear" w:color="auto" w:fill="auto"/>
            <w:tcMar>
              <w:top w:w="40" w:type="dxa"/>
              <w:left w:w="20" w:type="dxa"/>
              <w:bottom w:w="40" w:type="dxa"/>
              <w:right w:w="20" w:type="dxa"/>
            </w:tcMar>
          </w:tcPr>
          <w:p w14:paraId="726900EE" w14:textId="77777777" w:rsidR="005F762A" w:rsidRDefault="00D74111">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726900EF" w14:textId="77777777" w:rsidR="005F762A" w:rsidRDefault="00D74111">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726900F0" w14:textId="77777777" w:rsidR="005F762A" w:rsidRDefault="00D74111">
            <w:pPr>
              <w:jc w:val="center"/>
              <w:textAlignment w:val="top"/>
            </w:pPr>
            <w:r>
              <w:rPr>
                <w:rFonts w:ascii="Arial" w:eastAsia="宋体" w:hAnsi="Arial" w:cs="Arial"/>
                <w:b/>
                <w:bCs/>
                <w:color w:val="000000"/>
                <w:sz w:val="16"/>
                <w:szCs w:val="16"/>
              </w:rPr>
              <w:t>Vice President, Chief Accounting Officer</w:t>
            </w:r>
          </w:p>
        </w:tc>
      </w:tr>
      <w:tr w:rsidR="005F762A" w14:paraId="726900F6" w14:textId="77777777">
        <w:trPr>
          <w:jc w:val="center"/>
        </w:trPr>
        <w:tc>
          <w:tcPr>
            <w:tcW w:w="0" w:type="auto"/>
            <w:gridSpan w:val="3"/>
            <w:shd w:val="clear" w:color="auto" w:fill="auto"/>
            <w:tcMar>
              <w:top w:w="40" w:type="dxa"/>
              <w:left w:w="20" w:type="dxa"/>
              <w:bottom w:w="40" w:type="dxa"/>
              <w:right w:w="20" w:type="dxa"/>
            </w:tcMar>
            <w:vAlign w:val="bottom"/>
          </w:tcPr>
          <w:p w14:paraId="726900F2" w14:textId="77777777" w:rsidR="005F762A" w:rsidRDefault="00D74111">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26900F3" w14:textId="77777777" w:rsidR="005F762A" w:rsidRDefault="00D74111">
            <w:pPr>
              <w:textAlignment w:val="top"/>
            </w:pPr>
            <w:r>
              <w:rPr>
                <w:rFonts w:ascii="Arial" w:eastAsia="宋体" w:hAnsi="Arial" w:cs="Arial"/>
                <w:color w:val="000000"/>
                <w:sz w:val="20"/>
                <w:szCs w:val="20"/>
              </w:rPr>
              <w:t>April 29, 2021</w:t>
            </w:r>
          </w:p>
        </w:tc>
        <w:tc>
          <w:tcPr>
            <w:tcW w:w="0" w:type="auto"/>
            <w:gridSpan w:val="3"/>
            <w:shd w:val="clear" w:color="auto" w:fill="auto"/>
            <w:tcMar>
              <w:top w:w="40" w:type="dxa"/>
              <w:left w:w="20" w:type="dxa"/>
              <w:bottom w:w="40" w:type="dxa"/>
              <w:right w:w="20" w:type="dxa"/>
            </w:tcMar>
          </w:tcPr>
          <w:p w14:paraId="726900F4" w14:textId="77777777" w:rsidR="005F762A" w:rsidRDefault="00D74111">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726900F5" w14:textId="77777777" w:rsidR="005F762A" w:rsidRDefault="00D74111">
            <w:pPr>
              <w:textAlignment w:val="top"/>
            </w:pPr>
            <w:r>
              <w:rPr>
                <w:rFonts w:ascii="Arial" w:eastAsia="宋体" w:hAnsi="Arial" w:cs="Arial"/>
                <w:color w:val="000000"/>
                <w:sz w:val="8"/>
                <w:szCs w:val="8"/>
              </w:rPr>
              <w:t> </w:t>
            </w:r>
          </w:p>
        </w:tc>
      </w:tr>
    </w:tbl>
    <w:p w14:paraId="726900F7" w14:textId="77777777" w:rsidR="005F762A" w:rsidRDefault="005F762A"/>
    <w:p w14:paraId="726900F8" w14:textId="77777777" w:rsidR="005F762A" w:rsidRDefault="005F762A"/>
    <w:p w14:paraId="726900F9" w14:textId="77777777" w:rsidR="005F762A" w:rsidRDefault="005F762A">
      <w:pPr>
        <w:jc w:val="center"/>
      </w:pPr>
    </w:p>
    <w:p w14:paraId="726900FA" w14:textId="77777777" w:rsidR="005F762A" w:rsidRDefault="00D74111">
      <w:pPr>
        <w:jc w:val="center"/>
      </w:pPr>
      <w:r>
        <w:rPr>
          <w:rFonts w:ascii="Arial" w:eastAsia="宋体" w:hAnsi="Arial" w:cs="Arial"/>
          <w:color w:val="000000"/>
          <w:sz w:val="20"/>
          <w:szCs w:val="20"/>
        </w:rPr>
        <w:t>49</w:t>
      </w:r>
    </w:p>
    <w:p w14:paraId="726900FB" w14:textId="77777777" w:rsidR="005F762A" w:rsidRDefault="00D741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2690170" wp14:editId="72690171">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0FD" w14:textId="77777777">
        <w:trPr>
          <w:tblCellSpacing w:w="15" w:type="dxa"/>
        </w:trPr>
        <w:tc>
          <w:tcPr>
            <w:tcW w:w="0" w:type="auto"/>
            <w:shd w:val="clear" w:color="auto" w:fill="auto"/>
            <w:vAlign w:val="center"/>
          </w:tcPr>
          <w:p w14:paraId="726900FC" w14:textId="77777777" w:rsidR="005F762A" w:rsidRDefault="005F762A">
            <w:pPr>
              <w:rPr>
                <w:rFonts w:ascii="宋体"/>
              </w:rPr>
            </w:pPr>
          </w:p>
        </w:tc>
      </w:tr>
    </w:tbl>
    <w:p w14:paraId="726900FE"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00" w14:textId="77777777">
        <w:trPr>
          <w:tblCellSpacing w:w="15" w:type="dxa"/>
        </w:trPr>
        <w:tc>
          <w:tcPr>
            <w:tcW w:w="0" w:type="auto"/>
            <w:shd w:val="clear" w:color="auto" w:fill="auto"/>
            <w:vAlign w:val="center"/>
          </w:tcPr>
          <w:p w14:paraId="726900FF" w14:textId="77777777" w:rsidR="005F762A" w:rsidRDefault="005F762A">
            <w:pPr>
              <w:rPr>
                <w:rFonts w:ascii="宋体"/>
              </w:rPr>
            </w:pPr>
          </w:p>
        </w:tc>
      </w:tr>
    </w:tbl>
    <w:p w14:paraId="72690101"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03" w14:textId="77777777">
        <w:trPr>
          <w:tblCellSpacing w:w="15" w:type="dxa"/>
        </w:trPr>
        <w:tc>
          <w:tcPr>
            <w:tcW w:w="0" w:type="auto"/>
            <w:shd w:val="clear" w:color="auto" w:fill="auto"/>
            <w:vAlign w:val="center"/>
          </w:tcPr>
          <w:p w14:paraId="72690102" w14:textId="77777777" w:rsidR="005F762A" w:rsidRDefault="005F762A">
            <w:pPr>
              <w:rPr>
                <w:rFonts w:ascii="宋体"/>
              </w:rPr>
            </w:pPr>
          </w:p>
        </w:tc>
      </w:tr>
    </w:tbl>
    <w:p w14:paraId="72690104"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06" w14:textId="77777777">
        <w:trPr>
          <w:tblCellSpacing w:w="15" w:type="dxa"/>
        </w:trPr>
        <w:tc>
          <w:tcPr>
            <w:tcW w:w="0" w:type="auto"/>
            <w:shd w:val="clear" w:color="auto" w:fill="auto"/>
            <w:vAlign w:val="center"/>
          </w:tcPr>
          <w:p w14:paraId="72690105" w14:textId="77777777" w:rsidR="005F762A" w:rsidRDefault="005F762A">
            <w:pPr>
              <w:rPr>
                <w:rFonts w:ascii="宋体"/>
              </w:rPr>
            </w:pPr>
          </w:p>
        </w:tc>
      </w:tr>
    </w:tbl>
    <w:p w14:paraId="72690107" w14:textId="77777777" w:rsidR="005F762A" w:rsidRDefault="00D74111">
      <w:r>
        <w:rPr>
          <w:rFonts w:ascii="宋体" w:eastAsia="宋体" w:hAnsi="宋体" w:cs="宋体"/>
        </w:rPr>
        <w:t xml:space="preserve">Previous Next </w:t>
      </w:r>
    </w:p>
    <w:p w14:paraId="72690108" w14:textId="77777777" w:rsidR="005F762A" w:rsidRDefault="00D74111">
      <w:pPr>
        <w:pStyle w:val="a3"/>
      </w:pPr>
      <w:r>
        <w:t>Settings</w:t>
      </w:r>
    </w:p>
    <w:p w14:paraId="72690109" w14:textId="77777777" w:rsidR="005F762A" w:rsidRDefault="00D74111">
      <w:pPr>
        <w:pStyle w:val="Style4"/>
      </w:pPr>
      <w:r>
        <w:t>窗体顶端</w:t>
      </w:r>
    </w:p>
    <w:p w14:paraId="7269010A" w14:textId="77777777" w:rsidR="005F762A" w:rsidRDefault="00D7411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2690172" wp14:editId="72690173">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269010B" w14:textId="77777777" w:rsidR="005F762A" w:rsidRDefault="00D7411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2690174" wp14:editId="7269017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269010C" w14:textId="77777777" w:rsidR="005F762A" w:rsidRDefault="00D74111">
      <w:r>
        <w:pict w14:anchorId="72690176">
          <v:rect id="_x0000_i1073" style="width:415.3pt;height:1.5pt" o:hralign="center" o:hrstd="t" o:hr="t" fillcolor="#a0a0a0" stroked="f"/>
        </w:pict>
      </w:r>
    </w:p>
    <w:p w14:paraId="7269010D" w14:textId="77777777" w:rsidR="005F762A" w:rsidRDefault="00D74111">
      <w:r>
        <w:rPr>
          <w:rFonts w:ascii="宋体" w:eastAsia="宋体" w:hAnsi="宋体" w:cs="宋体"/>
        </w:rPr>
        <w:t xml:space="preserve">Tagged Data </w:t>
      </w:r>
    </w:p>
    <w:p w14:paraId="7269010E" w14:textId="77777777" w:rsidR="005F762A" w:rsidRDefault="00D74111">
      <w:r>
        <w:rPr>
          <w:rFonts w:ascii="monospace" w:eastAsia="monospace" w:hAnsi="monospace" w:cs="monospace"/>
          <w:noProof/>
        </w:rPr>
        <mc:AlternateContent>
          <mc:Choice Requires="wps">
            <w:drawing>
              <wp:inline distT="0" distB="0" distL="114300" distR="114300" wp14:anchorId="72690177" wp14:editId="72690178">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7269010F" w14:textId="77777777" w:rsidR="005F762A" w:rsidRDefault="00D74111">
      <w:r>
        <w:rPr>
          <w:rFonts w:ascii="宋体" w:eastAsia="宋体" w:hAnsi="宋体" w:cs="宋体"/>
        </w:rPr>
        <w:t>Save</w:t>
      </w:r>
    </w:p>
    <w:p w14:paraId="72690110" w14:textId="77777777" w:rsidR="005F762A" w:rsidRDefault="00D74111">
      <w:r>
        <w:rPr>
          <w:rFonts w:ascii="宋体" w:eastAsia="宋体" w:hAnsi="宋体" w:cs="宋体"/>
        </w:rPr>
        <w:t>Reset</w:t>
      </w:r>
    </w:p>
    <w:p w14:paraId="72690111" w14:textId="77777777" w:rsidR="005F762A" w:rsidRDefault="00D74111">
      <w:r>
        <w:pict w14:anchorId="72690179">
          <v:rect id="_x0000_i1074" style="width:415.3pt;height:1.5pt" o:hralign="center" o:hrstd="t" o:hr="t" fillcolor="#a0a0a0" stroked="f"/>
        </w:pict>
      </w:r>
    </w:p>
    <w:p w14:paraId="72690112" w14:textId="77777777" w:rsidR="005F762A" w:rsidRDefault="00D74111">
      <w:r>
        <w:rPr>
          <w:rFonts w:ascii="宋体" w:eastAsia="宋体" w:hAnsi="宋体" w:cs="宋体"/>
        </w:rPr>
        <w:t xml:space="preserve">Search Results </w:t>
      </w:r>
    </w:p>
    <w:p w14:paraId="72690113" w14:textId="77777777" w:rsidR="005F762A" w:rsidRDefault="00D74111">
      <w:r>
        <w:rPr>
          <w:rFonts w:ascii="monospace" w:eastAsia="monospace" w:hAnsi="monospace" w:cs="monospace"/>
          <w:noProof/>
        </w:rPr>
        <mc:AlternateContent>
          <mc:Choice Requires="wps">
            <w:drawing>
              <wp:inline distT="0" distB="0" distL="114300" distR="114300" wp14:anchorId="7269017A" wp14:editId="7269017B">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2690114" w14:textId="77777777" w:rsidR="005F762A" w:rsidRDefault="00D74111">
      <w:r>
        <w:rPr>
          <w:rFonts w:ascii="宋体" w:eastAsia="宋体" w:hAnsi="宋体" w:cs="宋体"/>
        </w:rPr>
        <w:t>Save</w:t>
      </w:r>
    </w:p>
    <w:p w14:paraId="72690115" w14:textId="77777777" w:rsidR="005F762A" w:rsidRDefault="00D74111">
      <w:r>
        <w:rPr>
          <w:rFonts w:ascii="宋体" w:eastAsia="宋体" w:hAnsi="宋体" w:cs="宋体"/>
        </w:rPr>
        <w:t>Reset</w:t>
      </w:r>
    </w:p>
    <w:p w14:paraId="72690116" w14:textId="77777777" w:rsidR="005F762A" w:rsidRDefault="00D74111">
      <w:r>
        <w:pict w14:anchorId="7269017C">
          <v:rect id="_x0000_i1075" style="width:415.3pt;height:1.5pt" o:hralign="center" o:hrstd="t" o:hr="t" fillcolor="#a0a0a0" stroked="f"/>
        </w:pict>
      </w:r>
    </w:p>
    <w:p w14:paraId="72690117" w14:textId="77777777" w:rsidR="005F762A" w:rsidRDefault="00D74111">
      <w:r>
        <w:rPr>
          <w:rFonts w:ascii="宋体" w:eastAsia="宋体" w:hAnsi="宋体" w:cs="宋体"/>
        </w:rPr>
        <w:t xml:space="preserve">Selected Fact </w:t>
      </w:r>
    </w:p>
    <w:p w14:paraId="72690118" w14:textId="77777777" w:rsidR="005F762A" w:rsidRDefault="00D74111">
      <w:r>
        <w:rPr>
          <w:rFonts w:ascii="monospace" w:eastAsia="monospace" w:hAnsi="monospace" w:cs="monospace"/>
          <w:noProof/>
        </w:rPr>
        <mc:AlternateContent>
          <mc:Choice Requires="wps">
            <w:drawing>
              <wp:inline distT="0" distB="0" distL="114300" distR="114300" wp14:anchorId="7269017D" wp14:editId="7269017E">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2690119" w14:textId="77777777" w:rsidR="005F762A" w:rsidRDefault="00D74111">
      <w:r>
        <w:rPr>
          <w:rFonts w:ascii="宋体" w:eastAsia="宋体" w:hAnsi="宋体" w:cs="宋体"/>
        </w:rPr>
        <w:t>Save</w:t>
      </w:r>
    </w:p>
    <w:p w14:paraId="7269011A" w14:textId="77777777" w:rsidR="005F762A" w:rsidRDefault="00D74111">
      <w:r>
        <w:rPr>
          <w:rFonts w:ascii="宋体" w:eastAsia="宋体" w:hAnsi="宋体" w:cs="宋体"/>
        </w:rPr>
        <w:t>Reset</w:t>
      </w:r>
    </w:p>
    <w:p w14:paraId="7269011B" w14:textId="77777777" w:rsidR="005F762A" w:rsidRDefault="00D74111">
      <w:r>
        <w:pict w14:anchorId="7269017F">
          <v:rect id="_x0000_i1076" style="width:415.3pt;height:1.5pt" o:hralign="center" o:hrstd="t" o:hr="t" fillcolor="#a0a0a0" stroked="f"/>
        </w:pict>
      </w:r>
    </w:p>
    <w:p w14:paraId="7269011C" w14:textId="77777777" w:rsidR="005F762A" w:rsidRDefault="00D74111">
      <w:r>
        <w:rPr>
          <w:rFonts w:ascii="宋体" w:eastAsia="宋体" w:hAnsi="宋体" w:cs="宋体"/>
        </w:rPr>
        <w:t xml:space="preserve">Tag Shading (hover) </w:t>
      </w:r>
    </w:p>
    <w:p w14:paraId="7269011D" w14:textId="77777777" w:rsidR="005F762A" w:rsidRDefault="00D74111">
      <w:r>
        <w:rPr>
          <w:rFonts w:ascii="monospace" w:eastAsia="monospace" w:hAnsi="monospace" w:cs="monospace"/>
          <w:noProof/>
        </w:rPr>
        <mc:AlternateContent>
          <mc:Choice Requires="wps">
            <w:drawing>
              <wp:inline distT="0" distB="0" distL="114300" distR="114300" wp14:anchorId="72690180" wp14:editId="72690181">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269011E" w14:textId="77777777" w:rsidR="005F762A" w:rsidRDefault="00D74111">
      <w:r>
        <w:rPr>
          <w:rFonts w:ascii="宋体" w:eastAsia="宋体" w:hAnsi="宋体" w:cs="宋体"/>
        </w:rPr>
        <w:t>Save</w:t>
      </w:r>
    </w:p>
    <w:p w14:paraId="7269011F" w14:textId="77777777" w:rsidR="005F762A" w:rsidRDefault="00D74111">
      <w:r>
        <w:rPr>
          <w:rFonts w:ascii="宋体" w:eastAsia="宋体" w:hAnsi="宋体" w:cs="宋体"/>
        </w:rPr>
        <w:t>Reset</w:t>
      </w:r>
    </w:p>
    <w:p w14:paraId="72690120" w14:textId="77777777" w:rsidR="005F762A" w:rsidRDefault="00D74111">
      <w:pPr>
        <w:pStyle w:val="Style5"/>
      </w:pPr>
      <w:r>
        <w:t>窗体底端</w:t>
      </w:r>
    </w:p>
    <w:p w14:paraId="72690121" w14:textId="77777777" w:rsidR="005F762A" w:rsidRDefault="00D741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2690182" wp14:editId="72690183">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23" w14:textId="77777777">
        <w:trPr>
          <w:tblCellSpacing w:w="15" w:type="dxa"/>
        </w:trPr>
        <w:tc>
          <w:tcPr>
            <w:tcW w:w="0" w:type="auto"/>
            <w:shd w:val="clear" w:color="auto" w:fill="auto"/>
            <w:vAlign w:val="center"/>
          </w:tcPr>
          <w:p w14:paraId="72690122" w14:textId="77777777" w:rsidR="005F762A" w:rsidRDefault="005F762A">
            <w:pPr>
              <w:rPr>
                <w:rFonts w:ascii="宋体"/>
              </w:rPr>
            </w:pPr>
          </w:p>
        </w:tc>
      </w:tr>
    </w:tbl>
    <w:p w14:paraId="72690124"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26" w14:textId="77777777">
        <w:trPr>
          <w:tblCellSpacing w:w="15" w:type="dxa"/>
        </w:trPr>
        <w:tc>
          <w:tcPr>
            <w:tcW w:w="0" w:type="auto"/>
            <w:shd w:val="clear" w:color="auto" w:fill="auto"/>
            <w:vAlign w:val="center"/>
          </w:tcPr>
          <w:p w14:paraId="72690125" w14:textId="77777777" w:rsidR="005F762A" w:rsidRDefault="005F762A">
            <w:pPr>
              <w:rPr>
                <w:rFonts w:ascii="宋体"/>
              </w:rPr>
            </w:pPr>
          </w:p>
        </w:tc>
      </w:tr>
    </w:tbl>
    <w:p w14:paraId="72690127"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29" w14:textId="77777777">
        <w:trPr>
          <w:tblCellSpacing w:w="15" w:type="dxa"/>
        </w:trPr>
        <w:tc>
          <w:tcPr>
            <w:tcW w:w="0" w:type="auto"/>
            <w:shd w:val="clear" w:color="auto" w:fill="auto"/>
            <w:vAlign w:val="center"/>
          </w:tcPr>
          <w:p w14:paraId="72690128" w14:textId="77777777" w:rsidR="005F762A" w:rsidRDefault="005F762A">
            <w:pPr>
              <w:rPr>
                <w:rFonts w:ascii="宋体"/>
              </w:rPr>
            </w:pPr>
          </w:p>
        </w:tc>
      </w:tr>
    </w:tbl>
    <w:p w14:paraId="7269012A"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2C" w14:textId="77777777">
        <w:trPr>
          <w:tblCellSpacing w:w="15" w:type="dxa"/>
        </w:trPr>
        <w:tc>
          <w:tcPr>
            <w:tcW w:w="0" w:type="auto"/>
            <w:shd w:val="clear" w:color="auto" w:fill="auto"/>
            <w:vAlign w:val="center"/>
          </w:tcPr>
          <w:p w14:paraId="7269012B" w14:textId="77777777" w:rsidR="005F762A" w:rsidRDefault="005F762A">
            <w:pPr>
              <w:rPr>
                <w:rFonts w:ascii="宋体"/>
              </w:rPr>
            </w:pPr>
          </w:p>
        </w:tc>
      </w:tr>
    </w:tbl>
    <w:p w14:paraId="7269012D" w14:textId="77777777" w:rsidR="005F762A" w:rsidRDefault="00D74111">
      <w:r>
        <w:rPr>
          <w:rFonts w:ascii="宋体" w:eastAsia="宋体" w:hAnsi="宋体" w:cs="宋体"/>
        </w:rPr>
        <w:t xml:space="preserve">Previous Next </w:t>
      </w:r>
    </w:p>
    <w:p w14:paraId="7269012E" w14:textId="77777777" w:rsidR="005F762A" w:rsidRDefault="00D74111">
      <w:pPr>
        <w:pStyle w:val="a3"/>
      </w:pPr>
      <w:r>
        <w:t xml:space="preserve">Nested Facts / </w:t>
      </w:r>
    </w:p>
    <w:p w14:paraId="7269012F" w14:textId="77777777" w:rsidR="005F762A" w:rsidRDefault="00D74111">
      <w:r>
        <w:rPr>
          <w:rFonts w:ascii="宋体" w:eastAsia="宋体" w:hAnsi="宋体" w:cs="宋体"/>
        </w:rPr>
        <w:t xml:space="preserve">Previous Next </w:t>
      </w:r>
    </w:p>
    <w:p w14:paraId="72690130" w14:textId="77777777" w:rsidR="005F762A" w:rsidRDefault="00D7411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2690184" wp14:editId="72690185">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32" w14:textId="77777777">
        <w:trPr>
          <w:tblCellSpacing w:w="15" w:type="dxa"/>
        </w:trPr>
        <w:tc>
          <w:tcPr>
            <w:tcW w:w="0" w:type="auto"/>
            <w:shd w:val="clear" w:color="auto" w:fill="auto"/>
            <w:vAlign w:val="center"/>
          </w:tcPr>
          <w:p w14:paraId="72690131" w14:textId="77777777" w:rsidR="005F762A" w:rsidRDefault="005F762A">
            <w:pPr>
              <w:rPr>
                <w:rFonts w:ascii="宋体"/>
              </w:rPr>
            </w:pPr>
          </w:p>
        </w:tc>
      </w:tr>
    </w:tbl>
    <w:p w14:paraId="72690133"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35" w14:textId="77777777">
        <w:trPr>
          <w:tblCellSpacing w:w="15" w:type="dxa"/>
        </w:trPr>
        <w:tc>
          <w:tcPr>
            <w:tcW w:w="0" w:type="auto"/>
            <w:shd w:val="clear" w:color="auto" w:fill="auto"/>
            <w:vAlign w:val="center"/>
          </w:tcPr>
          <w:p w14:paraId="72690134" w14:textId="77777777" w:rsidR="005F762A" w:rsidRDefault="005F762A">
            <w:pPr>
              <w:rPr>
                <w:rFonts w:ascii="宋体"/>
              </w:rPr>
            </w:pPr>
          </w:p>
        </w:tc>
      </w:tr>
    </w:tbl>
    <w:p w14:paraId="72690136"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38" w14:textId="77777777">
        <w:trPr>
          <w:tblCellSpacing w:w="15" w:type="dxa"/>
        </w:trPr>
        <w:tc>
          <w:tcPr>
            <w:tcW w:w="0" w:type="auto"/>
            <w:shd w:val="clear" w:color="auto" w:fill="auto"/>
            <w:vAlign w:val="center"/>
          </w:tcPr>
          <w:p w14:paraId="72690137" w14:textId="77777777" w:rsidR="005F762A" w:rsidRDefault="005F762A">
            <w:pPr>
              <w:rPr>
                <w:rFonts w:ascii="宋体"/>
              </w:rPr>
            </w:pPr>
          </w:p>
        </w:tc>
      </w:tr>
    </w:tbl>
    <w:p w14:paraId="72690139" w14:textId="77777777" w:rsidR="005F762A" w:rsidRDefault="005F76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62A" w14:paraId="7269013B" w14:textId="77777777">
        <w:trPr>
          <w:tblCellSpacing w:w="15" w:type="dxa"/>
        </w:trPr>
        <w:tc>
          <w:tcPr>
            <w:tcW w:w="0" w:type="auto"/>
            <w:shd w:val="clear" w:color="auto" w:fill="auto"/>
            <w:vAlign w:val="center"/>
          </w:tcPr>
          <w:p w14:paraId="7269013A" w14:textId="77777777" w:rsidR="005F762A" w:rsidRDefault="005F762A">
            <w:pPr>
              <w:rPr>
                <w:rFonts w:ascii="宋体"/>
              </w:rPr>
            </w:pPr>
          </w:p>
        </w:tc>
      </w:tr>
    </w:tbl>
    <w:p w14:paraId="7269013C" w14:textId="77777777" w:rsidR="005F762A" w:rsidRDefault="00D74111">
      <w:r>
        <w:rPr>
          <w:rFonts w:ascii="宋体" w:eastAsia="宋体" w:hAnsi="宋体" w:cs="宋体"/>
        </w:rPr>
        <w:t xml:space="preserve">Previous Next </w:t>
      </w:r>
    </w:p>
    <w:p w14:paraId="7269013D" w14:textId="77777777" w:rsidR="005F762A" w:rsidRDefault="005F762A"/>
    <w:sectPr w:rsidR="005F762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1AD6" w14:textId="77777777" w:rsidR="00D74111" w:rsidRDefault="00D74111" w:rsidP="00D74111">
      <w:r>
        <w:separator/>
      </w:r>
    </w:p>
  </w:endnote>
  <w:endnote w:type="continuationSeparator" w:id="0">
    <w:p w14:paraId="6DB8ECFC" w14:textId="77777777" w:rsidR="00D74111" w:rsidRDefault="00D74111" w:rsidP="00D7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E5C4" w14:textId="77777777" w:rsidR="00D74111" w:rsidRDefault="00D74111" w:rsidP="00D74111">
      <w:r>
        <w:separator/>
      </w:r>
    </w:p>
  </w:footnote>
  <w:footnote w:type="continuationSeparator" w:id="0">
    <w:p w14:paraId="36858551" w14:textId="77777777" w:rsidR="00D74111" w:rsidRDefault="00D74111" w:rsidP="00D74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FB64BB"/>
    <w:rsid w:val="005F762A"/>
    <w:rsid w:val="00D74111"/>
    <w:rsid w:val="3FFB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68D92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741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74111"/>
    <w:rPr>
      <w:rFonts w:asciiTheme="minorEastAsia" w:hAnsiTheme="minorEastAsia" w:cs="Times New Roman"/>
      <w:sz w:val="18"/>
      <w:szCs w:val="18"/>
    </w:rPr>
  </w:style>
  <w:style w:type="paragraph" w:styleId="a8">
    <w:name w:val="footer"/>
    <w:basedOn w:val="a"/>
    <w:link w:val="a9"/>
    <w:rsid w:val="00D74111"/>
    <w:pPr>
      <w:tabs>
        <w:tab w:val="center" w:pos="4153"/>
        <w:tab w:val="right" w:pos="8306"/>
      </w:tabs>
      <w:snapToGrid w:val="0"/>
    </w:pPr>
    <w:rPr>
      <w:sz w:val="18"/>
      <w:szCs w:val="18"/>
    </w:rPr>
  </w:style>
  <w:style w:type="character" w:customStyle="1" w:styleId="a9">
    <w:name w:val="页脚 字符"/>
    <w:basedOn w:val="a0"/>
    <w:link w:val="a8"/>
    <w:rsid w:val="00D7411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1000012/ebay033121ex3102.htm" TargetMode="External"/><Relationship Id="rId3" Type="http://schemas.openxmlformats.org/officeDocument/2006/relationships/webSettings" Target="webSettings.xml"/><Relationship Id="rId7" Type="http://schemas.openxmlformats.org/officeDocument/2006/relationships/hyperlink" Target="https://www.sec.gov/Archives/edgar/data/0001065088/000106508821000012/ebay033121ex310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sec.gov/Archives/edgar/data/0001065088/000106508821000012/ebay033121ex3202.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1000012/ebay033121ex32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27934</Words>
  <Characters>159225</Characters>
  <Application>Microsoft Office Word</Application>
  <DocSecurity>0</DocSecurity>
  <Lines>1326</Lines>
  <Paragraphs>373</Paragraphs>
  <ScaleCrop>false</ScaleCrop>
  <Company/>
  <LinksUpToDate>false</LinksUpToDate>
  <CharactersWithSpaces>186786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2023-02-11T19:24:00Z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D1729B4BB4F29266FB7AE763E90A91BA</vt:lpwstr>
  </property>
</Properties>
</file>