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028F6" w14:textId="4B5CF1DA" w:rsidR="009F6D8A" w:rsidRDefault="00C50974">
      <w:pPr>
        <w:rPr>
          <w:vanish/>
        </w:rPr>
      </w:pPr>
      <w:r>
        <w:rPr>
          <w:rFonts w:ascii="宋体" w:eastAsia="宋体" w:hAnsi="宋体" w:cs="宋体"/>
        </w:rPr>
        <w:t xml:space="preserve"> </w:t>
      </w:r>
      <w:r>
        <w:rPr>
          <w:rFonts w:ascii="宋体" w:eastAsia="宋体" w:hAnsi="宋体" w:cs="宋体"/>
          <w:vanish/>
        </w:rPr>
        <w:t>0001065088FALSE2021Q212/3100010650882021-01-012021-06-30xbrli:shares00010650882021-08-09iso4217:USD00010650882021-06-3000010650882020-12-310001065088us-gaap:DiscontinuedOperationsHeldforsaleMember2021-06-300001065088us-gaap:DiscontinuedOperationsHeldforsal</w:t>
      </w:r>
      <w:r>
        <w:rPr>
          <w:rFonts w:ascii="宋体" w:eastAsia="宋体" w:hAnsi="宋体" w:cs="宋体"/>
          <w:vanish/>
        </w:rPr>
        <w:t>eMember2020-12-310001065088us-gaap:DiscontinuedOperationsDisposedOfBySaleMember2021-06-300001065088us-gaap:DiscontinuedOperationsDisposedOfBySaleMember2020-12-31iso4217:USDxbrli:shares00010650882021-04-012021-06-3000010650882020-04-012020-06-30000106508820</w:t>
      </w:r>
      <w:r>
        <w:rPr>
          <w:rFonts w:ascii="宋体" w:eastAsia="宋体" w:hAnsi="宋体" w:cs="宋体"/>
          <w:vanish/>
        </w:rPr>
        <w:t>20-01-012020-06-300001065088us-gaap:CommonStockMember2021-03-310001065088us-gaap:CommonStockMember2020-03-310001065088us-gaap:CommonStockMember2020-12-310001065088us-gaap:CommonStockMember2019-12-310001065088us-gaap:CommonStockMember2021-04-012021-06-30000</w:t>
      </w:r>
      <w:r>
        <w:rPr>
          <w:rFonts w:ascii="宋体" w:eastAsia="宋体" w:hAnsi="宋体" w:cs="宋体"/>
          <w:vanish/>
        </w:rPr>
        <w:t>1065088us-gaap:CommonStockMember2020-04-012020-06-300001065088us-gaap:CommonStockMember2021-01-012021-06-300001065088us-gaap:CommonStockMember2020-01-012020-06-300001065088us-gaap:CommonStockMember2021-06-300001065088us-gaap:CommonStockMember2020-06-300001</w:t>
      </w:r>
      <w:r>
        <w:rPr>
          <w:rFonts w:ascii="宋体" w:eastAsia="宋体" w:hAnsi="宋体" w:cs="宋体"/>
          <w:vanish/>
        </w:rPr>
        <w:t>065088us-gaap:AdditionalPaidInCapitalMember2021-03-310001065088us-gaap:AdditionalPaidInCapitalMember2020-03-310001065088us-gaap:AdditionalPaidInCapitalMember2020-12-310001065088us-gaap:AdditionalPaidInCapitalMember2019-12-310001065088us-gaap:AdditionalPaid</w:t>
      </w:r>
      <w:r>
        <w:rPr>
          <w:rFonts w:ascii="宋体" w:eastAsia="宋体" w:hAnsi="宋体" w:cs="宋体"/>
          <w:vanish/>
        </w:rPr>
        <w:t>InCapitalMember2021-04-012021-06-300001065088us-gaap:AdditionalPaidInCapitalMember2020-04-012020-06-300001065088us-gaap:AdditionalPaidInCapitalMember2021-01-012021-06-300001065088us-gaap:AdditionalPaidInCapitalMember2020-01-012020-06-300001065088us-gaap:Ad</w:t>
      </w:r>
      <w:r>
        <w:rPr>
          <w:rFonts w:ascii="宋体" w:eastAsia="宋体" w:hAnsi="宋体" w:cs="宋体"/>
          <w:vanish/>
        </w:rPr>
        <w:t>ditionalPaidInCapitalMember2021-06-300001065088us-gaap:AdditionalPaidInCapitalMember2020-06-300001065088us-gaap:TreasuryStockMember2021-03-310001065088us-gaap:TreasuryStockMember2020-03-310001065088us-gaap:TreasuryStockMember2020-12-310001065088us-gaap:Tre</w:t>
      </w:r>
      <w:r>
        <w:rPr>
          <w:rFonts w:ascii="宋体" w:eastAsia="宋体" w:hAnsi="宋体" w:cs="宋体"/>
          <w:vanish/>
        </w:rPr>
        <w:t>asuryStockMember2019-12-310001065088us-gaap:TreasuryStockMember2021-04-012021-06-300001065088us-gaap:TreasuryStockMember2020-04-012020-06-300001065088us-gaap:TreasuryStockMember2021-01-012021-06-300001065088us-gaap:TreasuryStockMember2020-01-012020-06-3000</w:t>
      </w:r>
      <w:r>
        <w:rPr>
          <w:rFonts w:ascii="宋体" w:eastAsia="宋体" w:hAnsi="宋体" w:cs="宋体"/>
          <w:vanish/>
        </w:rPr>
        <w:t>01065088us-gaap:TreasuryStockMember2021-06-300001065088us-gaap:TreasuryStockMember2020-06-300001065088us-gaap:RetainedEarningsMember2021-03-310001065088us-gaap:RetainedEarningsMember2020-03-310001065088us-gaap:RetainedEarningsMember2020-12-310001065088us-g</w:t>
      </w:r>
      <w:r>
        <w:rPr>
          <w:rFonts w:ascii="宋体" w:eastAsia="宋体" w:hAnsi="宋体" w:cs="宋体"/>
          <w:vanish/>
        </w:rPr>
        <w:t>aap:RetainedEarningsMember2019-12-310001065088us-gaap:RetainedEarningsMember2021-04-012021-06-300001065088us-gaap:RetainedEarningsMember2020-04-012020-06-300001065088us-gaap:RetainedEarningsMember2021-01-012021-06-300001065088us-gaap:RetainedEarningsMember</w:t>
      </w:r>
      <w:r>
        <w:rPr>
          <w:rFonts w:ascii="宋体" w:eastAsia="宋体" w:hAnsi="宋体" w:cs="宋体"/>
          <w:vanish/>
        </w:rPr>
        <w:t>2020-01-012020-06-300001065088us-gaap:RetainedEarningsMember2021-06-300001065088us-gaap:RetainedEarningsMember2020-06-300001065088us-gaap:AccumulatedOtherComprehensiveIncomeMember2021-03-310001065088us-gaap:AccumulatedOtherComprehensiveIncomeMember2020-03-</w:t>
      </w:r>
      <w:r>
        <w:rPr>
          <w:rFonts w:ascii="宋体" w:eastAsia="宋体" w:hAnsi="宋体" w:cs="宋体"/>
          <w:vanish/>
        </w:rPr>
        <w:t>310001065088us-gaap:AccumulatedOtherComprehensiveIncomeMember2020-12-310001065088us-gaap:AccumulatedOtherComprehensiveIncomeMember2019-12-310001065088us-gaap:AccumulatedOtherComprehensiveIncomeMember2021-04-012021-06-300001065088us-gaap:AccumulatedOtherCom</w:t>
      </w:r>
      <w:r>
        <w:rPr>
          <w:rFonts w:ascii="宋体" w:eastAsia="宋体" w:hAnsi="宋体" w:cs="宋体"/>
          <w:vanish/>
        </w:rPr>
        <w:t>prehensiveIncomeMember2020-04-012020-06-300001065088us-gaap:AccumulatedOtherComprehensiveIncomeMember2021-01-012021-06-300001065088us-gaap:AccumulatedOtherComprehensiveIncomeMember2020-01-012020-06-300001065088us-gaap:AccumulatedOtherComprehensiveIncomeMem</w:t>
      </w:r>
      <w:r>
        <w:rPr>
          <w:rFonts w:ascii="宋体" w:eastAsia="宋体" w:hAnsi="宋体" w:cs="宋体"/>
          <w:vanish/>
        </w:rPr>
        <w:t>ber2021-06-300001065088us-gaap:AccumulatedOtherComprehensiveIncomeMember2020-06-3000010650882020-06-3000010650882019-12-310001065088us-gaap:DiscontinuedOperationsHeldforsaleMember2020-06-300001065088us-gaap:DiscontinuedOperationsDisposedOfBySaleMember2020-</w:t>
      </w:r>
      <w:r>
        <w:rPr>
          <w:rFonts w:ascii="宋体" w:eastAsia="宋体" w:hAnsi="宋体" w:cs="宋体"/>
          <w:vanish/>
        </w:rPr>
        <w:t>06-300001065088us-gaap:DiscontinuedOperationsDisposedOfBySaleMemberebay:ClassifiedsBusinessMember2021-06-242021-06-24xbrli:pure0001065088ebay:AdevintaMember2021-06-240001065088us-gaap:DiscontinuedOperationsDisposedOfBySaleMemberebay:ClassifiedsBusinessMemb</w:t>
      </w:r>
      <w:r>
        <w:rPr>
          <w:rFonts w:ascii="宋体" w:eastAsia="宋体" w:hAnsi="宋体" w:cs="宋体"/>
          <w:vanish/>
        </w:rPr>
        <w:t>er2021-06-240001065088us-gaap:DiscontinuedOperationsHeldforsaleMemberebay:EBayKoreaLLCMember2021-06-30iso4217:KRW0001065088us-gaap:DiscontinuedOperationsHeldforsaleMemberebay:EBayKoreaLLCMembersrt:ScenarioForecastMember2021-07-012022-06-300001065088ebay:As</w:t>
      </w:r>
      <w:r>
        <w:rPr>
          <w:rFonts w:ascii="宋体" w:eastAsia="宋体" w:hAnsi="宋体" w:cs="宋体"/>
          <w:vanish/>
        </w:rPr>
        <w:t>tinfluxFincoSaRlMemberus-gaap:SubsequentEventMemberebay:AdevintaMember2021-07-140001065088ebay:AstinfluxFincoSaRlMemberus-gaap:SubsequentEventMemberebay:AdevintaMember2021-07-142021-07-140001065088us-gaap:SubsequentEventMemberebay:AdevintaMember2021-07-120</w:t>
      </w:r>
      <w:r>
        <w:rPr>
          <w:rFonts w:ascii="宋体" w:eastAsia="宋体" w:hAnsi="宋体" w:cs="宋体"/>
          <w:vanish/>
        </w:rPr>
        <w:t>001065088srt:ScenarioForecastMemberebay:AdevintaMember2021-10-012021-12-310001065088ebay:StubHubMemberus-gaap:DiscontinuedOperationsDisposedOfBySaleMember2020-02-130001065088ebay:StubHubMemberus-gaap:DiscontinuedOperationsDisposedOfBySaleMember2020-02-1320</w:t>
      </w:r>
      <w:r>
        <w:rPr>
          <w:rFonts w:ascii="宋体" w:eastAsia="宋体" w:hAnsi="宋体" w:cs="宋体"/>
          <w:vanish/>
        </w:rPr>
        <w:t>20-02-130001065088ebay:ViagogoMembersrt:MinimumMember2020-02-132020-02-130001065088ebay:ViagogoMembersrt:MaximumMember2020-02-132020-02-130001065088ebay:ViagogoMember2020-02-132020-02-130001065088ebay:ViagogoMembersrt:ScenarioForecastMember2021-12-31000106</w:t>
      </w:r>
      <w:r>
        <w:rPr>
          <w:rFonts w:ascii="宋体" w:eastAsia="宋体" w:hAnsi="宋体" w:cs="宋体"/>
          <w:vanish/>
        </w:rPr>
        <w:t>5088us-gaap:DiscontinuedOperationsDisposedOfBySaleMemberebay:ClassifiedsBusinessMember2020-07-202020-07-200001065088ebay:AdevintaMember2021-06-240001065088srt:MinimumMemberebay:AdevintaMember2021-06-242021-06-240001065088ebay:AdevintaMembersrt:MaximumMembe</w:t>
      </w:r>
      <w:r>
        <w:rPr>
          <w:rFonts w:ascii="宋体" w:eastAsia="宋体" w:hAnsi="宋体" w:cs="宋体"/>
          <w:vanish/>
        </w:rPr>
        <w:t>r2021-06-242021-06-240001065088ebay:AdevintaMember2021-06-242021-06-240001065088us-gaap:DiscontinuedOperationsHeldforsaleMemberebay:EBayKoreaLLCMember2021-04-012021-06-300001065088us-gaap:DiscontinuedOperationsHeldforsaleMemberebay:EBayKoreaLLCMember2020-0</w:t>
      </w:r>
      <w:r>
        <w:rPr>
          <w:rFonts w:ascii="宋体" w:eastAsia="宋体" w:hAnsi="宋体" w:cs="宋体"/>
          <w:vanish/>
        </w:rPr>
        <w:t>4-012020-06-300001065088us-gaap:DiscontinuedOperationsHeldforsaleMemberebay:EBayKoreaLLCMember2021-01-012021-06-300001065088us-gaap:DiscontinuedOperationsHeldforsaleMemberebay:EBayKoreaLLCMember2020-01-012020-06-300001065088us-gaap:DiscontinuedOperationsDi</w:t>
      </w:r>
      <w:r>
        <w:rPr>
          <w:rFonts w:ascii="宋体" w:eastAsia="宋体" w:hAnsi="宋体" w:cs="宋体"/>
          <w:vanish/>
        </w:rPr>
        <w:t>sposedOfBySaleMemberebay:ClassifiedsBusinessMember2021-04-012021-06-300001065088us-gaap:DiscontinuedOperationsDisposedOfBySaleMemberebay:ClassifiedsBusinessMember2020-04-012020-06-300001065088us-gaap:DiscontinuedOperationsDisposedOfBySaleMemberebay:Classif</w:t>
      </w:r>
      <w:r>
        <w:rPr>
          <w:rFonts w:ascii="宋体" w:eastAsia="宋体" w:hAnsi="宋体" w:cs="宋体"/>
          <w:vanish/>
        </w:rPr>
        <w:t>iedsBusinessMember2021-01-012021-06-300001065088us-gaap:DiscontinuedOperationsDisposedOfBySaleMemberebay:ClassifiedsBusinessMember2020-01-012020-06-300001065088ebay:StubHubMember2021-04-012021-06-300001065088ebay:StubHubMember2020-04-012020-06-300001065088</w:t>
      </w:r>
      <w:r>
        <w:rPr>
          <w:rFonts w:ascii="宋体" w:eastAsia="宋体" w:hAnsi="宋体" w:cs="宋体"/>
          <w:vanish/>
        </w:rPr>
        <w:t>ebay:StubHubMember2021-01-012021-06-300001065088ebay:StubHubMember2020-01-012020-06-300001065088ebay:PaypalAndEnterpriseMember2021-04-012021-06-300001065088ebay:PaypalAndEnterpriseMember2020-04-012020-06-300001065088ebay:PaypalAndEnterpriseMember2021-01-01</w:t>
      </w:r>
      <w:r>
        <w:rPr>
          <w:rFonts w:ascii="宋体" w:eastAsia="宋体" w:hAnsi="宋体" w:cs="宋体"/>
          <w:vanish/>
        </w:rPr>
        <w:t>2021-06-300001065088ebay:PaypalAndEnterpriseMember2020-01-012020-06-300001065088ebay:EBayKoreaLLCMember2021-04-012021-06-300001065088ebay:EBayKoreaLLCMember2020-04-012020-06-300001065088ebay:EBayKoreaLLCMember2021-01-012021-06-300001065088ebay:EBayKoreaLLC</w:t>
      </w:r>
      <w:r>
        <w:rPr>
          <w:rFonts w:ascii="宋体" w:eastAsia="宋体" w:hAnsi="宋体" w:cs="宋体"/>
          <w:vanish/>
        </w:rPr>
        <w:t>Member2020-01-012020-06-300001065088ebay:ClassifiedsBusinessMember2021-04-012021-06-300001065088ebay:ClassifiedsBusinessMember2020-04-012020-06-300001065088ebay:ClassifiedsBusinessMember2021-01-012021-06-300001065088ebay:ClassifiedsBusinessMember2020-01-01</w:t>
      </w:r>
      <w:r>
        <w:rPr>
          <w:rFonts w:ascii="宋体" w:eastAsia="宋体" w:hAnsi="宋体" w:cs="宋体"/>
          <w:vanish/>
        </w:rPr>
        <w:t>2020-06-300001065088ebay:ClassifiedsBusinessMembersrt:ConsolidationEliminationsMember2021-04-012021-06-300001065088ebay:ClassifiedsBusinessMembersrt:ConsolidationEliminationsMember2020-04-012020-06-300001065088ebay:ClassifiedsBusinessMembersrt:Consolidatio</w:t>
      </w:r>
      <w:r>
        <w:rPr>
          <w:rFonts w:ascii="宋体" w:eastAsia="宋体" w:hAnsi="宋体" w:cs="宋体"/>
          <w:vanish/>
        </w:rPr>
        <w:t>nEliminationsMember2021-01-012021-06-300001065088ebay:ClassifiedsBusinessMembersrt:ConsolidationEliminationsMember2020-01-012020-06-300001065088us-gaap:DiscontinuedOperationsDisposedOfBySaleMemberebay:ClassifiedsBusinessMember2020-12-310001065088us-gaap:Di</w:t>
      </w:r>
      <w:r>
        <w:rPr>
          <w:rFonts w:ascii="宋体" w:eastAsia="宋体" w:hAnsi="宋体" w:cs="宋体"/>
          <w:vanish/>
        </w:rPr>
        <w:t>scontinuedOperationsHeldforsaleMemberebay:EBayKoreaLLCMember2020-12-31ebay:segment0001065088us-gaap:OperatingSegmentsMemberebay:NetTransactionRevenuesMember2021-04-012021-06-300001065088us-gaap:OperatingSegmentsMemberebay:NetTransactionRevenuesMember2020-0</w:t>
      </w:r>
      <w:r>
        <w:rPr>
          <w:rFonts w:ascii="宋体" w:eastAsia="宋体" w:hAnsi="宋体" w:cs="宋体"/>
          <w:vanish/>
        </w:rPr>
        <w:t>4-012020-06-300001065088us-gaap:OperatingSegmentsMemberebay:NetTransactionRevenuesMember2021-01-012021-06-300001065088us-gaap:OperatingSegmentsMemberebay:NetTransactionRevenuesMember2020-01-012020-06-300001065088us-gaap:OperatingSegmentsMemberebay:Marketin</w:t>
      </w:r>
      <w:r>
        <w:rPr>
          <w:rFonts w:ascii="宋体" w:eastAsia="宋体" w:hAnsi="宋体" w:cs="宋体"/>
          <w:vanish/>
        </w:rPr>
        <w:t>gServicesAndOtherRevenuesMember2021-04-012021-06-300001065088us-gaap:OperatingSegmentsMemberebay:MarketingServicesAndOtherRevenuesMember2020-04-012020-06-300001065088us-gaap:OperatingSegmentsMemberebay:MarketingServicesAndOtherRevenuesMember2021-01-012021-</w:t>
      </w:r>
      <w:r>
        <w:rPr>
          <w:rFonts w:ascii="宋体" w:eastAsia="宋体" w:hAnsi="宋体" w:cs="宋体"/>
          <w:vanish/>
        </w:rPr>
        <w:t>06-300001065088us-gaap:OperatingSegmentsMemberebay:MarketingServicesAndOtherRevenuesMember2020-01-012020-06-300001065088us-gaap:OperatingSegmentsMember2021-04-012021-06-300001065088us-gaap:OperatingSegmentsMember2020-04-012020-06-300001065088us-gaap:Operat</w:t>
      </w:r>
      <w:r>
        <w:rPr>
          <w:rFonts w:ascii="宋体" w:eastAsia="宋体" w:hAnsi="宋体" w:cs="宋体"/>
          <w:vanish/>
        </w:rPr>
        <w:t>ingSegmentsMember2021-01-012021-06-300001065088us-gaap:OperatingSegmentsMember2020-01-012020-06-300001065088country:US2021-04-012021-06-300001065088country:US2020-04-012020-06-300001065088country:US2021-01-012021-06-300001065088country:US2020-01-012020-06-</w:t>
      </w:r>
      <w:r>
        <w:rPr>
          <w:rFonts w:ascii="宋体" w:eastAsia="宋体" w:hAnsi="宋体" w:cs="宋体"/>
          <w:vanish/>
        </w:rPr>
        <w:t>300001065088country:GB2021-04-012021-06-300001065088country:GB2020-04-012020-06-300001065088country:GB2021-01-012021-06-300001065088country:GB2020-01-012020-06-300001065088country:DE2021-04-012021-06-300001065088country:DE2020-04-012020-06-300001065088coun</w:t>
      </w:r>
      <w:r>
        <w:rPr>
          <w:rFonts w:ascii="宋体" w:eastAsia="宋体" w:hAnsi="宋体" w:cs="宋体"/>
          <w:vanish/>
        </w:rPr>
        <w:t>try:DE2021-01-012021-06-300001065088country:DE2020-01-012020-06-300001065088ebay:RestofWorldMember2021-04-012021-06-300001065088ebay:RestofWorldMember2020-04-012020-06-300001065088ebay:RestofWorldMember2021-01-012021-06-300001065088ebay:RestofWorldMember20</w:t>
      </w:r>
      <w:r>
        <w:rPr>
          <w:rFonts w:ascii="宋体" w:eastAsia="宋体" w:hAnsi="宋体" w:cs="宋体"/>
          <w:vanish/>
        </w:rPr>
        <w:t>20-01-012020-06-300001065088us-gaap:ShortTermInvestmentsMemberebay:RestrictedCashMember2021-06-300001065088us-gaap:ShortTermInvestmentsMemberus-gaap:CorporateDebtSecuritiesMember2021-06-300001065088us-gaap:ShortTermInvestmentsMemberus-gaap:USTreasuryAndGov</w:t>
      </w:r>
      <w:r>
        <w:rPr>
          <w:rFonts w:ascii="宋体" w:eastAsia="宋体" w:hAnsi="宋体" w:cs="宋体"/>
          <w:vanish/>
        </w:rPr>
        <w:t>ernmentMember2021-06-300001065088us-gaap:ShortTermInvestmentsMember2021-06-300001065088ebay:LongTermInvestmentMemberus-gaap:CorporateDebtSecuritiesMember2021-06-300001065088ebay:LongTermInvestmentMemberus-gaap:USTreasuryAndGovernmentMember2021-06-300001065</w:t>
      </w:r>
      <w:r>
        <w:rPr>
          <w:rFonts w:ascii="宋体" w:eastAsia="宋体" w:hAnsi="宋体" w:cs="宋体"/>
          <w:vanish/>
        </w:rPr>
        <w:t>088ebay:LongTermInvestmentMember2021-06-300001065088us-gaap:ShortTermInvestmentsMemberebay:RestrictedCashMember2020-12-310001065088us-gaap:ShortTermInvestmentsMemberus-gaap:CorporateDebtSecuritiesMember2020-12-310001065088us-gaap:ShortTermInvestmentsMember</w:t>
      </w:r>
      <w:r>
        <w:rPr>
          <w:rFonts w:ascii="宋体" w:eastAsia="宋体" w:hAnsi="宋体" w:cs="宋体"/>
          <w:vanish/>
        </w:rPr>
        <w:t>2020-12-310001065088ebay:LongTermInvestmentMemberus-gaap:CorporateDebtSecuritiesMember2020-12-310001065088ebay:LongTermInvestmentMember2020-12-310001065088ebay:StrategicInvestmentMember2021-04-012021-06-30ebay:pure0001065088srt:MaximumMemberebay:AdevintaMe</w:t>
      </w:r>
      <w:r>
        <w:rPr>
          <w:rFonts w:ascii="宋体" w:eastAsia="宋体" w:hAnsi="宋体" w:cs="宋体"/>
          <w:vanish/>
        </w:rPr>
        <w:t>mber2021-06-2400010650882021-03-3100010650882020-03-310001065088srt:MinimumMemberus-gaap:ForeignExchangeContractMemberus-gaap:DesignatedAsHedgingInstrumentMember2021-01-012021-06-300001065088us-gaap:ForeignExchangeContractMemberus-gaap:DesignatedAsHedgingI</w:t>
      </w:r>
      <w:r>
        <w:rPr>
          <w:rFonts w:ascii="宋体" w:eastAsia="宋体" w:hAnsi="宋体" w:cs="宋体"/>
          <w:vanish/>
        </w:rPr>
        <w:t>nstrumentMembersrt:MaximumMember2021-01-012021-06-300001065088us-gaap:CashFlowHedgingMemberus-gaap:ForeignExchangeContractMemberus-gaap:DesignatedAsHedgingInstrumentMembersrt:MaximumMember2021-01-012021-06-300001065088us-gaap:CashFlowHedgingMemberebay:Forw</w:t>
      </w:r>
      <w:r>
        <w:rPr>
          <w:rFonts w:ascii="宋体" w:eastAsia="宋体" w:hAnsi="宋体" w:cs="宋体"/>
          <w:vanish/>
        </w:rPr>
        <w:t>ardStartingInterestRateSwapMemberus-gaap:DesignatedAsHedgingInstrumentMember2021-01-012021-06-300001065088ebay:SeniorUnsecuredNotesDue20262031And2051Memberus-gaap:SeniorNotesMember2021-05-310001065088ebay:ForwardStartingInterestRateSwapMember2021-05-310001</w:t>
      </w:r>
      <w:r>
        <w:rPr>
          <w:rFonts w:ascii="宋体" w:eastAsia="宋体" w:hAnsi="宋体" w:cs="宋体"/>
          <w:vanish/>
        </w:rPr>
        <w:t>065088us-gaap:CashFlowHedgingMemberus-gaap:DesignatedAsHedgingInstrumentMemberebay:FloatingToFixedInterestRateSwapMember2021-06-300001065088us-gaap:WarrantMember2021-06-30ebay:tranche0001065088us-gaap:CashFlowHedgingMemberus-gaap:ForeignExchangeContractMem</w:t>
      </w:r>
      <w:r>
        <w:rPr>
          <w:rFonts w:ascii="宋体" w:eastAsia="宋体" w:hAnsi="宋体" w:cs="宋体"/>
          <w:vanish/>
        </w:rPr>
        <w:t>berus-gaap:DesignatedAsHedgingInstrumentMemberus-gaap:OtherCurrentAssetsMember2021-06-300001065088us-gaap:CashFlowHedgingMemberus-gaap:ForeignExchangeContractMemberus-gaap:DesignatedAsHedgingInstrumentMemberus-gaap:OtherCurrentAssetsMember2020-12-310001065</w:t>
      </w:r>
      <w:r>
        <w:rPr>
          <w:rFonts w:ascii="宋体" w:eastAsia="宋体" w:hAnsi="宋体" w:cs="宋体"/>
          <w:vanish/>
        </w:rPr>
        <w:t>088us-gaap:NondesignatedMemberus-gaap:ForeignExchangeContractMemberus-gaap:OtherCurrentAssetsMember2021-06-300001065088us-gaap:NondesignatedMemberus-gaap:ForeignExchangeContractMemberus-gaap:OtherCurrentAssetsMember2020-12-310001065088us-gaap:DesignatedAsH</w:t>
      </w:r>
      <w:r>
        <w:rPr>
          <w:rFonts w:ascii="宋体" w:eastAsia="宋体" w:hAnsi="宋体" w:cs="宋体"/>
          <w:vanish/>
        </w:rPr>
        <w:t>edgingInstrumentMemberebay:WarrantAssetMemberus-gaap:WarrantMemberus-gaap:FairValueHedgingMember2021-06-300001065088us-gaap:DesignatedAsHedgingInstrumentMemberebay:WarrantAssetMemberus-gaap:WarrantMemberus-gaap:FairValueHedgingMember2020-12-310001065088us-</w:t>
      </w:r>
      <w:r>
        <w:rPr>
          <w:rFonts w:ascii="宋体" w:eastAsia="宋体" w:hAnsi="宋体" w:cs="宋体"/>
          <w:vanish/>
        </w:rPr>
        <w:t>gaap:CashFlowHedgingMemberus-gaap:ForeignExchangeContractMemberus-gaap:DesignatedAsHedgingInstrumentMemberus-gaap:OtherAssetsMember2021-06-300001065088us-gaap:CashFlowHedgingMemberus-gaap:ForeignExchangeContractMemberus-gaap:DesignatedAsHedgingInstrumentMe</w:t>
      </w:r>
      <w:r>
        <w:rPr>
          <w:rFonts w:ascii="宋体" w:eastAsia="宋体" w:hAnsi="宋体" w:cs="宋体"/>
          <w:vanish/>
        </w:rPr>
        <w:t>mberus-gaap:OtherAssetsMember2020-12-310001065088us-gaap:CashFlowHedgingMemberus-gaap:InterestRateContractMemberus-gaap:DesignatedAsHedgingInstrumentMemberus-gaap:OtherAssetsMember2021-06-300001065088us-gaap:CashFlowHedgingMemberus-gaap:InterestRateContrac</w:t>
      </w:r>
      <w:r>
        <w:rPr>
          <w:rFonts w:ascii="宋体" w:eastAsia="宋体" w:hAnsi="宋体" w:cs="宋体"/>
          <w:vanish/>
        </w:rPr>
        <w:t>tMemberus-gaap:DesignatedAsHedgingInstrumentMemberus-gaap:OtherAssetsMember2020-12-310001065088us-gaap:CashFlowHedgingMemberus-gaap:ForeignExchangeContractMemberus-gaap:OtherCurrentLiabilitiesMemberus-gaap:DesignatedAsHedgingInstrumentMember2021-06-3000010</w:t>
      </w:r>
      <w:r>
        <w:rPr>
          <w:rFonts w:ascii="宋体" w:eastAsia="宋体" w:hAnsi="宋体" w:cs="宋体"/>
          <w:vanish/>
        </w:rPr>
        <w:t>65088us-gaap:CashFlowHedgingMemberus-gaap:ForeignExchangeContractMemberus-gaap:OtherCurrentLiabilitiesMemberus-gaap:DesignatedAsHedgingInstrumentMember2020-12-310001065088us-gaap:NondesignatedMemberus-gaap:ForeignExchangeContractMemberus-gaap:OtherCurrentL</w:t>
      </w:r>
      <w:r>
        <w:rPr>
          <w:rFonts w:ascii="宋体" w:eastAsia="宋体" w:hAnsi="宋体" w:cs="宋体"/>
          <w:vanish/>
        </w:rPr>
        <w:t>iabilitiesMember2021-06-300001065088us-gaap:NondesignatedMemberus-gaap:ForeignExchangeContractMemberus-gaap:OtherCurrentLiabilitiesMember2020-12-310001065088us-gaap:CashFlowHedgingMemberus-gaap:InterestRateContractMemberus-gaap:OtherCurrentLiabilitiesMembe</w:t>
      </w:r>
      <w:r>
        <w:rPr>
          <w:rFonts w:ascii="宋体" w:eastAsia="宋体" w:hAnsi="宋体" w:cs="宋体"/>
          <w:vanish/>
        </w:rPr>
        <w:t>rus-gaap:DesignatedAsHedgingInstrumentMember2021-06-300001065088us-gaap:CashFlowHedgingMemberus-gaap:InterestRateContractMemberus-gaap:OtherCurrentLiabilitiesMemberus-gaap:DesignatedAsHedgingInstrumentMember2020-12-310001065088us-gaap:CashFlowHedgingMember</w:t>
      </w:r>
      <w:r>
        <w:rPr>
          <w:rFonts w:ascii="宋体" w:eastAsia="宋体" w:hAnsi="宋体" w:cs="宋体"/>
          <w:vanish/>
        </w:rPr>
        <w:t>us-gaap:OtherLiabilitiesMemberus-gaap:InterestRateContractMemberus-gaap:DesignatedAsHedgingInstrumentMember2021-06-300001065088us-gaap:CashFlowHedgingMemberus-gaap:OtherLiabilitiesMemberus-gaap:InterestRateContractMemberus-gaap:DesignatedAsHedgingInstrumen</w:t>
      </w:r>
      <w:r>
        <w:rPr>
          <w:rFonts w:ascii="宋体" w:eastAsia="宋体" w:hAnsi="宋体" w:cs="宋体"/>
          <w:vanish/>
        </w:rPr>
        <w:t>tMember2020-12-310001065088us-gaap:ForeignExchangeContractMember2021-06-300001065088us-gaap:InterestRateContractMember2021-06-300001065088us-gaap:CashFlowHedgingMemberus-gaap:ForeignExchangeContractMemberus-gaap:DesignatedAsHedgingInstrumentMember2020-12-3</w:t>
      </w:r>
      <w:r>
        <w:rPr>
          <w:rFonts w:ascii="宋体" w:eastAsia="宋体" w:hAnsi="宋体" w:cs="宋体"/>
          <w:vanish/>
        </w:rPr>
        <w:t>10001065088us-gaap:CashFlowHedgingMemberus-gaap:ForeignExchangeContractMemberus-gaap:DesignatedAsHedgingInstrumentMember2021-01-012021-06-300001065088us-gaap:CashFlowHedgingMemberus-gaap:ForeignExchangeContractMemberus-gaap:DesignatedAsHedgingInstrumentMem</w:t>
      </w:r>
      <w:r>
        <w:rPr>
          <w:rFonts w:ascii="宋体" w:eastAsia="宋体" w:hAnsi="宋体" w:cs="宋体"/>
          <w:vanish/>
        </w:rPr>
        <w:t>ber2021-06-300001065088us-gaap:CashFlowHedgingMemberus-gaap:InterestRateContractMemberus-gaap:DesignatedAsHedgingInstrumentMember2020-12-310001065088us-gaap:CashFlowHedgingMemberus-gaap:InterestRateContractMemberus-gaap:DesignatedAsHedgingInstrumentMember2</w:t>
      </w:r>
      <w:r>
        <w:rPr>
          <w:rFonts w:ascii="宋体" w:eastAsia="宋体" w:hAnsi="宋体" w:cs="宋体"/>
          <w:vanish/>
        </w:rPr>
        <w:t>021-01-012021-06-300001065088us-gaap:CashFlowHedgingMemberus-gaap:InterestRateContractMemberus-gaap:DesignatedAsHedgingInstrumentMember2021-06-300001065088us-gaap:CashFlowHedgingMemberus-gaap:DesignatedAsHedgingInstrumentMember2020-12-310001065088us-gaap:C</w:t>
      </w:r>
      <w:r>
        <w:rPr>
          <w:rFonts w:ascii="宋体" w:eastAsia="宋体" w:hAnsi="宋体" w:cs="宋体"/>
          <w:vanish/>
        </w:rPr>
        <w:t>ashFlowHedgingMemberus-gaap:DesignatedAsHedgingInstrumentMember2021-01-012021-06-300001065088us-gaap:CashFlowHedgingMemberus-gaap:DesignatedAsHedgingInstrumentMember2021-06-300001065088us-gaap:CashFlowHedgingMemberus-gaap:ForeignExchangeContractMemberus-ga</w:t>
      </w:r>
      <w:r>
        <w:rPr>
          <w:rFonts w:ascii="宋体" w:eastAsia="宋体" w:hAnsi="宋体" w:cs="宋体"/>
          <w:vanish/>
        </w:rPr>
        <w:t>ap:DesignatedAsHedgingInstrumentMember2019-12-310001065088us-gaap:CashFlowHedgingMemberus-gaap:ForeignExchangeContractMemberus-gaap:DesignatedAsHedgingInstrumentMember2020-01-012020-06-300001065088us-gaap:CashFlowHedgingMemberus-gaap:ForeignExchangeContrac</w:t>
      </w:r>
      <w:r>
        <w:rPr>
          <w:rFonts w:ascii="宋体" w:eastAsia="宋体" w:hAnsi="宋体" w:cs="宋体"/>
          <w:vanish/>
        </w:rPr>
        <w:t>tMemberus-gaap:DesignatedAsHedgingInstrumentMember2020-06-300001065088us-gaap:CashFlowHedgingMemberus-gaap:InterestRateContractMemberus-gaap:DesignatedAsHedgingInstrumentMember2019-12-310001065088us-gaap:CashFlowHedgingMemberus-gaap:InterestRateContractMem</w:t>
      </w:r>
      <w:r>
        <w:rPr>
          <w:rFonts w:ascii="宋体" w:eastAsia="宋体" w:hAnsi="宋体" w:cs="宋体"/>
          <w:vanish/>
        </w:rPr>
        <w:t>berus-gaap:DesignatedAsHedgingInstrumentMember2020-01-012020-06-300001065088us-gaap:CashFlowHedgingMemberus-gaap:InterestRateContractMemberus-gaap:DesignatedAsHedgingInstrumentMember2020-06-300001065088us-gaap:CashFlowHedgingMemberus-gaap:DesignatedAsHedgi</w:t>
      </w:r>
      <w:r>
        <w:rPr>
          <w:rFonts w:ascii="宋体" w:eastAsia="宋体" w:hAnsi="宋体" w:cs="宋体"/>
          <w:vanish/>
        </w:rPr>
        <w:t>ngInstrumentMember2019-12-310001065088us-gaap:CashFlowHedgingMemberus-gaap:DesignatedAsHedgingInstrumentMember2020-01-012020-06-300001065088us-gaap:CashFlowHedgingMemberus-gaap:DesignatedAsHedgingInstrumentMember2020-06-300001065088us-gaap:CashFlowHedgingM</w:t>
      </w:r>
      <w:r>
        <w:rPr>
          <w:rFonts w:ascii="宋体" w:eastAsia="宋体" w:hAnsi="宋体" w:cs="宋体"/>
          <w:vanish/>
        </w:rPr>
        <w:t>emberus-gaap:ForeignExchangeContractMemberus-gaap:DesignatedAsHedgingInstrumentMemberebay:RevenuesMember2021-04-012021-06-300001065088us-gaap:CashFlowHedgingMemberus-gaap:ForeignExchangeContractMemberus-gaap:DesignatedAsHedgingInstrumentMemberebay:Revenues</w:t>
      </w:r>
      <w:r>
        <w:rPr>
          <w:rFonts w:ascii="宋体" w:eastAsia="宋体" w:hAnsi="宋体" w:cs="宋体"/>
          <w:vanish/>
        </w:rPr>
        <w:t>Member2020-04-012020-06-300001065088us-gaap:CashFlowHedgingMemberus-gaap:ForeignExchangeContractMemberus-gaap:DesignatedAsHedgingInstrumentMemberebay:RevenuesMember2021-01-012021-06-300001065088us-gaap:CashFlowHedgingMemberus-gaap:ForeignExchangeContractMe</w:t>
      </w:r>
      <w:r>
        <w:rPr>
          <w:rFonts w:ascii="宋体" w:eastAsia="宋体" w:hAnsi="宋体" w:cs="宋体"/>
          <w:vanish/>
        </w:rPr>
        <w:t>mberus-gaap:DesignatedAsHedgingInstrumentMemberebay:RevenuesMember2020-01-012020-06-300001065088us-gaap:CashFlowHedgingMemberus-gaap:ForeignExchangeContractMemberebay:CostofNetRevenuesMemberus-gaap:DesignatedAsHedgingInstrumentMember2021-04-012021-06-30000</w:t>
      </w:r>
      <w:r>
        <w:rPr>
          <w:rFonts w:ascii="宋体" w:eastAsia="宋体" w:hAnsi="宋体" w:cs="宋体"/>
          <w:vanish/>
        </w:rPr>
        <w:t>1065088us-gaap:CashFlowHedgingMemberus-gaap:ForeignExchangeContractMemberebay:CostofNetRevenuesMemberus-gaap:DesignatedAsHedgingInstrumentMember2020-04-012020-06-300001065088us-gaap:CashFlowHedgingMemberus-gaap:ForeignExchangeContractMemberebay:CostofNetRe</w:t>
      </w:r>
      <w:r>
        <w:rPr>
          <w:rFonts w:ascii="宋体" w:eastAsia="宋体" w:hAnsi="宋体" w:cs="宋体"/>
          <w:vanish/>
        </w:rPr>
        <w:t>venuesMemberus-gaap:DesignatedAsHedgingInstrumentMember2021-01-012021-06-300001065088us-gaap:CashFlowHedgingMemberus-gaap:ForeignExchangeContractMemberebay:CostofNetRevenuesMemberus-gaap:DesignatedAsHedgingInstrumentMember2020-01-012020-06-300001065088us-g</w:t>
      </w:r>
      <w:r>
        <w:rPr>
          <w:rFonts w:ascii="宋体" w:eastAsia="宋体" w:hAnsi="宋体" w:cs="宋体"/>
          <w:vanish/>
        </w:rPr>
        <w:t>aap:NondesignatedMemberus-gaap:ForeignExchangeContractMemberebay:InterestAndOtherNetMember2021-04-012021-06-300001065088us-gaap:NondesignatedMemberus-gaap:ForeignExchangeContractMemberebay:InterestAndOtherNetMember2020-04-012020-06-300001065088us-gaap:Nond</w:t>
      </w:r>
      <w:r>
        <w:rPr>
          <w:rFonts w:ascii="宋体" w:eastAsia="宋体" w:hAnsi="宋体" w:cs="宋体"/>
          <w:vanish/>
        </w:rPr>
        <w:t>esignatedMemberus-gaap:ForeignExchangeContractMemberebay:InterestAndOtherNetMember2021-01-012021-06-300001065088us-gaap:NondesignatedMemberus-gaap:ForeignExchangeContractMemberebay:InterestAndOtherNetMember2020-01-012020-06-300001065088us-gaap:ForeignExcha</w:t>
      </w:r>
      <w:r>
        <w:rPr>
          <w:rFonts w:ascii="宋体" w:eastAsia="宋体" w:hAnsi="宋体" w:cs="宋体"/>
          <w:vanish/>
        </w:rPr>
        <w:t>ngeContractMember2021-04-012021-06-300001065088us-gaap:ForeignExchangeContractMember2020-04-012020-06-300001065088us-gaap:ForeignExchangeContractMember2021-01-012021-06-300001065088us-gaap:ForeignExchangeContractMember2020-01-012020-06-300001065088us-gaap:</w:t>
      </w:r>
      <w:r>
        <w:rPr>
          <w:rFonts w:ascii="宋体" w:eastAsia="宋体" w:hAnsi="宋体" w:cs="宋体"/>
          <w:vanish/>
        </w:rPr>
        <w:t>CashFlowHedgingMemberus-gaap:InterestRateContractMemberus-gaap:DesignatedAsHedgingInstrumentMemberebay:InterestAndOtherNetMember2021-04-012021-06-300001065088us-gaap:CashFlowHedgingMemberus-gaap:InterestRateContractMemberus-gaap:DesignatedAsHedgingInstrume</w:t>
      </w:r>
      <w:r>
        <w:rPr>
          <w:rFonts w:ascii="宋体" w:eastAsia="宋体" w:hAnsi="宋体" w:cs="宋体"/>
          <w:vanish/>
        </w:rPr>
        <w:t>ntMemberebay:InterestAndOtherNetMember2020-04-012020-06-300001065088us-gaap:CashFlowHedgingMemberus-gaap:InterestRateContractMemberus-gaap:DesignatedAsHedgingInstrumentMemberebay:InterestAndOtherNetMember2021-01-012021-06-300001065088us-gaap:CashFlowHedgin</w:t>
      </w:r>
      <w:r>
        <w:rPr>
          <w:rFonts w:ascii="宋体" w:eastAsia="宋体" w:hAnsi="宋体" w:cs="宋体"/>
          <w:vanish/>
        </w:rPr>
        <w:t>gMemberus-gaap:InterestRateContractMemberus-gaap:DesignatedAsHedgingInstrumentMemberebay:InterestAndOtherNetMember2020-01-012020-06-300001065088us-gaap:WarrantMemberebay:InterestAndOtherNetMember2021-04-012021-06-300001065088us-gaap:WarrantMemberebay:Inter</w:t>
      </w:r>
      <w:r>
        <w:rPr>
          <w:rFonts w:ascii="宋体" w:eastAsia="宋体" w:hAnsi="宋体" w:cs="宋体"/>
          <w:vanish/>
        </w:rPr>
        <w:t>estAndOtherNetMember2020-04-012020-06-300001065088us-gaap:WarrantMemberebay:InterestAndOtherNetMember2021-01-012021-06-300001065088us-gaap:WarrantMemberebay:InterestAndOtherNetMember2020-01-012020-06-300001065088us-gaap:NondesignatedMemberus-gaap:ForeignEx</w:t>
      </w:r>
      <w:r>
        <w:rPr>
          <w:rFonts w:ascii="宋体" w:eastAsia="宋体" w:hAnsi="宋体" w:cs="宋体"/>
          <w:vanish/>
        </w:rPr>
        <w:t>changeContractMember2021-06-300001065088us-gaap:NondesignatedMemberus-gaap:ForeignExchangeContractMember2020-12-310001065088us-gaap:FairValueMeasurementsRecurringMember2021-06-300001065088us-gaap:FairValueMeasurementsRecurringMemberus-gaap:FairValueInputsL</w:t>
      </w:r>
      <w:r>
        <w:rPr>
          <w:rFonts w:ascii="宋体" w:eastAsia="宋体" w:hAnsi="宋体" w:cs="宋体"/>
          <w:vanish/>
        </w:rPr>
        <w:t>evel1Member2021-06-300001065088us-gaap:FairValueInputsLevel2Memberus-gaap:FairValueMeasurementsRecurringMember2021-06-300001065088us-gaap:FairValueInputsLevel3Memberus-gaap:FairValueMeasurementsRecurringMember2021-06-300001065088us-gaap:ShortTermInvestment</w:t>
      </w:r>
      <w:r>
        <w:rPr>
          <w:rFonts w:ascii="宋体" w:eastAsia="宋体" w:hAnsi="宋体" w:cs="宋体"/>
          <w:vanish/>
        </w:rPr>
        <w:t>sMemberus-gaap:FairValueMeasurementsRecurringMemberebay:RestrictedCashMember2021-06-300001065088us-gaap:ShortTermInvestmentsMemberus-gaap:FairValueMeasurementsRecurringMemberebay:RestrictedCashMemberus-gaap:FairValueInputsLevel1Member2021-06-300001065088us</w:t>
      </w:r>
      <w:r>
        <w:rPr>
          <w:rFonts w:ascii="宋体" w:eastAsia="宋体" w:hAnsi="宋体" w:cs="宋体"/>
          <w:vanish/>
        </w:rPr>
        <w:t>-gaap:FairValueInputsLevel2Memberus-gaap:ShortTermInvestmentsMemberus-gaap:FairValueMeasurementsRecurringMemberebay:RestrictedCashMember2021-06-300001065088us-gaap:FairValueInputsLevel3Memberus-gaap:ShortTermInvestmentsMemberus-gaap:FairValueMeasurementsRe</w:t>
      </w:r>
      <w:r>
        <w:rPr>
          <w:rFonts w:ascii="宋体" w:eastAsia="宋体" w:hAnsi="宋体" w:cs="宋体"/>
          <w:vanish/>
        </w:rPr>
        <w:t>curringMemberebay:RestrictedCashMember2021-06-300001065088us-gaap:ShortTermInvestmentsMemberus-gaap:FairValueMeasurementsRecurringMemberus-gaap:CorporateDebtSecuritiesMember2021-06-300001065088us-gaap:ShortTermInvestmentsMemberus-gaap:FairValueMeasurements</w:t>
      </w:r>
      <w:r>
        <w:rPr>
          <w:rFonts w:ascii="宋体" w:eastAsia="宋体" w:hAnsi="宋体" w:cs="宋体"/>
          <w:vanish/>
        </w:rPr>
        <w:t>RecurringMemberus-gaap:CorporateDebtSecuritiesMemberus-gaap:FairValueInputsLevel1Member2021-06-300001065088us-gaap:FairValueInputsLevel2Memberus-gaap:ShortTermInvestmentsMemberus-gaap:FairValueMeasurementsRecurringMemberus-gaap:CorporateDebtSecuritiesMembe</w:t>
      </w:r>
      <w:r>
        <w:rPr>
          <w:rFonts w:ascii="宋体" w:eastAsia="宋体" w:hAnsi="宋体" w:cs="宋体"/>
          <w:vanish/>
        </w:rPr>
        <w:t>r2021-06-300001065088us-gaap:FairValueInputsLevel3Memberus-gaap:ShortTermInvestmentsMemberus-gaap:FairValueMeasurementsRecurringMemberus-gaap:CorporateDebtSecuritiesMember2021-06-300001065088us-gaap:ShortTermInvestmentsMemberus-gaap:FairValueMeasurementsRe</w:t>
      </w:r>
      <w:r>
        <w:rPr>
          <w:rFonts w:ascii="宋体" w:eastAsia="宋体" w:hAnsi="宋体" w:cs="宋体"/>
          <w:vanish/>
        </w:rPr>
        <w:t>curringMemberus-gaap:USTreasuryAndGovernmentMember2021-06-300001065088us-gaap:ShortTermInvestmentsMemberus-gaap:FairValueMeasurementsRecurringMemberus-gaap:USTreasuryAndGovernmentMemberus-gaap:FairValueInputsLevel1Member2021-06-300001065088us-gaap:FairValu</w:t>
      </w:r>
      <w:r>
        <w:rPr>
          <w:rFonts w:ascii="宋体" w:eastAsia="宋体" w:hAnsi="宋体" w:cs="宋体"/>
          <w:vanish/>
        </w:rPr>
        <w:t>eInputsLevel2Memberus-gaap:ShortTermInvestmentsMemberus-gaap:FairValueMeasurementsRecurringMemberus-gaap:USTreasuryAndGovernmentMember2021-06-300001065088us-gaap:FairValueInputsLevel3Memberus-gaap:ShortTermInvestmentsMemberus-gaap:FairValueMeasurementsRecu</w:t>
      </w:r>
      <w:r>
        <w:rPr>
          <w:rFonts w:ascii="宋体" w:eastAsia="宋体" w:hAnsi="宋体" w:cs="宋体"/>
          <w:vanish/>
        </w:rPr>
        <w:t>rringMemberus-gaap:USTreasuryAndGovernmentMember2021-06-300001065088us-gaap:ShortTermInvestmentsMemberus-gaap:FairValueMeasurementsRecurringMember2021-06-300001065088us-gaap:ShortTermInvestmentsMemberus-gaap:FairValueMeasurementsRecurringMemberus-gaap:Fair</w:t>
      </w:r>
      <w:r>
        <w:rPr>
          <w:rFonts w:ascii="宋体" w:eastAsia="宋体" w:hAnsi="宋体" w:cs="宋体"/>
          <w:vanish/>
        </w:rPr>
        <w:t>ValueInputsLevel1Member2021-06-300001065088us-gaap:FairValueInputsLevel2Memberus-gaap:ShortTermInvestmentsMemberus-gaap:FairValueMeasurementsRecurringMember2021-06-300001065088us-gaap:FairValueInputsLevel3Memberus-gaap:ShortTermInvestmentsMemberus-gaap:Fai</w:t>
      </w:r>
      <w:r>
        <w:rPr>
          <w:rFonts w:ascii="宋体" w:eastAsia="宋体" w:hAnsi="宋体" w:cs="宋体"/>
          <w:vanish/>
        </w:rPr>
        <w:t>rValueMeasurementsRecurringMember2021-06-300001065088ebay:LongTermInvestmentMemberus-gaap:FairValueMeasurementsRecurringMemberus-gaap:CorporateDebtSecuritiesMember2021-06-300001065088ebay:LongTermInvestmentMemberus-gaap:FairValueMeasurementsRecurringMember</w:t>
      </w:r>
      <w:r>
        <w:rPr>
          <w:rFonts w:ascii="宋体" w:eastAsia="宋体" w:hAnsi="宋体" w:cs="宋体"/>
          <w:vanish/>
        </w:rPr>
        <w:t>us-gaap:CorporateDebtSecuritiesMemberus-gaap:FairValueInputsLevel1Member2021-06-300001065088us-gaap:FairValueInputsLevel2Memberebay:LongTermInvestmentMemberus-gaap:FairValueMeasurementsRecurringMemberus-gaap:CorporateDebtSecuritiesMember2021-06-30000106508</w:t>
      </w:r>
      <w:r>
        <w:rPr>
          <w:rFonts w:ascii="宋体" w:eastAsia="宋体" w:hAnsi="宋体" w:cs="宋体"/>
          <w:vanish/>
        </w:rPr>
        <w:t>8us-gaap:FairValueInputsLevel3Memberebay:LongTermInvestmentMemberus-gaap:FairValueMeasurementsRecurringMemberus-gaap:CorporateDebtSecuritiesMember2021-06-300001065088ebay:LongTermInvestmentMemberus-gaap:FairValueMeasurementsRecurringMemberus-gaap:USTreasur</w:t>
      </w:r>
      <w:r>
        <w:rPr>
          <w:rFonts w:ascii="宋体" w:eastAsia="宋体" w:hAnsi="宋体" w:cs="宋体"/>
          <w:vanish/>
        </w:rPr>
        <w:t>yAndGovernmentMember2021-06-300001065088ebay:LongTermInvestmentMemberus-gaap:FairValueMeasurementsRecurringMemberus-gaap:USTreasuryAndGovernmentMemberus-gaap:FairValueInputsLevel1Member2021-06-300001065088us-gaap:FairValueInputsLevel2Memberebay:LongTermInv</w:t>
      </w:r>
      <w:r>
        <w:rPr>
          <w:rFonts w:ascii="宋体" w:eastAsia="宋体" w:hAnsi="宋体" w:cs="宋体"/>
          <w:vanish/>
        </w:rPr>
        <w:t>estmentMemberus-gaap:FairValueMeasurementsRecurringMemberus-gaap:USTreasuryAndGovernmentMember2021-06-300001065088us-gaap:FairValueInputsLevel3Memberebay:LongTermInvestmentMemberus-gaap:FairValueMeasurementsRecurringMemberus-gaap:USTreasuryAndGovernmentMem</w:t>
      </w:r>
      <w:r>
        <w:rPr>
          <w:rFonts w:ascii="宋体" w:eastAsia="宋体" w:hAnsi="宋体" w:cs="宋体"/>
          <w:vanish/>
        </w:rPr>
        <w:t>ber2021-06-300001065088ebay:LongTermInvestmentMemberus-gaap:FairValueMeasurementsRecurringMember2021-06-300001065088ebay:LongTermInvestmentMemberus-gaap:FairValueMeasurementsRecurringMemberus-gaap:FairValueInputsLevel1Member2021-06-300001065088us-gaap:Fair</w:t>
      </w:r>
      <w:r>
        <w:rPr>
          <w:rFonts w:ascii="宋体" w:eastAsia="宋体" w:hAnsi="宋体" w:cs="宋体"/>
          <w:vanish/>
        </w:rPr>
        <w:t>ValueInputsLevel2Memberebay:LongTermInvestmentMemberus-gaap:FairValueMeasurementsRecurringMember2021-06-300001065088us-gaap:FairValueInputsLevel3Memberebay:LongTermInvestmentMemberus-gaap:FairValueMeasurementsRecurringMember2021-06-300001065088us-gaap:Fair</w:t>
      </w:r>
      <w:r>
        <w:rPr>
          <w:rFonts w:ascii="宋体" w:eastAsia="宋体" w:hAnsi="宋体" w:cs="宋体"/>
          <w:vanish/>
        </w:rPr>
        <w:t>ValueMeasurementsRecurringMember2020-12-310001065088us-gaap:FairValueMeasurementsRecurringMemberus-gaap:FairValueInputsLevel1Member2020-12-310001065088us-gaap:FairValueInputsLevel2Memberus-gaap:FairValueMeasurementsRecurringMember2020-12-310001065088us-gaa</w:t>
      </w:r>
      <w:r>
        <w:rPr>
          <w:rFonts w:ascii="宋体" w:eastAsia="宋体" w:hAnsi="宋体" w:cs="宋体"/>
          <w:vanish/>
        </w:rPr>
        <w:t>p:FairValueInputsLevel3Memberus-gaap:FairValueMeasurementsRecurringMember2020-12-310001065088us-gaap:ShortTermInvestmentsMemberus-gaap:FairValueMeasurementsRecurringMemberebay:RestrictedCashMember2020-12-310001065088us-gaap:ShortTermInvestmentsMemberus-gaa</w:t>
      </w:r>
      <w:r>
        <w:rPr>
          <w:rFonts w:ascii="宋体" w:eastAsia="宋体" w:hAnsi="宋体" w:cs="宋体"/>
          <w:vanish/>
        </w:rPr>
        <w:t>p:FairValueMeasurementsRecurringMemberebay:RestrictedCashMemberus-gaap:FairValueInputsLevel1Member2020-12-310001065088us-gaap:FairValueInputsLevel2Memberus-gaap:ShortTermInvestmentsMemberus-gaap:FairValueMeasurementsRecurringMemberebay:RestrictedCashMember</w:t>
      </w:r>
      <w:r>
        <w:rPr>
          <w:rFonts w:ascii="宋体" w:eastAsia="宋体" w:hAnsi="宋体" w:cs="宋体"/>
          <w:vanish/>
        </w:rPr>
        <w:t>2020-12-310001065088us-gaap:FairValueInputsLevel3Memberus-gaap:ShortTermInvestmentsMemberus-gaap:FairValueMeasurementsRecurringMemberebay:RestrictedCashMember2020-12-310001065088us-gaap:ShortTermInvestmentsMemberus-gaap:FairValueMeasurementsRecurringMember</w:t>
      </w:r>
      <w:r>
        <w:rPr>
          <w:rFonts w:ascii="宋体" w:eastAsia="宋体" w:hAnsi="宋体" w:cs="宋体"/>
          <w:vanish/>
        </w:rPr>
        <w:t>us-gaap:CorporateDebtSecuritiesMember2020-12-310001065088us-gaap:ShortTermInvestmentsMemberus-gaap:FairValueMeasurementsRecurringMemberus-gaap:CorporateDebtSecuritiesMemberus-gaap:FairValueInputsLevel1Member2020-12-310001065088us-gaap:FairValueInputsLevel2</w:t>
      </w:r>
      <w:r>
        <w:rPr>
          <w:rFonts w:ascii="宋体" w:eastAsia="宋体" w:hAnsi="宋体" w:cs="宋体"/>
          <w:vanish/>
        </w:rPr>
        <w:t>Memberus-gaap:ShortTermInvestmentsMemberus-gaap:FairValueMeasurementsRecurringMemberus-gaap:CorporateDebtSecuritiesMember2020-12-310001065088us-gaap:FairValueInputsLevel3Memberus-gaap:ShortTermInvestmentsMemberus-gaap:FairValueMeasurementsRecurringMemberus</w:t>
      </w:r>
      <w:r>
        <w:rPr>
          <w:rFonts w:ascii="宋体" w:eastAsia="宋体" w:hAnsi="宋体" w:cs="宋体"/>
          <w:vanish/>
        </w:rPr>
        <w:t>-gaap:CorporateDebtSecuritiesMember2020-12-310001065088us-gaap:ShortTermInvestmentsMemberus-gaap:FairValueMeasurementsRecurringMember2020-12-310001065088us-gaap:ShortTermInvestmentsMemberus-gaap:FairValueMeasurementsRecurringMemberus-gaap:FairValueInputsLe</w:t>
      </w:r>
      <w:r>
        <w:rPr>
          <w:rFonts w:ascii="宋体" w:eastAsia="宋体" w:hAnsi="宋体" w:cs="宋体"/>
          <w:vanish/>
        </w:rPr>
        <w:t>vel1Member2020-12-310001065088us-gaap:FairValueInputsLevel2Memberus-gaap:ShortTermInvestmentsMemberus-gaap:FairValueMeasurementsRecurringMember2020-12-310001065088us-gaap:FairValueInputsLevel3Memberus-gaap:ShortTermInvestmentsMemberus-gaap:FairValueMeasure</w:t>
      </w:r>
      <w:r>
        <w:rPr>
          <w:rFonts w:ascii="宋体" w:eastAsia="宋体" w:hAnsi="宋体" w:cs="宋体"/>
          <w:vanish/>
        </w:rPr>
        <w:t>mentsRecurringMember2020-12-310001065088ebay:LongTermInvestmentMemberus-gaap:FairValueMeasurementsRecurringMemberus-gaap:CorporateDebtSecuritiesMember2020-12-310001065088ebay:LongTermInvestmentMemberus-gaap:FairValueMeasurementsRecurringMemberus-gaap:Corpo</w:t>
      </w:r>
      <w:r>
        <w:rPr>
          <w:rFonts w:ascii="宋体" w:eastAsia="宋体" w:hAnsi="宋体" w:cs="宋体"/>
          <w:vanish/>
        </w:rPr>
        <w:t>rateDebtSecuritiesMemberus-gaap:FairValueInputsLevel1Member2020-12-310001065088us-gaap:FairValueInputsLevel2Memberebay:LongTermInvestmentMemberus-gaap:FairValueMeasurementsRecurringMemberus-gaap:CorporateDebtSecuritiesMember2020-12-310001065088us-gaap:Fair</w:t>
      </w:r>
      <w:r>
        <w:rPr>
          <w:rFonts w:ascii="宋体" w:eastAsia="宋体" w:hAnsi="宋体" w:cs="宋体"/>
          <w:vanish/>
        </w:rPr>
        <w:t>ValueInputsLevel3Memberebay:LongTermInvestmentMemberus-gaap:FairValueMeasurementsRecurringMemberus-gaap:CorporateDebtSecuritiesMember2020-12-310001065088ebay:LongTermInvestmentMemberus-gaap:FairValueMeasurementsRecurringMember2020-12-310001065088ebay:LongT</w:t>
      </w:r>
      <w:r>
        <w:rPr>
          <w:rFonts w:ascii="宋体" w:eastAsia="宋体" w:hAnsi="宋体" w:cs="宋体"/>
          <w:vanish/>
        </w:rPr>
        <w:t>ermInvestmentMemberus-gaap:FairValueMeasurementsRecurringMemberus-gaap:FairValueInputsLevel1Member2020-12-310001065088us-gaap:FairValueInputsLevel2Memberebay:LongTermInvestmentMemberus-gaap:FairValueMeasurementsRecurringMember2020-12-310001065088us-gaap:Fa</w:t>
      </w:r>
      <w:r>
        <w:rPr>
          <w:rFonts w:ascii="宋体" w:eastAsia="宋体" w:hAnsi="宋体" w:cs="宋体"/>
          <w:vanish/>
        </w:rPr>
        <w:t>irValueInputsLevel3Memberebay:LongTermInvestmentMemberus-gaap:FairValueMeasurementsRecurringMember2020-12-310001065088us-gaap:FairValueInputsLevel3Memberus-gaap:FairValueMeasurementsRecurringMemberus-gaap:WarrantMember2020-12-310001065088us-gaap:FairValueI</w:t>
      </w:r>
      <w:r>
        <w:rPr>
          <w:rFonts w:ascii="宋体" w:eastAsia="宋体" w:hAnsi="宋体" w:cs="宋体"/>
          <w:vanish/>
        </w:rPr>
        <w:t>nputsLevel3Memberus-gaap:FairValueMeasurementsRecurringMemberus-gaap:WarrantMember2019-12-310001065088us-gaap:FairValueInputsLevel3Memberus-gaap:FairValueMeasurementsRecurringMemberus-gaap:WarrantMember2021-01-012021-06-300001065088us-gaap:FairValueInputsL</w:t>
      </w:r>
      <w:r>
        <w:rPr>
          <w:rFonts w:ascii="宋体" w:eastAsia="宋体" w:hAnsi="宋体" w:cs="宋体"/>
          <w:vanish/>
        </w:rPr>
        <w:t>evel3Memberus-gaap:FairValueMeasurementsRecurringMemberus-gaap:WarrantMember2020-01-012020-12-310001065088us-gaap:FairValueInputsLevel3Memberus-gaap:FairValueMeasurementsRecurringMemberus-gaap:WarrantMember2021-06-300001065088us-gaap:FairValueInputsLevel3M</w:t>
      </w:r>
      <w:r>
        <w:rPr>
          <w:rFonts w:ascii="宋体" w:eastAsia="宋体" w:hAnsi="宋体" w:cs="宋体"/>
          <w:vanish/>
        </w:rPr>
        <w:t>emberus-gaap:FairValueMeasurementsRecurringMembersrt:MinimumMemberebay:MeasurementInputProbabilityOfVestingMember2021-06-300001065088us-gaap:FairValueInputsLevel3Memberus-gaap:FairValueMeasurementsRecurringMemberebay:MeasurementInputProbabilityOfVestingMem</w:t>
      </w:r>
      <w:r>
        <w:rPr>
          <w:rFonts w:ascii="宋体" w:eastAsia="宋体" w:hAnsi="宋体" w:cs="宋体"/>
          <w:vanish/>
        </w:rPr>
        <w:t>bersrt:MaximumMember2021-06-300001065088us-gaap:FairValueInputsLevel3Memberus-gaap:FairValueMeasurementsRecurringMembersrt:WeightedAverageMemberebay:MeasurementInputProbabilityOfVestingMember2021-06-300001065088us-gaap:FairValueInputsLevel3Memberus-gaap:Fa</w:t>
      </w:r>
      <w:r>
        <w:rPr>
          <w:rFonts w:ascii="宋体" w:eastAsia="宋体" w:hAnsi="宋体" w:cs="宋体"/>
          <w:vanish/>
        </w:rPr>
        <w:t>irValueMeasurementsRecurringMembersrt:MinimumMemberebay:MeasurementInputEquityVolatilityMember2021-06-300001065088us-gaap:FairValueInputsLevel3Memberus-gaap:FairValueMeasurementsRecurringMemberebay:MeasurementInputEquityVolatilityMembersrt:MaximumMember202</w:t>
      </w:r>
      <w:r>
        <w:rPr>
          <w:rFonts w:ascii="宋体" w:eastAsia="宋体" w:hAnsi="宋体" w:cs="宋体"/>
          <w:vanish/>
        </w:rPr>
        <w:t>1-06-300001065088us-gaap:FairValueInputsLevel3Memberus-gaap:FairValueMeasurementsRecurringMembersrt:WeightedAverageMemberebay:MeasurementInputEquityVolatilityMember2021-06-300001065088us-gaap:SeniorNotesMemberebay:SeniorNotesFloatingRateDue2023Member2021-0</w:t>
      </w:r>
      <w:r>
        <w:rPr>
          <w:rFonts w:ascii="宋体" w:eastAsia="宋体" w:hAnsi="宋体" w:cs="宋体"/>
          <w:vanish/>
        </w:rPr>
        <w:t>6-300001065088us-gaap:SeniorNotesMemberebay:SeniorNotesFloatingRateDue2023Member2020-12-310001065088us-gaap:SeniorNotesMemberebay:ThreePointEightHundredPercentSeniorNotesDueOn2022Member2021-06-300001065088us-gaap:SeniorNotesMemberebay:ThreePointEightHundre</w:t>
      </w:r>
      <w:r>
        <w:rPr>
          <w:rFonts w:ascii="宋体" w:eastAsia="宋体" w:hAnsi="宋体" w:cs="宋体"/>
          <w:vanish/>
        </w:rPr>
        <w:t>dPercentSeniorNotesDueOn2022Member2020-12-310001065088us-gaap:SeniorNotesMemberebay:TwoPointSixPercentSeniorNotesDueOn2022Member2021-06-300001065088us-gaap:SeniorNotesMemberebay:TwoPointSixPercentSeniorNotesDueOn2022Member2020-12-310001065088us-gaap:Senior</w:t>
      </w:r>
      <w:r>
        <w:rPr>
          <w:rFonts w:ascii="宋体" w:eastAsia="宋体" w:hAnsi="宋体" w:cs="宋体"/>
          <w:vanish/>
        </w:rPr>
        <w:t>NotesMemberebay:TwoPointSevenHundredFiftyPercentSeniorNotesDueOn2023Member2021-06-300001065088us-gaap:SeniorNotesMemberebay:TwoPointSevenHundredFiftyPercentSeniorNotesDueOn2023Member2020-12-310001065088us-gaap:SeniorNotesMemberebay:ThreePointFourHundredFif</w:t>
      </w:r>
      <w:r>
        <w:rPr>
          <w:rFonts w:ascii="宋体" w:eastAsia="宋体" w:hAnsi="宋体" w:cs="宋体"/>
          <w:vanish/>
        </w:rPr>
        <w:t>tyPercentSeniorNotesDueOn2024Member2021-06-300001065088us-gaap:SeniorNotesMemberebay:ThreePointFourHundredFiftyPercentSeniorNotesDueOn2024Member2020-12-310001065088us-gaap:SeniorNotesMemberebay:OnePointNineZeroPercentSeniorNotesDueOn2025Member2021-06-30000</w:t>
      </w:r>
      <w:r>
        <w:rPr>
          <w:rFonts w:ascii="宋体" w:eastAsia="宋体" w:hAnsi="宋体" w:cs="宋体"/>
          <w:vanish/>
        </w:rPr>
        <w:t>1065088us-gaap:SeniorNotesMemberebay:OnePointNineZeroPercentSeniorNotesDueOn2025Member2020-12-310001065088us-gaap:SeniorNotesMemberebay:A1400FixedRateNotesDue2026Member2021-06-300001065088us-gaap:SeniorNotesMemberebay:A1400FixedRateNotesDue2026Member2020-1</w:t>
      </w:r>
      <w:r>
        <w:rPr>
          <w:rFonts w:ascii="宋体" w:eastAsia="宋体" w:hAnsi="宋体" w:cs="宋体"/>
          <w:vanish/>
        </w:rPr>
        <w:t>2-310001065088us-gaap:SeniorNotesMemberebay:ThreePointSixHundredPercentSeniorNotesDueOn2027Member2021-06-300001065088us-gaap:SeniorNotesMemberebay:ThreePointSixHundredPercentSeniorNotesDueOn2027Member2020-12-310001065088ebay:TwoPointSevenZeroPercentSeniorN</w:t>
      </w:r>
      <w:r>
        <w:rPr>
          <w:rFonts w:ascii="宋体" w:eastAsia="宋体" w:hAnsi="宋体" w:cs="宋体"/>
          <w:vanish/>
        </w:rPr>
        <w:t>otesDueOn2030Memberus-gaap:SeniorNotesMember2021-06-300001065088ebay:TwoPointSevenZeroPercentSeniorNotesDueOn2030Memberus-gaap:SeniorNotesMember2020-12-310001065088us-gaap:SeniorNotesMemberebay:A2600FixedRateNotesDue2031Member2021-06-300001065088us-gaap:Se</w:t>
      </w:r>
      <w:r>
        <w:rPr>
          <w:rFonts w:ascii="宋体" w:eastAsia="宋体" w:hAnsi="宋体" w:cs="宋体"/>
          <w:vanish/>
        </w:rPr>
        <w:t>niorNotesMemberebay:A2600FixedRateNotesDue2031Member2020-12-310001065088ebay:FourPointZeroPercentSeniorNotesDueOn2042Memberus-gaap:SeniorNotesMember2021-06-300001065088ebay:FourPointZeroPercentSeniorNotesDueOn2042Memberus-gaap:SeniorNotesMember2020-12-3100</w:t>
      </w:r>
      <w:r>
        <w:rPr>
          <w:rFonts w:ascii="宋体" w:eastAsia="宋体" w:hAnsi="宋体" w:cs="宋体"/>
          <w:vanish/>
        </w:rPr>
        <w:t>01065088us-gaap:SeniorNotesMemberebay:A3650FixedRateNotesDue2051Member2021-06-300001065088us-gaap:SeniorNotesMemberebay:A3650FixedRateNotesDue2051Member2020-12-310001065088ebay:SixPointZeroPercentSeniorNotesDueOn2056Memberus-gaap:SeniorNotesMember2021-06-3</w:t>
      </w:r>
      <w:r>
        <w:rPr>
          <w:rFonts w:ascii="宋体" w:eastAsia="宋体" w:hAnsi="宋体" w:cs="宋体"/>
          <w:vanish/>
        </w:rPr>
        <w:t>00001065088ebay:SixPointZeroPercentSeniorNotesDueOn2056Memberus-gaap:SeniorNotesMember2020-12-310001065088ebay:SixPointZeroPercentSeniorNotesDueOn2056Memberus-gaap:SeniorNotesMember2021-03-010001065088ebay:SixPointZeroPercentSeniorNotesDueOn2056Memberus-ga</w:t>
      </w:r>
      <w:r>
        <w:rPr>
          <w:rFonts w:ascii="宋体" w:eastAsia="宋体" w:hAnsi="宋体" w:cs="宋体"/>
          <w:vanish/>
        </w:rPr>
        <w:t>ap:SeniorNotesMember2021-03-012021-03-010001065088us-gaap:SeniorNotesMemberebay:TwoPointSixPercentSeniorNotesDueOn2022Member2021-03-012021-03-310001065088us-gaap:SeniorNotesMemberebay:TwoPointSixPercentSeniorNotesDueOn2022Member2021-03-3100010650882021-05-</w:t>
      </w:r>
      <w:r>
        <w:rPr>
          <w:rFonts w:ascii="宋体" w:eastAsia="宋体" w:hAnsi="宋体" w:cs="宋体"/>
          <w:vanish/>
        </w:rPr>
        <w:t>310001065088us-gaap:SeniorNotesMemberebay:A1400FixedRateNotesDue2026Member2021-05-310001065088us-gaap:SeniorNotesMemberebay:A2600FixedRateNotesDue2031Member2021-05-310001065088us-gaap:SeniorNotesMemberebay:A3650FixedRateNotesDue2051Member2021-05-3100010650</w:t>
      </w:r>
      <w:r>
        <w:rPr>
          <w:rFonts w:ascii="宋体" w:eastAsia="宋体" w:hAnsi="宋体" w:cs="宋体"/>
          <w:vanish/>
        </w:rPr>
        <w:t>88us-gaap:SeniorNotesMember2021-01-012021-06-300001065088us-gaap:ConvertibleDebtMemberebay:LIBORBasedFloatingRateDebtMember2020-06-300001065088us-gaap:SeniorNotesMember2021-04-012021-06-300001065088us-gaap:SeniorNotesMember2020-04-012020-06-300001065088us-</w:t>
      </w:r>
      <w:r>
        <w:rPr>
          <w:rFonts w:ascii="宋体" w:eastAsia="宋体" w:hAnsi="宋体" w:cs="宋体"/>
          <w:vanish/>
        </w:rPr>
        <w:t>gaap:SeniorNotesMember2020-01-012020-06-300001065088us-gaap:SeniorNotesMember2021-06-300001065088us-gaap:SeniorNotesMember2020-12-310001065088us-gaap:CommercialPaperMemberus-gaap:RevolvingCreditFacilityMember2021-06-300001065088us-gaap:CommercialPaperMembe</w:t>
      </w:r>
      <w:r>
        <w:rPr>
          <w:rFonts w:ascii="宋体" w:eastAsia="宋体" w:hAnsi="宋体" w:cs="宋体"/>
          <w:vanish/>
        </w:rPr>
        <w:t>rsrt:MaximumMember2021-01-012021-06-300001065088us-gaap:CommercialPaperMember2021-06-300001065088us-gaap:RevolvingCreditFacilityMemberus-gaap:UnsecuredDebtMember2020-03-310001065088us-gaap:RevolvingCreditFacilityMemberus-gaap:UnsecuredDebtMember2020-03-012</w:t>
      </w:r>
      <w:r>
        <w:rPr>
          <w:rFonts w:ascii="宋体" w:eastAsia="宋体" w:hAnsi="宋体" w:cs="宋体"/>
          <w:vanish/>
        </w:rPr>
        <w:t>020-03-310001065088us-gaap:RevolvingCreditFacilityMemberus-gaap:UnsecuredDebtMember2015-11-300001065088us-gaap:RevolvingCreditFacilityMemberus-gaap:UnsecuredDebtMember2021-06-3000010650882020-01-3100010650882021-02-280001065088us-gaap:SubsequentEventMember</w:t>
      </w:r>
      <w:r>
        <w:rPr>
          <w:rFonts w:ascii="宋体" w:eastAsia="宋体" w:hAnsi="宋体" w:cs="宋体"/>
          <w:vanish/>
        </w:rPr>
        <w:t>2021-08-120001065088us-gaap:SubsequentEventMember2021-08-012021-08-120001065088us-gaap:RestrictedStockUnitsRSUMember2020-12-310001065088us-gaap:RestrictedStockUnitsRSUMember2021-01-012021-06-300001065088us-gaap:RestrictedStockUnitsRSUMember2021-06-30000106</w:t>
      </w:r>
      <w:r>
        <w:rPr>
          <w:rFonts w:ascii="宋体" w:eastAsia="宋体" w:hAnsi="宋体" w:cs="宋体"/>
          <w:vanish/>
        </w:rPr>
        <w:t>5088us-gaap:CostOfSalesMember2021-04-012021-06-300001065088us-gaap:CostOfSalesMember2020-04-012020-06-300001065088us-gaap:CostOfSalesMember2021-01-012021-06-300001065088us-gaap:CostOfSalesMember2020-01-012020-06-300001065088us-gaap:SellingAndMarketingExpen</w:t>
      </w:r>
      <w:r>
        <w:rPr>
          <w:rFonts w:ascii="宋体" w:eastAsia="宋体" w:hAnsi="宋体" w:cs="宋体"/>
          <w:vanish/>
        </w:rPr>
        <w:t>seMember2021-04-012021-06-300001065088us-gaap:SellingAndMarketingExpenseMember2020-04-012020-06-300001065088us-gaap:SellingAndMarketingExpenseMember2021-01-012021-06-300001065088us-gaap:SellingAndMarketingExpenseMember2020-01-012020-06-300001065088us-gaap:</w:t>
      </w:r>
      <w:r>
        <w:rPr>
          <w:rFonts w:ascii="宋体" w:eastAsia="宋体" w:hAnsi="宋体" w:cs="宋体"/>
          <w:vanish/>
        </w:rPr>
        <w:t>ResearchAndDevelopmentExpenseMember2021-04-012021-06-300001065088us-gaap:ResearchAndDevelopmentExpenseMember2020-04-012020-06-300001065088us-gaap:ResearchAndDevelopmentExpenseMember2021-01-012021-06-300001065088us-gaap:ResearchAndDevelopmentExpenseMember20</w:t>
      </w:r>
      <w:r>
        <w:rPr>
          <w:rFonts w:ascii="宋体" w:eastAsia="宋体" w:hAnsi="宋体" w:cs="宋体"/>
          <w:vanish/>
        </w:rPr>
        <w:t>20-01-012020-06-300001065088us-gaap:GeneralAndAdministrativeExpenseMember2021-04-012021-06-300001065088us-gaap:GeneralAndAdministrativeExpenseMember2020-04-012020-06-300001065088us-gaap:GeneralAndAdministrativeExpenseMember2021-01-012021-06-300001065088us-</w:t>
      </w:r>
      <w:r>
        <w:rPr>
          <w:rFonts w:ascii="宋体" w:eastAsia="宋体" w:hAnsi="宋体" w:cs="宋体"/>
          <w:vanish/>
        </w:rPr>
        <w:t>gaap:GeneralAndAdministrativeExpenseMember2020-01-012020-06-300001065088us-gaap:AccumulatedGainLossNetCashFlowHedgeParentMember2021-03-310001065088us-gaap:AccumulatedNetUnrealizedInvestmentGainLossMember2021-03-310001065088us-gaap:AccumulatedTranslationAdj</w:t>
      </w:r>
      <w:r>
        <w:rPr>
          <w:rFonts w:ascii="宋体" w:eastAsia="宋体" w:hAnsi="宋体" w:cs="宋体"/>
          <w:vanish/>
        </w:rPr>
        <w:t>ustmentMember2021-03-310001065088us-gaap:AociIncludingPortionAttributableToNoncontrollingInterestMember2021-03-310001065088us-gaap:AccumulatedGainLossNetCashFlowHedgeParentMember2021-04-012021-06-300001065088us-gaap:AccumulatedNetUnrealizedInvestmentGainLo</w:t>
      </w:r>
      <w:r>
        <w:rPr>
          <w:rFonts w:ascii="宋体" w:eastAsia="宋体" w:hAnsi="宋体" w:cs="宋体"/>
          <w:vanish/>
        </w:rPr>
        <w:t>ssMember2021-04-012021-06-300001065088us-gaap:AccumulatedTranslationAdjustmentMember2021-04-012021-06-300001065088us-gaap:AccumulatedGainLossNetCashFlowHedgeParentMember2021-06-300001065088us-gaap:AccumulatedNetUnrealizedInvestmentGainLossMember2021-06-300</w:t>
      </w:r>
      <w:r>
        <w:rPr>
          <w:rFonts w:ascii="宋体" w:eastAsia="宋体" w:hAnsi="宋体" w:cs="宋体"/>
          <w:vanish/>
        </w:rPr>
        <w:t>001065088us-gaap:AccumulatedTranslationAdjustmentMember2021-06-300001065088us-gaap:AociIncludingPortionAttributableToNoncontrollingInterestMember2021-06-300001065088us-gaap:AccumulatedGainLossNetCashFlowHedgeParentMember2020-03-310001065088us-gaap:Accumula</w:t>
      </w:r>
      <w:r>
        <w:rPr>
          <w:rFonts w:ascii="宋体" w:eastAsia="宋体" w:hAnsi="宋体" w:cs="宋体"/>
          <w:vanish/>
        </w:rPr>
        <w:t>tedNetUnrealizedInvestmentGainLossMember2020-03-310001065088us-gaap:AccumulatedTranslationAdjustmentMember2020-03-310001065088us-gaap:AociIncludingPortionAttributableToNoncontrollingInterestMember2020-03-310001065088us-gaap:AccumulatedGainLossNetCashFlowHe</w:t>
      </w:r>
      <w:r>
        <w:rPr>
          <w:rFonts w:ascii="宋体" w:eastAsia="宋体" w:hAnsi="宋体" w:cs="宋体"/>
          <w:vanish/>
        </w:rPr>
        <w:t>dgeParentMember2020-04-012020-06-300001065088us-gaap:AccumulatedNetUnrealizedInvestmentGainLossMember2020-04-012020-06-300001065088us-gaap:AccumulatedTranslationAdjustmentMember2020-04-012020-06-300001065088us-gaap:AccumulatedGainLossNetCashFlowHedgeParent</w:t>
      </w:r>
      <w:r>
        <w:rPr>
          <w:rFonts w:ascii="宋体" w:eastAsia="宋体" w:hAnsi="宋体" w:cs="宋体"/>
          <w:vanish/>
        </w:rPr>
        <w:t>Member2020-06-300001065088us-gaap:AccumulatedNetUnrealizedInvestmentGainLossMember2020-06-300001065088us-gaap:AccumulatedTranslationAdjustmentMember2020-06-300001065088us-gaap:AociIncludingPortionAttributableToNoncontrollingInterestMember2020-06-3000010650</w:t>
      </w:r>
      <w:r>
        <w:rPr>
          <w:rFonts w:ascii="宋体" w:eastAsia="宋体" w:hAnsi="宋体" w:cs="宋体"/>
          <w:vanish/>
        </w:rPr>
        <w:t>88us-gaap:AccumulatedGainLossNetCashFlowHedgeParentMember2020-12-310001065088us-gaap:AccumulatedNetUnrealizedInvestmentGainLossMember2020-12-310001065088us-gaap:AccumulatedTranslationAdjustmentMember2020-12-310001065088us-gaap:AociIncludingPortionAttributa</w:t>
      </w:r>
      <w:r>
        <w:rPr>
          <w:rFonts w:ascii="宋体" w:eastAsia="宋体" w:hAnsi="宋体" w:cs="宋体"/>
          <w:vanish/>
        </w:rPr>
        <w:t>bleToNoncontrollingInterestMember2020-12-310001065088us-gaap:AccumulatedGainLossNetCashFlowHedgeParentMember2021-01-012021-06-300001065088us-gaap:AccumulatedNetUnrealizedInvestmentGainLossMember2021-01-012021-06-300001065088us-gaap:AccumulatedTranslationAd</w:t>
      </w:r>
      <w:r>
        <w:rPr>
          <w:rFonts w:ascii="宋体" w:eastAsia="宋体" w:hAnsi="宋体" w:cs="宋体"/>
          <w:vanish/>
        </w:rPr>
        <w:t>justmentMember2021-01-012021-06-300001065088us-gaap:AccumulatedGainLossNetCashFlowHedgeParentMember2019-12-310001065088us-gaap:AccumulatedNetUnrealizedInvestmentGainLossMember2019-12-310001065088us-gaap:AccumulatedTranslationAdjustmentMember2019-12-3100010</w:t>
      </w:r>
      <w:r>
        <w:rPr>
          <w:rFonts w:ascii="宋体" w:eastAsia="宋体" w:hAnsi="宋体" w:cs="宋体"/>
          <w:vanish/>
        </w:rPr>
        <w:t>65088us-gaap:AociIncludingPortionAttributableToNoncontrollingInterestMember2019-12-310001065088us-gaap:AccumulatedGainLossNetCashFlowHedgeParentMember2020-01-012020-06-300001065088us-gaap:AccumulatedNetUnrealizedInvestmentGainLossMember2020-01-012020-06-30</w:t>
      </w:r>
      <w:r>
        <w:rPr>
          <w:rFonts w:ascii="宋体" w:eastAsia="宋体" w:hAnsi="宋体" w:cs="宋体"/>
          <w:vanish/>
        </w:rPr>
        <w:t>0001065088us-gaap:AccumulatedTranslationAdjustmentMember2020-01-012020-06-300001065088us-gaap:AccumulatedGainLossNetCashFlowHedgeParentMemberus-gaap:ForeignExchangeContractMemberus-gaap:ReclassificationOutOfAccumulatedOtherComprehensiveIncomeMember2021-04-</w:t>
      </w:r>
      <w:r>
        <w:rPr>
          <w:rFonts w:ascii="宋体" w:eastAsia="宋体" w:hAnsi="宋体" w:cs="宋体"/>
          <w:vanish/>
        </w:rPr>
        <w:t>012021-06-300001065088us-gaap:AccumulatedGainLossNetCashFlowHedgeParentMemberus-gaap:ForeignExchangeContractMemberus-gaap:ReclassificationOutOfAccumulatedOtherComprehensiveIncomeMember2020-04-012020-06-300001065088us-gaap:AccumulatedGainLossNetCashFlowHedg</w:t>
      </w:r>
      <w:r>
        <w:rPr>
          <w:rFonts w:ascii="宋体" w:eastAsia="宋体" w:hAnsi="宋体" w:cs="宋体"/>
          <w:vanish/>
        </w:rPr>
        <w:t>eParentMemberus-gaap:ForeignExchangeContractMemberus-gaap:ReclassificationOutOfAccumulatedOtherComprehensiveIncomeMember2021-01-012021-06-300001065088us-gaap:AccumulatedGainLossNetCashFlowHedgeParentMemberus-gaap:ForeignExchangeContractMemberus-gaap:Reclas</w:t>
      </w:r>
      <w:r>
        <w:rPr>
          <w:rFonts w:ascii="宋体" w:eastAsia="宋体" w:hAnsi="宋体" w:cs="宋体"/>
          <w:vanish/>
        </w:rPr>
        <w:t>sificationOutOfAccumulatedOtherComprehensiveIncomeMember2020-01-012020-06-300001065088us-gaap:AccumulatedGainLossNetCashFlowHedgeParentMemberus-gaap:InterestRateContractMemberus-gaap:ReclassificationOutOfAccumulatedOtherComprehensiveIncomeMember2021-04-012</w:t>
      </w:r>
      <w:r>
        <w:rPr>
          <w:rFonts w:ascii="宋体" w:eastAsia="宋体" w:hAnsi="宋体" w:cs="宋体"/>
          <w:vanish/>
        </w:rPr>
        <w:t>021-06-300001065088us-gaap:AccumulatedGainLossNetCashFlowHedgeParentMemberus-gaap:InterestRateContractMemberus-gaap:ReclassificationOutOfAccumulatedOtherComprehensiveIncomeMember2020-04-012020-06-300001065088us-gaap:AccumulatedGainLossNetCashFlowHedgeParen</w:t>
      </w:r>
      <w:r>
        <w:rPr>
          <w:rFonts w:ascii="宋体" w:eastAsia="宋体" w:hAnsi="宋体" w:cs="宋体"/>
          <w:vanish/>
        </w:rPr>
        <w:t>tMemberus-gaap:InterestRateContractMemberus-gaap:ReclassificationOutOfAccumulatedOtherComprehensiveIncomeMember2021-01-012021-06-300001065088us-gaap:AccumulatedGainLossNetCashFlowHedgeParentMemberus-gaap:InterestRateContractMemberus-gaap:ReclassificationOu</w:t>
      </w:r>
      <w:r>
        <w:rPr>
          <w:rFonts w:ascii="宋体" w:eastAsia="宋体" w:hAnsi="宋体" w:cs="宋体"/>
          <w:vanish/>
        </w:rPr>
        <w:t>tOfAccumulatedOtherComprehensiveIncomeMember2020-01-012020-06-300001065088us-gaap:AccumulatedGainLossNetCashFlowHedgeParentMemberus-gaap:ReclassificationOutOfAccumulatedOtherComprehensiveIncomeMember2021-04-012021-06-300001065088us-gaap:AccumulatedGainLoss</w:t>
      </w:r>
      <w:r>
        <w:rPr>
          <w:rFonts w:ascii="宋体" w:eastAsia="宋体" w:hAnsi="宋体" w:cs="宋体"/>
          <w:vanish/>
        </w:rPr>
        <w:t>NetCashFlowHedgeParentMemberus-gaap:ReclassificationOutOfAccumulatedOtherComprehensiveIncomeMember2020-04-012020-06-300001065088us-gaap:AccumulatedGainLossNetCashFlowHedgeParentMemberus-gaap:ReclassificationOutOfAccumulatedOtherComprehensiveIncomeMember202</w:t>
      </w:r>
      <w:r>
        <w:rPr>
          <w:rFonts w:ascii="宋体" w:eastAsia="宋体" w:hAnsi="宋体" w:cs="宋体"/>
          <w:vanish/>
        </w:rPr>
        <w:t>1-01-012021-06-300001065088us-gaap:AccumulatedGainLossNetCashFlowHedgeParentMemberus-gaap:ReclassificationOutOfAccumulatedOtherComprehensiveIncomeMember2020-01-012020-06-300001065088us-gaap:ReclassificationOutOfAccumulatedOtherComprehensiveIncomeMember2021</w:t>
      </w:r>
      <w:r>
        <w:rPr>
          <w:rFonts w:ascii="宋体" w:eastAsia="宋体" w:hAnsi="宋体" w:cs="宋体"/>
          <w:vanish/>
        </w:rPr>
        <w:t>-04-012021-06-300001065088us-gaap:ReclassificationOutOfAccumulatedOtherComprehensiveIncomeMember2020-04-012020-06-300001065088us-gaap:ReclassificationOutOfAccumulatedOtherComprehensiveIncomeMember2021-01-012021-06-300001065088us-gaap:ReclassificationOutOfA</w:t>
      </w:r>
      <w:r>
        <w:rPr>
          <w:rFonts w:ascii="宋体" w:eastAsia="宋体" w:hAnsi="宋体" w:cs="宋体"/>
          <w:vanish/>
        </w:rPr>
        <w:t>ccumulatedOtherComprehensiveIncomeMember2020-01-012020-06-3000010650882020-01-012020-03-31</w:t>
      </w:r>
    </w:p>
    <w:p w14:paraId="643028F7" w14:textId="77777777" w:rsidR="009F6D8A" w:rsidRDefault="009F6D8A"/>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9"/>
        <w:gridCol w:w="36"/>
      </w:tblGrid>
      <w:tr w:rsidR="009F6D8A" w14:paraId="643028FB" w14:textId="77777777">
        <w:trPr>
          <w:jc w:val="center"/>
        </w:trPr>
        <w:tc>
          <w:tcPr>
            <w:tcW w:w="50" w:type="pct"/>
            <w:shd w:val="clear" w:color="auto" w:fill="auto"/>
            <w:vAlign w:val="bottom"/>
          </w:tcPr>
          <w:p w14:paraId="643028F8" w14:textId="77777777" w:rsidR="009F6D8A" w:rsidRDefault="009F6D8A">
            <w:pPr>
              <w:rPr>
                <w:rFonts w:ascii="宋体"/>
              </w:rPr>
            </w:pPr>
          </w:p>
        </w:tc>
        <w:tc>
          <w:tcPr>
            <w:tcW w:w="4945" w:type="pct"/>
            <w:shd w:val="clear" w:color="auto" w:fill="auto"/>
            <w:vAlign w:val="bottom"/>
          </w:tcPr>
          <w:p w14:paraId="643028F9" w14:textId="77777777" w:rsidR="009F6D8A" w:rsidRDefault="009F6D8A">
            <w:pPr>
              <w:rPr>
                <w:rFonts w:ascii="宋体"/>
              </w:rPr>
            </w:pPr>
          </w:p>
        </w:tc>
        <w:tc>
          <w:tcPr>
            <w:tcW w:w="5" w:type="pct"/>
            <w:shd w:val="clear" w:color="auto" w:fill="auto"/>
            <w:vAlign w:val="bottom"/>
          </w:tcPr>
          <w:p w14:paraId="643028FA" w14:textId="77777777" w:rsidR="009F6D8A" w:rsidRDefault="009F6D8A">
            <w:pPr>
              <w:rPr>
                <w:rFonts w:ascii="宋体"/>
              </w:rPr>
            </w:pPr>
          </w:p>
        </w:tc>
      </w:tr>
      <w:tr w:rsidR="009F6D8A" w14:paraId="643028FD"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43028FC" w14:textId="77777777" w:rsidR="009F6D8A" w:rsidRDefault="009F6D8A">
            <w:pPr>
              <w:rPr>
                <w:rFonts w:ascii="宋体"/>
              </w:rPr>
            </w:pPr>
          </w:p>
        </w:tc>
      </w:tr>
    </w:tbl>
    <w:p w14:paraId="643028FE" w14:textId="77777777" w:rsidR="009F6D8A" w:rsidRDefault="00C50974">
      <w:pPr>
        <w:jc w:val="center"/>
      </w:pPr>
      <w:r>
        <w:rPr>
          <w:rFonts w:ascii="Arial" w:eastAsia="宋体" w:hAnsi="Arial" w:cs="Arial"/>
          <w:b/>
          <w:bCs/>
          <w:color w:val="000000"/>
          <w:sz w:val="30"/>
          <w:szCs w:val="30"/>
        </w:rPr>
        <w:t>UNITED STATES</w:t>
      </w:r>
    </w:p>
    <w:p w14:paraId="643028FF" w14:textId="77777777" w:rsidR="009F6D8A" w:rsidRDefault="00C50974">
      <w:pPr>
        <w:jc w:val="center"/>
      </w:pPr>
      <w:r>
        <w:rPr>
          <w:rFonts w:ascii="Arial" w:eastAsia="宋体" w:hAnsi="Arial" w:cs="Arial"/>
          <w:b/>
          <w:bCs/>
          <w:color w:val="000000"/>
          <w:sz w:val="30"/>
          <w:szCs w:val="30"/>
        </w:rPr>
        <w:t>SECURITIES AND EXCHANGE COMMISSION</w:t>
      </w:r>
      <w:r>
        <w:rPr>
          <w:rFonts w:ascii="Arial" w:eastAsia="宋体" w:hAnsi="Arial" w:cs="Arial"/>
          <w:b/>
          <w:bCs/>
          <w:color w:val="000000"/>
          <w:sz w:val="28"/>
          <w:szCs w:val="28"/>
        </w:rPr>
        <w:t xml:space="preserve"> </w:t>
      </w:r>
    </w:p>
    <w:p w14:paraId="64302900" w14:textId="77777777" w:rsidR="009F6D8A" w:rsidRDefault="00C50974">
      <w:pPr>
        <w:jc w:val="center"/>
      </w:pPr>
      <w:r>
        <w:rPr>
          <w:rFonts w:ascii="Arial" w:eastAsia="宋体" w:hAnsi="Arial" w:cs="Arial"/>
          <w:b/>
          <w:bCs/>
          <w:color w:val="000000"/>
          <w:sz w:val="22"/>
          <w:szCs w:val="22"/>
        </w:rPr>
        <w:t>Washington, D.C. 20549</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9F6D8A" w14:paraId="64302904" w14:textId="77777777">
        <w:trPr>
          <w:jc w:val="center"/>
        </w:trPr>
        <w:tc>
          <w:tcPr>
            <w:tcW w:w="50" w:type="pct"/>
            <w:shd w:val="clear" w:color="auto" w:fill="auto"/>
            <w:vAlign w:val="bottom"/>
          </w:tcPr>
          <w:p w14:paraId="64302901" w14:textId="77777777" w:rsidR="009F6D8A" w:rsidRDefault="009F6D8A">
            <w:pPr>
              <w:rPr>
                <w:rFonts w:ascii="宋体"/>
              </w:rPr>
            </w:pPr>
          </w:p>
        </w:tc>
        <w:tc>
          <w:tcPr>
            <w:tcW w:w="4945" w:type="pct"/>
            <w:shd w:val="clear" w:color="auto" w:fill="auto"/>
            <w:vAlign w:val="bottom"/>
          </w:tcPr>
          <w:p w14:paraId="64302902" w14:textId="77777777" w:rsidR="009F6D8A" w:rsidRDefault="009F6D8A">
            <w:pPr>
              <w:rPr>
                <w:rFonts w:ascii="宋体"/>
              </w:rPr>
            </w:pPr>
          </w:p>
        </w:tc>
        <w:tc>
          <w:tcPr>
            <w:tcW w:w="5" w:type="pct"/>
            <w:shd w:val="clear" w:color="auto" w:fill="auto"/>
            <w:vAlign w:val="bottom"/>
          </w:tcPr>
          <w:p w14:paraId="64302903" w14:textId="77777777" w:rsidR="009F6D8A" w:rsidRDefault="009F6D8A">
            <w:pPr>
              <w:rPr>
                <w:rFonts w:ascii="宋体"/>
              </w:rPr>
            </w:pPr>
          </w:p>
        </w:tc>
      </w:tr>
      <w:tr w:rsidR="009F6D8A" w14:paraId="64302906"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64302905" w14:textId="77777777" w:rsidR="009F6D8A" w:rsidRDefault="009F6D8A">
            <w:pPr>
              <w:rPr>
                <w:rFonts w:ascii="宋体"/>
              </w:rPr>
            </w:pPr>
          </w:p>
        </w:tc>
      </w:tr>
    </w:tbl>
    <w:p w14:paraId="64302907" w14:textId="77777777" w:rsidR="009F6D8A" w:rsidRDefault="00C50974">
      <w:pPr>
        <w:spacing w:before="60"/>
        <w:jc w:val="center"/>
      </w:pPr>
      <w:r>
        <w:rPr>
          <w:rFonts w:ascii="Arial" w:eastAsia="宋体" w:hAnsi="Arial" w:cs="Arial"/>
          <w:b/>
          <w:bCs/>
          <w:color w:val="000000"/>
          <w:sz w:val="34"/>
          <w:szCs w:val="34"/>
        </w:rPr>
        <w:t>FORM</w:t>
      </w:r>
      <w:r>
        <w:rPr>
          <w:rFonts w:ascii="Arial" w:eastAsia="宋体" w:hAnsi="Arial" w:cs="Arial"/>
          <w:b/>
          <w:bCs/>
          <w:color w:val="000000"/>
          <w:sz w:val="28"/>
          <w:szCs w:val="28"/>
        </w:rPr>
        <w:t> </w:t>
      </w:r>
      <w:r>
        <w:rPr>
          <w:rFonts w:ascii="Arial" w:eastAsia="宋体" w:hAnsi="Arial" w:cs="Arial"/>
          <w:b/>
          <w:bCs/>
          <w:color w:val="000000"/>
          <w:sz w:val="34"/>
          <w:szCs w:val="34"/>
        </w:rPr>
        <w:t>10-Q</w:t>
      </w:r>
      <w:r>
        <w:rPr>
          <w:rFonts w:ascii="Arial" w:eastAsia="宋体" w:hAnsi="Arial" w:cs="Arial"/>
          <w:b/>
          <w:bCs/>
          <w:color w:val="000000"/>
          <w:sz w:val="28"/>
          <w:szCs w:val="28"/>
        </w:rPr>
        <w:t xml:space="preserve">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9F6D8A" w14:paraId="6430290B" w14:textId="77777777">
        <w:trPr>
          <w:jc w:val="center"/>
        </w:trPr>
        <w:tc>
          <w:tcPr>
            <w:tcW w:w="50" w:type="pct"/>
            <w:shd w:val="clear" w:color="auto" w:fill="auto"/>
            <w:vAlign w:val="bottom"/>
          </w:tcPr>
          <w:p w14:paraId="64302908" w14:textId="77777777" w:rsidR="009F6D8A" w:rsidRDefault="009F6D8A">
            <w:pPr>
              <w:rPr>
                <w:rFonts w:ascii="宋体"/>
              </w:rPr>
            </w:pPr>
          </w:p>
        </w:tc>
        <w:tc>
          <w:tcPr>
            <w:tcW w:w="4945" w:type="pct"/>
            <w:shd w:val="clear" w:color="auto" w:fill="auto"/>
            <w:vAlign w:val="bottom"/>
          </w:tcPr>
          <w:p w14:paraId="64302909" w14:textId="77777777" w:rsidR="009F6D8A" w:rsidRDefault="009F6D8A">
            <w:pPr>
              <w:rPr>
                <w:rFonts w:ascii="宋体"/>
              </w:rPr>
            </w:pPr>
          </w:p>
        </w:tc>
        <w:tc>
          <w:tcPr>
            <w:tcW w:w="5" w:type="pct"/>
            <w:shd w:val="clear" w:color="auto" w:fill="auto"/>
            <w:vAlign w:val="bottom"/>
          </w:tcPr>
          <w:p w14:paraId="6430290A" w14:textId="77777777" w:rsidR="009F6D8A" w:rsidRDefault="009F6D8A">
            <w:pPr>
              <w:rPr>
                <w:rFonts w:ascii="宋体"/>
              </w:rPr>
            </w:pPr>
          </w:p>
        </w:tc>
      </w:tr>
      <w:tr w:rsidR="009F6D8A" w14:paraId="6430290D"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6430290C" w14:textId="77777777" w:rsidR="009F6D8A" w:rsidRDefault="009F6D8A">
            <w:pPr>
              <w:rPr>
                <w:rFonts w:ascii="宋体"/>
              </w:rPr>
            </w:pPr>
          </w:p>
        </w:tc>
      </w:tr>
    </w:tbl>
    <w:p w14:paraId="6430290E" w14:textId="77777777" w:rsidR="009F6D8A" w:rsidRDefault="00C50974">
      <w:pPr>
        <w:spacing w:after="20"/>
        <w:jc w:val="center"/>
      </w:pPr>
      <w:r>
        <w:rPr>
          <w:rFonts w:ascii="Arial" w:eastAsia="宋体" w:hAnsi="Arial" w:cs="Arial"/>
          <w:color w:val="000000"/>
          <w:sz w:val="20"/>
          <w:szCs w:val="20"/>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295"/>
        <w:gridCol w:w="36"/>
        <w:gridCol w:w="69"/>
        <w:gridCol w:w="7806"/>
        <w:gridCol w:w="36"/>
      </w:tblGrid>
      <w:tr w:rsidR="009F6D8A" w14:paraId="64302915" w14:textId="77777777">
        <w:trPr>
          <w:jc w:val="center"/>
        </w:trPr>
        <w:tc>
          <w:tcPr>
            <w:tcW w:w="50" w:type="pct"/>
            <w:shd w:val="clear" w:color="auto" w:fill="auto"/>
            <w:vAlign w:val="bottom"/>
          </w:tcPr>
          <w:p w14:paraId="6430290F" w14:textId="77777777" w:rsidR="009F6D8A" w:rsidRDefault="009F6D8A">
            <w:pPr>
              <w:rPr>
                <w:rFonts w:ascii="宋体"/>
              </w:rPr>
            </w:pPr>
          </w:p>
        </w:tc>
        <w:tc>
          <w:tcPr>
            <w:tcW w:w="186" w:type="pct"/>
            <w:shd w:val="clear" w:color="auto" w:fill="auto"/>
            <w:vAlign w:val="bottom"/>
          </w:tcPr>
          <w:p w14:paraId="64302910" w14:textId="77777777" w:rsidR="009F6D8A" w:rsidRDefault="009F6D8A">
            <w:pPr>
              <w:rPr>
                <w:rFonts w:ascii="宋体"/>
              </w:rPr>
            </w:pPr>
          </w:p>
        </w:tc>
        <w:tc>
          <w:tcPr>
            <w:tcW w:w="5" w:type="pct"/>
            <w:shd w:val="clear" w:color="auto" w:fill="auto"/>
            <w:vAlign w:val="bottom"/>
          </w:tcPr>
          <w:p w14:paraId="64302911" w14:textId="77777777" w:rsidR="009F6D8A" w:rsidRDefault="009F6D8A">
            <w:pPr>
              <w:rPr>
                <w:rFonts w:ascii="宋体"/>
              </w:rPr>
            </w:pPr>
          </w:p>
        </w:tc>
        <w:tc>
          <w:tcPr>
            <w:tcW w:w="50" w:type="pct"/>
            <w:shd w:val="clear" w:color="auto" w:fill="auto"/>
            <w:vAlign w:val="bottom"/>
          </w:tcPr>
          <w:p w14:paraId="64302912" w14:textId="77777777" w:rsidR="009F6D8A" w:rsidRDefault="009F6D8A">
            <w:pPr>
              <w:rPr>
                <w:rFonts w:ascii="宋体"/>
              </w:rPr>
            </w:pPr>
          </w:p>
        </w:tc>
        <w:tc>
          <w:tcPr>
            <w:tcW w:w="4703" w:type="pct"/>
            <w:shd w:val="clear" w:color="auto" w:fill="auto"/>
            <w:vAlign w:val="bottom"/>
          </w:tcPr>
          <w:p w14:paraId="64302913" w14:textId="77777777" w:rsidR="009F6D8A" w:rsidRDefault="009F6D8A">
            <w:pPr>
              <w:rPr>
                <w:rFonts w:ascii="宋体"/>
              </w:rPr>
            </w:pPr>
          </w:p>
        </w:tc>
        <w:tc>
          <w:tcPr>
            <w:tcW w:w="5" w:type="pct"/>
            <w:shd w:val="clear" w:color="auto" w:fill="auto"/>
            <w:vAlign w:val="bottom"/>
          </w:tcPr>
          <w:p w14:paraId="64302914" w14:textId="77777777" w:rsidR="009F6D8A" w:rsidRDefault="009F6D8A">
            <w:pPr>
              <w:rPr>
                <w:rFonts w:ascii="宋体"/>
              </w:rPr>
            </w:pPr>
          </w:p>
        </w:tc>
      </w:tr>
      <w:tr w:rsidR="009F6D8A" w14:paraId="64302918" w14:textId="77777777">
        <w:trPr>
          <w:jc w:val="center"/>
        </w:trPr>
        <w:tc>
          <w:tcPr>
            <w:tcW w:w="0" w:type="auto"/>
            <w:gridSpan w:val="3"/>
            <w:shd w:val="clear" w:color="auto" w:fill="auto"/>
            <w:tcMar>
              <w:top w:w="40" w:type="dxa"/>
              <w:left w:w="20" w:type="dxa"/>
              <w:bottom w:w="40" w:type="dxa"/>
              <w:right w:w="20" w:type="dxa"/>
            </w:tcMar>
            <w:vAlign w:val="bottom"/>
          </w:tcPr>
          <w:p w14:paraId="64302916" w14:textId="77777777" w:rsidR="009F6D8A" w:rsidRDefault="00C50974">
            <w:pPr>
              <w:textAlignment w:val="bottom"/>
            </w:pPr>
            <w:r>
              <w:rPr>
                <w:rFonts w:ascii="Arial Unicode MS" w:eastAsia="Arial Unicode MS" w:hAnsi="Arial Unicode MS" w:cs="Arial Unicode MS"/>
                <w:color w:val="000000"/>
              </w:rPr>
              <w:t>☒</w:t>
            </w:r>
          </w:p>
        </w:tc>
        <w:tc>
          <w:tcPr>
            <w:tcW w:w="0" w:type="auto"/>
            <w:gridSpan w:val="3"/>
            <w:shd w:val="clear" w:color="auto" w:fill="auto"/>
            <w:tcMar>
              <w:top w:w="40" w:type="dxa"/>
              <w:left w:w="20" w:type="dxa"/>
              <w:bottom w:w="40" w:type="dxa"/>
              <w:right w:w="20" w:type="dxa"/>
            </w:tcMar>
            <w:vAlign w:val="bottom"/>
          </w:tcPr>
          <w:p w14:paraId="64302917" w14:textId="77777777" w:rsidR="009F6D8A" w:rsidRDefault="00C50974">
            <w:pPr>
              <w:ind w:hanging="360"/>
              <w:textAlignment w:val="bottom"/>
            </w:pPr>
            <w:r>
              <w:rPr>
                <w:rFonts w:ascii="Arial" w:eastAsia="宋体" w:hAnsi="Arial" w:cs="Arial"/>
                <w:b/>
                <w:bCs/>
                <w:color w:val="000000"/>
                <w:sz w:val="18"/>
                <w:szCs w:val="18"/>
              </w:rPr>
              <w:t xml:space="preserve">QUARTERLY REPORT PURSUANT TO SECTION 13 OR </w:t>
            </w:r>
            <w:r>
              <w:rPr>
                <w:rFonts w:ascii="Arial" w:eastAsia="宋体" w:hAnsi="Arial" w:cs="Arial"/>
                <w:b/>
                <w:bCs/>
                <w:color w:val="000000"/>
                <w:sz w:val="18"/>
                <w:szCs w:val="18"/>
              </w:rPr>
              <w:t>15(d) OF THE SECURITIES EXCHANGE ACT OF 1934</w:t>
            </w:r>
          </w:p>
        </w:tc>
      </w:tr>
    </w:tbl>
    <w:p w14:paraId="64302919" w14:textId="77777777" w:rsidR="009F6D8A" w:rsidRDefault="00C50974">
      <w:pPr>
        <w:ind w:firstLine="360"/>
      </w:pPr>
      <w:r>
        <w:rPr>
          <w:rFonts w:ascii="Arial" w:eastAsia="宋体" w:hAnsi="Arial" w:cs="Arial"/>
          <w:color w:val="000000"/>
          <w:sz w:val="18"/>
          <w:szCs w:val="18"/>
        </w:rPr>
        <w:t>For the quarterly period ended June 30, 2021</w:t>
      </w:r>
      <w:r>
        <w:rPr>
          <w:rFonts w:ascii="Arial" w:eastAsia="宋体" w:hAnsi="Arial" w:cs="Arial"/>
          <w:b/>
          <w:bCs/>
          <w:color w:val="000000"/>
          <w:sz w:val="18"/>
          <w:szCs w:val="18"/>
        </w:rPr>
        <w:t xml:space="preserve"> </w:t>
      </w:r>
    </w:p>
    <w:p w14:paraId="6430291A" w14:textId="77777777" w:rsidR="009F6D8A" w:rsidRDefault="00C50974">
      <w:pPr>
        <w:spacing w:before="60"/>
        <w:jc w:val="center"/>
      </w:pPr>
      <w:r>
        <w:rPr>
          <w:rFonts w:ascii="Arial" w:eastAsia="宋体" w:hAnsi="Arial" w:cs="Arial"/>
          <w:b/>
          <w:bCs/>
          <w:color w:val="000000"/>
          <w:sz w:val="18"/>
          <w:szCs w:val="18"/>
        </w:rPr>
        <w:t xml:space="preserve">OR </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295"/>
        <w:gridCol w:w="36"/>
        <w:gridCol w:w="69"/>
        <w:gridCol w:w="7806"/>
        <w:gridCol w:w="36"/>
      </w:tblGrid>
      <w:tr w:rsidR="009F6D8A" w14:paraId="64302921" w14:textId="77777777">
        <w:trPr>
          <w:jc w:val="center"/>
        </w:trPr>
        <w:tc>
          <w:tcPr>
            <w:tcW w:w="50" w:type="pct"/>
            <w:shd w:val="clear" w:color="auto" w:fill="auto"/>
            <w:vAlign w:val="bottom"/>
          </w:tcPr>
          <w:p w14:paraId="6430291B" w14:textId="77777777" w:rsidR="009F6D8A" w:rsidRDefault="009F6D8A">
            <w:pPr>
              <w:rPr>
                <w:rFonts w:ascii="宋体"/>
              </w:rPr>
            </w:pPr>
          </w:p>
        </w:tc>
        <w:tc>
          <w:tcPr>
            <w:tcW w:w="186" w:type="pct"/>
            <w:shd w:val="clear" w:color="auto" w:fill="auto"/>
            <w:vAlign w:val="bottom"/>
          </w:tcPr>
          <w:p w14:paraId="6430291C" w14:textId="77777777" w:rsidR="009F6D8A" w:rsidRDefault="009F6D8A">
            <w:pPr>
              <w:rPr>
                <w:rFonts w:ascii="宋体"/>
              </w:rPr>
            </w:pPr>
          </w:p>
        </w:tc>
        <w:tc>
          <w:tcPr>
            <w:tcW w:w="5" w:type="pct"/>
            <w:shd w:val="clear" w:color="auto" w:fill="auto"/>
            <w:vAlign w:val="bottom"/>
          </w:tcPr>
          <w:p w14:paraId="6430291D" w14:textId="77777777" w:rsidR="009F6D8A" w:rsidRDefault="009F6D8A">
            <w:pPr>
              <w:rPr>
                <w:rFonts w:ascii="宋体"/>
              </w:rPr>
            </w:pPr>
          </w:p>
        </w:tc>
        <w:tc>
          <w:tcPr>
            <w:tcW w:w="50" w:type="pct"/>
            <w:shd w:val="clear" w:color="auto" w:fill="auto"/>
            <w:vAlign w:val="bottom"/>
          </w:tcPr>
          <w:p w14:paraId="6430291E" w14:textId="77777777" w:rsidR="009F6D8A" w:rsidRDefault="009F6D8A">
            <w:pPr>
              <w:rPr>
                <w:rFonts w:ascii="宋体"/>
              </w:rPr>
            </w:pPr>
          </w:p>
        </w:tc>
        <w:tc>
          <w:tcPr>
            <w:tcW w:w="4703" w:type="pct"/>
            <w:shd w:val="clear" w:color="auto" w:fill="auto"/>
            <w:vAlign w:val="bottom"/>
          </w:tcPr>
          <w:p w14:paraId="6430291F" w14:textId="77777777" w:rsidR="009F6D8A" w:rsidRDefault="009F6D8A">
            <w:pPr>
              <w:rPr>
                <w:rFonts w:ascii="宋体"/>
              </w:rPr>
            </w:pPr>
          </w:p>
        </w:tc>
        <w:tc>
          <w:tcPr>
            <w:tcW w:w="5" w:type="pct"/>
            <w:shd w:val="clear" w:color="auto" w:fill="auto"/>
            <w:vAlign w:val="bottom"/>
          </w:tcPr>
          <w:p w14:paraId="64302920" w14:textId="77777777" w:rsidR="009F6D8A" w:rsidRDefault="009F6D8A">
            <w:pPr>
              <w:rPr>
                <w:rFonts w:ascii="宋体"/>
              </w:rPr>
            </w:pPr>
          </w:p>
        </w:tc>
      </w:tr>
      <w:tr w:rsidR="009F6D8A" w14:paraId="64302924" w14:textId="77777777">
        <w:trPr>
          <w:jc w:val="center"/>
        </w:trPr>
        <w:tc>
          <w:tcPr>
            <w:tcW w:w="0" w:type="auto"/>
            <w:gridSpan w:val="3"/>
            <w:shd w:val="clear" w:color="auto" w:fill="auto"/>
            <w:tcMar>
              <w:top w:w="40" w:type="dxa"/>
              <w:left w:w="20" w:type="dxa"/>
              <w:bottom w:w="40" w:type="dxa"/>
              <w:right w:w="20" w:type="dxa"/>
            </w:tcMar>
            <w:vAlign w:val="bottom"/>
          </w:tcPr>
          <w:p w14:paraId="64302922" w14:textId="77777777" w:rsidR="009F6D8A" w:rsidRDefault="00C50974">
            <w:pPr>
              <w:textAlignment w:val="bottom"/>
            </w:pPr>
            <w:r>
              <w:rPr>
                <w:rFonts w:ascii="Arial Unicode MS" w:eastAsia="Arial Unicode MS" w:hAnsi="Arial Unicode MS" w:cs="Arial Unicode MS" w:hint="eastAsia"/>
                <w:color w:val="000000"/>
              </w:rPr>
              <w:t>☐</w:t>
            </w:r>
          </w:p>
        </w:tc>
        <w:tc>
          <w:tcPr>
            <w:tcW w:w="0" w:type="auto"/>
            <w:gridSpan w:val="3"/>
            <w:shd w:val="clear" w:color="auto" w:fill="auto"/>
            <w:tcMar>
              <w:top w:w="40" w:type="dxa"/>
              <w:left w:w="20" w:type="dxa"/>
              <w:bottom w:w="40" w:type="dxa"/>
              <w:right w:w="20" w:type="dxa"/>
            </w:tcMar>
            <w:vAlign w:val="bottom"/>
          </w:tcPr>
          <w:p w14:paraId="64302923" w14:textId="77777777" w:rsidR="009F6D8A" w:rsidRDefault="00C50974">
            <w:pPr>
              <w:textAlignment w:val="bottom"/>
            </w:pPr>
            <w:r>
              <w:rPr>
                <w:rFonts w:ascii="Arial" w:eastAsia="宋体" w:hAnsi="Arial" w:cs="Arial"/>
                <w:b/>
                <w:bCs/>
                <w:color w:val="000000"/>
                <w:sz w:val="18"/>
                <w:szCs w:val="18"/>
              </w:rPr>
              <w:t>TRANSITION REPORT PURSUANT TO SECTION 13 OR 15(d) OF THE SECURITIES EXCHANGE ACT OF 1934</w:t>
            </w:r>
          </w:p>
        </w:tc>
      </w:tr>
    </w:tbl>
    <w:p w14:paraId="64302925" w14:textId="77777777" w:rsidR="009F6D8A" w:rsidRDefault="00C50974">
      <w:pPr>
        <w:ind w:firstLine="360"/>
      </w:pPr>
      <w:r>
        <w:rPr>
          <w:rFonts w:ascii="Arial" w:eastAsia="宋体" w:hAnsi="Arial" w:cs="Arial"/>
          <w:color w:val="000000"/>
          <w:sz w:val="18"/>
          <w:szCs w:val="18"/>
        </w:rPr>
        <w:t xml:space="preserve">For the transition period from _______ to _______ </w:t>
      </w:r>
    </w:p>
    <w:p w14:paraId="64302926" w14:textId="77777777" w:rsidR="009F6D8A" w:rsidRDefault="00C50974">
      <w:pPr>
        <w:spacing w:before="60"/>
        <w:jc w:val="center"/>
      </w:pPr>
      <w:r>
        <w:rPr>
          <w:rFonts w:ascii="Arial" w:eastAsia="宋体" w:hAnsi="Arial" w:cs="Arial"/>
          <w:b/>
          <w:bCs/>
          <w:color w:val="000000"/>
          <w:sz w:val="18"/>
          <w:szCs w:val="18"/>
        </w:rPr>
        <w:t xml:space="preserve">Commission file number 001-37713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9F6D8A" w14:paraId="6430292A" w14:textId="77777777">
        <w:trPr>
          <w:jc w:val="center"/>
        </w:trPr>
        <w:tc>
          <w:tcPr>
            <w:tcW w:w="50" w:type="pct"/>
            <w:shd w:val="clear" w:color="auto" w:fill="auto"/>
            <w:vAlign w:val="bottom"/>
          </w:tcPr>
          <w:p w14:paraId="64302927" w14:textId="77777777" w:rsidR="009F6D8A" w:rsidRDefault="009F6D8A">
            <w:pPr>
              <w:rPr>
                <w:rFonts w:ascii="宋体"/>
              </w:rPr>
            </w:pPr>
          </w:p>
        </w:tc>
        <w:tc>
          <w:tcPr>
            <w:tcW w:w="4945" w:type="pct"/>
            <w:shd w:val="clear" w:color="auto" w:fill="auto"/>
            <w:vAlign w:val="bottom"/>
          </w:tcPr>
          <w:p w14:paraId="64302928" w14:textId="77777777" w:rsidR="009F6D8A" w:rsidRDefault="009F6D8A">
            <w:pPr>
              <w:rPr>
                <w:rFonts w:ascii="宋体"/>
              </w:rPr>
            </w:pPr>
          </w:p>
        </w:tc>
        <w:tc>
          <w:tcPr>
            <w:tcW w:w="5" w:type="pct"/>
            <w:shd w:val="clear" w:color="auto" w:fill="auto"/>
            <w:vAlign w:val="bottom"/>
          </w:tcPr>
          <w:p w14:paraId="64302929" w14:textId="77777777" w:rsidR="009F6D8A" w:rsidRDefault="009F6D8A">
            <w:pPr>
              <w:rPr>
                <w:rFonts w:ascii="宋体"/>
              </w:rPr>
            </w:pPr>
          </w:p>
        </w:tc>
      </w:tr>
      <w:tr w:rsidR="009F6D8A" w14:paraId="6430292C"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6430292B" w14:textId="77777777" w:rsidR="009F6D8A" w:rsidRDefault="009F6D8A">
            <w:pPr>
              <w:rPr>
                <w:rFonts w:ascii="宋体"/>
              </w:rPr>
            </w:pPr>
          </w:p>
        </w:tc>
      </w:tr>
    </w:tbl>
    <w:p w14:paraId="6430292D" w14:textId="77777777" w:rsidR="009F6D8A" w:rsidRDefault="00C50974">
      <w:pPr>
        <w:jc w:val="center"/>
      </w:pPr>
      <w:r>
        <w:rPr>
          <w:rFonts w:ascii="Arial" w:eastAsia="宋体" w:hAnsi="Arial" w:cs="Arial"/>
          <w:color w:val="000000"/>
          <w:sz w:val="20"/>
          <w:szCs w:val="20"/>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/Ebay/./Inline XBRL Viewer7_files/ebay-20210630_g1.jpg"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64305802" wp14:editId="64305803">
            <wp:extent cx="304800" cy="304800"/>
            <wp:effectExtent l="0" t="0" r="0" b="0"/>
            <wp:docPr id="8"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6430292E" w14:textId="77777777" w:rsidR="009F6D8A" w:rsidRDefault="00C50974">
      <w:pPr>
        <w:jc w:val="center"/>
      </w:pPr>
      <w:r>
        <w:rPr>
          <w:rFonts w:ascii="Arial" w:eastAsia="宋体" w:hAnsi="Arial" w:cs="Arial"/>
          <w:b/>
          <w:bCs/>
          <w:color w:val="000000"/>
          <w:sz w:val="16"/>
          <w:szCs w:val="16"/>
        </w:rPr>
        <w:t>eBay Inc.</w:t>
      </w:r>
    </w:p>
    <w:p w14:paraId="6430292F" w14:textId="77777777" w:rsidR="009F6D8A" w:rsidRDefault="00C50974">
      <w:pPr>
        <w:jc w:val="center"/>
      </w:pPr>
      <w:r>
        <w:rPr>
          <w:rFonts w:ascii="Arial" w:eastAsia="宋体" w:hAnsi="Arial" w:cs="Arial"/>
          <w:color w:val="000000"/>
          <w:sz w:val="16"/>
          <w:szCs w:val="16"/>
        </w:rPr>
        <w:t xml:space="preserve">(Exact name of registrant as specified in its charter)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9F6D8A" w14:paraId="64302933" w14:textId="77777777">
        <w:trPr>
          <w:jc w:val="center"/>
        </w:trPr>
        <w:tc>
          <w:tcPr>
            <w:tcW w:w="50" w:type="pct"/>
            <w:shd w:val="clear" w:color="auto" w:fill="auto"/>
            <w:vAlign w:val="bottom"/>
          </w:tcPr>
          <w:p w14:paraId="64302930" w14:textId="77777777" w:rsidR="009F6D8A" w:rsidRDefault="009F6D8A">
            <w:pPr>
              <w:rPr>
                <w:rFonts w:ascii="宋体"/>
              </w:rPr>
            </w:pPr>
          </w:p>
        </w:tc>
        <w:tc>
          <w:tcPr>
            <w:tcW w:w="4945" w:type="pct"/>
            <w:shd w:val="clear" w:color="auto" w:fill="auto"/>
            <w:vAlign w:val="bottom"/>
          </w:tcPr>
          <w:p w14:paraId="64302931" w14:textId="77777777" w:rsidR="009F6D8A" w:rsidRDefault="009F6D8A">
            <w:pPr>
              <w:rPr>
                <w:rFonts w:ascii="宋体"/>
              </w:rPr>
            </w:pPr>
          </w:p>
        </w:tc>
        <w:tc>
          <w:tcPr>
            <w:tcW w:w="5" w:type="pct"/>
            <w:shd w:val="clear" w:color="auto" w:fill="auto"/>
            <w:vAlign w:val="bottom"/>
          </w:tcPr>
          <w:p w14:paraId="64302932" w14:textId="77777777" w:rsidR="009F6D8A" w:rsidRDefault="009F6D8A">
            <w:pPr>
              <w:rPr>
                <w:rFonts w:ascii="宋体"/>
              </w:rPr>
            </w:pPr>
          </w:p>
        </w:tc>
      </w:tr>
      <w:tr w:rsidR="009F6D8A" w14:paraId="64302935"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64302934" w14:textId="77777777" w:rsidR="009F6D8A" w:rsidRDefault="009F6D8A">
            <w:pPr>
              <w:rPr>
                <w:rFonts w:ascii="宋体"/>
              </w:rPr>
            </w:pPr>
          </w:p>
        </w:tc>
      </w:tr>
    </w:tbl>
    <w:p w14:paraId="64302936" w14:textId="77777777" w:rsidR="009F6D8A" w:rsidRDefault="009F6D8A">
      <w:pPr>
        <w:rPr>
          <w:vanish/>
        </w:rPr>
      </w:pPr>
    </w:p>
    <w:tbl>
      <w:tblPr>
        <w:tblW w:w="4349" w:type="pct"/>
        <w:jc w:val="center"/>
        <w:tblCellMar>
          <w:top w:w="15" w:type="dxa"/>
          <w:left w:w="15" w:type="dxa"/>
          <w:bottom w:w="15" w:type="dxa"/>
          <w:right w:w="15" w:type="dxa"/>
        </w:tblCellMar>
        <w:tblLook w:val="04A0" w:firstRow="1" w:lastRow="0" w:firstColumn="1" w:lastColumn="0" w:noHBand="0" w:noVBand="1"/>
      </w:tblPr>
      <w:tblGrid>
        <w:gridCol w:w="53"/>
        <w:gridCol w:w="1423"/>
        <w:gridCol w:w="38"/>
        <w:gridCol w:w="37"/>
        <w:gridCol w:w="37"/>
        <w:gridCol w:w="36"/>
        <w:gridCol w:w="42"/>
        <w:gridCol w:w="1423"/>
        <w:gridCol w:w="37"/>
        <w:gridCol w:w="53"/>
        <w:gridCol w:w="876"/>
        <w:gridCol w:w="36"/>
        <w:gridCol w:w="54"/>
        <w:gridCol w:w="3070"/>
        <w:gridCol w:w="36"/>
      </w:tblGrid>
      <w:tr w:rsidR="009F6D8A" w14:paraId="64302946" w14:textId="77777777">
        <w:trPr>
          <w:jc w:val="center"/>
        </w:trPr>
        <w:tc>
          <w:tcPr>
            <w:tcW w:w="50" w:type="pct"/>
            <w:shd w:val="clear" w:color="auto" w:fill="auto"/>
            <w:vAlign w:val="bottom"/>
          </w:tcPr>
          <w:p w14:paraId="64302937" w14:textId="77777777" w:rsidR="009F6D8A" w:rsidRDefault="009F6D8A">
            <w:pPr>
              <w:rPr>
                <w:rFonts w:ascii="宋体"/>
              </w:rPr>
            </w:pPr>
          </w:p>
        </w:tc>
        <w:tc>
          <w:tcPr>
            <w:tcW w:w="995" w:type="pct"/>
            <w:shd w:val="clear" w:color="auto" w:fill="auto"/>
            <w:vAlign w:val="bottom"/>
          </w:tcPr>
          <w:p w14:paraId="64302938" w14:textId="77777777" w:rsidR="009F6D8A" w:rsidRDefault="009F6D8A">
            <w:pPr>
              <w:rPr>
                <w:rFonts w:ascii="宋体"/>
              </w:rPr>
            </w:pPr>
          </w:p>
        </w:tc>
        <w:tc>
          <w:tcPr>
            <w:tcW w:w="5" w:type="pct"/>
            <w:shd w:val="clear" w:color="auto" w:fill="auto"/>
            <w:vAlign w:val="bottom"/>
          </w:tcPr>
          <w:p w14:paraId="64302939" w14:textId="77777777" w:rsidR="009F6D8A" w:rsidRDefault="009F6D8A">
            <w:pPr>
              <w:rPr>
                <w:rFonts w:ascii="宋体"/>
              </w:rPr>
            </w:pPr>
          </w:p>
        </w:tc>
        <w:tc>
          <w:tcPr>
            <w:tcW w:w="5" w:type="pct"/>
            <w:shd w:val="clear" w:color="auto" w:fill="auto"/>
            <w:vAlign w:val="bottom"/>
          </w:tcPr>
          <w:p w14:paraId="6430293A" w14:textId="77777777" w:rsidR="009F6D8A" w:rsidRDefault="009F6D8A">
            <w:pPr>
              <w:rPr>
                <w:rFonts w:ascii="宋体"/>
              </w:rPr>
            </w:pPr>
          </w:p>
        </w:tc>
        <w:tc>
          <w:tcPr>
            <w:tcW w:w="32" w:type="pct"/>
            <w:shd w:val="clear" w:color="auto" w:fill="auto"/>
            <w:vAlign w:val="bottom"/>
          </w:tcPr>
          <w:p w14:paraId="6430293B" w14:textId="77777777" w:rsidR="009F6D8A" w:rsidRDefault="009F6D8A">
            <w:pPr>
              <w:rPr>
                <w:rFonts w:ascii="宋体"/>
              </w:rPr>
            </w:pPr>
          </w:p>
        </w:tc>
        <w:tc>
          <w:tcPr>
            <w:tcW w:w="5" w:type="pct"/>
            <w:shd w:val="clear" w:color="auto" w:fill="auto"/>
            <w:vAlign w:val="bottom"/>
          </w:tcPr>
          <w:p w14:paraId="6430293C" w14:textId="77777777" w:rsidR="009F6D8A" w:rsidRDefault="009F6D8A">
            <w:pPr>
              <w:rPr>
                <w:rFonts w:ascii="宋体"/>
              </w:rPr>
            </w:pPr>
          </w:p>
        </w:tc>
        <w:tc>
          <w:tcPr>
            <w:tcW w:w="50" w:type="pct"/>
            <w:shd w:val="clear" w:color="auto" w:fill="auto"/>
            <w:vAlign w:val="bottom"/>
          </w:tcPr>
          <w:p w14:paraId="6430293D" w14:textId="77777777" w:rsidR="009F6D8A" w:rsidRDefault="009F6D8A">
            <w:pPr>
              <w:rPr>
                <w:rFonts w:ascii="宋体"/>
              </w:rPr>
            </w:pPr>
          </w:p>
        </w:tc>
        <w:tc>
          <w:tcPr>
            <w:tcW w:w="995" w:type="pct"/>
            <w:shd w:val="clear" w:color="auto" w:fill="auto"/>
            <w:vAlign w:val="bottom"/>
          </w:tcPr>
          <w:p w14:paraId="6430293E" w14:textId="77777777" w:rsidR="009F6D8A" w:rsidRDefault="009F6D8A">
            <w:pPr>
              <w:rPr>
                <w:rFonts w:ascii="宋体"/>
              </w:rPr>
            </w:pPr>
          </w:p>
        </w:tc>
        <w:tc>
          <w:tcPr>
            <w:tcW w:w="5" w:type="pct"/>
            <w:shd w:val="clear" w:color="auto" w:fill="auto"/>
            <w:vAlign w:val="bottom"/>
          </w:tcPr>
          <w:p w14:paraId="6430293F" w14:textId="77777777" w:rsidR="009F6D8A" w:rsidRDefault="009F6D8A">
            <w:pPr>
              <w:rPr>
                <w:rFonts w:ascii="宋体"/>
              </w:rPr>
            </w:pPr>
          </w:p>
        </w:tc>
        <w:tc>
          <w:tcPr>
            <w:tcW w:w="50" w:type="pct"/>
            <w:shd w:val="clear" w:color="auto" w:fill="auto"/>
            <w:vAlign w:val="bottom"/>
          </w:tcPr>
          <w:p w14:paraId="64302940" w14:textId="77777777" w:rsidR="009F6D8A" w:rsidRDefault="009F6D8A">
            <w:pPr>
              <w:rPr>
                <w:rFonts w:ascii="宋体"/>
              </w:rPr>
            </w:pPr>
          </w:p>
        </w:tc>
        <w:tc>
          <w:tcPr>
            <w:tcW w:w="617" w:type="pct"/>
            <w:shd w:val="clear" w:color="auto" w:fill="auto"/>
            <w:vAlign w:val="bottom"/>
          </w:tcPr>
          <w:p w14:paraId="64302941" w14:textId="77777777" w:rsidR="009F6D8A" w:rsidRDefault="009F6D8A">
            <w:pPr>
              <w:rPr>
                <w:rFonts w:ascii="宋体"/>
              </w:rPr>
            </w:pPr>
          </w:p>
        </w:tc>
        <w:tc>
          <w:tcPr>
            <w:tcW w:w="5" w:type="pct"/>
            <w:shd w:val="clear" w:color="auto" w:fill="auto"/>
            <w:vAlign w:val="bottom"/>
          </w:tcPr>
          <w:p w14:paraId="64302942" w14:textId="77777777" w:rsidR="009F6D8A" w:rsidRDefault="009F6D8A">
            <w:pPr>
              <w:rPr>
                <w:rFonts w:ascii="宋体"/>
              </w:rPr>
            </w:pPr>
          </w:p>
        </w:tc>
        <w:tc>
          <w:tcPr>
            <w:tcW w:w="50" w:type="pct"/>
            <w:shd w:val="clear" w:color="auto" w:fill="auto"/>
            <w:vAlign w:val="bottom"/>
          </w:tcPr>
          <w:p w14:paraId="64302943" w14:textId="77777777" w:rsidR="009F6D8A" w:rsidRDefault="009F6D8A">
            <w:pPr>
              <w:rPr>
                <w:rFonts w:ascii="宋体"/>
              </w:rPr>
            </w:pPr>
          </w:p>
        </w:tc>
        <w:tc>
          <w:tcPr>
            <w:tcW w:w="2129" w:type="pct"/>
            <w:shd w:val="clear" w:color="auto" w:fill="auto"/>
            <w:vAlign w:val="bottom"/>
          </w:tcPr>
          <w:p w14:paraId="64302944" w14:textId="77777777" w:rsidR="009F6D8A" w:rsidRDefault="009F6D8A">
            <w:pPr>
              <w:rPr>
                <w:rFonts w:ascii="宋体"/>
              </w:rPr>
            </w:pPr>
          </w:p>
        </w:tc>
        <w:tc>
          <w:tcPr>
            <w:tcW w:w="5" w:type="pct"/>
            <w:shd w:val="clear" w:color="auto" w:fill="auto"/>
            <w:vAlign w:val="bottom"/>
          </w:tcPr>
          <w:p w14:paraId="64302945" w14:textId="77777777" w:rsidR="009F6D8A" w:rsidRDefault="009F6D8A">
            <w:pPr>
              <w:rPr>
                <w:rFonts w:ascii="宋体"/>
              </w:rPr>
            </w:pPr>
          </w:p>
        </w:tc>
      </w:tr>
      <w:tr w:rsidR="009F6D8A" w14:paraId="6430294A" w14:textId="77777777">
        <w:trPr>
          <w:jc w:val="center"/>
        </w:trPr>
        <w:tc>
          <w:tcPr>
            <w:tcW w:w="0" w:type="auto"/>
            <w:gridSpan w:val="9"/>
            <w:shd w:val="clear" w:color="auto" w:fill="auto"/>
            <w:tcMar>
              <w:top w:w="40" w:type="dxa"/>
              <w:left w:w="20" w:type="dxa"/>
              <w:bottom w:w="40" w:type="dxa"/>
              <w:right w:w="20" w:type="dxa"/>
            </w:tcMar>
            <w:vAlign w:val="bottom"/>
          </w:tcPr>
          <w:p w14:paraId="64302947" w14:textId="77777777" w:rsidR="009F6D8A" w:rsidRDefault="00C50974">
            <w:pPr>
              <w:jc w:val="center"/>
              <w:textAlignment w:val="bottom"/>
            </w:pPr>
            <w:r>
              <w:rPr>
                <w:rFonts w:ascii="Arial" w:eastAsia="宋体" w:hAnsi="Arial" w:cs="Arial"/>
                <w:b/>
                <w:bCs/>
                <w:color w:val="000000"/>
                <w:sz w:val="15"/>
                <w:szCs w:val="15"/>
              </w:rPr>
              <w:t>Delaware</w:t>
            </w:r>
          </w:p>
        </w:tc>
        <w:tc>
          <w:tcPr>
            <w:tcW w:w="0" w:type="auto"/>
            <w:gridSpan w:val="3"/>
            <w:shd w:val="clear" w:color="auto" w:fill="auto"/>
            <w:tcMar>
              <w:top w:w="0" w:type="dxa"/>
              <w:left w:w="20" w:type="dxa"/>
              <w:bottom w:w="0" w:type="dxa"/>
              <w:right w:w="20" w:type="dxa"/>
            </w:tcMar>
            <w:vAlign w:val="bottom"/>
          </w:tcPr>
          <w:p w14:paraId="64302948"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2949" w14:textId="77777777" w:rsidR="009F6D8A" w:rsidRDefault="00C50974">
            <w:pPr>
              <w:jc w:val="center"/>
              <w:textAlignment w:val="bottom"/>
            </w:pPr>
            <w:r>
              <w:rPr>
                <w:rFonts w:ascii="Arial" w:eastAsia="宋体" w:hAnsi="Arial" w:cs="Arial"/>
                <w:b/>
                <w:bCs/>
                <w:color w:val="000000"/>
                <w:sz w:val="15"/>
                <w:szCs w:val="15"/>
              </w:rPr>
              <w:t>77-0430924</w:t>
            </w:r>
          </w:p>
        </w:tc>
      </w:tr>
      <w:tr w:rsidR="009F6D8A" w14:paraId="6430294E" w14:textId="77777777">
        <w:trPr>
          <w:jc w:val="center"/>
        </w:trPr>
        <w:tc>
          <w:tcPr>
            <w:tcW w:w="0" w:type="auto"/>
            <w:gridSpan w:val="9"/>
            <w:shd w:val="clear" w:color="auto" w:fill="auto"/>
            <w:tcMar>
              <w:top w:w="40" w:type="dxa"/>
              <w:left w:w="20" w:type="dxa"/>
              <w:bottom w:w="40" w:type="dxa"/>
              <w:right w:w="20" w:type="dxa"/>
            </w:tcMar>
            <w:vAlign w:val="bottom"/>
          </w:tcPr>
          <w:p w14:paraId="6430294B" w14:textId="77777777" w:rsidR="009F6D8A" w:rsidRDefault="00C50974">
            <w:pPr>
              <w:jc w:val="center"/>
              <w:textAlignment w:val="bottom"/>
            </w:pPr>
            <w:r>
              <w:rPr>
                <w:rFonts w:ascii="Arial" w:eastAsia="宋体" w:hAnsi="Arial" w:cs="Arial"/>
                <w:color w:val="000000"/>
                <w:sz w:val="14"/>
                <w:szCs w:val="14"/>
              </w:rPr>
              <w:t>(State or other jurisdiction of</w:t>
            </w:r>
            <w:r>
              <w:rPr>
                <w:rFonts w:ascii="Arial" w:eastAsia="宋体" w:hAnsi="Arial" w:cs="Arial"/>
                <w:color w:val="000000"/>
                <w:sz w:val="14"/>
                <w:szCs w:val="14"/>
              </w:rPr>
              <w:br/>
              <w:t>incorporation or organization)</w:t>
            </w:r>
          </w:p>
        </w:tc>
        <w:tc>
          <w:tcPr>
            <w:tcW w:w="0" w:type="auto"/>
            <w:gridSpan w:val="3"/>
            <w:shd w:val="clear" w:color="auto" w:fill="auto"/>
            <w:tcMar>
              <w:top w:w="0" w:type="dxa"/>
              <w:left w:w="20" w:type="dxa"/>
              <w:bottom w:w="0" w:type="dxa"/>
              <w:right w:w="20" w:type="dxa"/>
            </w:tcMar>
            <w:vAlign w:val="bottom"/>
          </w:tcPr>
          <w:p w14:paraId="6430294C"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294D" w14:textId="77777777" w:rsidR="009F6D8A" w:rsidRDefault="00C50974">
            <w:pPr>
              <w:jc w:val="center"/>
              <w:textAlignment w:val="bottom"/>
            </w:pPr>
            <w:r>
              <w:rPr>
                <w:rFonts w:ascii="Arial" w:eastAsia="宋体" w:hAnsi="Arial" w:cs="Arial"/>
                <w:color w:val="000000"/>
                <w:sz w:val="14"/>
                <w:szCs w:val="14"/>
              </w:rPr>
              <w:t>(I.R.S. Employer</w:t>
            </w:r>
            <w:r>
              <w:rPr>
                <w:rFonts w:ascii="Arial" w:eastAsia="宋体" w:hAnsi="Arial" w:cs="Arial"/>
                <w:color w:val="000000"/>
                <w:sz w:val="14"/>
                <w:szCs w:val="14"/>
              </w:rPr>
              <w:br/>
              <w:t>Identification No.)</w:t>
            </w:r>
          </w:p>
        </w:tc>
      </w:tr>
      <w:tr w:rsidR="009F6D8A" w14:paraId="64302954" w14:textId="77777777">
        <w:trPr>
          <w:trHeight w:val="120"/>
          <w:jc w:val="center"/>
        </w:trPr>
        <w:tc>
          <w:tcPr>
            <w:tcW w:w="0" w:type="auto"/>
            <w:gridSpan w:val="3"/>
            <w:shd w:val="clear" w:color="auto" w:fill="auto"/>
            <w:tcMar>
              <w:top w:w="0" w:type="dxa"/>
              <w:left w:w="20" w:type="dxa"/>
              <w:bottom w:w="0" w:type="dxa"/>
              <w:right w:w="20" w:type="dxa"/>
            </w:tcMar>
            <w:vAlign w:val="bottom"/>
          </w:tcPr>
          <w:p w14:paraId="6430294F"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2950"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2951"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2952"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2953" w14:textId="77777777" w:rsidR="009F6D8A" w:rsidRDefault="009F6D8A">
            <w:pPr>
              <w:rPr>
                <w:rFonts w:ascii="宋体"/>
              </w:rPr>
            </w:pPr>
          </w:p>
        </w:tc>
      </w:tr>
      <w:tr w:rsidR="009F6D8A" w14:paraId="64302958" w14:textId="77777777">
        <w:trPr>
          <w:jc w:val="center"/>
        </w:trPr>
        <w:tc>
          <w:tcPr>
            <w:tcW w:w="0" w:type="auto"/>
            <w:gridSpan w:val="9"/>
            <w:shd w:val="clear" w:color="auto" w:fill="auto"/>
            <w:tcMar>
              <w:top w:w="40" w:type="dxa"/>
              <w:left w:w="20" w:type="dxa"/>
              <w:bottom w:w="40" w:type="dxa"/>
              <w:right w:w="20" w:type="dxa"/>
            </w:tcMar>
            <w:vAlign w:val="bottom"/>
          </w:tcPr>
          <w:p w14:paraId="64302955" w14:textId="77777777" w:rsidR="009F6D8A" w:rsidRDefault="00C50974">
            <w:pPr>
              <w:jc w:val="center"/>
              <w:textAlignment w:val="bottom"/>
            </w:pPr>
            <w:r>
              <w:rPr>
                <w:rFonts w:ascii="Arial" w:eastAsia="宋体" w:hAnsi="Arial" w:cs="Arial"/>
                <w:b/>
                <w:bCs/>
                <w:color w:val="000000"/>
                <w:sz w:val="15"/>
                <w:szCs w:val="15"/>
              </w:rPr>
              <w:t>2025 Hamilton Avenue</w:t>
            </w:r>
          </w:p>
        </w:tc>
        <w:tc>
          <w:tcPr>
            <w:tcW w:w="0" w:type="auto"/>
            <w:gridSpan w:val="3"/>
            <w:shd w:val="clear" w:color="auto" w:fill="auto"/>
            <w:tcMar>
              <w:top w:w="0" w:type="dxa"/>
              <w:left w:w="20" w:type="dxa"/>
              <w:bottom w:w="0" w:type="dxa"/>
              <w:right w:w="20" w:type="dxa"/>
            </w:tcMar>
            <w:vAlign w:val="bottom"/>
          </w:tcPr>
          <w:p w14:paraId="64302956"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2957" w14:textId="77777777" w:rsidR="009F6D8A" w:rsidRDefault="009F6D8A">
            <w:pPr>
              <w:rPr>
                <w:rFonts w:ascii="宋体"/>
              </w:rPr>
            </w:pPr>
          </w:p>
        </w:tc>
      </w:tr>
      <w:tr w:rsidR="009F6D8A" w14:paraId="6430295E" w14:textId="77777777">
        <w:trPr>
          <w:jc w:val="center"/>
        </w:trPr>
        <w:tc>
          <w:tcPr>
            <w:tcW w:w="0" w:type="auto"/>
            <w:gridSpan w:val="3"/>
            <w:shd w:val="clear" w:color="auto" w:fill="auto"/>
            <w:tcMar>
              <w:top w:w="40" w:type="dxa"/>
              <w:left w:w="20" w:type="dxa"/>
              <w:bottom w:w="40" w:type="dxa"/>
              <w:right w:w="20" w:type="dxa"/>
            </w:tcMar>
            <w:vAlign w:val="bottom"/>
          </w:tcPr>
          <w:p w14:paraId="64302959" w14:textId="77777777" w:rsidR="009F6D8A" w:rsidRDefault="00C50974">
            <w:pPr>
              <w:jc w:val="right"/>
              <w:textAlignment w:val="bottom"/>
            </w:pPr>
            <w:r>
              <w:rPr>
                <w:rFonts w:ascii="Arial" w:eastAsia="宋体" w:hAnsi="Arial" w:cs="Arial"/>
                <w:b/>
                <w:bCs/>
                <w:color w:val="000000"/>
                <w:sz w:val="15"/>
                <w:szCs w:val="15"/>
              </w:rPr>
              <w:t>San Jose</w:t>
            </w:r>
          </w:p>
        </w:tc>
        <w:tc>
          <w:tcPr>
            <w:tcW w:w="0" w:type="auto"/>
            <w:gridSpan w:val="3"/>
            <w:shd w:val="clear" w:color="auto" w:fill="auto"/>
            <w:tcMar>
              <w:top w:w="40" w:type="dxa"/>
              <w:left w:w="20" w:type="dxa"/>
              <w:bottom w:w="40" w:type="dxa"/>
              <w:right w:w="20" w:type="dxa"/>
            </w:tcMar>
            <w:vAlign w:val="bottom"/>
          </w:tcPr>
          <w:p w14:paraId="6430295A" w14:textId="77777777" w:rsidR="009F6D8A" w:rsidRDefault="00C50974">
            <w:pPr>
              <w:jc w:val="center"/>
              <w:textAlignment w:val="bottom"/>
            </w:pPr>
            <w:r>
              <w:rPr>
                <w:rFonts w:ascii="Arial" w:eastAsia="宋体" w:hAnsi="Arial" w:cs="Arial"/>
                <w:b/>
                <w:bCs/>
                <w:color w:val="000000"/>
                <w:sz w:val="16"/>
                <w:szCs w:val="16"/>
              </w:rPr>
              <w:t>,</w:t>
            </w:r>
          </w:p>
        </w:tc>
        <w:tc>
          <w:tcPr>
            <w:tcW w:w="0" w:type="auto"/>
            <w:gridSpan w:val="3"/>
            <w:shd w:val="clear" w:color="auto" w:fill="auto"/>
            <w:tcMar>
              <w:top w:w="40" w:type="dxa"/>
              <w:left w:w="20" w:type="dxa"/>
              <w:bottom w:w="40" w:type="dxa"/>
              <w:right w:w="20" w:type="dxa"/>
            </w:tcMar>
            <w:vAlign w:val="bottom"/>
          </w:tcPr>
          <w:p w14:paraId="6430295B" w14:textId="77777777" w:rsidR="009F6D8A" w:rsidRDefault="00C50974">
            <w:pPr>
              <w:textAlignment w:val="bottom"/>
            </w:pPr>
            <w:r>
              <w:rPr>
                <w:rFonts w:ascii="Arial" w:eastAsia="宋体" w:hAnsi="Arial" w:cs="Arial"/>
                <w:b/>
                <w:bCs/>
                <w:color w:val="000000"/>
                <w:sz w:val="15"/>
                <w:szCs w:val="15"/>
              </w:rPr>
              <w:t>California</w:t>
            </w:r>
          </w:p>
        </w:tc>
        <w:tc>
          <w:tcPr>
            <w:tcW w:w="0" w:type="auto"/>
            <w:gridSpan w:val="3"/>
            <w:shd w:val="clear" w:color="auto" w:fill="auto"/>
            <w:tcMar>
              <w:top w:w="0" w:type="dxa"/>
              <w:left w:w="20" w:type="dxa"/>
              <w:bottom w:w="0" w:type="dxa"/>
              <w:right w:w="20" w:type="dxa"/>
            </w:tcMar>
            <w:vAlign w:val="bottom"/>
          </w:tcPr>
          <w:p w14:paraId="6430295C"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295D" w14:textId="77777777" w:rsidR="009F6D8A" w:rsidRDefault="00C50974">
            <w:pPr>
              <w:jc w:val="center"/>
              <w:textAlignment w:val="bottom"/>
            </w:pPr>
            <w:r>
              <w:rPr>
                <w:rFonts w:ascii="Arial" w:eastAsia="宋体" w:hAnsi="Arial" w:cs="Arial"/>
                <w:b/>
                <w:bCs/>
                <w:color w:val="000000"/>
                <w:sz w:val="15"/>
                <w:szCs w:val="15"/>
              </w:rPr>
              <w:t>95125</w:t>
            </w:r>
          </w:p>
        </w:tc>
      </w:tr>
      <w:tr w:rsidR="009F6D8A" w14:paraId="64302962" w14:textId="77777777">
        <w:trPr>
          <w:jc w:val="center"/>
        </w:trPr>
        <w:tc>
          <w:tcPr>
            <w:tcW w:w="0" w:type="auto"/>
            <w:gridSpan w:val="9"/>
            <w:shd w:val="clear" w:color="auto" w:fill="auto"/>
            <w:tcMar>
              <w:top w:w="40" w:type="dxa"/>
              <w:left w:w="20" w:type="dxa"/>
              <w:bottom w:w="40" w:type="dxa"/>
              <w:right w:w="20" w:type="dxa"/>
            </w:tcMar>
            <w:vAlign w:val="bottom"/>
          </w:tcPr>
          <w:p w14:paraId="6430295F" w14:textId="77777777" w:rsidR="009F6D8A" w:rsidRDefault="00C50974">
            <w:pPr>
              <w:jc w:val="center"/>
              <w:textAlignment w:val="bottom"/>
            </w:pPr>
            <w:r>
              <w:rPr>
                <w:rFonts w:ascii="Arial" w:eastAsia="宋体" w:hAnsi="Arial" w:cs="Arial"/>
                <w:color w:val="000000"/>
                <w:sz w:val="14"/>
                <w:szCs w:val="14"/>
              </w:rPr>
              <w:t>(Address of principal executive offices)</w:t>
            </w:r>
          </w:p>
        </w:tc>
        <w:tc>
          <w:tcPr>
            <w:tcW w:w="0" w:type="auto"/>
            <w:gridSpan w:val="3"/>
            <w:shd w:val="clear" w:color="auto" w:fill="auto"/>
            <w:tcMar>
              <w:top w:w="0" w:type="dxa"/>
              <w:left w:w="20" w:type="dxa"/>
              <w:bottom w:w="0" w:type="dxa"/>
              <w:right w:w="20" w:type="dxa"/>
            </w:tcMar>
            <w:vAlign w:val="bottom"/>
          </w:tcPr>
          <w:p w14:paraId="64302960"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2961" w14:textId="77777777" w:rsidR="009F6D8A" w:rsidRDefault="00C50974">
            <w:pPr>
              <w:jc w:val="center"/>
              <w:textAlignment w:val="top"/>
            </w:pPr>
            <w:r>
              <w:rPr>
                <w:rFonts w:ascii="Arial" w:eastAsia="宋体" w:hAnsi="Arial" w:cs="Arial"/>
                <w:color w:val="000000"/>
                <w:sz w:val="14"/>
                <w:szCs w:val="14"/>
              </w:rPr>
              <w:t>(Zip Code)</w:t>
            </w:r>
          </w:p>
        </w:tc>
      </w:tr>
    </w:tbl>
    <w:p w14:paraId="64302963" w14:textId="77777777" w:rsidR="009F6D8A" w:rsidRDefault="00C50974">
      <w:pPr>
        <w:spacing w:before="60"/>
        <w:jc w:val="center"/>
      </w:pPr>
      <w:r>
        <w:rPr>
          <w:rFonts w:ascii="Arial" w:eastAsia="宋体" w:hAnsi="Arial" w:cs="Arial"/>
          <w:color w:val="000000"/>
          <w:sz w:val="16"/>
          <w:szCs w:val="16"/>
        </w:rPr>
        <w:t xml:space="preserve">Registrant’s telephone number, including area code: </w:t>
      </w:r>
    </w:p>
    <w:p w14:paraId="64302964" w14:textId="77777777" w:rsidR="009F6D8A" w:rsidRDefault="00C50974">
      <w:pPr>
        <w:jc w:val="center"/>
      </w:pPr>
      <w:r>
        <w:rPr>
          <w:rFonts w:ascii="Arial" w:eastAsia="宋体" w:hAnsi="Arial" w:cs="Arial"/>
          <w:b/>
          <w:bCs/>
          <w:color w:val="000000"/>
          <w:sz w:val="16"/>
          <w:szCs w:val="16"/>
        </w:rPr>
        <w:t xml:space="preserve">(408) 376-7008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9F6D8A" w14:paraId="64302968" w14:textId="77777777">
        <w:trPr>
          <w:jc w:val="center"/>
        </w:trPr>
        <w:tc>
          <w:tcPr>
            <w:tcW w:w="50" w:type="pct"/>
            <w:shd w:val="clear" w:color="auto" w:fill="auto"/>
            <w:vAlign w:val="bottom"/>
          </w:tcPr>
          <w:p w14:paraId="64302965" w14:textId="77777777" w:rsidR="009F6D8A" w:rsidRDefault="009F6D8A">
            <w:pPr>
              <w:rPr>
                <w:rFonts w:ascii="宋体"/>
              </w:rPr>
            </w:pPr>
          </w:p>
        </w:tc>
        <w:tc>
          <w:tcPr>
            <w:tcW w:w="4945" w:type="pct"/>
            <w:shd w:val="clear" w:color="auto" w:fill="auto"/>
            <w:vAlign w:val="bottom"/>
          </w:tcPr>
          <w:p w14:paraId="64302966" w14:textId="77777777" w:rsidR="009F6D8A" w:rsidRDefault="009F6D8A">
            <w:pPr>
              <w:rPr>
                <w:rFonts w:ascii="宋体"/>
              </w:rPr>
            </w:pPr>
          </w:p>
        </w:tc>
        <w:tc>
          <w:tcPr>
            <w:tcW w:w="5" w:type="pct"/>
            <w:shd w:val="clear" w:color="auto" w:fill="auto"/>
            <w:vAlign w:val="bottom"/>
          </w:tcPr>
          <w:p w14:paraId="64302967" w14:textId="77777777" w:rsidR="009F6D8A" w:rsidRDefault="009F6D8A">
            <w:pPr>
              <w:rPr>
                <w:rFonts w:ascii="宋体"/>
              </w:rPr>
            </w:pPr>
          </w:p>
        </w:tc>
      </w:tr>
      <w:tr w:rsidR="009F6D8A" w14:paraId="6430296A"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64302969" w14:textId="77777777" w:rsidR="009F6D8A" w:rsidRDefault="009F6D8A">
            <w:pPr>
              <w:rPr>
                <w:rFonts w:ascii="宋体"/>
              </w:rPr>
            </w:pPr>
          </w:p>
        </w:tc>
      </w:tr>
    </w:tbl>
    <w:p w14:paraId="6430296B" w14:textId="77777777" w:rsidR="009F6D8A" w:rsidRDefault="00C50974">
      <w:pPr>
        <w:spacing w:before="60"/>
        <w:jc w:val="center"/>
      </w:pPr>
      <w:r>
        <w:rPr>
          <w:rFonts w:ascii="Arial" w:eastAsia="宋体" w:hAnsi="Arial" w:cs="Arial"/>
          <w:b/>
          <w:bCs/>
          <w:color w:val="000000"/>
          <w:sz w:val="16"/>
          <w:szCs w:val="16"/>
        </w:rPr>
        <w:t xml:space="preserve">Securities registered pursuant to Section 12(b) of the Act: </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2660"/>
        <w:gridCol w:w="37"/>
        <w:gridCol w:w="69"/>
        <w:gridCol w:w="2673"/>
        <w:gridCol w:w="36"/>
        <w:gridCol w:w="70"/>
        <w:gridCol w:w="2674"/>
        <w:gridCol w:w="36"/>
      </w:tblGrid>
      <w:tr w:rsidR="009F6D8A" w14:paraId="64302975" w14:textId="77777777">
        <w:trPr>
          <w:jc w:val="center"/>
        </w:trPr>
        <w:tc>
          <w:tcPr>
            <w:tcW w:w="50" w:type="pct"/>
            <w:shd w:val="clear" w:color="auto" w:fill="auto"/>
            <w:vAlign w:val="bottom"/>
          </w:tcPr>
          <w:p w14:paraId="6430296C" w14:textId="77777777" w:rsidR="009F6D8A" w:rsidRDefault="009F6D8A">
            <w:pPr>
              <w:rPr>
                <w:rFonts w:ascii="宋体"/>
              </w:rPr>
            </w:pPr>
          </w:p>
        </w:tc>
        <w:tc>
          <w:tcPr>
            <w:tcW w:w="1606" w:type="pct"/>
            <w:shd w:val="clear" w:color="auto" w:fill="auto"/>
            <w:vAlign w:val="bottom"/>
          </w:tcPr>
          <w:p w14:paraId="6430296D" w14:textId="77777777" w:rsidR="009F6D8A" w:rsidRDefault="009F6D8A">
            <w:pPr>
              <w:rPr>
                <w:rFonts w:ascii="宋体"/>
              </w:rPr>
            </w:pPr>
          </w:p>
        </w:tc>
        <w:tc>
          <w:tcPr>
            <w:tcW w:w="5" w:type="pct"/>
            <w:shd w:val="clear" w:color="auto" w:fill="auto"/>
            <w:vAlign w:val="bottom"/>
          </w:tcPr>
          <w:p w14:paraId="6430296E" w14:textId="77777777" w:rsidR="009F6D8A" w:rsidRDefault="009F6D8A">
            <w:pPr>
              <w:rPr>
                <w:rFonts w:ascii="宋体"/>
              </w:rPr>
            </w:pPr>
          </w:p>
        </w:tc>
        <w:tc>
          <w:tcPr>
            <w:tcW w:w="50" w:type="pct"/>
            <w:shd w:val="clear" w:color="auto" w:fill="auto"/>
            <w:vAlign w:val="bottom"/>
          </w:tcPr>
          <w:p w14:paraId="6430296F" w14:textId="77777777" w:rsidR="009F6D8A" w:rsidRDefault="009F6D8A">
            <w:pPr>
              <w:rPr>
                <w:rFonts w:ascii="宋体"/>
              </w:rPr>
            </w:pPr>
          </w:p>
        </w:tc>
        <w:tc>
          <w:tcPr>
            <w:tcW w:w="1614" w:type="pct"/>
            <w:shd w:val="clear" w:color="auto" w:fill="auto"/>
            <w:vAlign w:val="bottom"/>
          </w:tcPr>
          <w:p w14:paraId="64302970" w14:textId="77777777" w:rsidR="009F6D8A" w:rsidRDefault="009F6D8A">
            <w:pPr>
              <w:rPr>
                <w:rFonts w:ascii="宋体"/>
              </w:rPr>
            </w:pPr>
          </w:p>
        </w:tc>
        <w:tc>
          <w:tcPr>
            <w:tcW w:w="5" w:type="pct"/>
            <w:shd w:val="clear" w:color="auto" w:fill="auto"/>
            <w:vAlign w:val="bottom"/>
          </w:tcPr>
          <w:p w14:paraId="64302971" w14:textId="77777777" w:rsidR="009F6D8A" w:rsidRDefault="009F6D8A">
            <w:pPr>
              <w:rPr>
                <w:rFonts w:ascii="宋体"/>
              </w:rPr>
            </w:pPr>
          </w:p>
        </w:tc>
        <w:tc>
          <w:tcPr>
            <w:tcW w:w="50" w:type="pct"/>
            <w:shd w:val="clear" w:color="auto" w:fill="auto"/>
            <w:vAlign w:val="bottom"/>
          </w:tcPr>
          <w:p w14:paraId="64302972" w14:textId="77777777" w:rsidR="009F6D8A" w:rsidRDefault="009F6D8A">
            <w:pPr>
              <w:rPr>
                <w:rFonts w:ascii="宋体"/>
              </w:rPr>
            </w:pPr>
          </w:p>
        </w:tc>
        <w:tc>
          <w:tcPr>
            <w:tcW w:w="1614" w:type="pct"/>
            <w:shd w:val="clear" w:color="auto" w:fill="auto"/>
            <w:vAlign w:val="bottom"/>
          </w:tcPr>
          <w:p w14:paraId="64302973" w14:textId="77777777" w:rsidR="009F6D8A" w:rsidRDefault="009F6D8A">
            <w:pPr>
              <w:rPr>
                <w:rFonts w:ascii="宋体"/>
              </w:rPr>
            </w:pPr>
          </w:p>
        </w:tc>
        <w:tc>
          <w:tcPr>
            <w:tcW w:w="5" w:type="pct"/>
            <w:shd w:val="clear" w:color="auto" w:fill="auto"/>
            <w:vAlign w:val="bottom"/>
          </w:tcPr>
          <w:p w14:paraId="64302974" w14:textId="77777777" w:rsidR="009F6D8A" w:rsidRDefault="009F6D8A">
            <w:pPr>
              <w:rPr>
                <w:rFonts w:ascii="宋体"/>
              </w:rPr>
            </w:pPr>
          </w:p>
        </w:tc>
      </w:tr>
      <w:tr w:rsidR="009F6D8A" w14:paraId="64302979" w14:textId="77777777">
        <w:trPr>
          <w:jc w:val="center"/>
        </w:trPr>
        <w:tc>
          <w:tcPr>
            <w:tcW w:w="0" w:type="auto"/>
            <w:gridSpan w:val="3"/>
            <w:shd w:val="clear" w:color="auto" w:fill="auto"/>
            <w:tcMar>
              <w:top w:w="40" w:type="dxa"/>
              <w:left w:w="20" w:type="dxa"/>
              <w:bottom w:w="40" w:type="dxa"/>
              <w:right w:w="20" w:type="dxa"/>
            </w:tcMar>
            <w:vAlign w:val="bottom"/>
          </w:tcPr>
          <w:p w14:paraId="64302976" w14:textId="77777777" w:rsidR="009F6D8A" w:rsidRDefault="00C50974">
            <w:pPr>
              <w:jc w:val="center"/>
              <w:textAlignment w:val="bottom"/>
            </w:pPr>
            <w:r>
              <w:rPr>
                <w:rFonts w:ascii="Arial" w:eastAsia="宋体" w:hAnsi="Arial" w:cs="Arial"/>
                <w:color w:val="000000"/>
                <w:sz w:val="16"/>
                <w:szCs w:val="16"/>
                <w:u w:val="single"/>
              </w:rPr>
              <w:t>Title of each class</w:t>
            </w:r>
          </w:p>
        </w:tc>
        <w:tc>
          <w:tcPr>
            <w:tcW w:w="0" w:type="auto"/>
            <w:gridSpan w:val="3"/>
            <w:shd w:val="clear" w:color="auto" w:fill="auto"/>
            <w:tcMar>
              <w:top w:w="40" w:type="dxa"/>
              <w:left w:w="20" w:type="dxa"/>
              <w:bottom w:w="40" w:type="dxa"/>
              <w:right w:w="20" w:type="dxa"/>
            </w:tcMar>
            <w:vAlign w:val="bottom"/>
          </w:tcPr>
          <w:p w14:paraId="64302977" w14:textId="77777777" w:rsidR="009F6D8A" w:rsidRDefault="00C50974">
            <w:pPr>
              <w:jc w:val="center"/>
              <w:textAlignment w:val="bottom"/>
            </w:pPr>
            <w:r>
              <w:rPr>
                <w:rFonts w:ascii="Arial" w:eastAsia="宋体" w:hAnsi="Arial" w:cs="Arial"/>
                <w:color w:val="000000"/>
                <w:sz w:val="16"/>
                <w:szCs w:val="16"/>
                <w:u w:val="single"/>
              </w:rPr>
              <w:t>Trading symbol</w:t>
            </w:r>
          </w:p>
        </w:tc>
        <w:tc>
          <w:tcPr>
            <w:tcW w:w="0" w:type="auto"/>
            <w:gridSpan w:val="3"/>
            <w:shd w:val="clear" w:color="auto" w:fill="auto"/>
            <w:tcMar>
              <w:top w:w="40" w:type="dxa"/>
              <w:left w:w="20" w:type="dxa"/>
              <w:bottom w:w="40" w:type="dxa"/>
              <w:right w:w="20" w:type="dxa"/>
            </w:tcMar>
            <w:vAlign w:val="bottom"/>
          </w:tcPr>
          <w:p w14:paraId="64302978" w14:textId="77777777" w:rsidR="009F6D8A" w:rsidRDefault="00C50974">
            <w:pPr>
              <w:jc w:val="center"/>
              <w:textAlignment w:val="bottom"/>
            </w:pPr>
            <w:r>
              <w:rPr>
                <w:rFonts w:ascii="Arial" w:eastAsia="宋体" w:hAnsi="Arial" w:cs="Arial"/>
                <w:color w:val="000000"/>
                <w:sz w:val="16"/>
                <w:szCs w:val="16"/>
                <w:u w:val="single"/>
              </w:rPr>
              <w:t>Name of exchange on which registered</w:t>
            </w:r>
          </w:p>
        </w:tc>
      </w:tr>
      <w:tr w:rsidR="009F6D8A" w14:paraId="6430297D" w14:textId="77777777">
        <w:trPr>
          <w:jc w:val="center"/>
        </w:trPr>
        <w:tc>
          <w:tcPr>
            <w:tcW w:w="0" w:type="auto"/>
            <w:gridSpan w:val="3"/>
            <w:shd w:val="clear" w:color="auto" w:fill="auto"/>
            <w:tcMar>
              <w:top w:w="40" w:type="dxa"/>
              <w:left w:w="20" w:type="dxa"/>
              <w:bottom w:w="40" w:type="dxa"/>
              <w:right w:w="20" w:type="dxa"/>
            </w:tcMar>
            <w:vAlign w:val="bottom"/>
          </w:tcPr>
          <w:p w14:paraId="6430297A" w14:textId="77777777" w:rsidR="009F6D8A" w:rsidRDefault="00C50974">
            <w:pPr>
              <w:jc w:val="center"/>
              <w:textAlignment w:val="bottom"/>
            </w:pPr>
            <w:r>
              <w:rPr>
                <w:rFonts w:ascii="Arial" w:eastAsia="宋体" w:hAnsi="Arial" w:cs="Arial"/>
                <w:color w:val="000000"/>
                <w:sz w:val="16"/>
                <w:szCs w:val="16"/>
              </w:rPr>
              <w:t>Common stock</w:t>
            </w:r>
          </w:p>
        </w:tc>
        <w:tc>
          <w:tcPr>
            <w:tcW w:w="0" w:type="auto"/>
            <w:gridSpan w:val="3"/>
            <w:shd w:val="clear" w:color="auto" w:fill="auto"/>
            <w:tcMar>
              <w:top w:w="40" w:type="dxa"/>
              <w:left w:w="20" w:type="dxa"/>
              <w:bottom w:w="40" w:type="dxa"/>
              <w:right w:w="20" w:type="dxa"/>
            </w:tcMar>
            <w:vAlign w:val="bottom"/>
          </w:tcPr>
          <w:p w14:paraId="6430297B" w14:textId="77777777" w:rsidR="009F6D8A" w:rsidRDefault="00C50974">
            <w:pPr>
              <w:jc w:val="center"/>
              <w:textAlignment w:val="bottom"/>
            </w:pPr>
            <w:r>
              <w:rPr>
                <w:rFonts w:ascii="Arial" w:eastAsia="宋体" w:hAnsi="Arial" w:cs="Arial"/>
                <w:color w:val="000000"/>
                <w:sz w:val="16"/>
                <w:szCs w:val="16"/>
              </w:rPr>
              <w:t>EBAY</w:t>
            </w:r>
          </w:p>
        </w:tc>
        <w:tc>
          <w:tcPr>
            <w:tcW w:w="0" w:type="auto"/>
            <w:gridSpan w:val="3"/>
            <w:shd w:val="clear" w:color="auto" w:fill="auto"/>
            <w:tcMar>
              <w:top w:w="40" w:type="dxa"/>
              <w:left w:w="20" w:type="dxa"/>
              <w:bottom w:w="40" w:type="dxa"/>
              <w:right w:w="20" w:type="dxa"/>
            </w:tcMar>
            <w:vAlign w:val="bottom"/>
          </w:tcPr>
          <w:p w14:paraId="6430297C" w14:textId="77777777" w:rsidR="009F6D8A" w:rsidRDefault="00C50974">
            <w:pPr>
              <w:jc w:val="center"/>
              <w:textAlignment w:val="bottom"/>
            </w:pPr>
            <w:r>
              <w:rPr>
                <w:rFonts w:ascii="Arial" w:eastAsia="宋体" w:hAnsi="Arial" w:cs="Arial"/>
                <w:color w:val="000000"/>
                <w:sz w:val="16"/>
                <w:szCs w:val="16"/>
              </w:rPr>
              <w:t xml:space="preserve">The Nasdaq </w:t>
            </w:r>
            <w:r>
              <w:rPr>
                <w:rFonts w:ascii="Arial" w:eastAsia="宋体" w:hAnsi="Arial" w:cs="Arial"/>
                <w:color w:val="000000"/>
                <w:sz w:val="16"/>
                <w:szCs w:val="16"/>
              </w:rPr>
              <w:t>Global Select Market</w:t>
            </w:r>
          </w:p>
        </w:tc>
      </w:tr>
      <w:tr w:rsidR="009F6D8A" w14:paraId="64302981" w14:textId="77777777">
        <w:trPr>
          <w:jc w:val="center"/>
          <w:hidden/>
        </w:trPr>
        <w:tc>
          <w:tcPr>
            <w:tcW w:w="0" w:type="auto"/>
            <w:gridSpan w:val="3"/>
            <w:shd w:val="clear" w:color="auto" w:fill="auto"/>
            <w:vAlign w:val="bottom"/>
          </w:tcPr>
          <w:p w14:paraId="6430297E" w14:textId="77777777" w:rsidR="009F6D8A" w:rsidRDefault="009F6D8A">
            <w:pPr>
              <w:rPr>
                <w:rFonts w:ascii="宋体"/>
                <w:vanish/>
              </w:rPr>
            </w:pPr>
          </w:p>
        </w:tc>
        <w:tc>
          <w:tcPr>
            <w:tcW w:w="0" w:type="auto"/>
            <w:gridSpan w:val="3"/>
            <w:shd w:val="clear" w:color="auto" w:fill="auto"/>
            <w:vAlign w:val="bottom"/>
          </w:tcPr>
          <w:p w14:paraId="6430297F" w14:textId="77777777" w:rsidR="009F6D8A" w:rsidRDefault="009F6D8A">
            <w:pPr>
              <w:rPr>
                <w:rFonts w:ascii="宋体"/>
                <w:vanish/>
              </w:rPr>
            </w:pPr>
          </w:p>
        </w:tc>
        <w:tc>
          <w:tcPr>
            <w:tcW w:w="0" w:type="auto"/>
            <w:gridSpan w:val="3"/>
            <w:shd w:val="clear" w:color="auto" w:fill="auto"/>
            <w:vAlign w:val="bottom"/>
          </w:tcPr>
          <w:p w14:paraId="64302980" w14:textId="77777777" w:rsidR="009F6D8A" w:rsidRDefault="009F6D8A">
            <w:pPr>
              <w:rPr>
                <w:rFonts w:ascii="宋体"/>
                <w:vanish/>
              </w:rPr>
            </w:pPr>
          </w:p>
        </w:tc>
      </w:tr>
    </w:tbl>
    <w:p w14:paraId="64302982" w14:textId="77777777" w:rsidR="009F6D8A" w:rsidRDefault="009F6D8A">
      <w:pPr>
        <w:rPr>
          <w:vanish/>
        </w:rPr>
      </w:pP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9F6D8A" w14:paraId="64302986" w14:textId="77777777">
        <w:trPr>
          <w:jc w:val="center"/>
        </w:trPr>
        <w:tc>
          <w:tcPr>
            <w:tcW w:w="50" w:type="pct"/>
            <w:shd w:val="clear" w:color="auto" w:fill="auto"/>
            <w:vAlign w:val="bottom"/>
          </w:tcPr>
          <w:p w14:paraId="64302983" w14:textId="77777777" w:rsidR="009F6D8A" w:rsidRDefault="009F6D8A">
            <w:pPr>
              <w:rPr>
                <w:rFonts w:ascii="宋体"/>
              </w:rPr>
            </w:pPr>
          </w:p>
        </w:tc>
        <w:tc>
          <w:tcPr>
            <w:tcW w:w="4945" w:type="pct"/>
            <w:shd w:val="clear" w:color="auto" w:fill="auto"/>
            <w:vAlign w:val="bottom"/>
          </w:tcPr>
          <w:p w14:paraId="64302984" w14:textId="77777777" w:rsidR="009F6D8A" w:rsidRDefault="009F6D8A">
            <w:pPr>
              <w:rPr>
                <w:rFonts w:ascii="宋体"/>
              </w:rPr>
            </w:pPr>
          </w:p>
        </w:tc>
        <w:tc>
          <w:tcPr>
            <w:tcW w:w="5" w:type="pct"/>
            <w:shd w:val="clear" w:color="auto" w:fill="auto"/>
            <w:vAlign w:val="bottom"/>
          </w:tcPr>
          <w:p w14:paraId="64302985" w14:textId="77777777" w:rsidR="009F6D8A" w:rsidRDefault="009F6D8A">
            <w:pPr>
              <w:rPr>
                <w:rFonts w:ascii="宋体"/>
              </w:rPr>
            </w:pPr>
          </w:p>
        </w:tc>
      </w:tr>
      <w:tr w:rsidR="009F6D8A" w14:paraId="64302988"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64302987" w14:textId="77777777" w:rsidR="009F6D8A" w:rsidRDefault="009F6D8A">
            <w:pPr>
              <w:rPr>
                <w:rFonts w:ascii="宋体"/>
              </w:rPr>
            </w:pPr>
          </w:p>
        </w:tc>
      </w:tr>
    </w:tbl>
    <w:p w14:paraId="64302989" w14:textId="77777777" w:rsidR="009F6D8A" w:rsidRDefault="009F6D8A">
      <w:pPr>
        <w:jc w:val="center"/>
      </w:pPr>
    </w:p>
    <w:p w14:paraId="6430298A" w14:textId="77777777" w:rsidR="009F6D8A" w:rsidRDefault="00C50974">
      <w:pPr>
        <w:spacing w:before="120"/>
        <w:jc w:val="both"/>
      </w:pPr>
      <w:r>
        <w:rPr>
          <w:rFonts w:ascii="Arial" w:eastAsia="宋体" w:hAnsi="Arial" w:cs="Arial"/>
          <w:color w:val="000000"/>
          <w:sz w:val="14"/>
          <w:szCs w:val="14"/>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eastAsia="宋体" w:hAnsi="Arial" w:cs="Arial"/>
          <w:color w:val="000000"/>
          <w:sz w:val="14"/>
          <w:szCs w:val="14"/>
        </w:rPr>
        <w:t xml:space="preserve">uch reports), and (2) has been subject to such filing requirements for the past 90 days.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w:t>
      </w:r>
    </w:p>
    <w:p w14:paraId="6430298B" w14:textId="77777777" w:rsidR="009F6D8A" w:rsidRDefault="00C50974">
      <w:pPr>
        <w:spacing w:before="120"/>
        <w:jc w:val="both"/>
      </w:pPr>
      <w:r>
        <w:rPr>
          <w:rFonts w:ascii="Arial" w:eastAsia="宋体" w:hAnsi="Arial" w:cs="Arial"/>
          <w:color w:val="000000"/>
          <w:sz w:val="14"/>
          <w:szCs w:val="14"/>
        </w:rPr>
        <w:t>Indicate by check mark whether the registrant has submitted electronically every Interactive Data File required to be submitted pursuant to Rule 405 of Re</w:t>
      </w:r>
      <w:r>
        <w:rPr>
          <w:rFonts w:ascii="Arial" w:eastAsia="宋体" w:hAnsi="Arial" w:cs="Arial"/>
          <w:color w:val="000000"/>
          <w:sz w:val="14"/>
          <w:szCs w:val="14"/>
        </w:rPr>
        <w:t xml:space="preserv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4"/>
          <w:szCs w:val="14"/>
        </w:rPr>
        <w:t>☐</w:t>
      </w:r>
    </w:p>
    <w:p w14:paraId="6430298C" w14:textId="77777777" w:rsidR="009F6D8A" w:rsidRDefault="009F6D8A">
      <w:pPr>
        <w:jc w:val="both"/>
      </w:pPr>
    </w:p>
    <w:p w14:paraId="6430298D" w14:textId="77777777" w:rsidR="009F6D8A" w:rsidRDefault="00C50974">
      <w:pPr>
        <w:jc w:val="both"/>
      </w:pPr>
      <w:r>
        <w:rPr>
          <w:rFonts w:ascii="Arial" w:eastAsia="宋体" w:hAnsi="Arial" w:cs="Arial"/>
          <w:color w:val="000000"/>
          <w:sz w:val="14"/>
          <w:szCs w:val="14"/>
        </w:rPr>
        <w:t xml:space="preserve">Indicate by check mark whether the registrant is a large accelerated filer, an </w:t>
      </w:r>
      <w:r>
        <w:rPr>
          <w:rFonts w:ascii="Arial" w:eastAsia="宋体" w:hAnsi="Arial" w:cs="Arial"/>
          <w:color w:val="000000"/>
          <w:sz w:val="14"/>
          <w:szCs w:val="14"/>
        </w:rPr>
        <w:t>accelerated filer, a non-accelerated filer, a smaller reporting company, or an emerging growth company. See the definitions of “large accelerated filer,” “accelerated filer,” “smaller reporting company” and “emerging growth company” in Rule 12b-2 of the Ex</w:t>
      </w:r>
      <w:r>
        <w:rPr>
          <w:rFonts w:ascii="Arial" w:eastAsia="宋体" w:hAnsi="Arial" w:cs="Arial"/>
          <w:color w:val="000000"/>
          <w:sz w:val="14"/>
          <w:szCs w:val="14"/>
        </w:rPr>
        <w:t>change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1685"/>
        <w:gridCol w:w="37"/>
        <w:gridCol w:w="69"/>
        <w:gridCol w:w="223"/>
        <w:gridCol w:w="36"/>
        <w:gridCol w:w="69"/>
        <w:gridCol w:w="3697"/>
        <w:gridCol w:w="36"/>
        <w:gridCol w:w="70"/>
        <w:gridCol w:w="1979"/>
        <w:gridCol w:w="36"/>
        <w:gridCol w:w="70"/>
        <w:gridCol w:w="224"/>
        <w:gridCol w:w="36"/>
      </w:tblGrid>
      <w:tr w:rsidR="009F6D8A" w14:paraId="6430299D" w14:textId="77777777">
        <w:tc>
          <w:tcPr>
            <w:tcW w:w="50" w:type="pct"/>
            <w:shd w:val="clear" w:color="auto" w:fill="auto"/>
            <w:vAlign w:val="bottom"/>
          </w:tcPr>
          <w:p w14:paraId="6430298E" w14:textId="77777777" w:rsidR="009F6D8A" w:rsidRDefault="009F6D8A">
            <w:pPr>
              <w:rPr>
                <w:rFonts w:ascii="宋体"/>
              </w:rPr>
            </w:pPr>
          </w:p>
        </w:tc>
        <w:tc>
          <w:tcPr>
            <w:tcW w:w="1019" w:type="pct"/>
            <w:shd w:val="clear" w:color="auto" w:fill="auto"/>
            <w:vAlign w:val="bottom"/>
          </w:tcPr>
          <w:p w14:paraId="6430298F" w14:textId="77777777" w:rsidR="009F6D8A" w:rsidRDefault="009F6D8A">
            <w:pPr>
              <w:rPr>
                <w:rFonts w:ascii="宋体"/>
              </w:rPr>
            </w:pPr>
          </w:p>
        </w:tc>
        <w:tc>
          <w:tcPr>
            <w:tcW w:w="5" w:type="pct"/>
            <w:shd w:val="clear" w:color="auto" w:fill="auto"/>
            <w:vAlign w:val="bottom"/>
          </w:tcPr>
          <w:p w14:paraId="64302990" w14:textId="77777777" w:rsidR="009F6D8A" w:rsidRDefault="009F6D8A">
            <w:pPr>
              <w:rPr>
                <w:rFonts w:ascii="宋体"/>
              </w:rPr>
            </w:pPr>
          </w:p>
        </w:tc>
        <w:tc>
          <w:tcPr>
            <w:tcW w:w="50" w:type="pct"/>
            <w:shd w:val="clear" w:color="auto" w:fill="auto"/>
            <w:vAlign w:val="bottom"/>
          </w:tcPr>
          <w:p w14:paraId="64302991" w14:textId="77777777" w:rsidR="009F6D8A" w:rsidRDefault="009F6D8A">
            <w:pPr>
              <w:rPr>
                <w:rFonts w:ascii="宋体"/>
              </w:rPr>
            </w:pPr>
          </w:p>
        </w:tc>
        <w:tc>
          <w:tcPr>
            <w:tcW w:w="142" w:type="pct"/>
            <w:shd w:val="clear" w:color="auto" w:fill="auto"/>
            <w:vAlign w:val="bottom"/>
          </w:tcPr>
          <w:p w14:paraId="64302992" w14:textId="77777777" w:rsidR="009F6D8A" w:rsidRDefault="009F6D8A">
            <w:pPr>
              <w:rPr>
                <w:rFonts w:ascii="宋体"/>
              </w:rPr>
            </w:pPr>
          </w:p>
        </w:tc>
        <w:tc>
          <w:tcPr>
            <w:tcW w:w="5" w:type="pct"/>
            <w:shd w:val="clear" w:color="auto" w:fill="auto"/>
            <w:vAlign w:val="bottom"/>
          </w:tcPr>
          <w:p w14:paraId="64302993" w14:textId="77777777" w:rsidR="009F6D8A" w:rsidRDefault="009F6D8A">
            <w:pPr>
              <w:rPr>
                <w:rFonts w:ascii="宋体"/>
              </w:rPr>
            </w:pPr>
          </w:p>
        </w:tc>
        <w:tc>
          <w:tcPr>
            <w:tcW w:w="50" w:type="pct"/>
            <w:shd w:val="clear" w:color="auto" w:fill="auto"/>
            <w:vAlign w:val="bottom"/>
          </w:tcPr>
          <w:p w14:paraId="64302994" w14:textId="77777777" w:rsidR="009F6D8A" w:rsidRDefault="009F6D8A">
            <w:pPr>
              <w:rPr>
                <w:rFonts w:ascii="宋体"/>
              </w:rPr>
            </w:pPr>
          </w:p>
        </w:tc>
        <w:tc>
          <w:tcPr>
            <w:tcW w:w="2225" w:type="pct"/>
            <w:shd w:val="clear" w:color="auto" w:fill="auto"/>
            <w:vAlign w:val="bottom"/>
          </w:tcPr>
          <w:p w14:paraId="64302995" w14:textId="77777777" w:rsidR="009F6D8A" w:rsidRDefault="009F6D8A">
            <w:pPr>
              <w:rPr>
                <w:rFonts w:ascii="宋体"/>
              </w:rPr>
            </w:pPr>
          </w:p>
        </w:tc>
        <w:tc>
          <w:tcPr>
            <w:tcW w:w="5" w:type="pct"/>
            <w:shd w:val="clear" w:color="auto" w:fill="auto"/>
            <w:vAlign w:val="bottom"/>
          </w:tcPr>
          <w:p w14:paraId="64302996" w14:textId="77777777" w:rsidR="009F6D8A" w:rsidRDefault="009F6D8A">
            <w:pPr>
              <w:rPr>
                <w:rFonts w:ascii="宋体"/>
              </w:rPr>
            </w:pPr>
          </w:p>
        </w:tc>
        <w:tc>
          <w:tcPr>
            <w:tcW w:w="50" w:type="pct"/>
            <w:shd w:val="clear" w:color="auto" w:fill="auto"/>
            <w:vAlign w:val="bottom"/>
          </w:tcPr>
          <w:p w14:paraId="64302997" w14:textId="77777777" w:rsidR="009F6D8A" w:rsidRDefault="009F6D8A">
            <w:pPr>
              <w:rPr>
                <w:rFonts w:ascii="宋体"/>
              </w:rPr>
            </w:pPr>
          </w:p>
        </w:tc>
        <w:tc>
          <w:tcPr>
            <w:tcW w:w="1195" w:type="pct"/>
            <w:shd w:val="clear" w:color="auto" w:fill="auto"/>
            <w:vAlign w:val="bottom"/>
          </w:tcPr>
          <w:p w14:paraId="64302998" w14:textId="77777777" w:rsidR="009F6D8A" w:rsidRDefault="009F6D8A">
            <w:pPr>
              <w:rPr>
                <w:rFonts w:ascii="宋体"/>
              </w:rPr>
            </w:pPr>
          </w:p>
        </w:tc>
        <w:tc>
          <w:tcPr>
            <w:tcW w:w="5" w:type="pct"/>
            <w:shd w:val="clear" w:color="auto" w:fill="auto"/>
            <w:vAlign w:val="bottom"/>
          </w:tcPr>
          <w:p w14:paraId="64302999" w14:textId="77777777" w:rsidR="009F6D8A" w:rsidRDefault="009F6D8A">
            <w:pPr>
              <w:rPr>
                <w:rFonts w:ascii="宋体"/>
              </w:rPr>
            </w:pPr>
          </w:p>
        </w:tc>
        <w:tc>
          <w:tcPr>
            <w:tcW w:w="50" w:type="pct"/>
            <w:shd w:val="clear" w:color="auto" w:fill="auto"/>
            <w:vAlign w:val="bottom"/>
          </w:tcPr>
          <w:p w14:paraId="6430299A" w14:textId="77777777" w:rsidR="009F6D8A" w:rsidRDefault="009F6D8A">
            <w:pPr>
              <w:rPr>
                <w:rFonts w:ascii="宋体"/>
              </w:rPr>
            </w:pPr>
          </w:p>
        </w:tc>
        <w:tc>
          <w:tcPr>
            <w:tcW w:w="142" w:type="pct"/>
            <w:shd w:val="clear" w:color="auto" w:fill="auto"/>
            <w:vAlign w:val="bottom"/>
          </w:tcPr>
          <w:p w14:paraId="6430299B" w14:textId="77777777" w:rsidR="009F6D8A" w:rsidRDefault="009F6D8A">
            <w:pPr>
              <w:rPr>
                <w:rFonts w:ascii="宋体"/>
              </w:rPr>
            </w:pPr>
          </w:p>
        </w:tc>
        <w:tc>
          <w:tcPr>
            <w:tcW w:w="5" w:type="pct"/>
            <w:shd w:val="clear" w:color="auto" w:fill="auto"/>
            <w:vAlign w:val="bottom"/>
          </w:tcPr>
          <w:p w14:paraId="6430299C" w14:textId="77777777" w:rsidR="009F6D8A" w:rsidRDefault="009F6D8A">
            <w:pPr>
              <w:rPr>
                <w:rFonts w:ascii="宋体"/>
              </w:rPr>
            </w:pPr>
          </w:p>
        </w:tc>
      </w:tr>
      <w:tr w:rsidR="009F6D8A" w14:paraId="643029A3" w14:textId="77777777">
        <w:tc>
          <w:tcPr>
            <w:tcW w:w="0" w:type="auto"/>
            <w:gridSpan w:val="3"/>
            <w:shd w:val="clear" w:color="auto" w:fill="auto"/>
            <w:tcMar>
              <w:top w:w="40" w:type="dxa"/>
              <w:left w:w="20" w:type="dxa"/>
              <w:bottom w:w="40" w:type="dxa"/>
              <w:right w:w="20" w:type="dxa"/>
            </w:tcMar>
            <w:vAlign w:val="bottom"/>
          </w:tcPr>
          <w:p w14:paraId="6430299E" w14:textId="77777777" w:rsidR="009F6D8A" w:rsidRDefault="00C50974">
            <w:pPr>
              <w:textAlignment w:val="bottom"/>
            </w:pPr>
            <w:r>
              <w:rPr>
                <w:rFonts w:ascii="Arial" w:eastAsia="宋体" w:hAnsi="Arial" w:cs="Arial"/>
                <w:color w:val="000000"/>
                <w:sz w:val="14"/>
                <w:szCs w:val="14"/>
              </w:rPr>
              <w:t>Large accelerated filer</w:t>
            </w:r>
          </w:p>
        </w:tc>
        <w:tc>
          <w:tcPr>
            <w:tcW w:w="0" w:type="auto"/>
            <w:gridSpan w:val="3"/>
            <w:shd w:val="clear" w:color="auto" w:fill="auto"/>
            <w:tcMar>
              <w:top w:w="40" w:type="dxa"/>
              <w:left w:w="20" w:type="dxa"/>
              <w:bottom w:w="40" w:type="dxa"/>
              <w:right w:w="20" w:type="dxa"/>
            </w:tcMar>
            <w:vAlign w:val="bottom"/>
          </w:tcPr>
          <w:p w14:paraId="6430299F" w14:textId="77777777" w:rsidR="009F6D8A" w:rsidRDefault="00C50974">
            <w:pPr>
              <w:jc w:val="cente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vAlign w:val="bottom"/>
          </w:tcPr>
          <w:p w14:paraId="643029A0"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29A1" w14:textId="77777777" w:rsidR="009F6D8A" w:rsidRDefault="00C50974">
            <w:pPr>
              <w:textAlignment w:val="bottom"/>
            </w:pPr>
            <w:r>
              <w:rPr>
                <w:rFonts w:ascii="Arial" w:eastAsia="宋体" w:hAnsi="Arial" w:cs="Arial"/>
                <w:color w:val="000000"/>
                <w:sz w:val="14"/>
                <w:szCs w:val="14"/>
              </w:rPr>
              <w:t>Accelerated filer</w:t>
            </w:r>
          </w:p>
        </w:tc>
        <w:tc>
          <w:tcPr>
            <w:tcW w:w="0" w:type="auto"/>
            <w:gridSpan w:val="3"/>
            <w:shd w:val="clear" w:color="auto" w:fill="auto"/>
            <w:tcMar>
              <w:top w:w="40" w:type="dxa"/>
              <w:left w:w="20" w:type="dxa"/>
              <w:bottom w:w="40" w:type="dxa"/>
              <w:right w:w="20" w:type="dxa"/>
            </w:tcMar>
            <w:vAlign w:val="bottom"/>
          </w:tcPr>
          <w:p w14:paraId="643029A2" w14:textId="77777777" w:rsidR="009F6D8A" w:rsidRDefault="00C50974">
            <w:pPr>
              <w:jc w:val="center"/>
              <w:textAlignment w:val="bottom"/>
            </w:pPr>
            <w:r>
              <w:rPr>
                <w:rFonts w:ascii="Arial Unicode MS" w:eastAsia="Arial Unicode MS" w:hAnsi="Arial Unicode MS" w:cs="Arial Unicode MS" w:hint="eastAsia"/>
                <w:color w:val="000000"/>
                <w:sz w:val="18"/>
                <w:szCs w:val="18"/>
              </w:rPr>
              <w:t>☐</w:t>
            </w:r>
          </w:p>
        </w:tc>
      </w:tr>
      <w:tr w:rsidR="009F6D8A" w14:paraId="643029A9" w14:textId="77777777">
        <w:tc>
          <w:tcPr>
            <w:tcW w:w="0" w:type="auto"/>
            <w:gridSpan w:val="3"/>
            <w:shd w:val="clear" w:color="auto" w:fill="auto"/>
            <w:tcMar>
              <w:top w:w="40" w:type="dxa"/>
              <w:left w:w="20" w:type="dxa"/>
              <w:bottom w:w="40" w:type="dxa"/>
              <w:right w:w="20" w:type="dxa"/>
            </w:tcMar>
            <w:vAlign w:val="bottom"/>
          </w:tcPr>
          <w:p w14:paraId="643029A4" w14:textId="77777777" w:rsidR="009F6D8A" w:rsidRDefault="00C50974">
            <w:pPr>
              <w:textAlignment w:val="bottom"/>
            </w:pPr>
            <w:r>
              <w:rPr>
                <w:rFonts w:ascii="Arial" w:eastAsia="宋体" w:hAnsi="Arial" w:cs="Arial"/>
                <w:color w:val="000000"/>
                <w:sz w:val="14"/>
                <w:szCs w:val="14"/>
              </w:rPr>
              <w:t>Non-accelerated filer</w:t>
            </w:r>
          </w:p>
        </w:tc>
        <w:tc>
          <w:tcPr>
            <w:tcW w:w="0" w:type="auto"/>
            <w:gridSpan w:val="3"/>
            <w:shd w:val="clear" w:color="auto" w:fill="auto"/>
            <w:tcMar>
              <w:top w:w="40" w:type="dxa"/>
              <w:left w:w="20" w:type="dxa"/>
              <w:bottom w:w="40" w:type="dxa"/>
              <w:right w:w="20" w:type="dxa"/>
            </w:tcMar>
            <w:vAlign w:val="bottom"/>
          </w:tcPr>
          <w:p w14:paraId="643029A5" w14:textId="77777777" w:rsidR="009F6D8A" w:rsidRDefault="00C50974">
            <w:pPr>
              <w:jc w:val="cente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vAlign w:val="bottom"/>
          </w:tcPr>
          <w:p w14:paraId="643029A6"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29A7" w14:textId="77777777" w:rsidR="009F6D8A" w:rsidRDefault="00C50974">
            <w:pPr>
              <w:textAlignment w:val="bottom"/>
            </w:pPr>
            <w:r>
              <w:rPr>
                <w:rFonts w:ascii="Arial" w:eastAsia="宋体" w:hAnsi="Arial" w:cs="Arial"/>
                <w:color w:val="000000"/>
                <w:sz w:val="14"/>
                <w:szCs w:val="14"/>
              </w:rPr>
              <w:t>Smaller reporting company</w:t>
            </w:r>
          </w:p>
        </w:tc>
        <w:tc>
          <w:tcPr>
            <w:tcW w:w="0" w:type="auto"/>
            <w:gridSpan w:val="3"/>
            <w:shd w:val="clear" w:color="auto" w:fill="auto"/>
            <w:tcMar>
              <w:top w:w="40" w:type="dxa"/>
              <w:left w:w="20" w:type="dxa"/>
              <w:bottom w:w="40" w:type="dxa"/>
              <w:right w:w="20" w:type="dxa"/>
            </w:tcMar>
            <w:vAlign w:val="bottom"/>
          </w:tcPr>
          <w:p w14:paraId="643029A8" w14:textId="77777777" w:rsidR="009F6D8A" w:rsidRDefault="00C50974">
            <w:pPr>
              <w:jc w:val="center"/>
              <w:textAlignment w:val="bottom"/>
            </w:pPr>
            <w:r>
              <w:rPr>
                <w:rFonts w:ascii="Arial Unicode MS" w:eastAsia="Arial Unicode MS" w:hAnsi="Arial Unicode MS" w:cs="Arial Unicode MS" w:hint="eastAsia"/>
                <w:color w:val="000000"/>
                <w:sz w:val="18"/>
                <w:szCs w:val="18"/>
              </w:rPr>
              <w:t>☐</w:t>
            </w:r>
          </w:p>
        </w:tc>
      </w:tr>
      <w:tr w:rsidR="009F6D8A" w14:paraId="643029AF" w14:textId="77777777">
        <w:tc>
          <w:tcPr>
            <w:tcW w:w="0" w:type="auto"/>
            <w:gridSpan w:val="3"/>
            <w:shd w:val="clear" w:color="auto" w:fill="auto"/>
            <w:tcMar>
              <w:top w:w="0" w:type="dxa"/>
              <w:left w:w="20" w:type="dxa"/>
              <w:bottom w:w="0" w:type="dxa"/>
              <w:right w:w="20" w:type="dxa"/>
            </w:tcMar>
            <w:vAlign w:val="bottom"/>
          </w:tcPr>
          <w:p w14:paraId="643029AA"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29AB"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29AC"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29AD" w14:textId="77777777" w:rsidR="009F6D8A" w:rsidRDefault="00C50974">
            <w:pPr>
              <w:textAlignment w:val="bottom"/>
            </w:pPr>
            <w:r>
              <w:rPr>
                <w:rFonts w:ascii="Arial" w:eastAsia="宋体" w:hAnsi="Arial" w:cs="Arial"/>
                <w:color w:val="000000"/>
                <w:sz w:val="14"/>
                <w:szCs w:val="14"/>
              </w:rPr>
              <w:t>Emerging growth company</w:t>
            </w:r>
          </w:p>
        </w:tc>
        <w:tc>
          <w:tcPr>
            <w:tcW w:w="0" w:type="auto"/>
            <w:gridSpan w:val="3"/>
            <w:shd w:val="clear" w:color="auto" w:fill="auto"/>
            <w:tcMar>
              <w:top w:w="40" w:type="dxa"/>
              <w:left w:w="20" w:type="dxa"/>
              <w:bottom w:w="40" w:type="dxa"/>
              <w:right w:w="20" w:type="dxa"/>
            </w:tcMar>
            <w:vAlign w:val="bottom"/>
          </w:tcPr>
          <w:p w14:paraId="643029AE" w14:textId="77777777" w:rsidR="009F6D8A" w:rsidRDefault="00C50974">
            <w:pPr>
              <w:jc w:val="center"/>
              <w:textAlignment w:val="bottom"/>
            </w:pPr>
            <w:r>
              <w:rPr>
                <w:rFonts w:ascii="Arial Unicode MS" w:eastAsia="Arial Unicode MS" w:hAnsi="Arial Unicode MS" w:cs="Arial Unicode MS" w:hint="eastAsia"/>
                <w:color w:val="000000"/>
                <w:sz w:val="18"/>
                <w:szCs w:val="18"/>
              </w:rPr>
              <w:t>☐</w:t>
            </w:r>
          </w:p>
        </w:tc>
      </w:tr>
    </w:tbl>
    <w:p w14:paraId="643029B0" w14:textId="77777777" w:rsidR="009F6D8A" w:rsidRDefault="00C50974">
      <w:r>
        <w:rPr>
          <w:rFonts w:ascii="Arial" w:eastAsia="宋体" w:hAnsi="Arial" w:cs="Arial"/>
          <w:color w:val="000000"/>
          <w:sz w:val="14"/>
          <w:szCs w:val="14"/>
        </w:rPr>
        <w:t xml:space="preserve">If an emerging growth company, indicate by check mark if the registrant has elected not to </w:t>
      </w:r>
      <w:r>
        <w:rPr>
          <w:rFonts w:ascii="Arial" w:eastAsia="宋体" w:hAnsi="Arial" w:cs="Arial"/>
          <w:color w:val="000000"/>
          <w:sz w:val="14"/>
          <w:szCs w:val="14"/>
        </w:rPr>
        <w:t>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w:t>
      </w:r>
    </w:p>
    <w:p w14:paraId="643029B1" w14:textId="77777777" w:rsidR="009F6D8A" w:rsidRDefault="00C50974">
      <w:pPr>
        <w:spacing w:before="80"/>
      </w:pPr>
      <w:r>
        <w:rPr>
          <w:rFonts w:ascii="Arial" w:eastAsia="宋体" w:hAnsi="Arial" w:cs="Arial"/>
          <w:color w:val="000000"/>
          <w:sz w:val="14"/>
          <w:szCs w:val="14"/>
        </w:rPr>
        <w:t>Indicate by check mark whether the registrant is a shell company (as defined in Rule 12b-2 o</w:t>
      </w:r>
      <w:r>
        <w:rPr>
          <w:rFonts w:ascii="Arial" w:eastAsia="宋体" w:hAnsi="Arial" w:cs="Arial"/>
          <w:color w:val="000000"/>
          <w:sz w:val="14"/>
          <w:szCs w:val="14"/>
        </w:rPr>
        <w:t xml:space="preserve">f the Exchange Act).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p>
    <w:p w14:paraId="643029B2" w14:textId="77777777" w:rsidR="009F6D8A" w:rsidRDefault="00C50974">
      <w:pPr>
        <w:spacing w:before="80" w:after="60"/>
        <w:jc w:val="both"/>
      </w:pPr>
      <w:r>
        <w:rPr>
          <w:rFonts w:ascii="Arial" w:eastAsia="宋体" w:hAnsi="Arial" w:cs="Arial"/>
          <w:color w:val="000000"/>
          <w:sz w:val="14"/>
          <w:szCs w:val="14"/>
        </w:rPr>
        <w:t>As of August 9, 2021, there were 650,055,805 shares of the registrant’s common stock, $0.001 par value, outstanding, which is the only class of common or voting stock of the registrant issued.</w:t>
      </w:r>
    </w:p>
    <w:tbl>
      <w:tblPr>
        <w:tblW w:w="4993" w:type="pct"/>
        <w:tblCellMar>
          <w:top w:w="15" w:type="dxa"/>
          <w:left w:w="15" w:type="dxa"/>
          <w:bottom w:w="15" w:type="dxa"/>
          <w:right w:w="15" w:type="dxa"/>
        </w:tblCellMar>
        <w:tblLook w:val="04A0" w:firstRow="1" w:lastRow="0" w:firstColumn="1" w:lastColumn="0" w:noHBand="0" w:noVBand="1"/>
      </w:tblPr>
      <w:tblGrid>
        <w:gridCol w:w="69"/>
        <w:gridCol w:w="8219"/>
        <w:gridCol w:w="36"/>
      </w:tblGrid>
      <w:tr w:rsidR="009F6D8A" w14:paraId="643029B6" w14:textId="77777777">
        <w:tc>
          <w:tcPr>
            <w:tcW w:w="50" w:type="pct"/>
            <w:shd w:val="clear" w:color="auto" w:fill="auto"/>
            <w:vAlign w:val="bottom"/>
          </w:tcPr>
          <w:p w14:paraId="643029B3" w14:textId="77777777" w:rsidR="009F6D8A" w:rsidRDefault="009F6D8A">
            <w:pPr>
              <w:rPr>
                <w:rFonts w:ascii="宋体"/>
              </w:rPr>
            </w:pPr>
          </w:p>
        </w:tc>
        <w:tc>
          <w:tcPr>
            <w:tcW w:w="4945" w:type="pct"/>
            <w:shd w:val="clear" w:color="auto" w:fill="auto"/>
            <w:vAlign w:val="bottom"/>
          </w:tcPr>
          <w:p w14:paraId="643029B4" w14:textId="77777777" w:rsidR="009F6D8A" w:rsidRDefault="009F6D8A">
            <w:pPr>
              <w:rPr>
                <w:rFonts w:ascii="宋体"/>
              </w:rPr>
            </w:pPr>
          </w:p>
        </w:tc>
        <w:tc>
          <w:tcPr>
            <w:tcW w:w="5" w:type="pct"/>
            <w:shd w:val="clear" w:color="auto" w:fill="auto"/>
            <w:vAlign w:val="bottom"/>
          </w:tcPr>
          <w:p w14:paraId="643029B5" w14:textId="77777777" w:rsidR="009F6D8A" w:rsidRDefault="009F6D8A">
            <w:pPr>
              <w:rPr>
                <w:rFonts w:ascii="宋体"/>
              </w:rPr>
            </w:pPr>
          </w:p>
        </w:tc>
      </w:tr>
      <w:tr w:rsidR="009F6D8A" w14:paraId="643029B8" w14:textId="77777777">
        <w:trPr>
          <w:trHeight w:val="60"/>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43029B7" w14:textId="77777777" w:rsidR="009F6D8A" w:rsidRDefault="009F6D8A">
            <w:pPr>
              <w:rPr>
                <w:rFonts w:ascii="宋体"/>
              </w:rPr>
            </w:pPr>
          </w:p>
        </w:tc>
      </w:tr>
    </w:tbl>
    <w:p w14:paraId="643029B9" w14:textId="77777777" w:rsidR="009F6D8A" w:rsidRDefault="009F6D8A">
      <w:pPr>
        <w:jc w:val="center"/>
      </w:pPr>
    </w:p>
    <w:p w14:paraId="643029BA" w14:textId="77777777" w:rsidR="009F6D8A" w:rsidRDefault="009F6D8A">
      <w:pPr>
        <w:jc w:val="center"/>
      </w:pPr>
    </w:p>
    <w:p w14:paraId="643029BB" w14:textId="77777777" w:rsidR="009F6D8A" w:rsidRDefault="00C50974">
      <w:pPr>
        <w:jc w:val="center"/>
      </w:pPr>
      <w:r>
        <w:rPr>
          <w:rFonts w:ascii="Arial" w:eastAsia="宋体" w:hAnsi="Arial" w:cs="Arial"/>
          <w:color w:val="000000"/>
          <w:sz w:val="20"/>
          <w:szCs w:val="20"/>
        </w:rPr>
        <w:t>1</w:t>
      </w:r>
    </w:p>
    <w:p w14:paraId="643029BC" w14:textId="77777777" w:rsidR="009F6D8A" w:rsidRDefault="00C50974">
      <w:r>
        <w:pict w14:anchorId="64305804">
          <v:rect id="_x0000_i1025" style="width:415.3pt;height:1.5pt" o:hralign="center" o:hrstd="t" o:hr="t" fillcolor="#a0a0a0" stroked="f"/>
        </w:pict>
      </w:r>
    </w:p>
    <w:p w14:paraId="643029BD" w14:textId="77777777" w:rsidR="009F6D8A" w:rsidRDefault="009F6D8A"/>
    <w:p w14:paraId="643029BE" w14:textId="77777777" w:rsidR="009F6D8A" w:rsidRDefault="00C50974">
      <w:pPr>
        <w:jc w:val="center"/>
      </w:pPr>
      <w:r>
        <w:rPr>
          <w:rFonts w:ascii="Arial" w:eastAsia="宋体" w:hAnsi="Arial" w:cs="Arial"/>
          <w:b/>
          <w:bCs/>
          <w:color w:val="000000"/>
          <w:sz w:val="20"/>
          <w:szCs w:val="20"/>
        </w:rPr>
        <w:t>PART I: FINANCIAL INFORMATION</w:t>
      </w:r>
    </w:p>
    <w:p w14:paraId="643029BF" w14:textId="77777777" w:rsidR="009F6D8A" w:rsidRDefault="00C50974">
      <w:pPr>
        <w:spacing w:before="120"/>
        <w:ind w:hanging="1080"/>
      </w:pPr>
      <w:r>
        <w:rPr>
          <w:rFonts w:ascii="Arial" w:eastAsia="宋体" w:hAnsi="Arial" w:cs="Arial"/>
          <w:b/>
          <w:bCs/>
          <w:color w:val="000000"/>
          <w:sz w:val="20"/>
          <w:szCs w:val="20"/>
        </w:rPr>
        <w:t>Item 1:</w:t>
      </w:r>
      <w:r>
        <w:rPr>
          <w:rFonts w:ascii="Arial" w:eastAsia="宋体" w:hAnsi="Arial" w:cs="Arial"/>
          <w:color w:val="000000"/>
          <w:sz w:val="20"/>
          <w:szCs w:val="20"/>
        </w:rPr>
        <w:t>    </w:t>
      </w:r>
      <w:r>
        <w:rPr>
          <w:rFonts w:ascii="Arial" w:eastAsia="宋体" w:hAnsi="Arial" w:cs="Arial"/>
          <w:b/>
          <w:bCs/>
          <w:color w:val="000000"/>
          <w:sz w:val="20"/>
          <w:szCs w:val="20"/>
        </w:rPr>
        <w:t>Financial Statements</w:t>
      </w:r>
    </w:p>
    <w:p w14:paraId="643029C0" w14:textId="77777777" w:rsidR="009F6D8A" w:rsidRDefault="00C50974">
      <w:pPr>
        <w:spacing w:before="120"/>
        <w:jc w:val="center"/>
      </w:pPr>
      <w:r>
        <w:rPr>
          <w:rFonts w:ascii="Arial" w:eastAsia="宋体" w:hAnsi="Arial" w:cs="Arial"/>
          <w:b/>
          <w:bCs/>
          <w:color w:val="000000"/>
          <w:sz w:val="20"/>
          <w:szCs w:val="20"/>
        </w:rPr>
        <w:t xml:space="preserve">eBay Inc. </w:t>
      </w:r>
    </w:p>
    <w:p w14:paraId="643029C1" w14:textId="77777777" w:rsidR="009F6D8A" w:rsidRDefault="00C50974">
      <w:pPr>
        <w:spacing w:before="80"/>
        <w:jc w:val="center"/>
      </w:pPr>
      <w:r>
        <w:rPr>
          <w:rFonts w:ascii="Arial" w:eastAsia="宋体" w:hAnsi="Arial" w:cs="Arial"/>
          <w:b/>
          <w:bCs/>
          <w:color w:val="000000"/>
          <w:sz w:val="20"/>
          <w:szCs w:val="20"/>
        </w:rPr>
        <w:t>CONDENSED CONSOLIDATED BALANCE SHEET</w:t>
      </w:r>
      <w:r>
        <w:rPr>
          <w:rFonts w:ascii="Arial" w:eastAsia="宋体" w:hAnsi="Arial" w:cs="Arial"/>
          <w:b/>
          <w:bCs/>
          <w:color w:val="000000"/>
          <w:sz w:val="18"/>
          <w:szCs w:val="18"/>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5771"/>
        <w:gridCol w:w="39"/>
        <w:gridCol w:w="116"/>
        <w:gridCol w:w="1021"/>
        <w:gridCol w:w="37"/>
        <w:gridCol w:w="36"/>
        <w:gridCol w:w="42"/>
        <w:gridCol w:w="36"/>
        <w:gridCol w:w="116"/>
        <w:gridCol w:w="1020"/>
        <w:gridCol w:w="36"/>
      </w:tblGrid>
      <w:tr w:rsidR="009F6D8A" w14:paraId="643029CE" w14:textId="77777777">
        <w:trPr>
          <w:jc w:val="center"/>
        </w:trPr>
        <w:tc>
          <w:tcPr>
            <w:tcW w:w="50" w:type="pct"/>
            <w:shd w:val="clear" w:color="auto" w:fill="auto"/>
            <w:vAlign w:val="bottom"/>
          </w:tcPr>
          <w:p w14:paraId="643029C2" w14:textId="77777777" w:rsidR="009F6D8A" w:rsidRDefault="009F6D8A">
            <w:pPr>
              <w:rPr>
                <w:rFonts w:ascii="宋体"/>
              </w:rPr>
            </w:pPr>
          </w:p>
        </w:tc>
        <w:tc>
          <w:tcPr>
            <w:tcW w:w="3559" w:type="pct"/>
            <w:shd w:val="clear" w:color="auto" w:fill="auto"/>
            <w:vAlign w:val="bottom"/>
          </w:tcPr>
          <w:p w14:paraId="643029C3" w14:textId="77777777" w:rsidR="009F6D8A" w:rsidRDefault="009F6D8A">
            <w:pPr>
              <w:rPr>
                <w:rFonts w:ascii="宋体"/>
              </w:rPr>
            </w:pPr>
          </w:p>
        </w:tc>
        <w:tc>
          <w:tcPr>
            <w:tcW w:w="5" w:type="pct"/>
            <w:shd w:val="clear" w:color="auto" w:fill="auto"/>
            <w:vAlign w:val="bottom"/>
          </w:tcPr>
          <w:p w14:paraId="643029C4" w14:textId="77777777" w:rsidR="009F6D8A" w:rsidRDefault="009F6D8A">
            <w:pPr>
              <w:rPr>
                <w:rFonts w:ascii="宋体"/>
              </w:rPr>
            </w:pPr>
          </w:p>
        </w:tc>
        <w:tc>
          <w:tcPr>
            <w:tcW w:w="50" w:type="pct"/>
            <w:shd w:val="clear" w:color="auto" w:fill="auto"/>
            <w:vAlign w:val="bottom"/>
          </w:tcPr>
          <w:p w14:paraId="643029C5" w14:textId="77777777" w:rsidR="009F6D8A" w:rsidRDefault="009F6D8A">
            <w:pPr>
              <w:rPr>
                <w:rFonts w:ascii="宋体"/>
              </w:rPr>
            </w:pPr>
          </w:p>
        </w:tc>
        <w:tc>
          <w:tcPr>
            <w:tcW w:w="619" w:type="pct"/>
            <w:shd w:val="clear" w:color="auto" w:fill="auto"/>
            <w:vAlign w:val="bottom"/>
          </w:tcPr>
          <w:p w14:paraId="643029C6" w14:textId="77777777" w:rsidR="009F6D8A" w:rsidRDefault="009F6D8A">
            <w:pPr>
              <w:rPr>
                <w:rFonts w:ascii="宋体"/>
              </w:rPr>
            </w:pPr>
          </w:p>
        </w:tc>
        <w:tc>
          <w:tcPr>
            <w:tcW w:w="5" w:type="pct"/>
            <w:shd w:val="clear" w:color="auto" w:fill="auto"/>
            <w:vAlign w:val="bottom"/>
          </w:tcPr>
          <w:p w14:paraId="643029C7" w14:textId="77777777" w:rsidR="009F6D8A" w:rsidRDefault="009F6D8A">
            <w:pPr>
              <w:rPr>
                <w:rFonts w:ascii="宋体"/>
              </w:rPr>
            </w:pPr>
          </w:p>
        </w:tc>
        <w:tc>
          <w:tcPr>
            <w:tcW w:w="5" w:type="pct"/>
            <w:shd w:val="clear" w:color="auto" w:fill="auto"/>
            <w:vAlign w:val="bottom"/>
          </w:tcPr>
          <w:p w14:paraId="643029C8" w14:textId="77777777" w:rsidR="009F6D8A" w:rsidRDefault="009F6D8A">
            <w:pPr>
              <w:rPr>
                <w:rFonts w:ascii="宋体"/>
              </w:rPr>
            </w:pPr>
          </w:p>
        </w:tc>
        <w:tc>
          <w:tcPr>
            <w:tcW w:w="26" w:type="pct"/>
            <w:shd w:val="clear" w:color="auto" w:fill="auto"/>
            <w:vAlign w:val="bottom"/>
          </w:tcPr>
          <w:p w14:paraId="643029C9" w14:textId="77777777" w:rsidR="009F6D8A" w:rsidRDefault="009F6D8A">
            <w:pPr>
              <w:rPr>
                <w:rFonts w:ascii="宋体"/>
              </w:rPr>
            </w:pPr>
          </w:p>
        </w:tc>
        <w:tc>
          <w:tcPr>
            <w:tcW w:w="5" w:type="pct"/>
            <w:shd w:val="clear" w:color="auto" w:fill="auto"/>
            <w:vAlign w:val="bottom"/>
          </w:tcPr>
          <w:p w14:paraId="643029CA" w14:textId="77777777" w:rsidR="009F6D8A" w:rsidRDefault="009F6D8A">
            <w:pPr>
              <w:rPr>
                <w:rFonts w:ascii="宋体"/>
              </w:rPr>
            </w:pPr>
          </w:p>
        </w:tc>
        <w:tc>
          <w:tcPr>
            <w:tcW w:w="50" w:type="pct"/>
            <w:shd w:val="clear" w:color="auto" w:fill="auto"/>
            <w:vAlign w:val="bottom"/>
          </w:tcPr>
          <w:p w14:paraId="643029CB" w14:textId="77777777" w:rsidR="009F6D8A" w:rsidRDefault="009F6D8A">
            <w:pPr>
              <w:rPr>
                <w:rFonts w:ascii="宋体"/>
              </w:rPr>
            </w:pPr>
          </w:p>
        </w:tc>
        <w:tc>
          <w:tcPr>
            <w:tcW w:w="619" w:type="pct"/>
            <w:shd w:val="clear" w:color="auto" w:fill="auto"/>
            <w:vAlign w:val="bottom"/>
          </w:tcPr>
          <w:p w14:paraId="643029CC" w14:textId="77777777" w:rsidR="009F6D8A" w:rsidRDefault="009F6D8A">
            <w:pPr>
              <w:rPr>
                <w:rFonts w:ascii="宋体"/>
              </w:rPr>
            </w:pPr>
          </w:p>
        </w:tc>
        <w:tc>
          <w:tcPr>
            <w:tcW w:w="5" w:type="pct"/>
            <w:shd w:val="clear" w:color="auto" w:fill="auto"/>
            <w:vAlign w:val="bottom"/>
          </w:tcPr>
          <w:p w14:paraId="643029CD" w14:textId="77777777" w:rsidR="009F6D8A" w:rsidRDefault="009F6D8A">
            <w:pPr>
              <w:rPr>
                <w:rFonts w:ascii="宋体"/>
              </w:rPr>
            </w:pPr>
          </w:p>
        </w:tc>
      </w:tr>
      <w:tr w:rsidR="009F6D8A" w14:paraId="643029D3" w14:textId="77777777">
        <w:trPr>
          <w:jc w:val="center"/>
        </w:trPr>
        <w:tc>
          <w:tcPr>
            <w:tcW w:w="0" w:type="auto"/>
            <w:gridSpan w:val="3"/>
            <w:shd w:val="clear" w:color="auto" w:fill="auto"/>
            <w:tcMar>
              <w:top w:w="40" w:type="dxa"/>
              <w:left w:w="20" w:type="dxa"/>
              <w:bottom w:w="40" w:type="dxa"/>
              <w:right w:w="20" w:type="dxa"/>
            </w:tcMar>
            <w:vAlign w:val="bottom"/>
          </w:tcPr>
          <w:p w14:paraId="643029CF" w14:textId="77777777" w:rsidR="009F6D8A" w:rsidRDefault="00C50974">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3029D0" w14:textId="77777777" w:rsidR="009F6D8A" w:rsidRDefault="00C50974">
            <w:pPr>
              <w:jc w:val="center"/>
              <w:textAlignment w:val="bottom"/>
            </w:pPr>
            <w:r>
              <w:rPr>
                <w:rFonts w:ascii="Arial" w:eastAsia="宋体" w:hAnsi="Arial" w:cs="Arial"/>
                <w:b/>
                <w:bCs/>
                <w:color w:val="000000"/>
                <w:sz w:val="16"/>
                <w:szCs w:val="16"/>
              </w:rPr>
              <w:t>June 30,</w:t>
            </w:r>
            <w:r>
              <w:rPr>
                <w:rFonts w:ascii="Arial" w:eastAsia="宋体" w:hAnsi="Arial" w:cs="Arial"/>
                <w:b/>
                <w:bCs/>
                <w:color w:val="000000"/>
                <w:sz w:val="16"/>
                <w:szCs w:val="16"/>
              </w:rPr>
              <w:br/>
              <w:t>2021</w:t>
            </w: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643029D1" w14:textId="77777777" w:rsidR="009F6D8A" w:rsidRDefault="009F6D8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43029D2" w14:textId="77777777" w:rsidR="009F6D8A" w:rsidRDefault="00C50974">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2020</w:t>
            </w:r>
          </w:p>
        </w:tc>
      </w:tr>
      <w:tr w:rsidR="009F6D8A" w14:paraId="643029D6" w14:textId="77777777">
        <w:trPr>
          <w:jc w:val="center"/>
        </w:trPr>
        <w:tc>
          <w:tcPr>
            <w:tcW w:w="0" w:type="auto"/>
            <w:gridSpan w:val="3"/>
            <w:shd w:val="clear" w:color="auto" w:fill="auto"/>
            <w:tcMar>
              <w:top w:w="40" w:type="dxa"/>
              <w:left w:w="20" w:type="dxa"/>
              <w:bottom w:w="40" w:type="dxa"/>
              <w:right w:w="20" w:type="dxa"/>
            </w:tcMar>
            <w:vAlign w:val="bottom"/>
          </w:tcPr>
          <w:p w14:paraId="643029D4" w14:textId="77777777" w:rsidR="009F6D8A" w:rsidRDefault="00C50974">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3029D5" w14:textId="77777777" w:rsidR="009F6D8A" w:rsidRDefault="00C50974">
            <w:pPr>
              <w:jc w:val="center"/>
              <w:textAlignment w:val="bottom"/>
            </w:pPr>
            <w:r>
              <w:rPr>
                <w:rFonts w:ascii="Arial" w:eastAsia="宋体" w:hAnsi="Arial" w:cs="Arial"/>
                <w:b/>
                <w:bCs/>
                <w:color w:val="000000"/>
                <w:sz w:val="16"/>
                <w:szCs w:val="16"/>
              </w:rPr>
              <w:t>(In millions, except par value)</w:t>
            </w:r>
          </w:p>
        </w:tc>
      </w:tr>
      <w:tr w:rsidR="009F6D8A" w14:paraId="643029D9" w14:textId="77777777">
        <w:trPr>
          <w:jc w:val="center"/>
        </w:trPr>
        <w:tc>
          <w:tcPr>
            <w:tcW w:w="0" w:type="auto"/>
            <w:gridSpan w:val="3"/>
            <w:shd w:val="clear" w:color="auto" w:fill="auto"/>
            <w:tcMar>
              <w:top w:w="40" w:type="dxa"/>
              <w:left w:w="20" w:type="dxa"/>
              <w:bottom w:w="40" w:type="dxa"/>
              <w:right w:w="20" w:type="dxa"/>
            </w:tcMar>
            <w:vAlign w:val="bottom"/>
          </w:tcPr>
          <w:p w14:paraId="643029D7" w14:textId="77777777" w:rsidR="009F6D8A" w:rsidRDefault="00C50974">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643029D8" w14:textId="77777777" w:rsidR="009F6D8A" w:rsidRDefault="00C50974">
            <w:pPr>
              <w:jc w:val="center"/>
              <w:textAlignment w:val="bottom"/>
            </w:pPr>
            <w:r>
              <w:rPr>
                <w:rFonts w:ascii="Arial" w:eastAsia="宋体" w:hAnsi="Arial" w:cs="Arial"/>
                <w:b/>
                <w:bCs/>
                <w:color w:val="000000"/>
                <w:sz w:val="16"/>
                <w:szCs w:val="16"/>
              </w:rPr>
              <w:t>(Unaudited)</w:t>
            </w:r>
          </w:p>
        </w:tc>
      </w:tr>
      <w:tr w:rsidR="009F6D8A" w14:paraId="643029DE" w14:textId="77777777">
        <w:trPr>
          <w:jc w:val="center"/>
        </w:trPr>
        <w:tc>
          <w:tcPr>
            <w:tcW w:w="0" w:type="auto"/>
            <w:gridSpan w:val="3"/>
            <w:shd w:val="clear" w:color="auto" w:fill="auto"/>
            <w:tcMar>
              <w:top w:w="40" w:type="dxa"/>
              <w:left w:w="20" w:type="dxa"/>
              <w:bottom w:w="40" w:type="dxa"/>
              <w:right w:w="20" w:type="dxa"/>
            </w:tcMar>
            <w:vAlign w:val="bottom"/>
          </w:tcPr>
          <w:p w14:paraId="643029DA" w14:textId="77777777" w:rsidR="009F6D8A" w:rsidRDefault="00C50974">
            <w:pPr>
              <w:jc w:val="center"/>
              <w:textAlignment w:val="bottom"/>
            </w:pPr>
            <w:r>
              <w:rPr>
                <w:rFonts w:ascii="Arial" w:eastAsia="宋体" w:hAnsi="Arial" w:cs="Arial"/>
                <w:b/>
                <w:bCs/>
                <w:color w:val="000000"/>
                <w:sz w:val="18"/>
                <w:szCs w:val="18"/>
              </w:rPr>
              <w:t>ASSETS</w:t>
            </w:r>
          </w:p>
        </w:tc>
        <w:tc>
          <w:tcPr>
            <w:tcW w:w="0" w:type="auto"/>
            <w:gridSpan w:val="3"/>
            <w:shd w:val="clear" w:color="auto" w:fill="auto"/>
            <w:tcMar>
              <w:top w:w="0" w:type="dxa"/>
              <w:left w:w="20" w:type="dxa"/>
              <w:bottom w:w="0" w:type="dxa"/>
              <w:right w:w="20" w:type="dxa"/>
            </w:tcMar>
            <w:vAlign w:val="bottom"/>
          </w:tcPr>
          <w:p w14:paraId="643029DB"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29DC"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29DD" w14:textId="77777777" w:rsidR="009F6D8A" w:rsidRDefault="009F6D8A">
            <w:pPr>
              <w:rPr>
                <w:rFonts w:ascii="宋体"/>
              </w:rPr>
            </w:pPr>
          </w:p>
        </w:tc>
      </w:tr>
      <w:tr w:rsidR="009F6D8A" w14:paraId="643029E3" w14:textId="77777777">
        <w:trPr>
          <w:jc w:val="center"/>
        </w:trPr>
        <w:tc>
          <w:tcPr>
            <w:tcW w:w="0" w:type="auto"/>
            <w:gridSpan w:val="3"/>
            <w:shd w:val="clear" w:color="auto" w:fill="E2E2E2"/>
            <w:tcMar>
              <w:top w:w="40" w:type="dxa"/>
              <w:left w:w="20" w:type="dxa"/>
              <w:bottom w:w="40" w:type="dxa"/>
              <w:right w:w="20" w:type="dxa"/>
            </w:tcMar>
            <w:vAlign w:val="bottom"/>
          </w:tcPr>
          <w:p w14:paraId="643029DF" w14:textId="77777777" w:rsidR="009F6D8A" w:rsidRDefault="00C50974">
            <w:pPr>
              <w:textAlignment w:val="bottom"/>
            </w:pPr>
            <w:r>
              <w:rPr>
                <w:rFonts w:ascii="Arial" w:eastAsia="宋体" w:hAnsi="Arial" w:cs="Arial"/>
                <w:color w:val="000000"/>
                <w:sz w:val="17"/>
                <w:szCs w:val="17"/>
              </w:rPr>
              <w:t>Current assets:</w:t>
            </w:r>
          </w:p>
        </w:tc>
        <w:tc>
          <w:tcPr>
            <w:tcW w:w="0" w:type="auto"/>
            <w:gridSpan w:val="3"/>
            <w:shd w:val="clear" w:color="auto" w:fill="E2E2E2"/>
            <w:tcMar>
              <w:top w:w="40" w:type="dxa"/>
              <w:left w:w="20" w:type="dxa"/>
              <w:bottom w:w="40" w:type="dxa"/>
              <w:right w:w="20" w:type="dxa"/>
            </w:tcMar>
            <w:vAlign w:val="bottom"/>
          </w:tcPr>
          <w:p w14:paraId="643029E0" w14:textId="77777777" w:rsidR="009F6D8A" w:rsidRDefault="00C50974">
            <w:pPr>
              <w:textAlignment w:val="bottom"/>
            </w:pPr>
            <w:r>
              <w:rPr>
                <w:rFonts w:ascii="Arial" w:eastAsia="宋体" w:hAnsi="Arial" w:cs="Arial"/>
                <w:color w:val="000000"/>
                <w:sz w:val="17"/>
                <w:szCs w:val="17"/>
              </w:rPr>
              <w:t> </w:t>
            </w:r>
          </w:p>
        </w:tc>
        <w:tc>
          <w:tcPr>
            <w:tcW w:w="0" w:type="auto"/>
            <w:gridSpan w:val="3"/>
            <w:shd w:val="clear" w:color="auto" w:fill="E2E2E2"/>
            <w:tcMar>
              <w:top w:w="0" w:type="dxa"/>
              <w:left w:w="20" w:type="dxa"/>
              <w:bottom w:w="0" w:type="dxa"/>
              <w:right w:w="20" w:type="dxa"/>
            </w:tcMar>
            <w:vAlign w:val="bottom"/>
          </w:tcPr>
          <w:p w14:paraId="643029E1" w14:textId="77777777" w:rsidR="009F6D8A" w:rsidRDefault="009F6D8A">
            <w:pPr>
              <w:rPr>
                <w:rFonts w:ascii="宋体"/>
              </w:rPr>
            </w:pPr>
          </w:p>
        </w:tc>
        <w:tc>
          <w:tcPr>
            <w:tcW w:w="0" w:type="auto"/>
            <w:gridSpan w:val="3"/>
            <w:shd w:val="clear" w:color="auto" w:fill="E2E2E2"/>
            <w:tcMar>
              <w:top w:w="40" w:type="dxa"/>
              <w:left w:w="20" w:type="dxa"/>
              <w:bottom w:w="40" w:type="dxa"/>
              <w:right w:w="20" w:type="dxa"/>
            </w:tcMar>
            <w:vAlign w:val="bottom"/>
          </w:tcPr>
          <w:p w14:paraId="643029E2" w14:textId="77777777" w:rsidR="009F6D8A" w:rsidRDefault="00C50974">
            <w:pPr>
              <w:textAlignment w:val="bottom"/>
            </w:pPr>
            <w:r>
              <w:rPr>
                <w:rFonts w:ascii="Arial" w:eastAsia="宋体" w:hAnsi="Arial" w:cs="Arial"/>
                <w:color w:val="000000"/>
                <w:sz w:val="17"/>
                <w:szCs w:val="17"/>
              </w:rPr>
              <w:t> </w:t>
            </w:r>
          </w:p>
        </w:tc>
      </w:tr>
      <w:tr w:rsidR="009F6D8A" w14:paraId="643029EC" w14:textId="77777777">
        <w:trPr>
          <w:jc w:val="center"/>
        </w:trPr>
        <w:tc>
          <w:tcPr>
            <w:tcW w:w="0" w:type="auto"/>
            <w:gridSpan w:val="3"/>
            <w:shd w:val="clear" w:color="auto" w:fill="FFFFFF"/>
            <w:tcMar>
              <w:top w:w="40" w:type="dxa"/>
              <w:left w:w="515" w:type="dxa"/>
              <w:bottom w:w="40" w:type="dxa"/>
              <w:right w:w="20" w:type="dxa"/>
            </w:tcMar>
            <w:vAlign w:val="bottom"/>
          </w:tcPr>
          <w:p w14:paraId="643029E4" w14:textId="77777777" w:rsidR="009F6D8A" w:rsidRDefault="00C50974">
            <w:pPr>
              <w:textAlignment w:val="bottom"/>
            </w:pPr>
            <w:r>
              <w:rPr>
                <w:rFonts w:ascii="Arial" w:eastAsia="宋体" w:hAnsi="Arial" w:cs="Arial"/>
                <w:color w:val="000000"/>
                <w:sz w:val="17"/>
                <w:szCs w:val="17"/>
              </w:rPr>
              <w:t xml:space="preserve">Cash and </w:t>
            </w:r>
            <w:r>
              <w:rPr>
                <w:rFonts w:ascii="Arial" w:eastAsia="宋体" w:hAnsi="Arial" w:cs="Arial"/>
                <w:color w:val="000000"/>
                <w:sz w:val="17"/>
                <w:szCs w:val="17"/>
              </w:rPr>
              <w:t>cash equivalents</w:t>
            </w:r>
          </w:p>
        </w:tc>
        <w:tc>
          <w:tcPr>
            <w:tcW w:w="0" w:type="auto"/>
            <w:shd w:val="clear" w:color="auto" w:fill="FFFFFF"/>
            <w:tcMar>
              <w:top w:w="40" w:type="dxa"/>
              <w:left w:w="20" w:type="dxa"/>
              <w:bottom w:w="40" w:type="dxa"/>
              <w:right w:w="0" w:type="dxa"/>
            </w:tcMar>
            <w:vAlign w:val="bottom"/>
          </w:tcPr>
          <w:p w14:paraId="643029E5" w14:textId="77777777" w:rsidR="009F6D8A" w:rsidRDefault="00C50974">
            <w:pPr>
              <w:textAlignment w:val="bottom"/>
            </w:pPr>
            <w:r>
              <w:rPr>
                <w:rFonts w:ascii="Arial" w:eastAsia="宋体" w:hAnsi="Arial" w:cs="Arial"/>
                <w:color w:val="000000"/>
                <w:sz w:val="17"/>
                <w:szCs w:val="17"/>
              </w:rPr>
              <w:t>$</w:t>
            </w:r>
          </w:p>
        </w:tc>
        <w:tc>
          <w:tcPr>
            <w:tcW w:w="0" w:type="auto"/>
            <w:shd w:val="clear" w:color="auto" w:fill="FFFFFF"/>
            <w:tcMar>
              <w:top w:w="40" w:type="dxa"/>
              <w:left w:w="0" w:type="dxa"/>
              <w:bottom w:w="40" w:type="dxa"/>
              <w:right w:w="0" w:type="dxa"/>
            </w:tcMar>
            <w:vAlign w:val="bottom"/>
          </w:tcPr>
          <w:p w14:paraId="643029E6" w14:textId="77777777" w:rsidR="009F6D8A" w:rsidRDefault="00C50974">
            <w:pPr>
              <w:jc w:val="right"/>
              <w:textAlignment w:val="bottom"/>
            </w:pPr>
            <w:r>
              <w:rPr>
                <w:rFonts w:ascii="Arial" w:eastAsia="宋体" w:hAnsi="Arial" w:cs="Arial"/>
                <w:color w:val="000000"/>
                <w:sz w:val="17"/>
                <w:szCs w:val="17"/>
              </w:rPr>
              <w:t>2,128 </w:t>
            </w:r>
          </w:p>
        </w:tc>
        <w:tc>
          <w:tcPr>
            <w:tcW w:w="0" w:type="auto"/>
            <w:shd w:val="clear" w:color="auto" w:fill="FFFFFF"/>
            <w:tcMar>
              <w:top w:w="40" w:type="dxa"/>
              <w:left w:w="0" w:type="dxa"/>
              <w:bottom w:w="40" w:type="dxa"/>
              <w:right w:w="20" w:type="dxa"/>
            </w:tcMar>
            <w:vAlign w:val="bottom"/>
          </w:tcPr>
          <w:p w14:paraId="643029E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9E8"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29E9" w14:textId="77777777" w:rsidR="009F6D8A" w:rsidRDefault="00C50974">
            <w:pPr>
              <w:textAlignment w:val="bottom"/>
            </w:pPr>
            <w:r>
              <w:rPr>
                <w:rFonts w:ascii="Arial" w:eastAsia="宋体" w:hAnsi="Arial" w:cs="Arial"/>
                <w:color w:val="000000"/>
                <w:sz w:val="17"/>
                <w:szCs w:val="17"/>
              </w:rPr>
              <w:t>$</w:t>
            </w:r>
          </w:p>
        </w:tc>
        <w:tc>
          <w:tcPr>
            <w:tcW w:w="0" w:type="auto"/>
            <w:shd w:val="clear" w:color="auto" w:fill="FFFFFF"/>
            <w:tcMar>
              <w:top w:w="40" w:type="dxa"/>
              <w:left w:w="0" w:type="dxa"/>
              <w:bottom w:w="40" w:type="dxa"/>
              <w:right w:w="0" w:type="dxa"/>
            </w:tcMar>
            <w:vAlign w:val="bottom"/>
          </w:tcPr>
          <w:p w14:paraId="643029EA" w14:textId="77777777" w:rsidR="009F6D8A" w:rsidRDefault="00C50974">
            <w:pPr>
              <w:jc w:val="right"/>
              <w:textAlignment w:val="bottom"/>
            </w:pPr>
            <w:r>
              <w:rPr>
                <w:rFonts w:ascii="Arial" w:eastAsia="宋体" w:hAnsi="Arial" w:cs="Arial"/>
                <w:color w:val="000000"/>
                <w:sz w:val="17"/>
                <w:szCs w:val="17"/>
              </w:rPr>
              <w:t>1,101 </w:t>
            </w:r>
          </w:p>
        </w:tc>
        <w:tc>
          <w:tcPr>
            <w:tcW w:w="0" w:type="auto"/>
            <w:shd w:val="clear" w:color="auto" w:fill="FFFFFF"/>
            <w:tcMar>
              <w:top w:w="40" w:type="dxa"/>
              <w:left w:w="0" w:type="dxa"/>
              <w:bottom w:w="40" w:type="dxa"/>
              <w:right w:w="20" w:type="dxa"/>
            </w:tcMar>
            <w:vAlign w:val="bottom"/>
          </w:tcPr>
          <w:p w14:paraId="643029EB" w14:textId="77777777" w:rsidR="009F6D8A" w:rsidRDefault="009F6D8A">
            <w:pPr>
              <w:jc w:val="right"/>
              <w:rPr>
                <w:rFonts w:ascii="宋体"/>
              </w:rPr>
            </w:pPr>
          </w:p>
        </w:tc>
      </w:tr>
      <w:tr w:rsidR="009F6D8A" w14:paraId="643029F3" w14:textId="77777777">
        <w:trPr>
          <w:jc w:val="center"/>
        </w:trPr>
        <w:tc>
          <w:tcPr>
            <w:tcW w:w="0" w:type="auto"/>
            <w:gridSpan w:val="3"/>
            <w:shd w:val="clear" w:color="auto" w:fill="E2E2E2"/>
            <w:tcMar>
              <w:top w:w="40" w:type="dxa"/>
              <w:left w:w="515" w:type="dxa"/>
              <w:bottom w:w="40" w:type="dxa"/>
              <w:right w:w="20" w:type="dxa"/>
            </w:tcMar>
            <w:vAlign w:val="bottom"/>
          </w:tcPr>
          <w:p w14:paraId="643029ED" w14:textId="77777777" w:rsidR="009F6D8A" w:rsidRDefault="00C50974">
            <w:pPr>
              <w:textAlignment w:val="bottom"/>
            </w:pPr>
            <w:r>
              <w:rPr>
                <w:rFonts w:ascii="Arial" w:eastAsia="宋体" w:hAnsi="Arial" w:cs="Arial"/>
                <w:color w:val="000000"/>
                <w:sz w:val="17"/>
                <w:szCs w:val="17"/>
              </w:rPr>
              <w:t>Short-term investments</w:t>
            </w:r>
          </w:p>
        </w:tc>
        <w:tc>
          <w:tcPr>
            <w:tcW w:w="0" w:type="auto"/>
            <w:gridSpan w:val="2"/>
            <w:shd w:val="clear" w:color="auto" w:fill="E2E2E2"/>
            <w:tcMar>
              <w:top w:w="40" w:type="dxa"/>
              <w:left w:w="20" w:type="dxa"/>
              <w:bottom w:w="40" w:type="dxa"/>
              <w:right w:w="0" w:type="dxa"/>
            </w:tcMar>
            <w:vAlign w:val="bottom"/>
          </w:tcPr>
          <w:p w14:paraId="643029EE" w14:textId="77777777" w:rsidR="009F6D8A" w:rsidRDefault="00C50974">
            <w:pPr>
              <w:jc w:val="right"/>
              <w:textAlignment w:val="bottom"/>
            </w:pPr>
            <w:r>
              <w:rPr>
                <w:rFonts w:ascii="Arial" w:eastAsia="宋体" w:hAnsi="Arial" w:cs="Arial"/>
                <w:color w:val="000000"/>
                <w:sz w:val="17"/>
                <w:szCs w:val="17"/>
              </w:rPr>
              <w:t>4,738 </w:t>
            </w:r>
          </w:p>
        </w:tc>
        <w:tc>
          <w:tcPr>
            <w:tcW w:w="0" w:type="auto"/>
            <w:shd w:val="clear" w:color="auto" w:fill="E2E2E2"/>
            <w:tcMar>
              <w:top w:w="40" w:type="dxa"/>
              <w:left w:w="0" w:type="dxa"/>
              <w:bottom w:w="40" w:type="dxa"/>
              <w:right w:w="20" w:type="dxa"/>
            </w:tcMar>
            <w:vAlign w:val="bottom"/>
          </w:tcPr>
          <w:p w14:paraId="643029E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9F0"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9F1" w14:textId="77777777" w:rsidR="009F6D8A" w:rsidRDefault="00C50974">
            <w:pPr>
              <w:jc w:val="right"/>
              <w:textAlignment w:val="bottom"/>
            </w:pPr>
            <w:r>
              <w:rPr>
                <w:rFonts w:ascii="Arial" w:eastAsia="宋体" w:hAnsi="Arial" w:cs="Arial"/>
                <w:color w:val="000000"/>
                <w:sz w:val="17"/>
                <w:szCs w:val="17"/>
              </w:rPr>
              <w:t>2,392 </w:t>
            </w:r>
          </w:p>
        </w:tc>
        <w:tc>
          <w:tcPr>
            <w:tcW w:w="0" w:type="auto"/>
            <w:shd w:val="clear" w:color="auto" w:fill="E2E2E2"/>
            <w:tcMar>
              <w:top w:w="40" w:type="dxa"/>
              <w:left w:w="0" w:type="dxa"/>
              <w:bottom w:w="40" w:type="dxa"/>
              <w:right w:w="20" w:type="dxa"/>
            </w:tcMar>
            <w:vAlign w:val="bottom"/>
          </w:tcPr>
          <w:p w14:paraId="643029F2" w14:textId="77777777" w:rsidR="009F6D8A" w:rsidRDefault="009F6D8A">
            <w:pPr>
              <w:jc w:val="right"/>
              <w:rPr>
                <w:rFonts w:ascii="宋体"/>
              </w:rPr>
            </w:pPr>
          </w:p>
        </w:tc>
      </w:tr>
      <w:tr w:rsidR="009F6D8A" w14:paraId="643029FA" w14:textId="77777777">
        <w:trPr>
          <w:jc w:val="center"/>
        </w:trPr>
        <w:tc>
          <w:tcPr>
            <w:tcW w:w="0" w:type="auto"/>
            <w:gridSpan w:val="3"/>
            <w:shd w:val="clear" w:color="auto" w:fill="FFFFFF"/>
            <w:tcMar>
              <w:top w:w="40" w:type="dxa"/>
              <w:left w:w="500" w:type="dxa"/>
              <w:bottom w:w="40" w:type="dxa"/>
              <w:right w:w="20" w:type="dxa"/>
            </w:tcMar>
            <w:vAlign w:val="bottom"/>
          </w:tcPr>
          <w:p w14:paraId="643029F4" w14:textId="77777777" w:rsidR="009F6D8A" w:rsidRDefault="00C50974">
            <w:pPr>
              <w:textAlignment w:val="bottom"/>
            </w:pPr>
            <w:r>
              <w:rPr>
                <w:rFonts w:ascii="Arial" w:eastAsia="宋体" w:hAnsi="Arial" w:cs="Arial"/>
                <w:color w:val="000000"/>
                <w:sz w:val="17"/>
                <w:szCs w:val="17"/>
              </w:rPr>
              <w:t>Equity investment in Adevinta</w:t>
            </w:r>
          </w:p>
        </w:tc>
        <w:tc>
          <w:tcPr>
            <w:tcW w:w="0" w:type="auto"/>
            <w:gridSpan w:val="2"/>
            <w:shd w:val="clear" w:color="auto" w:fill="FFFFFF"/>
            <w:tcMar>
              <w:top w:w="40" w:type="dxa"/>
              <w:left w:w="20" w:type="dxa"/>
              <w:bottom w:w="40" w:type="dxa"/>
              <w:right w:w="0" w:type="dxa"/>
            </w:tcMar>
            <w:vAlign w:val="bottom"/>
          </w:tcPr>
          <w:p w14:paraId="643029F5" w14:textId="77777777" w:rsidR="009F6D8A" w:rsidRDefault="00C50974">
            <w:pPr>
              <w:jc w:val="right"/>
              <w:textAlignment w:val="bottom"/>
            </w:pPr>
            <w:r>
              <w:rPr>
                <w:rFonts w:ascii="Arial" w:eastAsia="宋体" w:hAnsi="Arial" w:cs="Arial"/>
                <w:color w:val="000000"/>
                <w:sz w:val="17"/>
                <w:szCs w:val="17"/>
              </w:rPr>
              <w:t>10,354 </w:t>
            </w:r>
          </w:p>
        </w:tc>
        <w:tc>
          <w:tcPr>
            <w:tcW w:w="0" w:type="auto"/>
            <w:shd w:val="clear" w:color="auto" w:fill="FFFFFF"/>
            <w:tcMar>
              <w:top w:w="40" w:type="dxa"/>
              <w:left w:w="0" w:type="dxa"/>
              <w:bottom w:w="40" w:type="dxa"/>
              <w:right w:w="20" w:type="dxa"/>
            </w:tcMar>
            <w:vAlign w:val="bottom"/>
          </w:tcPr>
          <w:p w14:paraId="643029F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9F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9F8" w14:textId="77777777" w:rsidR="009F6D8A" w:rsidRDefault="00C50974">
            <w:pPr>
              <w:jc w:val="right"/>
              <w:textAlignment w:val="bottom"/>
            </w:pPr>
            <w:r>
              <w:rPr>
                <w:rFonts w:ascii="Arial" w:eastAsia="宋体" w:hAnsi="Arial" w:cs="Arial"/>
                <w:color w:val="000000"/>
                <w:sz w:val="17"/>
                <w:szCs w:val="17"/>
              </w:rPr>
              <w:t>— </w:t>
            </w:r>
          </w:p>
        </w:tc>
        <w:tc>
          <w:tcPr>
            <w:tcW w:w="0" w:type="auto"/>
            <w:shd w:val="clear" w:color="auto" w:fill="FFFFFF"/>
            <w:tcMar>
              <w:top w:w="40" w:type="dxa"/>
              <w:left w:w="0" w:type="dxa"/>
              <w:bottom w:w="40" w:type="dxa"/>
              <w:right w:w="20" w:type="dxa"/>
            </w:tcMar>
            <w:vAlign w:val="bottom"/>
          </w:tcPr>
          <w:p w14:paraId="643029F9" w14:textId="77777777" w:rsidR="009F6D8A" w:rsidRDefault="009F6D8A">
            <w:pPr>
              <w:jc w:val="right"/>
              <w:rPr>
                <w:rFonts w:ascii="宋体"/>
              </w:rPr>
            </w:pPr>
          </w:p>
        </w:tc>
      </w:tr>
      <w:tr w:rsidR="009F6D8A" w14:paraId="64302A01" w14:textId="77777777">
        <w:trPr>
          <w:jc w:val="center"/>
        </w:trPr>
        <w:tc>
          <w:tcPr>
            <w:tcW w:w="0" w:type="auto"/>
            <w:gridSpan w:val="3"/>
            <w:shd w:val="clear" w:color="auto" w:fill="E2E2E2"/>
            <w:tcMar>
              <w:top w:w="40" w:type="dxa"/>
              <w:left w:w="20" w:type="dxa"/>
              <w:bottom w:w="40" w:type="dxa"/>
              <w:right w:w="20" w:type="dxa"/>
            </w:tcMar>
            <w:vAlign w:val="bottom"/>
          </w:tcPr>
          <w:p w14:paraId="643029FB" w14:textId="77777777" w:rsidR="009F6D8A" w:rsidRDefault="00C50974">
            <w:pPr>
              <w:textAlignment w:val="bottom"/>
            </w:pPr>
            <w:r>
              <w:rPr>
                <w:rFonts w:ascii="Arial" w:eastAsia="宋体" w:hAnsi="Arial" w:cs="Arial"/>
                <w:color w:val="000000"/>
                <w:sz w:val="17"/>
                <w:szCs w:val="17"/>
              </w:rPr>
              <w:t>Accounts receivable, net of allowance for doubtful accounts of $80 and $97</w:t>
            </w:r>
          </w:p>
        </w:tc>
        <w:tc>
          <w:tcPr>
            <w:tcW w:w="0" w:type="auto"/>
            <w:gridSpan w:val="2"/>
            <w:shd w:val="clear" w:color="auto" w:fill="E2E2E2"/>
            <w:tcMar>
              <w:top w:w="40" w:type="dxa"/>
              <w:left w:w="20" w:type="dxa"/>
              <w:bottom w:w="40" w:type="dxa"/>
              <w:right w:w="0" w:type="dxa"/>
            </w:tcMar>
            <w:vAlign w:val="bottom"/>
          </w:tcPr>
          <w:p w14:paraId="643029FC" w14:textId="77777777" w:rsidR="009F6D8A" w:rsidRDefault="00C50974">
            <w:pPr>
              <w:jc w:val="right"/>
              <w:textAlignment w:val="bottom"/>
            </w:pPr>
            <w:r>
              <w:rPr>
                <w:rFonts w:ascii="Arial" w:eastAsia="宋体" w:hAnsi="Arial" w:cs="Arial"/>
                <w:color w:val="000000"/>
                <w:sz w:val="17"/>
                <w:szCs w:val="17"/>
              </w:rPr>
              <w:t>137 </w:t>
            </w:r>
          </w:p>
        </w:tc>
        <w:tc>
          <w:tcPr>
            <w:tcW w:w="0" w:type="auto"/>
            <w:shd w:val="clear" w:color="auto" w:fill="E2E2E2"/>
            <w:tcMar>
              <w:top w:w="40" w:type="dxa"/>
              <w:left w:w="0" w:type="dxa"/>
              <w:bottom w:w="40" w:type="dxa"/>
              <w:right w:w="20" w:type="dxa"/>
            </w:tcMar>
            <w:vAlign w:val="bottom"/>
          </w:tcPr>
          <w:p w14:paraId="643029F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9FE"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9FF" w14:textId="77777777" w:rsidR="009F6D8A" w:rsidRDefault="00C50974">
            <w:pPr>
              <w:jc w:val="right"/>
              <w:textAlignment w:val="bottom"/>
            </w:pPr>
            <w:r>
              <w:rPr>
                <w:rFonts w:ascii="Arial" w:eastAsia="宋体" w:hAnsi="Arial" w:cs="Arial"/>
                <w:color w:val="000000"/>
                <w:sz w:val="17"/>
                <w:szCs w:val="17"/>
              </w:rPr>
              <w:t>362 </w:t>
            </w:r>
          </w:p>
        </w:tc>
        <w:tc>
          <w:tcPr>
            <w:tcW w:w="0" w:type="auto"/>
            <w:shd w:val="clear" w:color="auto" w:fill="E2E2E2"/>
            <w:tcMar>
              <w:top w:w="40" w:type="dxa"/>
              <w:left w:w="0" w:type="dxa"/>
              <w:bottom w:w="40" w:type="dxa"/>
              <w:right w:w="20" w:type="dxa"/>
            </w:tcMar>
            <w:vAlign w:val="bottom"/>
          </w:tcPr>
          <w:p w14:paraId="64302A00" w14:textId="77777777" w:rsidR="009F6D8A" w:rsidRDefault="009F6D8A">
            <w:pPr>
              <w:jc w:val="right"/>
              <w:rPr>
                <w:rFonts w:ascii="宋体"/>
              </w:rPr>
            </w:pPr>
          </w:p>
        </w:tc>
      </w:tr>
      <w:tr w:rsidR="009F6D8A" w14:paraId="64302A08" w14:textId="77777777">
        <w:trPr>
          <w:jc w:val="center"/>
        </w:trPr>
        <w:tc>
          <w:tcPr>
            <w:tcW w:w="0" w:type="auto"/>
            <w:gridSpan w:val="3"/>
            <w:shd w:val="clear" w:color="auto" w:fill="FFFFFF"/>
            <w:tcMar>
              <w:top w:w="40" w:type="dxa"/>
              <w:left w:w="515" w:type="dxa"/>
              <w:bottom w:w="40" w:type="dxa"/>
              <w:right w:w="20" w:type="dxa"/>
            </w:tcMar>
            <w:vAlign w:val="bottom"/>
          </w:tcPr>
          <w:p w14:paraId="64302A02" w14:textId="77777777" w:rsidR="009F6D8A" w:rsidRDefault="00C50974">
            <w:pPr>
              <w:textAlignment w:val="bottom"/>
            </w:pPr>
            <w:r>
              <w:rPr>
                <w:rFonts w:ascii="Arial" w:eastAsia="宋体" w:hAnsi="Arial" w:cs="Arial"/>
                <w:color w:val="000000"/>
                <w:sz w:val="17"/>
                <w:szCs w:val="17"/>
              </w:rPr>
              <w:t xml:space="preserve">Customer accounts and funds receivable </w:t>
            </w:r>
          </w:p>
        </w:tc>
        <w:tc>
          <w:tcPr>
            <w:tcW w:w="0" w:type="auto"/>
            <w:gridSpan w:val="2"/>
            <w:shd w:val="clear" w:color="auto" w:fill="FFFFFF"/>
            <w:tcMar>
              <w:top w:w="40" w:type="dxa"/>
              <w:left w:w="20" w:type="dxa"/>
              <w:bottom w:w="40" w:type="dxa"/>
              <w:right w:w="0" w:type="dxa"/>
            </w:tcMar>
            <w:vAlign w:val="bottom"/>
          </w:tcPr>
          <w:p w14:paraId="64302A03" w14:textId="77777777" w:rsidR="009F6D8A" w:rsidRDefault="00C50974">
            <w:pPr>
              <w:jc w:val="right"/>
              <w:textAlignment w:val="bottom"/>
            </w:pPr>
            <w:r>
              <w:rPr>
                <w:rFonts w:ascii="Arial" w:eastAsia="宋体" w:hAnsi="Arial" w:cs="Arial"/>
                <w:color w:val="000000"/>
                <w:sz w:val="17"/>
                <w:szCs w:val="17"/>
              </w:rPr>
              <w:t>485 </w:t>
            </w:r>
          </w:p>
        </w:tc>
        <w:tc>
          <w:tcPr>
            <w:tcW w:w="0" w:type="auto"/>
            <w:shd w:val="clear" w:color="auto" w:fill="FFFFFF"/>
            <w:tcMar>
              <w:top w:w="40" w:type="dxa"/>
              <w:left w:w="0" w:type="dxa"/>
              <w:bottom w:w="40" w:type="dxa"/>
              <w:right w:w="20" w:type="dxa"/>
            </w:tcMar>
            <w:vAlign w:val="bottom"/>
          </w:tcPr>
          <w:p w14:paraId="64302A0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A0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A06" w14:textId="77777777" w:rsidR="009F6D8A" w:rsidRDefault="00C50974">
            <w:pPr>
              <w:jc w:val="right"/>
              <w:textAlignment w:val="bottom"/>
            </w:pPr>
            <w:r>
              <w:rPr>
                <w:rFonts w:ascii="Arial" w:eastAsia="宋体" w:hAnsi="Arial" w:cs="Arial"/>
                <w:color w:val="000000"/>
                <w:sz w:val="17"/>
                <w:szCs w:val="17"/>
              </w:rPr>
              <w:t>290 </w:t>
            </w:r>
          </w:p>
        </w:tc>
        <w:tc>
          <w:tcPr>
            <w:tcW w:w="0" w:type="auto"/>
            <w:shd w:val="clear" w:color="auto" w:fill="FFFFFF"/>
            <w:tcMar>
              <w:top w:w="40" w:type="dxa"/>
              <w:left w:w="0" w:type="dxa"/>
              <w:bottom w:w="40" w:type="dxa"/>
              <w:right w:w="20" w:type="dxa"/>
            </w:tcMar>
            <w:vAlign w:val="bottom"/>
          </w:tcPr>
          <w:p w14:paraId="64302A07" w14:textId="77777777" w:rsidR="009F6D8A" w:rsidRDefault="009F6D8A">
            <w:pPr>
              <w:jc w:val="right"/>
              <w:rPr>
                <w:rFonts w:ascii="宋体"/>
              </w:rPr>
            </w:pPr>
          </w:p>
        </w:tc>
      </w:tr>
      <w:tr w:rsidR="009F6D8A" w14:paraId="64302A0F" w14:textId="77777777">
        <w:trPr>
          <w:jc w:val="center"/>
        </w:trPr>
        <w:tc>
          <w:tcPr>
            <w:tcW w:w="0" w:type="auto"/>
            <w:gridSpan w:val="3"/>
            <w:shd w:val="clear" w:color="auto" w:fill="E2E2E2"/>
            <w:tcMar>
              <w:top w:w="40" w:type="dxa"/>
              <w:left w:w="515" w:type="dxa"/>
              <w:bottom w:w="40" w:type="dxa"/>
              <w:right w:w="20" w:type="dxa"/>
            </w:tcMar>
            <w:vAlign w:val="bottom"/>
          </w:tcPr>
          <w:p w14:paraId="64302A09" w14:textId="77777777" w:rsidR="009F6D8A" w:rsidRDefault="00C50974">
            <w:pPr>
              <w:textAlignment w:val="bottom"/>
            </w:pPr>
            <w:r>
              <w:rPr>
                <w:rFonts w:ascii="Arial" w:eastAsia="宋体" w:hAnsi="Arial" w:cs="Arial"/>
                <w:color w:val="000000"/>
                <w:sz w:val="17"/>
                <w:szCs w:val="17"/>
              </w:rPr>
              <w:t>Other current assets</w:t>
            </w:r>
          </w:p>
        </w:tc>
        <w:tc>
          <w:tcPr>
            <w:tcW w:w="0" w:type="auto"/>
            <w:gridSpan w:val="2"/>
            <w:shd w:val="clear" w:color="auto" w:fill="E2E2E2"/>
            <w:tcMar>
              <w:top w:w="40" w:type="dxa"/>
              <w:left w:w="20" w:type="dxa"/>
              <w:bottom w:w="40" w:type="dxa"/>
              <w:right w:w="0" w:type="dxa"/>
            </w:tcMar>
            <w:vAlign w:val="bottom"/>
          </w:tcPr>
          <w:p w14:paraId="64302A0A" w14:textId="77777777" w:rsidR="009F6D8A" w:rsidRDefault="00C50974">
            <w:pPr>
              <w:jc w:val="right"/>
              <w:textAlignment w:val="bottom"/>
            </w:pPr>
            <w:r>
              <w:rPr>
                <w:rFonts w:ascii="Arial" w:eastAsia="宋体" w:hAnsi="Arial" w:cs="Arial"/>
                <w:color w:val="000000"/>
                <w:sz w:val="17"/>
                <w:szCs w:val="17"/>
              </w:rPr>
              <w:t>805 </w:t>
            </w:r>
          </w:p>
        </w:tc>
        <w:tc>
          <w:tcPr>
            <w:tcW w:w="0" w:type="auto"/>
            <w:shd w:val="clear" w:color="auto" w:fill="E2E2E2"/>
            <w:tcMar>
              <w:top w:w="40" w:type="dxa"/>
              <w:left w:w="0" w:type="dxa"/>
              <w:bottom w:w="40" w:type="dxa"/>
              <w:right w:w="20" w:type="dxa"/>
            </w:tcMar>
            <w:vAlign w:val="bottom"/>
          </w:tcPr>
          <w:p w14:paraId="64302A0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A0C"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A0D" w14:textId="77777777" w:rsidR="009F6D8A" w:rsidRDefault="00C50974">
            <w:pPr>
              <w:jc w:val="right"/>
              <w:textAlignment w:val="bottom"/>
            </w:pPr>
            <w:r>
              <w:rPr>
                <w:rFonts w:ascii="Arial" w:eastAsia="宋体" w:hAnsi="Arial" w:cs="Arial"/>
                <w:color w:val="000000"/>
                <w:sz w:val="17"/>
                <w:szCs w:val="17"/>
              </w:rPr>
              <w:t>780 </w:t>
            </w:r>
          </w:p>
        </w:tc>
        <w:tc>
          <w:tcPr>
            <w:tcW w:w="0" w:type="auto"/>
            <w:shd w:val="clear" w:color="auto" w:fill="E2E2E2"/>
            <w:tcMar>
              <w:top w:w="40" w:type="dxa"/>
              <w:left w:w="0" w:type="dxa"/>
              <w:bottom w:w="40" w:type="dxa"/>
              <w:right w:w="20" w:type="dxa"/>
            </w:tcMar>
            <w:vAlign w:val="bottom"/>
          </w:tcPr>
          <w:p w14:paraId="64302A0E" w14:textId="77777777" w:rsidR="009F6D8A" w:rsidRDefault="009F6D8A">
            <w:pPr>
              <w:jc w:val="right"/>
              <w:rPr>
                <w:rFonts w:ascii="宋体"/>
              </w:rPr>
            </w:pPr>
          </w:p>
        </w:tc>
      </w:tr>
      <w:tr w:rsidR="009F6D8A" w14:paraId="64302A16" w14:textId="77777777">
        <w:trPr>
          <w:jc w:val="center"/>
        </w:trPr>
        <w:tc>
          <w:tcPr>
            <w:tcW w:w="0" w:type="auto"/>
            <w:gridSpan w:val="3"/>
            <w:shd w:val="clear" w:color="auto" w:fill="FFFFFF"/>
            <w:tcMar>
              <w:top w:w="40" w:type="dxa"/>
              <w:left w:w="515" w:type="dxa"/>
              <w:bottom w:w="40" w:type="dxa"/>
              <w:right w:w="20" w:type="dxa"/>
            </w:tcMar>
            <w:vAlign w:val="bottom"/>
          </w:tcPr>
          <w:p w14:paraId="64302A10" w14:textId="77777777" w:rsidR="009F6D8A" w:rsidRDefault="00C50974">
            <w:pPr>
              <w:textAlignment w:val="bottom"/>
            </w:pPr>
            <w:r>
              <w:rPr>
                <w:rFonts w:ascii="Arial" w:eastAsia="宋体" w:hAnsi="Arial" w:cs="Arial"/>
                <w:color w:val="000000"/>
                <w:sz w:val="17"/>
                <w:szCs w:val="17"/>
              </w:rPr>
              <w:lastRenderedPageBreak/>
              <w:t>Current assets held for sale</w:t>
            </w:r>
          </w:p>
        </w:tc>
        <w:tc>
          <w:tcPr>
            <w:tcW w:w="0" w:type="auto"/>
            <w:gridSpan w:val="2"/>
            <w:shd w:val="clear" w:color="auto" w:fill="FFFFFF"/>
            <w:tcMar>
              <w:top w:w="40" w:type="dxa"/>
              <w:left w:w="20" w:type="dxa"/>
              <w:bottom w:w="40" w:type="dxa"/>
              <w:right w:w="0" w:type="dxa"/>
            </w:tcMar>
            <w:vAlign w:val="bottom"/>
          </w:tcPr>
          <w:p w14:paraId="64302A11" w14:textId="77777777" w:rsidR="009F6D8A" w:rsidRDefault="00C50974">
            <w:pPr>
              <w:jc w:val="right"/>
              <w:textAlignment w:val="bottom"/>
            </w:pPr>
            <w:r>
              <w:rPr>
                <w:rFonts w:ascii="Arial" w:eastAsia="宋体" w:hAnsi="Arial" w:cs="Arial"/>
                <w:color w:val="000000"/>
                <w:sz w:val="17"/>
                <w:szCs w:val="17"/>
              </w:rPr>
              <w:t>1,414 </w:t>
            </w:r>
          </w:p>
        </w:tc>
        <w:tc>
          <w:tcPr>
            <w:tcW w:w="0" w:type="auto"/>
            <w:shd w:val="clear" w:color="auto" w:fill="FFFFFF"/>
            <w:tcMar>
              <w:top w:w="40" w:type="dxa"/>
              <w:left w:w="0" w:type="dxa"/>
              <w:bottom w:w="40" w:type="dxa"/>
              <w:right w:w="20" w:type="dxa"/>
            </w:tcMar>
            <w:vAlign w:val="bottom"/>
          </w:tcPr>
          <w:p w14:paraId="64302A1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A13"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A14" w14:textId="77777777" w:rsidR="009F6D8A" w:rsidRDefault="00C50974">
            <w:pPr>
              <w:jc w:val="right"/>
              <w:textAlignment w:val="bottom"/>
            </w:pPr>
            <w:r>
              <w:rPr>
                <w:rFonts w:ascii="Arial" w:eastAsia="宋体" w:hAnsi="Arial" w:cs="Arial"/>
                <w:color w:val="000000"/>
                <w:sz w:val="17"/>
                <w:szCs w:val="17"/>
              </w:rPr>
              <w:t>1,077 </w:t>
            </w:r>
          </w:p>
        </w:tc>
        <w:tc>
          <w:tcPr>
            <w:tcW w:w="0" w:type="auto"/>
            <w:shd w:val="clear" w:color="auto" w:fill="FFFFFF"/>
            <w:tcMar>
              <w:top w:w="40" w:type="dxa"/>
              <w:left w:w="0" w:type="dxa"/>
              <w:bottom w:w="40" w:type="dxa"/>
              <w:right w:w="20" w:type="dxa"/>
            </w:tcMar>
            <w:vAlign w:val="bottom"/>
          </w:tcPr>
          <w:p w14:paraId="64302A15" w14:textId="77777777" w:rsidR="009F6D8A" w:rsidRDefault="009F6D8A">
            <w:pPr>
              <w:jc w:val="right"/>
              <w:rPr>
                <w:rFonts w:ascii="宋体"/>
              </w:rPr>
            </w:pPr>
          </w:p>
        </w:tc>
      </w:tr>
      <w:tr w:rsidR="009F6D8A" w14:paraId="64302A1D" w14:textId="77777777">
        <w:trPr>
          <w:jc w:val="center"/>
        </w:trPr>
        <w:tc>
          <w:tcPr>
            <w:tcW w:w="0" w:type="auto"/>
            <w:gridSpan w:val="3"/>
            <w:shd w:val="clear" w:color="auto" w:fill="E2E2E2"/>
            <w:tcMar>
              <w:top w:w="40" w:type="dxa"/>
              <w:left w:w="515" w:type="dxa"/>
              <w:bottom w:w="40" w:type="dxa"/>
              <w:right w:w="20" w:type="dxa"/>
            </w:tcMar>
            <w:vAlign w:val="bottom"/>
          </w:tcPr>
          <w:p w14:paraId="64302A17" w14:textId="77777777" w:rsidR="009F6D8A" w:rsidRDefault="00C50974">
            <w:pPr>
              <w:textAlignment w:val="bottom"/>
            </w:pPr>
            <w:r>
              <w:rPr>
                <w:rFonts w:ascii="Arial" w:eastAsia="宋体" w:hAnsi="Arial" w:cs="Arial"/>
                <w:color w:val="000000"/>
                <w:sz w:val="17"/>
                <w:szCs w:val="17"/>
              </w:rPr>
              <w:t>Current assets of discontinued operations</w:t>
            </w:r>
          </w:p>
        </w:tc>
        <w:tc>
          <w:tcPr>
            <w:tcW w:w="0" w:type="auto"/>
            <w:gridSpan w:val="2"/>
            <w:shd w:val="clear" w:color="auto" w:fill="E2E2E2"/>
            <w:tcMar>
              <w:top w:w="40" w:type="dxa"/>
              <w:left w:w="20" w:type="dxa"/>
              <w:bottom w:w="40" w:type="dxa"/>
              <w:right w:w="0" w:type="dxa"/>
            </w:tcMar>
            <w:vAlign w:val="bottom"/>
          </w:tcPr>
          <w:p w14:paraId="64302A18" w14:textId="77777777" w:rsidR="009F6D8A" w:rsidRDefault="00C50974">
            <w:pPr>
              <w:jc w:val="right"/>
              <w:textAlignment w:val="bottom"/>
            </w:pPr>
            <w:r>
              <w:rPr>
                <w:rFonts w:ascii="Arial" w:eastAsia="宋体" w:hAnsi="Arial" w:cs="Arial"/>
                <w:color w:val="000000"/>
                <w:sz w:val="17"/>
                <w:szCs w:val="17"/>
              </w:rPr>
              <w:t>— </w:t>
            </w:r>
          </w:p>
        </w:tc>
        <w:tc>
          <w:tcPr>
            <w:tcW w:w="0" w:type="auto"/>
            <w:shd w:val="clear" w:color="auto" w:fill="E2E2E2"/>
            <w:tcMar>
              <w:top w:w="40" w:type="dxa"/>
              <w:left w:w="0" w:type="dxa"/>
              <w:bottom w:w="40" w:type="dxa"/>
              <w:right w:w="20" w:type="dxa"/>
            </w:tcMar>
            <w:vAlign w:val="bottom"/>
          </w:tcPr>
          <w:p w14:paraId="64302A19"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A1A"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A1B" w14:textId="77777777" w:rsidR="009F6D8A" w:rsidRDefault="00C50974">
            <w:pPr>
              <w:jc w:val="right"/>
              <w:textAlignment w:val="bottom"/>
            </w:pPr>
            <w:r>
              <w:rPr>
                <w:rFonts w:ascii="Arial" w:eastAsia="宋体" w:hAnsi="Arial" w:cs="Arial"/>
                <w:color w:val="000000"/>
                <w:sz w:val="17"/>
                <w:szCs w:val="17"/>
              </w:rPr>
              <w:t>1,188 </w:t>
            </w:r>
          </w:p>
        </w:tc>
        <w:tc>
          <w:tcPr>
            <w:tcW w:w="0" w:type="auto"/>
            <w:shd w:val="clear" w:color="auto" w:fill="E2E2E2"/>
            <w:tcMar>
              <w:top w:w="40" w:type="dxa"/>
              <w:left w:w="0" w:type="dxa"/>
              <w:bottom w:w="40" w:type="dxa"/>
              <w:right w:w="20" w:type="dxa"/>
            </w:tcMar>
            <w:vAlign w:val="bottom"/>
          </w:tcPr>
          <w:p w14:paraId="64302A1C" w14:textId="77777777" w:rsidR="009F6D8A" w:rsidRDefault="009F6D8A">
            <w:pPr>
              <w:jc w:val="right"/>
              <w:rPr>
                <w:rFonts w:ascii="宋体"/>
              </w:rPr>
            </w:pPr>
          </w:p>
        </w:tc>
      </w:tr>
      <w:tr w:rsidR="009F6D8A" w14:paraId="64302A24" w14:textId="77777777">
        <w:trPr>
          <w:jc w:val="center"/>
        </w:trPr>
        <w:tc>
          <w:tcPr>
            <w:tcW w:w="0" w:type="auto"/>
            <w:gridSpan w:val="3"/>
            <w:shd w:val="clear" w:color="auto" w:fill="FFFFFF"/>
            <w:tcMar>
              <w:top w:w="40" w:type="dxa"/>
              <w:left w:w="965" w:type="dxa"/>
              <w:bottom w:w="40" w:type="dxa"/>
              <w:right w:w="20" w:type="dxa"/>
            </w:tcMar>
            <w:vAlign w:val="bottom"/>
          </w:tcPr>
          <w:p w14:paraId="64302A1E" w14:textId="77777777" w:rsidR="009F6D8A" w:rsidRDefault="00C50974">
            <w:pPr>
              <w:textAlignment w:val="bottom"/>
            </w:pPr>
            <w:r>
              <w:rPr>
                <w:rFonts w:ascii="Arial" w:eastAsia="宋体" w:hAnsi="Arial" w:cs="Arial"/>
                <w:color w:val="000000"/>
                <w:sz w:val="17"/>
                <w:szCs w:val="17"/>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2A1F" w14:textId="77777777" w:rsidR="009F6D8A" w:rsidRDefault="00C50974">
            <w:pPr>
              <w:jc w:val="right"/>
              <w:textAlignment w:val="bottom"/>
            </w:pPr>
            <w:r>
              <w:rPr>
                <w:rFonts w:ascii="Arial" w:eastAsia="宋体" w:hAnsi="Arial" w:cs="Arial"/>
                <w:color w:val="000000"/>
                <w:sz w:val="17"/>
                <w:szCs w:val="17"/>
              </w:rPr>
              <w:t>20,061 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A2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A21"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2A22" w14:textId="77777777" w:rsidR="009F6D8A" w:rsidRDefault="00C50974">
            <w:pPr>
              <w:jc w:val="right"/>
              <w:textAlignment w:val="bottom"/>
            </w:pPr>
            <w:r>
              <w:rPr>
                <w:rFonts w:ascii="Arial" w:eastAsia="宋体" w:hAnsi="Arial" w:cs="Arial"/>
                <w:color w:val="000000"/>
                <w:sz w:val="17"/>
                <w:szCs w:val="17"/>
              </w:rPr>
              <w:t>7,190 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A23" w14:textId="77777777" w:rsidR="009F6D8A" w:rsidRDefault="009F6D8A">
            <w:pPr>
              <w:jc w:val="right"/>
              <w:rPr>
                <w:rFonts w:ascii="宋体"/>
              </w:rPr>
            </w:pPr>
          </w:p>
        </w:tc>
      </w:tr>
      <w:tr w:rsidR="009F6D8A" w14:paraId="64302A2B" w14:textId="77777777">
        <w:trPr>
          <w:jc w:val="center"/>
        </w:trPr>
        <w:tc>
          <w:tcPr>
            <w:tcW w:w="0" w:type="auto"/>
            <w:gridSpan w:val="3"/>
            <w:shd w:val="clear" w:color="auto" w:fill="E2E2E2"/>
            <w:tcMar>
              <w:top w:w="40" w:type="dxa"/>
              <w:left w:w="20" w:type="dxa"/>
              <w:bottom w:w="40" w:type="dxa"/>
              <w:right w:w="20" w:type="dxa"/>
            </w:tcMar>
            <w:vAlign w:val="bottom"/>
          </w:tcPr>
          <w:p w14:paraId="64302A25" w14:textId="77777777" w:rsidR="009F6D8A" w:rsidRDefault="00C50974">
            <w:pPr>
              <w:textAlignment w:val="bottom"/>
            </w:pPr>
            <w:r>
              <w:rPr>
                <w:rFonts w:ascii="Arial" w:eastAsia="宋体" w:hAnsi="Arial" w:cs="Arial"/>
                <w:color w:val="000000"/>
                <w:sz w:val="17"/>
                <w:szCs w:val="17"/>
              </w:rPr>
              <w:t xml:space="preserve">Long-term </w:t>
            </w:r>
            <w:r>
              <w:rPr>
                <w:rFonts w:ascii="Arial" w:eastAsia="宋体" w:hAnsi="Arial" w:cs="Arial"/>
                <w:color w:val="000000"/>
                <w:sz w:val="17"/>
                <w:szCs w:val="17"/>
              </w:rPr>
              <w:t>investments</w:t>
            </w:r>
          </w:p>
        </w:tc>
        <w:tc>
          <w:tcPr>
            <w:tcW w:w="0" w:type="auto"/>
            <w:gridSpan w:val="2"/>
            <w:shd w:val="clear" w:color="auto" w:fill="E2E2E2"/>
            <w:tcMar>
              <w:top w:w="40" w:type="dxa"/>
              <w:left w:w="20" w:type="dxa"/>
              <w:bottom w:w="40" w:type="dxa"/>
              <w:right w:w="0" w:type="dxa"/>
            </w:tcMar>
            <w:vAlign w:val="bottom"/>
          </w:tcPr>
          <w:p w14:paraId="64302A26" w14:textId="77777777" w:rsidR="009F6D8A" w:rsidRDefault="00C50974">
            <w:pPr>
              <w:jc w:val="right"/>
              <w:textAlignment w:val="bottom"/>
            </w:pPr>
            <w:r>
              <w:rPr>
                <w:rFonts w:ascii="Arial" w:eastAsia="宋体" w:hAnsi="Arial" w:cs="Arial"/>
                <w:color w:val="000000"/>
                <w:sz w:val="17"/>
                <w:szCs w:val="17"/>
              </w:rPr>
              <w:t>1,323 </w:t>
            </w:r>
          </w:p>
        </w:tc>
        <w:tc>
          <w:tcPr>
            <w:tcW w:w="0" w:type="auto"/>
            <w:shd w:val="clear" w:color="auto" w:fill="E2E2E2"/>
            <w:tcMar>
              <w:top w:w="40" w:type="dxa"/>
              <w:left w:w="0" w:type="dxa"/>
              <w:bottom w:w="40" w:type="dxa"/>
              <w:right w:w="20" w:type="dxa"/>
            </w:tcMar>
            <w:vAlign w:val="bottom"/>
          </w:tcPr>
          <w:p w14:paraId="64302A27"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A28"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A29" w14:textId="77777777" w:rsidR="009F6D8A" w:rsidRDefault="00C50974">
            <w:pPr>
              <w:jc w:val="right"/>
              <w:textAlignment w:val="bottom"/>
            </w:pPr>
            <w:r>
              <w:rPr>
                <w:rFonts w:ascii="Arial" w:eastAsia="宋体" w:hAnsi="Arial" w:cs="Arial"/>
                <w:color w:val="000000"/>
                <w:sz w:val="17"/>
                <w:szCs w:val="17"/>
              </w:rPr>
              <w:t>833 </w:t>
            </w:r>
          </w:p>
        </w:tc>
        <w:tc>
          <w:tcPr>
            <w:tcW w:w="0" w:type="auto"/>
            <w:shd w:val="clear" w:color="auto" w:fill="E2E2E2"/>
            <w:tcMar>
              <w:top w:w="40" w:type="dxa"/>
              <w:left w:w="0" w:type="dxa"/>
              <w:bottom w:w="40" w:type="dxa"/>
              <w:right w:w="20" w:type="dxa"/>
            </w:tcMar>
            <w:vAlign w:val="bottom"/>
          </w:tcPr>
          <w:p w14:paraId="64302A2A" w14:textId="77777777" w:rsidR="009F6D8A" w:rsidRDefault="009F6D8A">
            <w:pPr>
              <w:jc w:val="right"/>
              <w:rPr>
                <w:rFonts w:ascii="宋体"/>
              </w:rPr>
            </w:pPr>
          </w:p>
        </w:tc>
      </w:tr>
      <w:tr w:rsidR="009F6D8A" w14:paraId="64302A32" w14:textId="77777777">
        <w:trPr>
          <w:jc w:val="center"/>
        </w:trPr>
        <w:tc>
          <w:tcPr>
            <w:tcW w:w="0" w:type="auto"/>
            <w:gridSpan w:val="3"/>
            <w:shd w:val="clear" w:color="auto" w:fill="FFFFFF"/>
            <w:tcMar>
              <w:top w:w="40" w:type="dxa"/>
              <w:left w:w="20" w:type="dxa"/>
              <w:bottom w:w="40" w:type="dxa"/>
              <w:right w:w="20" w:type="dxa"/>
            </w:tcMar>
            <w:vAlign w:val="bottom"/>
          </w:tcPr>
          <w:p w14:paraId="64302A2C" w14:textId="77777777" w:rsidR="009F6D8A" w:rsidRDefault="00C50974">
            <w:pPr>
              <w:textAlignment w:val="bottom"/>
            </w:pPr>
            <w:r>
              <w:rPr>
                <w:rFonts w:ascii="Arial" w:eastAsia="宋体" w:hAnsi="Arial" w:cs="Arial"/>
                <w:color w:val="000000"/>
                <w:sz w:val="17"/>
                <w:szCs w:val="17"/>
              </w:rPr>
              <w:t>Property and equipment, net</w:t>
            </w:r>
          </w:p>
        </w:tc>
        <w:tc>
          <w:tcPr>
            <w:tcW w:w="0" w:type="auto"/>
            <w:gridSpan w:val="2"/>
            <w:shd w:val="clear" w:color="auto" w:fill="FFFFFF"/>
            <w:tcMar>
              <w:top w:w="40" w:type="dxa"/>
              <w:left w:w="20" w:type="dxa"/>
              <w:bottom w:w="40" w:type="dxa"/>
              <w:right w:w="0" w:type="dxa"/>
            </w:tcMar>
            <w:vAlign w:val="bottom"/>
          </w:tcPr>
          <w:p w14:paraId="64302A2D" w14:textId="77777777" w:rsidR="009F6D8A" w:rsidRDefault="00C50974">
            <w:pPr>
              <w:jc w:val="right"/>
              <w:textAlignment w:val="bottom"/>
            </w:pPr>
            <w:r>
              <w:rPr>
                <w:rFonts w:ascii="Arial" w:eastAsia="宋体" w:hAnsi="Arial" w:cs="Arial"/>
                <w:color w:val="000000"/>
                <w:sz w:val="17"/>
                <w:szCs w:val="17"/>
              </w:rPr>
              <w:t>1,257 </w:t>
            </w:r>
          </w:p>
        </w:tc>
        <w:tc>
          <w:tcPr>
            <w:tcW w:w="0" w:type="auto"/>
            <w:shd w:val="clear" w:color="auto" w:fill="FFFFFF"/>
            <w:tcMar>
              <w:top w:w="40" w:type="dxa"/>
              <w:left w:w="0" w:type="dxa"/>
              <w:bottom w:w="40" w:type="dxa"/>
              <w:right w:w="20" w:type="dxa"/>
            </w:tcMar>
            <w:vAlign w:val="bottom"/>
          </w:tcPr>
          <w:p w14:paraId="64302A2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A2F"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A30" w14:textId="77777777" w:rsidR="009F6D8A" w:rsidRDefault="00C50974">
            <w:pPr>
              <w:jc w:val="right"/>
              <w:textAlignment w:val="bottom"/>
            </w:pPr>
            <w:r>
              <w:rPr>
                <w:rFonts w:ascii="Arial" w:eastAsia="宋体" w:hAnsi="Arial" w:cs="Arial"/>
                <w:color w:val="000000"/>
                <w:sz w:val="17"/>
                <w:szCs w:val="17"/>
              </w:rPr>
              <w:t>1,292 </w:t>
            </w:r>
          </w:p>
        </w:tc>
        <w:tc>
          <w:tcPr>
            <w:tcW w:w="0" w:type="auto"/>
            <w:shd w:val="clear" w:color="auto" w:fill="FFFFFF"/>
            <w:tcMar>
              <w:top w:w="40" w:type="dxa"/>
              <w:left w:w="0" w:type="dxa"/>
              <w:bottom w:w="40" w:type="dxa"/>
              <w:right w:w="20" w:type="dxa"/>
            </w:tcMar>
            <w:vAlign w:val="bottom"/>
          </w:tcPr>
          <w:p w14:paraId="64302A31" w14:textId="77777777" w:rsidR="009F6D8A" w:rsidRDefault="009F6D8A">
            <w:pPr>
              <w:jc w:val="right"/>
              <w:rPr>
                <w:rFonts w:ascii="宋体"/>
              </w:rPr>
            </w:pPr>
          </w:p>
        </w:tc>
      </w:tr>
      <w:tr w:rsidR="009F6D8A" w14:paraId="64302A39" w14:textId="77777777">
        <w:trPr>
          <w:jc w:val="center"/>
        </w:trPr>
        <w:tc>
          <w:tcPr>
            <w:tcW w:w="0" w:type="auto"/>
            <w:gridSpan w:val="3"/>
            <w:shd w:val="clear" w:color="auto" w:fill="E2E2E2"/>
            <w:tcMar>
              <w:top w:w="40" w:type="dxa"/>
              <w:left w:w="20" w:type="dxa"/>
              <w:bottom w:w="40" w:type="dxa"/>
              <w:right w:w="20" w:type="dxa"/>
            </w:tcMar>
            <w:vAlign w:val="bottom"/>
          </w:tcPr>
          <w:p w14:paraId="64302A33" w14:textId="77777777" w:rsidR="009F6D8A" w:rsidRDefault="00C50974">
            <w:pPr>
              <w:textAlignment w:val="bottom"/>
            </w:pPr>
            <w:r>
              <w:rPr>
                <w:rFonts w:ascii="Arial" w:eastAsia="宋体" w:hAnsi="Arial" w:cs="Arial"/>
                <w:color w:val="000000"/>
                <w:sz w:val="17"/>
                <w:szCs w:val="17"/>
              </w:rPr>
              <w:t>Goodwill</w:t>
            </w:r>
          </w:p>
        </w:tc>
        <w:tc>
          <w:tcPr>
            <w:tcW w:w="0" w:type="auto"/>
            <w:gridSpan w:val="2"/>
            <w:shd w:val="clear" w:color="auto" w:fill="E2E2E2"/>
            <w:tcMar>
              <w:top w:w="40" w:type="dxa"/>
              <w:left w:w="20" w:type="dxa"/>
              <w:bottom w:w="40" w:type="dxa"/>
              <w:right w:w="0" w:type="dxa"/>
            </w:tcMar>
            <w:vAlign w:val="bottom"/>
          </w:tcPr>
          <w:p w14:paraId="64302A34" w14:textId="77777777" w:rsidR="009F6D8A" w:rsidRDefault="00C50974">
            <w:pPr>
              <w:jc w:val="right"/>
              <w:textAlignment w:val="bottom"/>
            </w:pPr>
            <w:r>
              <w:rPr>
                <w:rFonts w:ascii="Arial" w:eastAsia="宋体" w:hAnsi="Arial" w:cs="Arial"/>
                <w:color w:val="000000"/>
                <w:sz w:val="17"/>
                <w:szCs w:val="17"/>
              </w:rPr>
              <w:t>4,212 </w:t>
            </w:r>
          </w:p>
        </w:tc>
        <w:tc>
          <w:tcPr>
            <w:tcW w:w="0" w:type="auto"/>
            <w:shd w:val="clear" w:color="auto" w:fill="E2E2E2"/>
            <w:tcMar>
              <w:top w:w="40" w:type="dxa"/>
              <w:left w:w="0" w:type="dxa"/>
              <w:bottom w:w="40" w:type="dxa"/>
              <w:right w:w="20" w:type="dxa"/>
            </w:tcMar>
            <w:vAlign w:val="bottom"/>
          </w:tcPr>
          <w:p w14:paraId="64302A3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A36"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A37" w14:textId="77777777" w:rsidR="009F6D8A" w:rsidRDefault="00C50974">
            <w:pPr>
              <w:jc w:val="right"/>
              <w:textAlignment w:val="bottom"/>
            </w:pPr>
            <w:r>
              <w:rPr>
                <w:rFonts w:ascii="Arial" w:eastAsia="宋体" w:hAnsi="Arial" w:cs="Arial"/>
                <w:color w:val="000000"/>
                <w:sz w:val="17"/>
                <w:szCs w:val="17"/>
              </w:rPr>
              <w:t>4,285 </w:t>
            </w:r>
          </w:p>
        </w:tc>
        <w:tc>
          <w:tcPr>
            <w:tcW w:w="0" w:type="auto"/>
            <w:shd w:val="clear" w:color="auto" w:fill="E2E2E2"/>
            <w:tcMar>
              <w:top w:w="40" w:type="dxa"/>
              <w:left w:w="0" w:type="dxa"/>
              <w:bottom w:w="40" w:type="dxa"/>
              <w:right w:w="20" w:type="dxa"/>
            </w:tcMar>
            <w:vAlign w:val="bottom"/>
          </w:tcPr>
          <w:p w14:paraId="64302A38" w14:textId="77777777" w:rsidR="009F6D8A" w:rsidRDefault="009F6D8A">
            <w:pPr>
              <w:jc w:val="right"/>
              <w:rPr>
                <w:rFonts w:ascii="宋体"/>
              </w:rPr>
            </w:pPr>
          </w:p>
        </w:tc>
      </w:tr>
      <w:tr w:rsidR="009F6D8A" w14:paraId="64302A40" w14:textId="77777777">
        <w:trPr>
          <w:jc w:val="center"/>
        </w:trPr>
        <w:tc>
          <w:tcPr>
            <w:tcW w:w="0" w:type="auto"/>
            <w:gridSpan w:val="3"/>
            <w:shd w:val="clear" w:color="auto" w:fill="FFFFFF"/>
            <w:tcMar>
              <w:top w:w="40" w:type="dxa"/>
              <w:left w:w="20" w:type="dxa"/>
              <w:bottom w:w="40" w:type="dxa"/>
              <w:right w:w="20" w:type="dxa"/>
            </w:tcMar>
            <w:vAlign w:val="bottom"/>
          </w:tcPr>
          <w:p w14:paraId="64302A3A" w14:textId="77777777" w:rsidR="009F6D8A" w:rsidRDefault="00C50974">
            <w:pPr>
              <w:textAlignment w:val="bottom"/>
            </w:pPr>
            <w:r>
              <w:rPr>
                <w:rFonts w:ascii="Arial" w:eastAsia="宋体" w:hAnsi="Arial" w:cs="Arial"/>
                <w:color w:val="000000"/>
                <w:sz w:val="17"/>
                <w:szCs w:val="17"/>
              </w:rPr>
              <w:t>Intangible assets, net</w:t>
            </w:r>
          </w:p>
        </w:tc>
        <w:tc>
          <w:tcPr>
            <w:tcW w:w="0" w:type="auto"/>
            <w:gridSpan w:val="2"/>
            <w:shd w:val="clear" w:color="auto" w:fill="FFFFFF"/>
            <w:tcMar>
              <w:top w:w="40" w:type="dxa"/>
              <w:left w:w="20" w:type="dxa"/>
              <w:bottom w:w="40" w:type="dxa"/>
              <w:right w:w="0" w:type="dxa"/>
            </w:tcMar>
            <w:vAlign w:val="bottom"/>
          </w:tcPr>
          <w:p w14:paraId="64302A3B" w14:textId="77777777" w:rsidR="009F6D8A" w:rsidRDefault="00C50974">
            <w:pPr>
              <w:jc w:val="right"/>
              <w:textAlignment w:val="bottom"/>
            </w:pPr>
            <w:r>
              <w:rPr>
                <w:rFonts w:ascii="Arial" w:eastAsia="宋体" w:hAnsi="Arial" w:cs="Arial"/>
                <w:color w:val="000000"/>
                <w:sz w:val="17"/>
                <w:szCs w:val="17"/>
              </w:rPr>
              <w:t>3 </w:t>
            </w:r>
          </w:p>
        </w:tc>
        <w:tc>
          <w:tcPr>
            <w:tcW w:w="0" w:type="auto"/>
            <w:shd w:val="clear" w:color="auto" w:fill="FFFFFF"/>
            <w:tcMar>
              <w:top w:w="40" w:type="dxa"/>
              <w:left w:w="0" w:type="dxa"/>
              <w:bottom w:w="40" w:type="dxa"/>
              <w:right w:w="20" w:type="dxa"/>
            </w:tcMar>
            <w:vAlign w:val="bottom"/>
          </w:tcPr>
          <w:p w14:paraId="64302A3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A3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A3E" w14:textId="77777777" w:rsidR="009F6D8A" w:rsidRDefault="00C50974">
            <w:pPr>
              <w:jc w:val="right"/>
              <w:textAlignment w:val="bottom"/>
            </w:pPr>
            <w:r>
              <w:rPr>
                <w:rFonts w:ascii="Arial" w:eastAsia="宋体" w:hAnsi="Arial" w:cs="Arial"/>
                <w:color w:val="000000"/>
                <w:sz w:val="17"/>
                <w:szCs w:val="17"/>
              </w:rPr>
              <w:t>12 </w:t>
            </w:r>
          </w:p>
        </w:tc>
        <w:tc>
          <w:tcPr>
            <w:tcW w:w="0" w:type="auto"/>
            <w:shd w:val="clear" w:color="auto" w:fill="FFFFFF"/>
            <w:tcMar>
              <w:top w:w="40" w:type="dxa"/>
              <w:left w:w="0" w:type="dxa"/>
              <w:bottom w:w="40" w:type="dxa"/>
              <w:right w:w="20" w:type="dxa"/>
            </w:tcMar>
            <w:vAlign w:val="bottom"/>
          </w:tcPr>
          <w:p w14:paraId="64302A3F" w14:textId="77777777" w:rsidR="009F6D8A" w:rsidRDefault="009F6D8A">
            <w:pPr>
              <w:jc w:val="right"/>
              <w:rPr>
                <w:rFonts w:ascii="宋体"/>
              </w:rPr>
            </w:pPr>
          </w:p>
        </w:tc>
      </w:tr>
      <w:tr w:rsidR="009F6D8A" w14:paraId="64302A47" w14:textId="77777777">
        <w:trPr>
          <w:jc w:val="center"/>
        </w:trPr>
        <w:tc>
          <w:tcPr>
            <w:tcW w:w="0" w:type="auto"/>
            <w:gridSpan w:val="3"/>
            <w:shd w:val="clear" w:color="auto" w:fill="E2E2E2"/>
            <w:tcMar>
              <w:top w:w="40" w:type="dxa"/>
              <w:left w:w="20" w:type="dxa"/>
              <w:bottom w:w="40" w:type="dxa"/>
              <w:right w:w="20" w:type="dxa"/>
            </w:tcMar>
            <w:vAlign w:val="bottom"/>
          </w:tcPr>
          <w:p w14:paraId="64302A41" w14:textId="77777777" w:rsidR="009F6D8A" w:rsidRDefault="00C50974">
            <w:pPr>
              <w:textAlignment w:val="bottom"/>
            </w:pPr>
            <w:r>
              <w:rPr>
                <w:rFonts w:ascii="Arial" w:eastAsia="宋体" w:hAnsi="Arial" w:cs="Arial"/>
                <w:color w:val="000000"/>
                <w:sz w:val="17"/>
                <w:szCs w:val="17"/>
              </w:rPr>
              <w:t>Operating lease right-of-use assets</w:t>
            </w:r>
          </w:p>
        </w:tc>
        <w:tc>
          <w:tcPr>
            <w:tcW w:w="0" w:type="auto"/>
            <w:gridSpan w:val="2"/>
            <w:shd w:val="clear" w:color="auto" w:fill="E2E2E2"/>
            <w:tcMar>
              <w:top w:w="40" w:type="dxa"/>
              <w:left w:w="20" w:type="dxa"/>
              <w:bottom w:w="40" w:type="dxa"/>
              <w:right w:w="0" w:type="dxa"/>
            </w:tcMar>
            <w:vAlign w:val="bottom"/>
          </w:tcPr>
          <w:p w14:paraId="64302A42" w14:textId="77777777" w:rsidR="009F6D8A" w:rsidRDefault="00C50974">
            <w:pPr>
              <w:jc w:val="right"/>
              <w:textAlignment w:val="bottom"/>
            </w:pPr>
            <w:r>
              <w:rPr>
                <w:rFonts w:ascii="Arial" w:eastAsia="宋体" w:hAnsi="Arial" w:cs="Arial"/>
                <w:color w:val="000000"/>
                <w:sz w:val="17"/>
                <w:szCs w:val="17"/>
              </w:rPr>
              <w:t>369 </w:t>
            </w:r>
          </w:p>
        </w:tc>
        <w:tc>
          <w:tcPr>
            <w:tcW w:w="0" w:type="auto"/>
            <w:shd w:val="clear" w:color="auto" w:fill="E2E2E2"/>
            <w:tcMar>
              <w:top w:w="40" w:type="dxa"/>
              <w:left w:w="0" w:type="dxa"/>
              <w:bottom w:w="40" w:type="dxa"/>
              <w:right w:w="20" w:type="dxa"/>
            </w:tcMar>
            <w:vAlign w:val="bottom"/>
          </w:tcPr>
          <w:p w14:paraId="64302A43"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A44"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A45" w14:textId="77777777" w:rsidR="009F6D8A" w:rsidRDefault="00C50974">
            <w:pPr>
              <w:jc w:val="right"/>
              <w:textAlignment w:val="bottom"/>
            </w:pPr>
            <w:r>
              <w:rPr>
                <w:rFonts w:ascii="Arial" w:eastAsia="宋体" w:hAnsi="Arial" w:cs="Arial"/>
                <w:color w:val="000000"/>
                <w:sz w:val="17"/>
                <w:szCs w:val="17"/>
              </w:rPr>
              <w:t>430 </w:t>
            </w:r>
          </w:p>
        </w:tc>
        <w:tc>
          <w:tcPr>
            <w:tcW w:w="0" w:type="auto"/>
            <w:shd w:val="clear" w:color="auto" w:fill="E2E2E2"/>
            <w:tcMar>
              <w:top w:w="40" w:type="dxa"/>
              <w:left w:w="0" w:type="dxa"/>
              <w:bottom w:w="40" w:type="dxa"/>
              <w:right w:w="20" w:type="dxa"/>
            </w:tcMar>
            <w:vAlign w:val="bottom"/>
          </w:tcPr>
          <w:p w14:paraId="64302A46" w14:textId="77777777" w:rsidR="009F6D8A" w:rsidRDefault="009F6D8A">
            <w:pPr>
              <w:jc w:val="right"/>
              <w:rPr>
                <w:rFonts w:ascii="宋体"/>
              </w:rPr>
            </w:pPr>
          </w:p>
        </w:tc>
      </w:tr>
      <w:tr w:rsidR="009F6D8A" w14:paraId="64302A4E" w14:textId="77777777">
        <w:trPr>
          <w:jc w:val="center"/>
        </w:trPr>
        <w:tc>
          <w:tcPr>
            <w:tcW w:w="0" w:type="auto"/>
            <w:gridSpan w:val="3"/>
            <w:shd w:val="clear" w:color="auto" w:fill="FFFFFF"/>
            <w:tcMar>
              <w:top w:w="40" w:type="dxa"/>
              <w:left w:w="20" w:type="dxa"/>
              <w:bottom w:w="40" w:type="dxa"/>
              <w:right w:w="20" w:type="dxa"/>
            </w:tcMar>
            <w:vAlign w:val="bottom"/>
          </w:tcPr>
          <w:p w14:paraId="64302A48" w14:textId="77777777" w:rsidR="009F6D8A" w:rsidRDefault="00C50974">
            <w:pPr>
              <w:textAlignment w:val="bottom"/>
            </w:pPr>
            <w:r>
              <w:rPr>
                <w:rFonts w:ascii="Arial" w:eastAsia="宋体" w:hAnsi="Arial" w:cs="Arial"/>
                <w:color w:val="000000"/>
                <w:sz w:val="17"/>
                <w:szCs w:val="17"/>
              </w:rPr>
              <w:t>Deferred tax assets</w:t>
            </w:r>
          </w:p>
        </w:tc>
        <w:tc>
          <w:tcPr>
            <w:tcW w:w="0" w:type="auto"/>
            <w:gridSpan w:val="2"/>
            <w:shd w:val="clear" w:color="auto" w:fill="FFFFFF"/>
            <w:tcMar>
              <w:top w:w="40" w:type="dxa"/>
              <w:left w:w="20" w:type="dxa"/>
              <w:bottom w:w="40" w:type="dxa"/>
              <w:right w:w="0" w:type="dxa"/>
            </w:tcMar>
            <w:vAlign w:val="bottom"/>
          </w:tcPr>
          <w:p w14:paraId="64302A49" w14:textId="77777777" w:rsidR="009F6D8A" w:rsidRDefault="00C50974">
            <w:pPr>
              <w:jc w:val="right"/>
              <w:textAlignment w:val="bottom"/>
            </w:pPr>
            <w:r>
              <w:rPr>
                <w:rFonts w:ascii="Arial" w:eastAsia="宋体" w:hAnsi="Arial" w:cs="Arial"/>
                <w:color w:val="000000"/>
                <w:sz w:val="17"/>
                <w:szCs w:val="17"/>
              </w:rPr>
              <w:t>3,343 </w:t>
            </w:r>
          </w:p>
        </w:tc>
        <w:tc>
          <w:tcPr>
            <w:tcW w:w="0" w:type="auto"/>
            <w:shd w:val="clear" w:color="auto" w:fill="FFFFFF"/>
            <w:tcMar>
              <w:top w:w="40" w:type="dxa"/>
              <w:left w:w="0" w:type="dxa"/>
              <w:bottom w:w="40" w:type="dxa"/>
              <w:right w:w="20" w:type="dxa"/>
            </w:tcMar>
            <w:vAlign w:val="bottom"/>
          </w:tcPr>
          <w:p w14:paraId="64302A4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A4B"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A4C" w14:textId="77777777" w:rsidR="009F6D8A" w:rsidRDefault="00C50974">
            <w:pPr>
              <w:jc w:val="right"/>
              <w:textAlignment w:val="bottom"/>
            </w:pPr>
            <w:r>
              <w:rPr>
                <w:rFonts w:ascii="Arial" w:eastAsia="宋体" w:hAnsi="Arial" w:cs="Arial"/>
                <w:color w:val="000000"/>
                <w:sz w:val="17"/>
                <w:szCs w:val="17"/>
              </w:rPr>
              <w:t>3,537 </w:t>
            </w:r>
          </w:p>
        </w:tc>
        <w:tc>
          <w:tcPr>
            <w:tcW w:w="0" w:type="auto"/>
            <w:shd w:val="clear" w:color="auto" w:fill="FFFFFF"/>
            <w:tcMar>
              <w:top w:w="40" w:type="dxa"/>
              <w:left w:w="0" w:type="dxa"/>
              <w:bottom w:w="40" w:type="dxa"/>
              <w:right w:w="20" w:type="dxa"/>
            </w:tcMar>
            <w:vAlign w:val="bottom"/>
          </w:tcPr>
          <w:p w14:paraId="64302A4D" w14:textId="77777777" w:rsidR="009F6D8A" w:rsidRDefault="009F6D8A">
            <w:pPr>
              <w:jc w:val="right"/>
              <w:rPr>
                <w:rFonts w:ascii="宋体"/>
              </w:rPr>
            </w:pPr>
          </w:p>
        </w:tc>
      </w:tr>
      <w:tr w:rsidR="009F6D8A" w14:paraId="64302A55" w14:textId="77777777">
        <w:trPr>
          <w:jc w:val="center"/>
        </w:trPr>
        <w:tc>
          <w:tcPr>
            <w:tcW w:w="0" w:type="auto"/>
            <w:gridSpan w:val="3"/>
            <w:shd w:val="clear" w:color="auto" w:fill="E2E2E2"/>
            <w:tcMar>
              <w:top w:w="40" w:type="dxa"/>
              <w:left w:w="20" w:type="dxa"/>
              <w:bottom w:w="40" w:type="dxa"/>
              <w:right w:w="20" w:type="dxa"/>
            </w:tcMar>
            <w:vAlign w:val="bottom"/>
          </w:tcPr>
          <w:p w14:paraId="64302A4F" w14:textId="77777777" w:rsidR="009F6D8A" w:rsidRDefault="00C50974">
            <w:pPr>
              <w:textAlignment w:val="bottom"/>
            </w:pPr>
            <w:r>
              <w:rPr>
                <w:rFonts w:ascii="Arial" w:eastAsia="宋体" w:hAnsi="Arial" w:cs="Arial"/>
                <w:color w:val="000000"/>
                <w:sz w:val="17"/>
                <w:szCs w:val="17"/>
              </w:rPr>
              <w:t>Warrant asset</w:t>
            </w:r>
          </w:p>
        </w:tc>
        <w:tc>
          <w:tcPr>
            <w:tcW w:w="0" w:type="auto"/>
            <w:gridSpan w:val="2"/>
            <w:shd w:val="clear" w:color="auto" w:fill="E2E2E2"/>
            <w:tcMar>
              <w:top w:w="40" w:type="dxa"/>
              <w:left w:w="20" w:type="dxa"/>
              <w:bottom w:w="40" w:type="dxa"/>
              <w:right w:w="0" w:type="dxa"/>
            </w:tcMar>
            <w:vAlign w:val="bottom"/>
          </w:tcPr>
          <w:p w14:paraId="64302A50" w14:textId="77777777" w:rsidR="009F6D8A" w:rsidRDefault="00C50974">
            <w:pPr>
              <w:jc w:val="right"/>
              <w:textAlignment w:val="bottom"/>
            </w:pPr>
            <w:r>
              <w:rPr>
                <w:rFonts w:ascii="Arial" w:eastAsia="宋体" w:hAnsi="Arial" w:cs="Arial"/>
                <w:color w:val="000000"/>
                <w:sz w:val="17"/>
                <w:szCs w:val="17"/>
              </w:rPr>
              <w:t>1,123 </w:t>
            </w:r>
          </w:p>
        </w:tc>
        <w:tc>
          <w:tcPr>
            <w:tcW w:w="0" w:type="auto"/>
            <w:shd w:val="clear" w:color="auto" w:fill="E2E2E2"/>
            <w:tcMar>
              <w:top w:w="40" w:type="dxa"/>
              <w:left w:w="0" w:type="dxa"/>
              <w:bottom w:w="40" w:type="dxa"/>
              <w:right w:w="20" w:type="dxa"/>
            </w:tcMar>
            <w:vAlign w:val="bottom"/>
          </w:tcPr>
          <w:p w14:paraId="64302A5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A52"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A53" w14:textId="77777777" w:rsidR="009F6D8A" w:rsidRDefault="00C50974">
            <w:pPr>
              <w:jc w:val="right"/>
              <w:textAlignment w:val="bottom"/>
            </w:pPr>
            <w:r>
              <w:rPr>
                <w:rFonts w:ascii="Arial" w:eastAsia="宋体" w:hAnsi="Arial" w:cs="Arial"/>
                <w:color w:val="000000"/>
                <w:sz w:val="17"/>
                <w:szCs w:val="17"/>
              </w:rPr>
              <w:t>1,051 </w:t>
            </w:r>
          </w:p>
        </w:tc>
        <w:tc>
          <w:tcPr>
            <w:tcW w:w="0" w:type="auto"/>
            <w:shd w:val="clear" w:color="auto" w:fill="E2E2E2"/>
            <w:tcMar>
              <w:top w:w="40" w:type="dxa"/>
              <w:left w:w="0" w:type="dxa"/>
              <w:bottom w:w="40" w:type="dxa"/>
              <w:right w:w="20" w:type="dxa"/>
            </w:tcMar>
            <w:vAlign w:val="bottom"/>
          </w:tcPr>
          <w:p w14:paraId="64302A54" w14:textId="77777777" w:rsidR="009F6D8A" w:rsidRDefault="009F6D8A">
            <w:pPr>
              <w:jc w:val="right"/>
              <w:rPr>
                <w:rFonts w:ascii="宋体"/>
              </w:rPr>
            </w:pPr>
          </w:p>
        </w:tc>
      </w:tr>
      <w:tr w:rsidR="009F6D8A" w14:paraId="64302A5C" w14:textId="77777777">
        <w:trPr>
          <w:jc w:val="center"/>
        </w:trPr>
        <w:tc>
          <w:tcPr>
            <w:tcW w:w="0" w:type="auto"/>
            <w:gridSpan w:val="3"/>
            <w:shd w:val="clear" w:color="auto" w:fill="FFFFFF"/>
            <w:tcMar>
              <w:top w:w="40" w:type="dxa"/>
              <w:left w:w="20" w:type="dxa"/>
              <w:bottom w:w="40" w:type="dxa"/>
              <w:right w:w="20" w:type="dxa"/>
            </w:tcMar>
            <w:vAlign w:val="bottom"/>
          </w:tcPr>
          <w:p w14:paraId="64302A56" w14:textId="77777777" w:rsidR="009F6D8A" w:rsidRDefault="00C50974">
            <w:pPr>
              <w:textAlignment w:val="bottom"/>
            </w:pPr>
            <w:r>
              <w:rPr>
                <w:rFonts w:ascii="Arial" w:eastAsia="宋体" w:hAnsi="Arial" w:cs="Arial"/>
                <w:color w:val="000000"/>
                <w:sz w:val="17"/>
                <w:szCs w:val="17"/>
              </w:rPr>
              <w:t>Other assets</w:t>
            </w:r>
          </w:p>
        </w:tc>
        <w:tc>
          <w:tcPr>
            <w:tcW w:w="0" w:type="auto"/>
            <w:gridSpan w:val="2"/>
            <w:shd w:val="clear" w:color="auto" w:fill="FFFFFF"/>
            <w:tcMar>
              <w:top w:w="40" w:type="dxa"/>
              <w:left w:w="20" w:type="dxa"/>
              <w:bottom w:w="40" w:type="dxa"/>
              <w:right w:w="0" w:type="dxa"/>
            </w:tcMar>
            <w:vAlign w:val="bottom"/>
          </w:tcPr>
          <w:p w14:paraId="64302A57" w14:textId="77777777" w:rsidR="009F6D8A" w:rsidRDefault="00C50974">
            <w:pPr>
              <w:jc w:val="right"/>
              <w:textAlignment w:val="bottom"/>
            </w:pPr>
            <w:r>
              <w:rPr>
                <w:rFonts w:ascii="Arial" w:eastAsia="宋体" w:hAnsi="Arial" w:cs="Arial"/>
                <w:color w:val="000000"/>
                <w:sz w:val="17"/>
                <w:szCs w:val="17"/>
              </w:rPr>
              <w:t>132 </w:t>
            </w:r>
          </w:p>
        </w:tc>
        <w:tc>
          <w:tcPr>
            <w:tcW w:w="0" w:type="auto"/>
            <w:shd w:val="clear" w:color="auto" w:fill="FFFFFF"/>
            <w:tcMar>
              <w:top w:w="40" w:type="dxa"/>
              <w:left w:w="0" w:type="dxa"/>
              <w:bottom w:w="40" w:type="dxa"/>
              <w:right w:w="20" w:type="dxa"/>
            </w:tcMar>
            <w:vAlign w:val="bottom"/>
          </w:tcPr>
          <w:p w14:paraId="64302A5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A5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A5A" w14:textId="77777777" w:rsidR="009F6D8A" w:rsidRDefault="00C50974">
            <w:pPr>
              <w:jc w:val="right"/>
              <w:textAlignment w:val="bottom"/>
            </w:pPr>
            <w:r>
              <w:rPr>
                <w:rFonts w:ascii="Arial" w:eastAsia="宋体" w:hAnsi="Arial" w:cs="Arial"/>
                <w:color w:val="000000"/>
                <w:sz w:val="17"/>
                <w:szCs w:val="17"/>
              </w:rPr>
              <w:t>131 </w:t>
            </w:r>
          </w:p>
        </w:tc>
        <w:tc>
          <w:tcPr>
            <w:tcW w:w="0" w:type="auto"/>
            <w:shd w:val="clear" w:color="auto" w:fill="FFFFFF"/>
            <w:tcMar>
              <w:top w:w="40" w:type="dxa"/>
              <w:left w:w="0" w:type="dxa"/>
              <w:bottom w:w="40" w:type="dxa"/>
              <w:right w:w="20" w:type="dxa"/>
            </w:tcMar>
            <w:vAlign w:val="bottom"/>
          </w:tcPr>
          <w:p w14:paraId="64302A5B" w14:textId="77777777" w:rsidR="009F6D8A" w:rsidRDefault="009F6D8A">
            <w:pPr>
              <w:jc w:val="right"/>
              <w:rPr>
                <w:rFonts w:ascii="宋体"/>
              </w:rPr>
            </w:pPr>
          </w:p>
        </w:tc>
      </w:tr>
      <w:tr w:rsidR="009F6D8A" w14:paraId="64302A63" w14:textId="77777777">
        <w:trPr>
          <w:jc w:val="center"/>
        </w:trPr>
        <w:tc>
          <w:tcPr>
            <w:tcW w:w="0" w:type="auto"/>
            <w:gridSpan w:val="3"/>
            <w:shd w:val="clear" w:color="auto" w:fill="E2E2E2"/>
            <w:tcMar>
              <w:top w:w="40" w:type="dxa"/>
              <w:left w:w="20" w:type="dxa"/>
              <w:bottom w:w="40" w:type="dxa"/>
              <w:right w:w="20" w:type="dxa"/>
            </w:tcMar>
            <w:vAlign w:val="bottom"/>
          </w:tcPr>
          <w:p w14:paraId="64302A5D" w14:textId="77777777" w:rsidR="009F6D8A" w:rsidRDefault="00C50974">
            <w:pPr>
              <w:textAlignment w:val="bottom"/>
            </w:pPr>
            <w:r>
              <w:rPr>
                <w:rFonts w:ascii="Arial" w:eastAsia="宋体" w:hAnsi="Arial" w:cs="Arial"/>
                <w:color w:val="000000"/>
                <w:sz w:val="17"/>
                <w:szCs w:val="17"/>
              </w:rPr>
              <w:t>Long-term assets held for sale</w:t>
            </w:r>
          </w:p>
        </w:tc>
        <w:tc>
          <w:tcPr>
            <w:tcW w:w="0" w:type="auto"/>
            <w:gridSpan w:val="2"/>
            <w:shd w:val="clear" w:color="auto" w:fill="E2E2E2"/>
            <w:tcMar>
              <w:top w:w="40" w:type="dxa"/>
              <w:left w:w="20" w:type="dxa"/>
              <w:bottom w:w="40" w:type="dxa"/>
              <w:right w:w="0" w:type="dxa"/>
            </w:tcMar>
            <w:vAlign w:val="bottom"/>
          </w:tcPr>
          <w:p w14:paraId="64302A5E" w14:textId="77777777" w:rsidR="009F6D8A" w:rsidRDefault="00C50974">
            <w:pPr>
              <w:jc w:val="right"/>
              <w:textAlignment w:val="bottom"/>
            </w:pPr>
            <w:r>
              <w:rPr>
                <w:rFonts w:ascii="Arial" w:eastAsia="宋体" w:hAnsi="Arial" w:cs="Arial"/>
                <w:color w:val="000000"/>
                <w:sz w:val="17"/>
                <w:szCs w:val="17"/>
              </w:rPr>
              <w:t>— </w:t>
            </w:r>
          </w:p>
        </w:tc>
        <w:tc>
          <w:tcPr>
            <w:tcW w:w="0" w:type="auto"/>
            <w:shd w:val="clear" w:color="auto" w:fill="E2E2E2"/>
            <w:tcMar>
              <w:top w:w="40" w:type="dxa"/>
              <w:left w:w="0" w:type="dxa"/>
              <w:bottom w:w="40" w:type="dxa"/>
              <w:right w:w="20" w:type="dxa"/>
            </w:tcMar>
            <w:vAlign w:val="bottom"/>
          </w:tcPr>
          <w:p w14:paraId="64302A5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A60"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A61" w14:textId="77777777" w:rsidR="009F6D8A" w:rsidRDefault="00C50974">
            <w:pPr>
              <w:jc w:val="right"/>
              <w:textAlignment w:val="bottom"/>
            </w:pPr>
            <w:r>
              <w:rPr>
                <w:rFonts w:ascii="Arial" w:eastAsia="宋体" w:hAnsi="Arial" w:cs="Arial"/>
                <w:color w:val="000000"/>
                <w:sz w:val="17"/>
                <w:szCs w:val="17"/>
              </w:rPr>
              <w:t>549 </w:t>
            </w:r>
          </w:p>
        </w:tc>
        <w:tc>
          <w:tcPr>
            <w:tcW w:w="0" w:type="auto"/>
            <w:shd w:val="clear" w:color="auto" w:fill="E2E2E2"/>
            <w:tcMar>
              <w:top w:w="40" w:type="dxa"/>
              <w:left w:w="0" w:type="dxa"/>
              <w:bottom w:w="40" w:type="dxa"/>
              <w:right w:w="20" w:type="dxa"/>
            </w:tcMar>
            <w:vAlign w:val="bottom"/>
          </w:tcPr>
          <w:p w14:paraId="64302A62" w14:textId="77777777" w:rsidR="009F6D8A" w:rsidRDefault="009F6D8A">
            <w:pPr>
              <w:jc w:val="right"/>
              <w:rPr>
                <w:rFonts w:ascii="宋体"/>
              </w:rPr>
            </w:pPr>
          </w:p>
        </w:tc>
      </w:tr>
      <w:tr w:rsidR="009F6D8A" w14:paraId="64302A68" w14:textId="77777777">
        <w:trPr>
          <w:jc w:val="center"/>
          <w:hidden/>
        </w:trPr>
        <w:tc>
          <w:tcPr>
            <w:tcW w:w="0" w:type="auto"/>
            <w:gridSpan w:val="3"/>
            <w:shd w:val="clear" w:color="auto" w:fill="auto"/>
            <w:vAlign w:val="bottom"/>
          </w:tcPr>
          <w:p w14:paraId="64302A64" w14:textId="77777777" w:rsidR="009F6D8A" w:rsidRDefault="009F6D8A">
            <w:pPr>
              <w:rPr>
                <w:rFonts w:ascii="宋体"/>
                <w:vanish/>
              </w:rPr>
            </w:pPr>
          </w:p>
        </w:tc>
        <w:tc>
          <w:tcPr>
            <w:tcW w:w="0" w:type="auto"/>
            <w:gridSpan w:val="3"/>
            <w:shd w:val="clear" w:color="auto" w:fill="auto"/>
            <w:vAlign w:val="bottom"/>
          </w:tcPr>
          <w:p w14:paraId="64302A65" w14:textId="77777777" w:rsidR="009F6D8A" w:rsidRDefault="009F6D8A">
            <w:pPr>
              <w:rPr>
                <w:rFonts w:ascii="宋体"/>
                <w:vanish/>
              </w:rPr>
            </w:pPr>
          </w:p>
        </w:tc>
        <w:tc>
          <w:tcPr>
            <w:tcW w:w="0" w:type="auto"/>
            <w:gridSpan w:val="3"/>
            <w:shd w:val="clear" w:color="auto" w:fill="auto"/>
            <w:vAlign w:val="bottom"/>
          </w:tcPr>
          <w:p w14:paraId="64302A66" w14:textId="77777777" w:rsidR="009F6D8A" w:rsidRDefault="009F6D8A">
            <w:pPr>
              <w:rPr>
                <w:rFonts w:ascii="宋体"/>
                <w:vanish/>
              </w:rPr>
            </w:pPr>
          </w:p>
        </w:tc>
        <w:tc>
          <w:tcPr>
            <w:tcW w:w="0" w:type="auto"/>
            <w:gridSpan w:val="3"/>
            <w:shd w:val="clear" w:color="auto" w:fill="auto"/>
            <w:vAlign w:val="bottom"/>
          </w:tcPr>
          <w:p w14:paraId="64302A67" w14:textId="77777777" w:rsidR="009F6D8A" w:rsidRDefault="009F6D8A">
            <w:pPr>
              <w:rPr>
                <w:rFonts w:ascii="宋体"/>
                <w:vanish/>
              </w:rPr>
            </w:pPr>
          </w:p>
        </w:tc>
      </w:tr>
      <w:tr w:rsidR="009F6D8A" w14:paraId="64302A71" w14:textId="77777777">
        <w:trPr>
          <w:jc w:val="center"/>
        </w:trPr>
        <w:tc>
          <w:tcPr>
            <w:tcW w:w="0" w:type="auto"/>
            <w:gridSpan w:val="3"/>
            <w:shd w:val="clear" w:color="auto" w:fill="FFFFFF"/>
            <w:tcMar>
              <w:top w:w="40" w:type="dxa"/>
              <w:left w:w="965" w:type="dxa"/>
              <w:bottom w:w="40" w:type="dxa"/>
              <w:right w:w="20" w:type="dxa"/>
            </w:tcMar>
            <w:vAlign w:val="bottom"/>
          </w:tcPr>
          <w:p w14:paraId="64302A69" w14:textId="77777777" w:rsidR="009F6D8A" w:rsidRDefault="00C50974">
            <w:pPr>
              <w:textAlignment w:val="bottom"/>
            </w:pPr>
            <w:r>
              <w:rPr>
                <w:rFonts w:ascii="Arial" w:eastAsia="宋体" w:hAnsi="Arial" w:cs="Arial"/>
                <w:color w:val="000000"/>
                <w:sz w:val="17"/>
                <w:szCs w:val="17"/>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64302A6A" w14:textId="77777777" w:rsidR="009F6D8A" w:rsidRDefault="00C50974">
            <w:pPr>
              <w:textAlignment w:val="bottom"/>
            </w:pPr>
            <w:r>
              <w:rPr>
                <w:rFonts w:ascii="Arial" w:eastAsia="宋体" w:hAnsi="Arial" w:cs="Arial"/>
                <w:color w:val="000000"/>
                <w:sz w:val="17"/>
                <w:szCs w:val="17"/>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2A6B" w14:textId="77777777" w:rsidR="009F6D8A" w:rsidRDefault="00C50974">
            <w:pPr>
              <w:jc w:val="right"/>
              <w:textAlignment w:val="bottom"/>
            </w:pPr>
            <w:r>
              <w:rPr>
                <w:rFonts w:ascii="Arial" w:eastAsia="宋体" w:hAnsi="Arial" w:cs="Arial"/>
                <w:color w:val="000000"/>
                <w:sz w:val="17"/>
                <w:szCs w:val="17"/>
              </w:rPr>
              <w:t>31,823 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A6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A6D"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2A6E" w14:textId="77777777" w:rsidR="009F6D8A" w:rsidRDefault="00C50974">
            <w:pPr>
              <w:textAlignment w:val="bottom"/>
            </w:pPr>
            <w:r>
              <w:rPr>
                <w:rFonts w:ascii="Arial" w:eastAsia="宋体" w:hAnsi="Arial" w:cs="Arial"/>
                <w:color w:val="000000"/>
                <w:sz w:val="17"/>
                <w:szCs w:val="17"/>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2A6F" w14:textId="77777777" w:rsidR="009F6D8A" w:rsidRDefault="00C50974">
            <w:pPr>
              <w:jc w:val="right"/>
              <w:textAlignment w:val="bottom"/>
            </w:pPr>
            <w:r>
              <w:rPr>
                <w:rFonts w:ascii="Arial" w:eastAsia="宋体" w:hAnsi="Arial" w:cs="Arial"/>
                <w:color w:val="000000"/>
                <w:sz w:val="17"/>
                <w:szCs w:val="17"/>
              </w:rPr>
              <w:t>19,310 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A70" w14:textId="77777777" w:rsidR="009F6D8A" w:rsidRDefault="009F6D8A">
            <w:pPr>
              <w:jc w:val="right"/>
              <w:rPr>
                <w:rFonts w:ascii="宋体"/>
              </w:rPr>
            </w:pPr>
          </w:p>
        </w:tc>
      </w:tr>
      <w:tr w:rsidR="009F6D8A" w14:paraId="64302A76" w14:textId="77777777">
        <w:trPr>
          <w:jc w:val="center"/>
        </w:trPr>
        <w:tc>
          <w:tcPr>
            <w:tcW w:w="0" w:type="auto"/>
            <w:gridSpan w:val="3"/>
            <w:shd w:val="clear" w:color="auto" w:fill="E2E2E2"/>
            <w:tcMar>
              <w:top w:w="40" w:type="dxa"/>
              <w:left w:w="20" w:type="dxa"/>
              <w:bottom w:w="40" w:type="dxa"/>
              <w:right w:w="20" w:type="dxa"/>
            </w:tcMar>
            <w:vAlign w:val="bottom"/>
          </w:tcPr>
          <w:p w14:paraId="64302A72" w14:textId="77777777" w:rsidR="009F6D8A" w:rsidRDefault="00C50974">
            <w:pPr>
              <w:jc w:val="center"/>
              <w:textAlignment w:val="bottom"/>
            </w:pPr>
            <w:r>
              <w:rPr>
                <w:rFonts w:ascii="Arial" w:eastAsia="宋体" w:hAnsi="Arial" w:cs="Arial"/>
                <w:b/>
                <w:bCs/>
                <w:color w:val="000000"/>
                <w:sz w:val="17"/>
                <w:szCs w:val="17"/>
              </w:rPr>
              <w:t>LIABILITIES AND STOCKHOLDERS’ EQUITY</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2A73"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A74" w14:textId="77777777" w:rsidR="009F6D8A" w:rsidRDefault="009F6D8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2A75" w14:textId="77777777" w:rsidR="009F6D8A" w:rsidRDefault="009F6D8A">
            <w:pPr>
              <w:rPr>
                <w:rFonts w:ascii="宋体"/>
              </w:rPr>
            </w:pPr>
          </w:p>
        </w:tc>
      </w:tr>
      <w:tr w:rsidR="009F6D8A" w14:paraId="64302A7B" w14:textId="77777777">
        <w:trPr>
          <w:jc w:val="center"/>
        </w:trPr>
        <w:tc>
          <w:tcPr>
            <w:tcW w:w="0" w:type="auto"/>
            <w:gridSpan w:val="3"/>
            <w:shd w:val="clear" w:color="auto" w:fill="FFFFFF"/>
            <w:tcMar>
              <w:top w:w="40" w:type="dxa"/>
              <w:left w:w="20" w:type="dxa"/>
              <w:bottom w:w="40" w:type="dxa"/>
              <w:right w:w="20" w:type="dxa"/>
            </w:tcMar>
            <w:vAlign w:val="bottom"/>
          </w:tcPr>
          <w:p w14:paraId="64302A77" w14:textId="77777777" w:rsidR="009F6D8A" w:rsidRDefault="00C50974">
            <w:pPr>
              <w:textAlignment w:val="bottom"/>
            </w:pPr>
            <w:r>
              <w:rPr>
                <w:rFonts w:ascii="Arial" w:eastAsia="宋体" w:hAnsi="Arial" w:cs="Arial"/>
                <w:color w:val="000000"/>
                <w:sz w:val="17"/>
                <w:szCs w:val="17"/>
              </w:rPr>
              <w:t>Current liabilities:</w:t>
            </w:r>
          </w:p>
        </w:tc>
        <w:tc>
          <w:tcPr>
            <w:tcW w:w="0" w:type="auto"/>
            <w:gridSpan w:val="3"/>
            <w:shd w:val="clear" w:color="auto" w:fill="FFFFFF"/>
            <w:tcMar>
              <w:top w:w="0" w:type="dxa"/>
              <w:left w:w="20" w:type="dxa"/>
              <w:bottom w:w="0" w:type="dxa"/>
              <w:right w:w="20" w:type="dxa"/>
            </w:tcMar>
            <w:vAlign w:val="bottom"/>
          </w:tcPr>
          <w:p w14:paraId="64302A7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A79"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A7A" w14:textId="77777777" w:rsidR="009F6D8A" w:rsidRDefault="009F6D8A">
            <w:pPr>
              <w:rPr>
                <w:rFonts w:ascii="宋体"/>
              </w:rPr>
            </w:pPr>
          </w:p>
        </w:tc>
      </w:tr>
      <w:tr w:rsidR="009F6D8A" w14:paraId="64302A84" w14:textId="77777777">
        <w:trPr>
          <w:jc w:val="center"/>
        </w:trPr>
        <w:tc>
          <w:tcPr>
            <w:tcW w:w="0" w:type="auto"/>
            <w:gridSpan w:val="3"/>
            <w:shd w:val="clear" w:color="auto" w:fill="E2E2E2"/>
            <w:tcMar>
              <w:top w:w="40" w:type="dxa"/>
              <w:left w:w="515" w:type="dxa"/>
              <w:bottom w:w="40" w:type="dxa"/>
              <w:right w:w="20" w:type="dxa"/>
            </w:tcMar>
            <w:vAlign w:val="bottom"/>
          </w:tcPr>
          <w:p w14:paraId="64302A7C" w14:textId="77777777" w:rsidR="009F6D8A" w:rsidRDefault="00C50974">
            <w:pPr>
              <w:textAlignment w:val="bottom"/>
            </w:pPr>
            <w:r>
              <w:rPr>
                <w:rFonts w:ascii="Arial" w:eastAsia="宋体" w:hAnsi="Arial" w:cs="Arial"/>
                <w:color w:val="000000"/>
                <w:sz w:val="17"/>
                <w:szCs w:val="17"/>
              </w:rPr>
              <w:t>Short-term debt</w:t>
            </w:r>
          </w:p>
        </w:tc>
        <w:tc>
          <w:tcPr>
            <w:tcW w:w="0" w:type="auto"/>
            <w:shd w:val="clear" w:color="auto" w:fill="E2E2E2"/>
            <w:tcMar>
              <w:top w:w="40" w:type="dxa"/>
              <w:left w:w="20" w:type="dxa"/>
              <w:bottom w:w="40" w:type="dxa"/>
              <w:right w:w="0" w:type="dxa"/>
            </w:tcMar>
            <w:vAlign w:val="bottom"/>
          </w:tcPr>
          <w:p w14:paraId="64302A7D" w14:textId="77777777" w:rsidR="009F6D8A" w:rsidRDefault="00C50974">
            <w:pPr>
              <w:textAlignment w:val="bottom"/>
            </w:pPr>
            <w:r>
              <w:rPr>
                <w:rFonts w:ascii="Arial" w:eastAsia="宋体" w:hAnsi="Arial" w:cs="Arial"/>
                <w:color w:val="000000"/>
                <w:sz w:val="17"/>
                <w:szCs w:val="17"/>
              </w:rPr>
              <w:t>$</w:t>
            </w:r>
          </w:p>
        </w:tc>
        <w:tc>
          <w:tcPr>
            <w:tcW w:w="0" w:type="auto"/>
            <w:shd w:val="clear" w:color="auto" w:fill="E2E2E2"/>
            <w:tcMar>
              <w:top w:w="40" w:type="dxa"/>
              <w:left w:w="0" w:type="dxa"/>
              <w:bottom w:w="40" w:type="dxa"/>
              <w:right w:w="0" w:type="dxa"/>
            </w:tcMar>
            <w:vAlign w:val="bottom"/>
          </w:tcPr>
          <w:p w14:paraId="64302A7E" w14:textId="77777777" w:rsidR="009F6D8A" w:rsidRDefault="00C50974">
            <w:pPr>
              <w:jc w:val="right"/>
              <w:textAlignment w:val="bottom"/>
            </w:pPr>
            <w:r>
              <w:rPr>
                <w:rFonts w:ascii="Arial" w:eastAsia="宋体" w:hAnsi="Arial" w:cs="Arial"/>
                <w:color w:val="000000"/>
                <w:sz w:val="17"/>
                <w:szCs w:val="17"/>
              </w:rPr>
              <w:t>761 </w:t>
            </w:r>
          </w:p>
        </w:tc>
        <w:tc>
          <w:tcPr>
            <w:tcW w:w="0" w:type="auto"/>
            <w:shd w:val="clear" w:color="auto" w:fill="E2E2E2"/>
            <w:tcMar>
              <w:top w:w="40" w:type="dxa"/>
              <w:left w:w="0" w:type="dxa"/>
              <w:bottom w:w="40" w:type="dxa"/>
              <w:right w:w="20" w:type="dxa"/>
            </w:tcMar>
            <w:vAlign w:val="bottom"/>
          </w:tcPr>
          <w:p w14:paraId="64302A7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A80"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2A81" w14:textId="77777777" w:rsidR="009F6D8A" w:rsidRDefault="00C50974">
            <w:pPr>
              <w:textAlignment w:val="bottom"/>
            </w:pPr>
            <w:r>
              <w:rPr>
                <w:rFonts w:ascii="Arial" w:eastAsia="宋体" w:hAnsi="Arial" w:cs="Arial"/>
                <w:color w:val="000000"/>
                <w:sz w:val="17"/>
                <w:szCs w:val="17"/>
              </w:rPr>
              <w:t>$</w:t>
            </w:r>
          </w:p>
        </w:tc>
        <w:tc>
          <w:tcPr>
            <w:tcW w:w="0" w:type="auto"/>
            <w:shd w:val="clear" w:color="auto" w:fill="E2E2E2"/>
            <w:tcMar>
              <w:top w:w="40" w:type="dxa"/>
              <w:left w:w="0" w:type="dxa"/>
              <w:bottom w:w="40" w:type="dxa"/>
              <w:right w:w="0" w:type="dxa"/>
            </w:tcMar>
            <w:vAlign w:val="bottom"/>
          </w:tcPr>
          <w:p w14:paraId="64302A82" w14:textId="77777777" w:rsidR="009F6D8A" w:rsidRDefault="00C50974">
            <w:pPr>
              <w:jc w:val="right"/>
              <w:textAlignment w:val="bottom"/>
            </w:pPr>
            <w:r>
              <w:rPr>
                <w:rFonts w:ascii="Arial" w:eastAsia="宋体" w:hAnsi="Arial" w:cs="Arial"/>
                <w:color w:val="000000"/>
                <w:sz w:val="17"/>
                <w:szCs w:val="17"/>
              </w:rPr>
              <w:t>6 </w:t>
            </w:r>
          </w:p>
        </w:tc>
        <w:tc>
          <w:tcPr>
            <w:tcW w:w="0" w:type="auto"/>
            <w:shd w:val="clear" w:color="auto" w:fill="E2E2E2"/>
            <w:tcMar>
              <w:top w:w="40" w:type="dxa"/>
              <w:left w:w="0" w:type="dxa"/>
              <w:bottom w:w="40" w:type="dxa"/>
              <w:right w:w="20" w:type="dxa"/>
            </w:tcMar>
            <w:vAlign w:val="bottom"/>
          </w:tcPr>
          <w:p w14:paraId="64302A83" w14:textId="77777777" w:rsidR="009F6D8A" w:rsidRDefault="009F6D8A">
            <w:pPr>
              <w:jc w:val="right"/>
              <w:rPr>
                <w:rFonts w:ascii="宋体"/>
              </w:rPr>
            </w:pPr>
          </w:p>
        </w:tc>
      </w:tr>
      <w:tr w:rsidR="009F6D8A" w14:paraId="64302A8B" w14:textId="77777777">
        <w:trPr>
          <w:jc w:val="center"/>
        </w:trPr>
        <w:tc>
          <w:tcPr>
            <w:tcW w:w="0" w:type="auto"/>
            <w:gridSpan w:val="3"/>
            <w:shd w:val="clear" w:color="auto" w:fill="FFFFFF"/>
            <w:tcMar>
              <w:top w:w="40" w:type="dxa"/>
              <w:left w:w="515" w:type="dxa"/>
              <w:bottom w:w="40" w:type="dxa"/>
              <w:right w:w="20" w:type="dxa"/>
            </w:tcMar>
            <w:vAlign w:val="bottom"/>
          </w:tcPr>
          <w:p w14:paraId="64302A85" w14:textId="77777777" w:rsidR="009F6D8A" w:rsidRDefault="00C50974">
            <w:pPr>
              <w:textAlignment w:val="bottom"/>
            </w:pPr>
            <w:r>
              <w:rPr>
                <w:rFonts w:ascii="Arial" w:eastAsia="宋体" w:hAnsi="Arial" w:cs="Arial"/>
                <w:color w:val="000000"/>
                <w:sz w:val="17"/>
                <w:szCs w:val="17"/>
              </w:rPr>
              <w:t>Accounts payable</w:t>
            </w:r>
          </w:p>
        </w:tc>
        <w:tc>
          <w:tcPr>
            <w:tcW w:w="0" w:type="auto"/>
            <w:gridSpan w:val="2"/>
            <w:shd w:val="clear" w:color="auto" w:fill="FFFFFF"/>
            <w:tcMar>
              <w:top w:w="40" w:type="dxa"/>
              <w:left w:w="20" w:type="dxa"/>
              <w:bottom w:w="40" w:type="dxa"/>
              <w:right w:w="0" w:type="dxa"/>
            </w:tcMar>
            <w:vAlign w:val="bottom"/>
          </w:tcPr>
          <w:p w14:paraId="64302A86" w14:textId="77777777" w:rsidR="009F6D8A" w:rsidRDefault="00C50974">
            <w:pPr>
              <w:jc w:val="right"/>
              <w:textAlignment w:val="bottom"/>
            </w:pPr>
            <w:r>
              <w:rPr>
                <w:rFonts w:ascii="Arial" w:eastAsia="宋体" w:hAnsi="Arial" w:cs="Arial"/>
                <w:color w:val="000000"/>
                <w:sz w:val="17"/>
                <w:szCs w:val="17"/>
              </w:rPr>
              <w:t>285 </w:t>
            </w:r>
          </w:p>
        </w:tc>
        <w:tc>
          <w:tcPr>
            <w:tcW w:w="0" w:type="auto"/>
            <w:shd w:val="clear" w:color="auto" w:fill="FFFFFF"/>
            <w:tcMar>
              <w:top w:w="40" w:type="dxa"/>
              <w:left w:w="0" w:type="dxa"/>
              <w:bottom w:w="40" w:type="dxa"/>
              <w:right w:w="20" w:type="dxa"/>
            </w:tcMar>
            <w:vAlign w:val="bottom"/>
          </w:tcPr>
          <w:p w14:paraId="64302A8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A8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A89" w14:textId="77777777" w:rsidR="009F6D8A" w:rsidRDefault="00C50974">
            <w:pPr>
              <w:jc w:val="right"/>
              <w:textAlignment w:val="bottom"/>
            </w:pPr>
            <w:r>
              <w:rPr>
                <w:rFonts w:ascii="Arial" w:eastAsia="宋体" w:hAnsi="Arial" w:cs="Arial"/>
                <w:color w:val="000000"/>
                <w:sz w:val="17"/>
                <w:szCs w:val="17"/>
              </w:rPr>
              <w:t>278 </w:t>
            </w:r>
          </w:p>
        </w:tc>
        <w:tc>
          <w:tcPr>
            <w:tcW w:w="0" w:type="auto"/>
            <w:shd w:val="clear" w:color="auto" w:fill="FFFFFF"/>
            <w:tcMar>
              <w:top w:w="40" w:type="dxa"/>
              <w:left w:w="0" w:type="dxa"/>
              <w:bottom w:w="40" w:type="dxa"/>
              <w:right w:w="20" w:type="dxa"/>
            </w:tcMar>
            <w:vAlign w:val="bottom"/>
          </w:tcPr>
          <w:p w14:paraId="64302A8A" w14:textId="77777777" w:rsidR="009F6D8A" w:rsidRDefault="009F6D8A">
            <w:pPr>
              <w:jc w:val="right"/>
              <w:rPr>
                <w:rFonts w:ascii="宋体"/>
              </w:rPr>
            </w:pPr>
          </w:p>
        </w:tc>
      </w:tr>
      <w:tr w:rsidR="009F6D8A" w14:paraId="64302A92" w14:textId="77777777">
        <w:trPr>
          <w:jc w:val="center"/>
        </w:trPr>
        <w:tc>
          <w:tcPr>
            <w:tcW w:w="0" w:type="auto"/>
            <w:gridSpan w:val="3"/>
            <w:shd w:val="clear" w:color="auto" w:fill="E2E2E2"/>
            <w:tcMar>
              <w:top w:w="40" w:type="dxa"/>
              <w:left w:w="515" w:type="dxa"/>
              <w:bottom w:w="40" w:type="dxa"/>
              <w:right w:w="20" w:type="dxa"/>
            </w:tcMar>
            <w:vAlign w:val="bottom"/>
          </w:tcPr>
          <w:p w14:paraId="64302A8C" w14:textId="77777777" w:rsidR="009F6D8A" w:rsidRDefault="00C50974">
            <w:pPr>
              <w:textAlignment w:val="bottom"/>
            </w:pPr>
            <w:r>
              <w:rPr>
                <w:rFonts w:ascii="Arial" w:eastAsia="宋体" w:hAnsi="Arial" w:cs="Arial"/>
                <w:color w:val="000000"/>
                <w:sz w:val="17"/>
                <w:szCs w:val="17"/>
              </w:rPr>
              <w:t>Customer accounts and funds payable</w:t>
            </w:r>
          </w:p>
        </w:tc>
        <w:tc>
          <w:tcPr>
            <w:tcW w:w="0" w:type="auto"/>
            <w:gridSpan w:val="2"/>
            <w:shd w:val="clear" w:color="auto" w:fill="E2E2E2"/>
            <w:tcMar>
              <w:top w:w="40" w:type="dxa"/>
              <w:left w:w="20" w:type="dxa"/>
              <w:bottom w:w="40" w:type="dxa"/>
              <w:right w:w="0" w:type="dxa"/>
            </w:tcMar>
            <w:vAlign w:val="bottom"/>
          </w:tcPr>
          <w:p w14:paraId="64302A8D" w14:textId="77777777" w:rsidR="009F6D8A" w:rsidRDefault="00C50974">
            <w:pPr>
              <w:jc w:val="right"/>
              <w:textAlignment w:val="bottom"/>
            </w:pPr>
            <w:r>
              <w:rPr>
                <w:rFonts w:ascii="Arial" w:eastAsia="宋体" w:hAnsi="Arial" w:cs="Arial"/>
                <w:color w:val="000000"/>
                <w:sz w:val="17"/>
                <w:szCs w:val="17"/>
              </w:rPr>
              <w:t>578 </w:t>
            </w:r>
          </w:p>
        </w:tc>
        <w:tc>
          <w:tcPr>
            <w:tcW w:w="0" w:type="auto"/>
            <w:shd w:val="clear" w:color="auto" w:fill="E2E2E2"/>
            <w:tcMar>
              <w:top w:w="40" w:type="dxa"/>
              <w:left w:w="0" w:type="dxa"/>
              <w:bottom w:w="40" w:type="dxa"/>
              <w:right w:w="20" w:type="dxa"/>
            </w:tcMar>
            <w:vAlign w:val="bottom"/>
          </w:tcPr>
          <w:p w14:paraId="64302A8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A8F"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A90" w14:textId="77777777" w:rsidR="009F6D8A" w:rsidRDefault="00C50974">
            <w:pPr>
              <w:jc w:val="right"/>
              <w:textAlignment w:val="bottom"/>
            </w:pPr>
            <w:r>
              <w:rPr>
                <w:rFonts w:ascii="Arial" w:eastAsia="宋体" w:hAnsi="Arial" w:cs="Arial"/>
                <w:color w:val="000000"/>
                <w:sz w:val="17"/>
                <w:szCs w:val="17"/>
              </w:rPr>
              <w:t>379 </w:t>
            </w:r>
          </w:p>
        </w:tc>
        <w:tc>
          <w:tcPr>
            <w:tcW w:w="0" w:type="auto"/>
            <w:shd w:val="clear" w:color="auto" w:fill="E2E2E2"/>
            <w:tcMar>
              <w:top w:w="40" w:type="dxa"/>
              <w:left w:w="0" w:type="dxa"/>
              <w:bottom w:w="40" w:type="dxa"/>
              <w:right w:w="20" w:type="dxa"/>
            </w:tcMar>
            <w:vAlign w:val="bottom"/>
          </w:tcPr>
          <w:p w14:paraId="64302A91" w14:textId="77777777" w:rsidR="009F6D8A" w:rsidRDefault="009F6D8A">
            <w:pPr>
              <w:jc w:val="right"/>
              <w:rPr>
                <w:rFonts w:ascii="宋体"/>
              </w:rPr>
            </w:pPr>
          </w:p>
        </w:tc>
      </w:tr>
      <w:tr w:rsidR="009F6D8A" w14:paraId="64302A99" w14:textId="77777777">
        <w:trPr>
          <w:jc w:val="center"/>
        </w:trPr>
        <w:tc>
          <w:tcPr>
            <w:tcW w:w="0" w:type="auto"/>
            <w:gridSpan w:val="3"/>
            <w:shd w:val="clear" w:color="auto" w:fill="FFFFFF"/>
            <w:tcMar>
              <w:top w:w="40" w:type="dxa"/>
              <w:left w:w="515" w:type="dxa"/>
              <w:bottom w:w="40" w:type="dxa"/>
              <w:right w:w="20" w:type="dxa"/>
            </w:tcMar>
            <w:vAlign w:val="bottom"/>
          </w:tcPr>
          <w:p w14:paraId="64302A93" w14:textId="77777777" w:rsidR="009F6D8A" w:rsidRDefault="00C50974">
            <w:pPr>
              <w:textAlignment w:val="bottom"/>
            </w:pPr>
            <w:r>
              <w:rPr>
                <w:rFonts w:ascii="Arial" w:eastAsia="宋体" w:hAnsi="Arial" w:cs="Arial"/>
                <w:color w:val="000000"/>
                <w:sz w:val="17"/>
                <w:szCs w:val="17"/>
              </w:rPr>
              <w:t>Accrued expenses and other current liabilities</w:t>
            </w:r>
          </w:p>
        </w:tc>
        <w:tc>
          <w:tcPr>
            <w:tcW w:w="0" w:type="auto"/>
            <w:gridSpan w:val="2"/>
            <w:shd w:val="clear" w:color="auto" w:fill="FFFFFF"/>
            <w:tcMar>
              <w:top w:w="40" w:type="dxa"/>
              <w:left w:w="20" w:type="dxa"/>
              <w:bottom w:w="40" w:type="dxa"/>
              <w:right w:w="0" w:type="dxa"/>
            </w:tcMar>
            <w:vAlign w:val="bottom"/>
          </w:tcPr>
          <w:p w14:paraId="64302A94" w14:textId="77777777" w:rsidR="009F6D8A" w:rsidRDefault="00C50974">
            <w:pPr>
              <w:jc w:val="right"/>
              <w:textAlignment w:val="bottom"/>
            </w:pPr>
            <w:r>
              <w:rPr>
                <w:rFonts w:ascii="Arial" w:eastAsia="宋体" w:hAnsi="Arial" w:cs="Arial"/>
                <w:color w:val="000000"/>
                <w:sz w:val="17"/>
                <w:szCs w:val="17"/>
              </w:rPr>
              <w:t>2,044 </w:t>
            </w:r>
          </w:p>
        </w:tc>
        <w:tc>
          <w:tcPr>
            <w:tcW w:w="0" w:type="auto"/>
            <w:shd w:val="clear" w:color="auto" w:fill="FFFFFF"/>
            <w:tcMar>
              <w:top w:w="40" w:type="dxa"/>
              <w:left w:w="0" w:type="dxa"/>
              <w:bottom w:w="40" w:type="dxa"/>
              <w:right w:w="20" w:type="dxa"/>
            </w:tcMar>
            <w:vAlign w:val="bottom"/>
          </w:tcPr>
          <w:p w14:paraId="64302A9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A9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A97" w14:textId="77777777" w:rsidR="009F6D8A" w:rsidRDefault="00C50974">
            <w:pPr>
              <w:jc w:val="right"/>
              <w:textAlignment w:val="bottom"/>
            </w:pPr>
            <w:r>
              <w:rPr>
                <w:rFonts w:ascii="Arial" w:eastAsia="宋体" w:hAnsi="Arial" w:cs="Arial"/>
                <w:color w:val="000000"/>
                <w:sz w:val="17"/>
                <w:szCs w:val="17"/>
              </w:rPr>
              <w:t>1,767 </w:t>
            </w:r>
          </w:p>
        </w:tc>
        <w:tc>
          <w:tcPr>
            <w:tcW w:w="0" w:type="auto"/>
            <w:shd w:val="clear" w:color="auto" w:fill="FFFFFF"/>
            <w:tcMar>
              <w:top w:w="40" w:type="dxa"/>
              <w:left w:w="0" w:type="dxa"/>
              <w:bottom w:w="40" w:type="dxa"/>
              <w:right w:w="20" w:type="dxa"/>
            </w:tcMar>
            <w:vAlign w:val="bottom"/>
          </w:tcPr>
          <w:p w14:paraId="64302A98" w14:textId="77777777" w:rsidR="009F6D8A" w:rsidRDefault="009F6D8A">
            <w:pPr>
              <w:jc w:val="right"/>
              <w:rPr>
                <w:rFonts w:ascii="宋体"/>
              </w:rPr>
            </w:pPr>
          </w:p>
        </w:tc>
      </w:tr>
      <w:tr w:rsidR="009F6D8A" w14:paraId="64302AA0" w14:textId="77777777">
        <w:trPr>
          <w:jc w:val="center"/>
        </w:trPr>
        <w:tc>
          <w:tcPr>
            <w:tcW w:w="0" w:type="auto"/>
            <w:gridSpan w:val="3"/>
            <w:shd w:val="clear" w:color="auto" w:fill="E2E2E2"/>
            <w:tcMar>
              <w:top w:w="40" w:type="dxa"/>
              <w:left w:w="515" w:type="dxa"/>
              <w:bottom w:w="40" w:type="dxa"/>
              <w:right w:w="20" w:type="dxa"/>
            </w:tcMar>
            <w:vAlign w:val="bottom"/>
          </w:tcPr>
          <w:p w14:paraId="64302A9A" w14:textId="77777777" w:rsidR="009F6D8A" w:rsidRDefault="00C50974">
            <w:pPr>
              <w:textAlignment w:val="bottom"/>
            </w:pPr>
            <w:r>
              <w:rPr>
                <w:rFonts w:ascii="Arial" w:eastAsia="宋体" w:hAnsi="Arial" w:cs="Arial"/>
                <w:color w:val="000000"/>
                <w:sz w:val="17"/>
                <w:szCs w:val="17"/>
              </w:rPr>
              <w:t>Deferred revenue</w:t>
            </w:r>
          </w:p>
        </w:tc>
        <w:tc>
          <w:tcPr>
            <w:tcW w:w="0" w:type="auto"/>
            <w:gridSpan w:val="2"/>
            <w:shd w:val="clear" w:color="auto" w:fill="E2E2E2"/>
            <w:tcMar>
              <w:top w:w="40" w:type="dxa"/>
              <w:left w:w="20" w:type="dxa"/>
              <w:bottom w:w="40" w:type="dxa"/>
              <w:right w:w="0" w:type="dxa"/>
            </w:tcMar>
            <w:vAlign w:val="bottom"/>
          </w:tcPr>
          <w:p w14:paraId="64302A9B" w14:textId="77777777" w:rsidR="009F6D8A" w:rsidRDefault="00C50974">
            <w:pPr>
              <w:jc w:val="right"/>
              <w:textAlignment w:val="bottom"/>
            </w:pPr>
            <w:r>
              <w:rPr>
                <w:rFonts w:ascii="Arial" w:eastAsia="宋体" w:hAnsi="Arial" w:cs="Arial"/>
                <w:color w:val="000000"/>
                <w:sz w:val="17"/>
                <w:szCs w:val="17"/>
              </w:rPr>
              <w:t>90 </w:t>
            </w:r>
          </w:p>
        </w:tc>
        <w:tc>
          <w:tcPr>
            <w:tcW w:w="0" w:type="auto"/>
            <w:shd w:val="clear" w:color="auto" w:fill="E2E2E2"/>
            <w:tcMar>
              <w:top w:w="40" w:type="dxa"/>
              <w:left w:w="0" w:type="dxa"/>
              <w:bottom w:w="40" w:type="dxa"/>
              <w:right w:w="20" w:type="dxa"/>
            </w:tcMar>
            <w:vAlign w:val="bottom"/>
          </w:tcPr>
          <w:p w14:paraId="64302A9C"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A9D"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A9E" w14:textId="77777777" w:rsidR="009F6D8A" w:rsidRDefault="00C50974">
            <w:pPr>
              <w:jc w:val="right"/>
              <w:textAlignment w:val="bottom"/>
            </w:pPr>
            <w:r>
              <w:rPr>
                <w:rFonts w:ascii="Arial" w:eastAsia="宋体" w:hAnsi="Arial" w:cs="Arial"/>
                <w:color w:val="000000"/>
                <w:sz w:val="17"/>
                <w:szCs w:val="17"/>
              </w:rPr>
              <w:t>98 </w:t>
            </w:r>
          </w:p>
        </w:tc>
        <w:tc>
          <w:tcPr>
            <w:tcW w:w="0" w:type="auto"/>
            <w:shd w:val="clear" w:color="auto" w:fill="E2E2E2"/>
            <w:tcMar>
              <w:top w:w="40" w:type="dxa"/>
              <w:left w:w="0" w:type="dxa"/>
              <w:bottom w:w="40" w:type="dxa"/>
              <w:right w:w="20" w:type="dxa"/>
            </w:tcMar>
            <w:vAlign w:val="bottom"/>
          </w:tcPr>
          <w:p w14:paraId="64302A9F" w14:textId="77777777" w:rsidR="009F6D8A" w:rsidRDefault="009F6D8A">
            <w:pPr>
              <w:jc w:val="right"/>
              <w:rPr>
                <w:rFonts w:ascii="宋体"/>
              </w:rPr>
            </w:pPr>
          </w:p>
        </w:tc>
      </w:tr>
      <w:tr w:rsidR="009F6D8A" w14:paraId="64302AA7" w14:textId="77777777">
        <w:trPr>
          <w:jc w:val="center"/>
        </w:trPr>
        <w:tc>
          <w:tcPr>
            <w:tcW w:w="0" w:type="auto"/>
            <w:gridSpan w:val="3"/>
            <w:shd w:val="clear" w:color="auto" w:fill="FFFFFF"/>
            <w:tcMar>
              <w:top w:w="40" w:type="dxa"/>
              <w:left w:w="515" w:type="dxa"/>
              <w:bottom w:w="40" w:type="dxa"/>
              <w:right w:w="20" w:type="dxa"/>
            </w:tcMar>
            <w:vAlign w:val="bottom"/>
          </w:tcPr>
          <w:p w14:paraId="64302AA1" w14:textId="77777777" w:rsidR="009F6D8A" w:rsidRDefault="00C50974">
            <w:pPr>
              <w:textAlignment w:val="bottom"/>
            </w:pPr>
            <w:r>
              <w:rPr>
                <w:rFonts w:ascii="Arial" w:eastAsia="宋体" w:hAnsi="Arial" w:cs="Arial"/>
                <w:color w:val="000000"/>
                <w:sz w:val="17"/>
                <w:szCs w:val="17"/>
              </w:rPr>
              <w:t>Income taxes payable</w:t>
            </w:r>
          </w:p>
        </w:tc>
        <w:tc>
          <w:tcPr>
            <w:tcW w:w="0" w:type="auto"/>
            <w:gridSpan w:val="2"/>
            <w:shd w:val="clear" w:color="auto" w:fill="FFFFFF"/>
            <w:tcMar>
              <w:top w:w="40" w:type="dxa"/>
              <w:left w:w="20" w:type="dxa"/>
              <w:bottom w:w="40" w:type="dxa"/>
              <w:right w:w="0" w:type="dxa"/>
            </w:tcMar>
            <w:vAlign w:val="bottom"/>
          </w:tcPr>
          <w:p w14:paraId="64302AA2" w14:textId="77777777" w:rsidR="009F6D8A" w:rsidRDefault="00C50974">
            <w:pPr>
              <w:jc w:val="right"/>
              <w:textAlignment w:val="bottom"/>
            </w:pPr>
            <w:r>
              <w:rPr>
                <w:rFonts w:ascii="Arial" w:eastAsia="宋体" w:hAnsi="Arial" w:cs="Arial"/>
                <w:color w:val="000000"/>
                <w:sz w:val="17"/>
                <w:szCs w:val="17"/>
              </w:rPr>
              <w:t>519 </w:t>
            </w:r>
          </w:p>
        </w:tc>
        <w:tc>
          <w:tcPr>
            <w:tcW w:w="0" w:type="auto"/>
            <w:shd w:val="clear" w:color="auto" w:fill="FFFFFF"/>
            <w:tcMar>
              <w:top w:w="40" w:type="dxa"/>
              <w:left w:w="0" w:type="dxa"/>
              <w:bottom w:w="40" w:type="dxa"/>
              <w:right w:w="20" w:type="dxa"/>
            </w:tcMar>
            <w:vAlign w:val="bottom"/>
          </w:tcPr>
          <w:p w14:paraId="64302AA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AA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AA5" w14:textId="77777777" w:rsidR="009F6D8A" w:rsidRDefault="00C50974">
            <w:pPr>
              <w:jc w:val="right"/>
              <w:textAlignment w:val="bottom"/>
            </w:pPr>
            <w:r>
              <w:rPr>
                <w:rFonts w:ascii="Arial" w:eastAsia="宋体" w:hAnsi="Arial" w:cs="Arial"/>
                <w:color w:val="000000"/>
                <w:sz w:val="17"/>
                <w:szCs w:val="17"/>
              </w:rPr>
              <w:t>167 </w:t>
            </w:r>
          </w:p>
        </w:tc>
        <w:tc>
          <w:tcPr>
            <w:tcW w:w="0" w:type="auto"/>
            <w:shd w:val="clear" w:color="auto" w:fill="FFFFFF"/>
            <w:tcMar>
              <w:top w:w="40" w:type="dxa"/>
              <w:left w:w="0" w:type="dxa"/>
              <w:bottom w:w="40" w:type="dxa"/>
              <w:right w:w="20" w:type="dxa"/>
            </w:tcMar>
            <w:vAlign w:val="bottom"/>
          </w:tcPr>
          <w:p w14:paraId="64302AA6" w14:textId="77777777" w:rsidR="009F6D8A" w:rsidRDefault="009F6D8A">
            <w:pPr>
              <w:jc w:val="right"/>
              <w:rPr>
                <w:rFonts w:ascii="宋体"/>
              </w:rPr>
            </w:pPr>
          </w:p>
        </w:tc>
      </w:tr>
      <w:tr w:rsidR="009F6D8A" w14:paraId="64302AAE" w14:textId="77777777">
        <w:trPr>
          <w:jc w:val="center"/>
        </w:trPr>
        <w:tc>
          <w:tcPr>
            <w:tcW w:w="0" w:type="auto"/>
            <w:gridSpan w:val="3"/>
            <w:shd w:val="clear" w:color="auto" w:fill="E2E2E2"/>
            <w:tcMar>
              <w:top w:w="40" w:type="dxa"/>
              <w:left w:w="515" w:type="dxa"/>
              <w:bottom w:w="40" w:type="dxa"/>
              <w:right w:w="20" w:type="dxa"/>
            </w:tcMar>
            <w:vAlign w:val="bottom"/>
          </w:tcPr>
          <w:p w14:paraId="64302AA8" w14:textId="77777777" w:rsidR="009F6D8A" w:rsidRDefault="00C50974">
            <w:pPr>
              <w:textAlignment w:val="bottom"/>
            </w:pPr>
            <w:r>
              <w:rPr>
                <w:rFonts w:ascii="Arial" w:eastAsia="宋体" w:hAnsi="Arial" w:cs="Arial"/>
                <w:color w:val="000000"/>
                <w:sz w:val="17"/>
                <w:szCs w:val="17"/>
              </w:rPr>
              <w:t>Current liabilities held for sale</w:t>
            </w:r>
          </w:p>
        </w:tc>
        <w:tc>
          <w:tcPr>
            <w:tcW w:w="0" w:type="auto"/>
            <w:gridSpan w:val="2"/>
            <w:shd w:val="clear" w:color="auto" w:fill="E2E2E2"/>
            <w:tcMar>
              <w:top w:w="40" w:type="dxa"/>
              <w:left w:w="20" w:type="dxa"/>
              <w:bottom w:w="40" w:type="dxa"/>
              <w:right w:w="0" w:type="dxa"/>
            </w:tcMar>
            <w:vAlign w:val="bottom"/>
          </w:tcPr>
          <w:p w14:paraId="64302AA9" w14:textId="77777777" w:rsidR="009F6D8A" w:rsidRDefault="00C50974">
            <w:pPr>
              <w:jc w:val="right"/>
              <w:textAlignment w:val="bottom"/>
            </w:pPr>
            <w:r>
              <w:rPr>
                <w:rFonts w:ascii="Arial" w:eastAsia="宋体" w:hAnsi="Arial" w:cs="Arial"/>
                <w:color w:val="000000"/>
                <w:sz w:val="17"/>
                <w:szCs w:val="17"/>
              </w:rPr>
              <w:t>786 </w:t>
            </w:r>
          </w:p>
        </w:tc>
        <w:tc>
          <w:tcPr>
            <w:tcW w:w="0" w:type="auto"/>
            <w:shd w:val="clear" w:color="auto" w:fill="E2E2E2"/>
            <w:tcMar>
              <w:top w:w="40" w:type="dxa"/>
              <w:left w:w="0" w:type="dxa"/>
              <w:bottom w:w="40" w:type="dxa"/>
              <w:right w:w="20" w:type="dxa"/>
            </w:tcMar>
            <w:vAlign w:val="bottom"/>
          </w:tcPr>
          <w:p w14:paraId="64302AA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AAB"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AAC" w14:textId="77777777" w:rsidR="009F6D8A" w:rsidRDefault="00C50974">
            <w:pPr>
              <w:jc w:val="right"/>
              <w:textAlignment w:val="bottom"/>
            </w:pPr>
            <w:r>
              <w:rPr>
                <w:rFonts w:ascii="Arial" w:eastAsia="宋体" w:hAnsi="Arial" w:cs="Arial"/>
                <w:color w:val="000000"/>
                <w:sz w:val="17"/>
                <w:szCs w:val="17"/>
              </w:rPr>
              <w:t>855 </w:t>
            </w:r>
          </w:p>
        </w:tc>
        <w:tc>
          <w:tcPr>
            <w:tcW w:w="0" w:type="auto"/>
            <w:shd w:val="clear" w:color="auto" w:fill="E2E2E2"/>
            <w:tcMar>
              <w:top w:w="40" w:type="dxa"/>
              <w:left w:w="0" w:type="dxa"/>
              <w:bottom w:w="40" w:type="dxa"/>
              <w:right w:w="20" w:type="dxa"/>
            </w:tcMar>
            <w:vAlign w:val="bottom"/>
          </w:tcPr>
          <w:p w14:paraId="64302AAD" w14:textId="77777777" w:rsidR="009F6D8A" w:rsidRDefault="009F6D8A">
            <w:pPr>
              <w:jc w:val="right"/>
              <w:rPr>
                <w:rFonts w:ascii="宋体"/>
              </w:rPr>
            </w:pPr>
          </w:p>
        </w:tc>
      </w:tr>
      <w:tr w:rsidR="009F6D8A" w14:paraId="64302AB5" w14:textId="77777777">
        <w:trPr>
          <w:jc w:val="center"/>
        </w:trPr>
        <w:tc>
          <w:tcPr>
            <w:tcW w:w="0" w:type="auto"/>
            <w:gridSpan w:val="3"/>
            <w:shd w:val="clear" w:color="auto" w:fill="FFFFFF"/>
            <w:tcMar>
              <w:top w:w="40" w:type="dxa"/>
              <w:left w:w="515" w:type="dxa"/>
              <w:bottom w:w="40" w:type="dxa"/>
              <w:right w:w="20" w:type="dxa"/>
            </w:tcMar>
            <w:vAlign w:val="bottom"/>
          </w:tcPr>
          <w:p w14:paraId="64302AAF" w14:textId="77777777" w:rsidR="009F6D8A" w:rsidRDefault="00C50974">
            <w:pPr>
              <w:textAlignment w:val="bottom"/>
            </w:pPr>
            <w:r>
              <w:rPr>
                <w:rFonts w:ascii="Arial" w:eastAsia="宋体" w:hAnsi="Arial" w:cs="Arial"/>
                <w:color w:val="000000"/>
                <w:sz w:val="17"/>
                <w:szCs w:val="17"/>
              </w:rPr>
              <w:t xml:space="preserve">Current </w:t>
            </w:r>
            <w:r>
              <w:rPr>
                <w:rFonts w:ascii="Arial" w:eastAsia="宋体" w:hAnsi="Arial" w:cs="Arial"/>
                <w:color w:val="000000"/>
                <w:sz w:val="17"/>
                <w:szCs w:val="17"/>
              </w:rPr>
              <w:t>liabilities of discontinued operations</w:t>
            </w:r>
          </w:p>
        </w:tc>
        <w:tc>
          <w:tcPr>
            <w:tcW w:w="0" w:type="auto"/>
            <w:gridSpan w:val="2"/>
            <w:shd w:val="clear" w:color="auto" w:fill="FFFFFF"/>
            <w:tcMar>
              <w:top w:w="40" w:type="dxa"/>
              <w:left w:w="20" w:type="dxa"/>
              <w:bottom w:w="40" w:type="dxa"/>
              <w:right w:w="0" w:type="dxa"/>
            </w:tcMar>
            <w:vAlign w:val="bottom"/>
          </w:tcPr>
          <w:p w14:paraId="64302AB0" w14:textId="77777777" w:rsidR="009F6D8A" w:rsidRDefault="00C50974">
            <w:pPr>
              <w:jc w:val="right"/>
              <w:textAlignment w:val="bottom"/>
            </w:pPr>
            <w:r>
              <w:rPr>
                <w:rFonts w:ascii="Arial" w:eastAsia="宋体" w:hAnsi="Arial" w:cs="Arial"/>
                <w:color w:val="000000"/>
                <w:sz w:val="17"/>
                <w:szCs w:val="17"/>
              </w:rPr>
              <w:t>— </w:t>
            </w:r>
          </w:p>
        </w:tc>
        <w:tc>
          <w:tcPr>
            <w:tcW w:w="0" w:type="auto"/>
            <w:shd w:val="clear" w:color="auto" w:fill="FFFFFF"/>
            <w:tcMar>
              <w:top w:w="40" w:type="dxa"/>
              <w:left w:w="0" w:type="dxa"/>
              <w:bottom w:w="40" w:type="dxa"/>
              <w:right w:w="20" w:type="dxa"/>
            </w:tcMar>
            <w:vAlign w:val="bottom"/>
          </w:tcPr>
          <w:p w14:paraId="64302AB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AB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AB3" w14:textId="77777777" w:rsidR="009F6D8A" w:rsidRDefault="00C50974">
            <w:pPr>
              <w:jc w:val="right"/>
              <w:textAlignment w:val="bottom"/>
            </w:pPr>
            <w:r>
              <w:rPr>
                <w:rFonts w:ascii="Arial" w:eastAsia="宋体" w:hAnsi="Arial" w:cs="Arial"/>
                <w:color w:val="000000"/>
                <w:sz w:val="17"/>
                <w:szCs w:val="17"/>
              </w:rPr>
              <w:t>452 </w:t>
            </w:r>
          </w:p>
        </w:tc>
        <w:tc>
          <w:tcPr>
            <w:tcW w:w="0" w:type="auto"/>
            <w:shd w:val="clear" w:color="auto" w:fill="FFFFFF"/>
            <w:tcMar>
              <w:top w:w="40" w:type="dxa"/>
              <w:left w:w="0" w:type="dxa"/>
              <w:bottom w:w="40" w:type="dxa"/>
              <w:right w:w="20" w:type="dxa"/>
            </w:tcMar>
            <w:vAlign w:val="bottom"/>
          </w:tcPr>
          <w:p w14:paraId="64302AB4" w14:textId="77777777" w:rsidR="009F6D8A" w:rsidRDefault="009F6D8A">
            <w:pPr>
              <w:jc w:val="right"/>
              <w:rPr>
                <w:rFonts w:ascii="宋体"/>
              </w:rPr>
            </w:pPr>
          </w:p>
        </w:tc>
      </w:tr>
      <w:tr w:rsidR="009F6D8A" w14:paraId="64302ABC" w14:textId="77777777">
        <w:trPr>
          <w:jc w:val="center"/>
        </w:trPr>
        <w:tc>
          <w:tcPr>
            <w:tcW w:w="0" w:type="auto"/>
            <w:gridSpan w:val="3"/>
            <w:shd w:val="clear" w:color="auto" w:fill="E2E2E2"/>
            <w:tcMar>
              <w:top w:w="40" w:type="dxa"/>
              <w:left w:w="965" w:type="dxa"/>
              <w:bottom w:w="40" w:type="dxa"/>
              <w:right w:w="20" w:type="dxa"/>
            </w:tcMar>
            <w:vAlign w:val="bottom"/>
          </w:tcPr>
          <w:p w14:paraId="64302AB6" w14:textId="77777777" w:rsidR="009F6D8A" w:rsidRDefault="00C50974">
            <w:pPr>
              <w:textAlignment w:val="bottom"/>
            </w:pPr>
            <w:r>
              <w:rPr>
                <w:rFonts w:ascii="Arial" w:eastAsia="宋体" w:hAnsi="Arial" w:cs="Arial"/>
                <w:color w:val="000000"/>
                <w:sz w:val="17"/>
                <w:szCs w:val="17"/>
              </w:rPr>
              <w:t>Total current liabilities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AB7" w14:textId="77777777" w:rsidR="009F6D8A" w:rsidRDefault="00C50974">
            <w:pPr>
              <w:jc w:val="right"/>
              <w:textAlignment w:val="bottom"/>
            </w:pPr>
            <w:r>
              <w:rPr>
                <w:rFonts w:ascii="Arial" w:eastAsia="宋体" w:hAnsi="Arial" w:cs="Arial"/>
                <w:color w:val="000000"/>
                <w:sz w:val="17"/>
                <w:szCs w:val="17"/>
              </w:rPr>
              <w:t>5,063 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AB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AB9"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ABA" w14:textId="77777777" w:rsidR="009F6D8A" w:rsidRDefault="00C50974">
            <w:pPr>
              <w:jc w:val="right"/>
              <w:textAlignment w:val="bottom"/>
            </w:pPr>
            <w:r>
              <w:rPr>
                <w:rFonts w:ascii="Arial" w:eastAsia="宋体" w:hAnsi="Arial" w:cs="Arial"/>
                <w:color w:val="000000"/>
                <w:sz w:val="17"/>
                <w:szCs w:val="17"/>
              </w:rPr>
              <w:t>4,002 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ABB" w14:textId="77777777" w:rsidR="009F6D8A" w:rsidRDefault="009F6D8A">
            <w:pPr>
              <w:jc w:val="right"/>
              <w:rPr>
                <w:rFonts w:ascii="宋体"/>
              </w:rPr>
            </w:pPr>
          </w:p>
        </w:tc>
      </w:tr>
      <w:tr w:rsidR="009F6D8A" w14:paraId="64302AC3" w14:textId="77777777">
        <w:trPr>
          <w:jc w:val="center"/>
        </w:trPr>
        <w:tc>
          <w:tcPr>
            <w:tcW w:w="0" w:type="auto"/>
            <w:gridSpan w:val="3"/>
            <w:shd w:val="clear" w:color="auto" w:fill="FFFFFF"/>
            <w:tcMar>
              <w:top w:w="40" w:type="dxa"/>
              <w:left w:w="20" w:type="dxa"/>
              <w:bottom w:w="40" w:type="dxa"/>
              <w:right w:w="20" w:type="dxa"/>
            </w:tcMar>
            <w:vAlign w:val="bottom"/>
          </w:tcPr>
          <w:p w14:paraId="64302ABD" w14:textId="77777777" w:rsidR="009F6D8A" w:rsidRDefault="00C50974">
            <w:pPr>
              <w:textAlignment w:val="bottom"/>
            </w:pPr>
            <w:r>
              <w:rPr>
                <w:rFonts w:ascii="Arial" w:eastAsia="宋体" w:hAnsi="Arial" w:cs="Arial"/>
                <w:color w:val="000000"/>
                <w:sz w:val="17"/>
                <w:szCs w:val="17"/>
              </w:rPr>
              <w:t>Operating lease liabilities</w:t>
            </w:r>
          </w:p>
        </w:tc>
        <w:tc>
          <w:tcPr>
            <w:tcW w:w="0" w:type="auto"/>
            <w:gridSpan w:val="2"/>
            <w:shd w:val="clear" w:color="auto" w:fill="FFFFFF"/>
            <w:tcMar>
              <w:top w:w="40" w:type="dxa"/>
              <w:left w:w="20" w:type="dxa"/>
              <w:bottom w:w="40" w:type="dxa"/>
              <w:right w:w="0" w:type="dxa"/>
            </w:tcMar>
            <w:vAlign w:val="bottom"/>
          </w:tcPr>
          <w:p w14:paraId="64302ABE" w14:textId="77777777" w:rsidR="009F6D8A" w:rsidRDefault="00C50974">
            <w:pPr>
              <w:jc w:val="right"/>
              <w:textAlignment w:val="bottom"/>
            </w:pPr>
            <w:r>
              <w:rPr>
                <w:rFonts w:ascii="Arial" w:eastAsia="宋体" w:hAnsi="Arial" w:cs="Arial"/>
                <w:color w:val="000000"/>
                <w:sz w:val="17"/>
                <w:szCs w:val="17"/>
              </w:rPr>
              <w:t>255 </w:t>
            </w:r>
          </w:p>
        </w:tc>
        <w:tc>
          <w:tcPr>
            <w:tcW w:w="0" w:type="auto"/>
            <w:shd w:val="clear" w:color="auto" w:fill="FFFFFF"/>
            <w:tcMar>
              <w:top w:w="40" w:type="dxa"/>
              <w:left w:w="0" w:type="dxa"/>
              <w:bottom w:w="40" w:type="dxa"/>
              <w:right w:w="20" w:type="dxa"/>
            </w:tcMar>
            <w:vAlign w:val="bottom"/>
          </w:tcPr>
          <w:p w14:paraId="64302AB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AC0"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AC1" w14:textId="77777777" w:rsidR="009F6D8A" w:rsidRDefault="00C50974">
            <w:pPr>
              <w:jc w:val="right"/>
              <w:textAlignment w:val="bottom"/>
            </w:pPr>
            <w:r>
              <w:rPr>
                <w:rFonts w:ascii="Arial" w:eastAsia="宋体" w:hAnsi="Arial" w:cs="Arial"/>
                <w:color w:val="000000"/>
                <w:sz w:val="17"/>
                <w:szCs w:val="17"/>
              </w:rPr>
              <w:t>316 </w:t>
            </w:r>
          </w:p>
        </w:tc>
        <w:tc>
          <w:tcPr>
            <w:tcW w:w="0" w:type="auto"/>
            <w:shd w:val="clear" w:color="auto" w:fill="FFFFFF"/>
            <w:tcMar>
              <w:top w:w="40" w:type="dxa"/>
              <w:left w:w="0" w:type="dxa"/>
              <w:bottom w:w="40" w:type="dxa"/>
              <w:right w:w="20" w:type="dxa"/>
            </w:tcMar>
            <w:vAlign w:val="bottom"/>
          </w:tcPr>
          <w:p w14:paraId="64302AC2" w14:textId="77777777" w:rsidR="009F6D8A" w:rsidRDefault="009F6D8A">
            <w:pPr>
              <w:jc w:val="right"/>
              <w:rPr>
                <w:rFonts w:ascii="宋体"/>
              </w:rPr>
            </w:pPr>
          </w:p>
        </w:tc>
      </w:tr>
      <w:tr w:rsidR="009F6D8A" w14:paraId="64302ACA" w14:textId="77777777">
        <w:trPr>
          <w:jc w:val="center"/>
        </w:trPr>
        <w:tc>
          <w:tcPr>
            <w:tcW w:w="0" w:type="auto"/>
            <w:gridSpan w:val="3"/>
            <w:shd w:val="clear" w:color="auto" w:fill="E2E2E2"/>
            <w:tcMar>
              <w:top w:w="40" w:type="dxa"/>
              <w:left w:w="20" w:type="dxa"/>
              <w:bottom w:w="40" w:type="dxa"/>
              <w:right w:w="20" w:type="dxa"/>
            </w:tcMar>
            <w:vAlign w:val="bottom"/>
          </w:tcPr>
          <w:p w14:paraId="64302AC4" w14:textId="77777777" w:rsidR="009F6D8A" w:rsidRDefault="00C50974">
            <w:pPr>
              <w:textAlignment w:val="bottom"/>
            </w:pPr>
            <w:r>
              <w:rPr>
                <w:rFonts w:ascii="Arial" w:eastAsia="宋体" w:hAnsi="Arial" w:cs="Arial"/>
                <w:color w:val="000000"/>
                <w:sz w:val="17"/>
                <w:szCs w:val="17"/>
              </w:rPr>
              <w:t>Deferred tax liabilities</w:t>
            </w:r>
          </w:p>
        </w:tc>
        <w:tc>
          <w:tcPr>
            <w:tcW w:w="0" w:type="auto"/>
            <w:gridSpan w:val="2"/>
            <w:shd w:val="clear" w:color="auto" w:fill="E2E2E2"/>
            <w:tcMar>
              <w:top w:w="40" w:type="dxa"/>
              <w:left w:w="20" w:type="dxa"/>
              <w:bottom w:w="40" w:type="dxa"/>
              <w:right w:w="0" w:type="dxa"/>
            </w:tcMar>
            <w:vAlign w:val="bottom"/>
          </w:tcPr>
          <w:p w14:paraId="64302AC5" w14:textId="77777777" w:rsidR="009F6D8A" w:rsidRDefault="00C50974">
            <w:pPr>
              <w:jc w:val="right"/>
              <w:textAlignment w:val="bottom"/>
            </w:pPr>
            <w:r>
              <w:rPr>
                <w:rFonts w:ascii="Arial" w:eastAsia="宋体" w:hAnsi="Arial" w:cs="Arial"/>
                <w:color w:val="000000"/>
                <w:sz w:val="17"/>
                <w:szCs w:val="17"/>
              </w:rPr>
              <w:t>4,002 </w:t>
            </w:r>
          </w:p>
        </w:tc>
        <w:tc>
          <w:tcPr>
            <w:tcW w:w="0" w:type="auto"/>
            <w:shd w:val="clear" w:color="auto" w:fill="E2E2E2"/>
            <w:tcMar>
              <w:top w:w="40" w:type="dxa"/>
              <w:left w:w="0" w:type="dxa"/>
              <w:bottom w:w="40" w:type="dxa"/>
              <w:right w:w="20" w:type="dxa"/>
            </w:tcMar>
            <w:vAlign w:val="bottom"/>
          </w:tcPr>
          <w:p w14:paraId="64302AC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AC7"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AC8" w14:textId="77777777" w:rsidR="009F6D8A" w:rsidRDefault="00C50974">
            <w:pPr>
              <w:jc w:val="right"/>
              <w:textAlignment w:val="bottom"/>
            </w:pPr>
            <w:r>
              <w:rPr>
                <w:rFonts w:ascii="Arial" w:eastAsia="宋体" w:hAnsi="Arial" w:cs="Arial"/>
                <w:color w:val="000000"/>
                <w:sz w:val="17"/>
                <w:szCs w:val="17"/>
              </w:rPr>
              <w:t>2,368 </w:t>
            </w:r>
          </w:p>
        </w:tc>
        <w:tc>
          <w:tcPr>
            <w:tcW w:w="0" w:type="auto"/>
            <w:shd w:val="clear" w:color="auto" w:fill="E2E2E2"/>
            <w:tcMar>
              <w:top w:w="40" w:type="dxa"/>
              <w:left w:w="0" w:type="dxa"/>
              <w:bottom w:w="40" w:type="dxa"/>
              <w:right w:w="20" w:type="dxa"/>
            </w:tcMar>
            <w:vAlign w:val="bottom"/>
          </w:tcPr>
          <w:p w14:paraId="64302AC9" w14:textId="77777777" w:rsidR="009F6D8A" w:rsidRDefault="009F6D8A">
            <w:pPr>
              <w:jc w:val="right"/>
              <w:rPr>
                <w:rFonts w:ascii="宋体"/>
              </w:rPr>
            </w:pPr>
          </w:p>
        </w:tc>
      </w:tr>
      <w:tr w:rsidR="009F6D8A" w14:paraId="64302AD1" w14:textId="77777777">
        <w:trPr>
          <w:jc w:val="center"/>
        </w:trPr>
        <w:tc>
          <w:tcPr>
            <w:tcW w:w="0" w:type="auto"/>
            <w:gridSpan w:val="3"/>
            <w:shd w:val="clear" w:color="auto" w:fill="FFFFFF"/>
            <w:tcMar>
              <w:top w:w="40" w:type="dxa"/>
              <w:left w:w="20" w:type="dxa"/>
              <w:bottom w:w="40" w:type="dxa"/>
              <w:right w:w="20" w:type="dxa"/>
            </w:tcMar>
            <w:vAlign w:val="bottom"/>
          </w:tcPr>
          <w:p w14:paraId="64302ACB" w14:textId="77777777" w:rsidR="009F6D8A" w:rsidRDefault="00C50974">
            <w:pPr>
              <w:textAlignment w:val="bottom"/>
            </w:pPr>
            <w:r>
              <w:rPr>
                <w:rFonts w:ascii="Arial" w:eastAsia="宋体" w:hAnsi="Arial" w:cs="Arial"/>
                <w:color w:val="000000"/>
                <w:sz w:val="17"/>
                <w:szCs w:val="17"/>
              </w:rPr>
              <w:t>Long-term debt</w:t>
            </w:r>
          </w:p>
        </w:tc>
        <w:tc>
          <w:tcPr>
            <w:tcW w:w="0" w:type="auto"/>
            <w:gridSpan w:val="2"/>
            <w:shd w:val="clear" w:color="auto" w:fill="FFFFFF"/>
            <w:tcMar>
              <w:top w:w="40" w:type="dxa"/>
              <w:left w:w="20" w:type="dxa"/>
              <w:bottom w:w="40" w:type="dxa"/>
              <w:right w:w="0" w:type="dxa"/>
            </w:tcMar>
            <w:vAlign w:val="bottom"/>
          </w:tcPr>
          <w:p w14:paraId="64302ACC" w14:textId="77777777" w:rsidR="009F6D8A" w:rsidRDefault="00C50974">
            <w:pPr>
              <w:jc w:val="right"/>
              <w:textAlignment w:val="bottom"/>
            </w:pPr>
            <w:r>
              <w:rPr>
                <w:rFonts w:ascii="Arial" w:eastAsia="宋体" w:hAnsi="Arial" w:cs="Arial"/>
                <w:color w:val="000000"/>
                <w:sz w:val="17"/>
                <w:szCs w:val="17"/>
              </w:rPr>
              <w:t>8,331 </w:t>
            </w:r>
          </w:p>
        </w:tc>
        <w:tc>
          <w:tcPr>
            <w:tcW w:w="0" w:type="auto"/>
            <w:shd w:val="clear" w:color="auto" w:fill="FFFFFF"/>
            <w:tcMar>
              <w:top w:w="40" w:type="dxa"/>
              <w:left w:w="0" w:type="dxa"/>
              <w:bottom w:w="40" w:type="dxa"/>
              <w:right w:w="20" w:type="dxa"/>
            </w:tcMar>
            <w:vAlign w:val="bottom"/>
          </w:tcPr>
          <w:p w14:paraId="64302AC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ACE"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ACF" w14:textId="77777777" w:rsidR="009F6D8A" w:rsidRDefault="00C50974">
            <w:pPr>
              <w:jc w:val="right"/>
              <w:textAlignment w:val="bottom"/>
            </w:pPr>
            <w:r>
              <w:rPr>
                <w:rFonts w:ascii="Arial" w:eastAsia="宋体" w:hAnsi="Arial" w:cs="Arial"/>
                <w:color w:val="000000"/>
                <w:sz w:val="17"/>
                <w:szCs w:val="17"/>
              </w:rPr>
              <w:t>7,740 </w:t>
            </w:r>
          </w:p>
        </w:tc>
        <w:tc>
          <w:tcPr>
            <w:tcW w:w="0" w:type="auto"/>
            <w:shd w:val="clear" w:color="auto" w:fill="FFFFFF"/>
            <w:tcMar>
              <w:top w:w="40" w:type="dxa"/>
              <w:left w:w="0" w:type="dxa"/>
              <w:bottom w:w="40" w:type="dxa"/>
              <w:right w:w="20" w:type="dxa"/>
            </w:tcMar>
            <w:vAlign w:val="bottom"/>
          </w:tcPr>
          <w:p w14:paraId="64302AD0" w14:textId="77777777" w:rsidR="009F6D8A" w:rsidRDefault="009F6D8A">
            <w:pPr>
              <w:jc w:val="right"/>
              <w:rPr>
                <w:rFonts w:ascii="宋体"/>
              </w:rPr>
            </w:pPr>
          </w:p>
        </w:tc>
      </w:tr>
      <w:tr w:rsidR="009F6D8A" w14:paraId="64302AD8" w14:textId="77777777">
        <w:trPr>
          <w:jc w:val="center"/>
        </w:trPr>
        <w:tc>
          <w:tcPr>
            <w:tcW w:w="0" w:type="auto"/>
            <w:gridSpan w:val="3"/>
            <w:shd w:val="clear" w:color="auto" w:fill="E2E2E2"/>
            <w:tcMar>
              <w:top w:w="40" w:type="dxa"/>
              <w:left w:w="20" w:type="dxa"/>
              <w:bottom w:w="40" w:type="dxa"/>
              <w:right w:w="20" w:type="dxa"/>
            </w:tcMar>
            <w:vAlign w:val="bottom"/>
          </w:tcPr>
          <w:p w14:paraId="64302AD2" w14:textId="77777777" w:rsidR="009F6D8A" w:rsidRDefault="00C50974">
            <w:pPr>
              <w:textAlignment w:val="bottom"/>
            </w:pPr>
            <w:r>
              <w:rPr>
                <w:rFonts w:ascii="Arial" w:eastAsia="宋体" w:hAnsi="Arial" w:cs="Arial"/>
                <w:color w:val="000000"/>
                <w:sz w:val="17"/>
                <w:szCs w:val="17"/>
              </w:rPr>
              <w:t>Other liabilities</w:t>
            </w:r>
          </w:p>
        </w:tc>
        <w:tc>
          <w:tcPr>
            <w:tcW w:w="0" w:type="auto"/>
            <w:gridSpan w:val="2"/>
            <w:shd w:val="clear" w:color="auto" w:fill="E2E2E2"/>
            <w:tcMar>
              <w:top w:w="40" w:type="dxa"/>
              <w:left w:w="20" w:type="dxa"/>
              <w:bottom w:w="40" w:type="dxa"/>
              <w:right w:w="0" w:type="dxa"/>
            </w:tcMar>
            <w:vAlign w:val="bottom"/>
          </w:tcPr>
          <w:p w14:paraId="64302AD3" w14:textId="77777777" w:rsidR="009F6D8A" w:rsidRDefault="00C50974">
            <w:pPr>
              <w:jc w:val="right"/>
              <w:textAlignment w:val="bottom"/>
            </w:pPr>
            <w:r>
              <w:rPr>
                <w:rFonts w:ascii="Arial" w:eastAsia="宋体" w:hAnsi="Arial" w:cs="Arial"/>
                <w:color w:val="000000"/>
                <w:sz w:val="17"/>
                <w:szCs w:val="17"/>
              </w:rPr>
              <w:t>1,156 </w:t>
            </w:r>
          </w:p>
        </w:tc>
        <w:tc>
          <w:tcPr>
            <w:tcW w:w="0" w:type="auto"/>
            <w:shd w:val="clear" w:color="auto" w:fill="E2E2E2"/>
            <w:tcMar>
              <w:top w:w="40" w:type="dxa"/>
              <w:left w:w="0" w:type="dxa"/>
              <w:bottom w:w="40" w:type="dxa"/>
              <w:right w:w="20" w:type="dxa"/>
            </w:tcMar>
            <w:vAlign w:val="bottom"/>
          </w:tcPr>
          <w:p w14:paraId="64302AD4"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AD5"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AD6" w14:textId="77777777" w:rsidR="009F6D8A" w:rsidRDefault="00C50974">
            <w:pPr>
              <w:jc w:val="right"/>
              <w:textAlignment w:val="bottom"/>
            </w:pPr>
            <w:r>
              <w:rPr>
                <w:rFonts w:ascii="Arial" w:eastAsia="宋体" w:hAnsi="Arial" w:cs="Arial"/>
                <w:color w:val="000000"/>
                <w:sz w:val="17"/>
                <w:szCs w:val="17"/>
              </w:rPr>
              <w:t>1,260 </w:t>
            </w:r>
          </w:p>
        </w:tc>
        <w:tc>
          <w:tcPr>
            <w:tcW w:w="0" w:type="auto"/>
            <w:shd w:val="clear" w:color="auto" w:fill="E2E2E2"/>
            <w:tcMar>
              <w:top w:w="40" w:type="dxa"/>
              <w:left w:w="0" w:type="dxa"/>
              <w:bottom w:w="40" w:type="dxa"/>
              <w:right w:w="20" w:type="dxa"/>
            </w:tcMar>
            <w:vAlign w:val="bottom"/>
          </w:tcPr>
          <w:p w14:paraId="64302AD7" w14:textId="77777777" w:rsidR="009F6D8A" w:rsidRDefault="009F6D8A">
            <w:pPr>
              <w:jc w:val="right"/>
              <w:rPr>
                <w:rFonts w:ascii="宋体"/>
              </w:rPr>
            </w:pPr>
          </w:p>
        </w:tc>
      </w:tr>
      <w:tr w:rsidR="009F6D8A" w14:paraId="64302ADF" w14:textId="77777777">
        <w:trPr>
          <w:jc w:val="center"/>
        </w:trPr>
        <w:tc>
          <w:tcPr>
            <w:tcW w:w="0" w:type="auto"/>
            <w:gridSpan w:val="3"/>
            <w:shd w:val="clear" w:color="auto" w:fill="FFFFFF"/>
            <w:tcMar>
              <w:top w:w="40" w:type="dxa"/>
              <w:left w:w="20" w:type="dxa"/>
              <w:bottom w:w="40" w:type="dxa"/>
              <w:right w:w="20" w:type="dxa"/>
            </w:tcMar>
            <w:vAlign w:val="bottom"/>
          </w:tcPr>
          <w:p w14:paraId="64302AD9" w14:textId="77777777" w:rsidR="009F6D8A" w:rsidRDefault="00C50974">
            <w:pPr>
              <w:textAlignment w:val="bottom"/>
            </w:pPr>
            <w:r>
              <w:rPr>
                <w:rFonts w:ascii="Arial" w:eastAsia="宋体" w:hAnsi="Arial" w:cs="Arial"/>
                <w:color w:val="000000"/>
                <w:sz w:val="17"/>
                <w:szCs w:val="17"/>
              </w:rPr>
              <w:t>Long-term liabilities held for sale</w:t>
            </w:r>
          </w:p>
        </w:tc>
        <w:tc>
          <w:tcPr>
            <w:tcW w:w="0" w:type="auto"/>
            <w:gridSpan w:val="2"/>
            <w:shd w:val="clear" w:color="auto" w:fill="FFFFFF"/>
            <w:tcMar>
              <w:top w:w="40" w:type="dxa"/>
              <w:left w:w="20" w:type="dxa"/>
              <w:bottom w:w="40" w:type="dxa"/>
              <w:right w:w="0" w:type="dxa"/>
            </w:tcMar>
            <w:vAlign w:val="bottom"/>
          </w:tcPr>
          <w:p w14:paraId="64302ADA" w14:textId="77777777" w:rsidR="009F6D8A" w:rsidRDefault="00C50974">
            <w:pPr>
              <w:jc w:val="right"/>
              <w:textAlignment w:val="bottom"/>
            </w:pPr>
            <w:r>
              <w:rPr>
                <w:rFonts w:ascii="Arial" w:eastAsia="宋体" w:hAnsi="Arial" w:cs="Arial"/>
                <w:color w:val="000000"/>
                <w:sz w:val="17"/>
                <w:szCs w:val="17"/>
              </w:rPr>
              <w:t>— </w:t>
            </w:r>
          </w:p>
        </w:tc>
        <w:tc>
          <w:tcPr>
            <w:tcW w:w="0" w:type="auto"/>
            <w:shd w:val="clear" w:color="auto" w:fill="FFFFFF"/>
            <w:tcMar>
              <w:top w:w="40" w:type="dxa"/>
              <w:left w:w="0" w:type="dxa"/>
              <w:bottom w:w="40" w:type="dxa"/>
              <w:right w:w="20" w:type="dxa"/>
            </w:tcMar>
            <w:vAlign w:val="bottom"/>
          </w:tcPr>
          <w:p w14:paraId="64302AD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ADC"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ADD" w14:textId="77777777" w:rsidR="009F6D8A" w:rsidRDefault="00C50974">
            <w:pPr>
              <w:jc w:val="right"/>
              <w:textAlignment w:val="bottom"/>
            </w:pPr>
            <w:r>
              <w:rPr>
                <w:rFonts w:ascii="Arial" w:eastAsia="宋体" w:hAnsi="Arial" w:cs="Arial"/>
                <w:color w:val="000000"/>
                <w:sz w:val="17"/>
                <w:szCs w:val="17"/>
              </w:rPr>
              <w:t>63 </w:t>
            </w:r>
          </w:p>
        </w:tc>
        <w:tc>
          <w:tcPr>
            <w:tcW w:w="0" w:type="auto"/>
            <w:shd w:val="clear" w:color="auto" w:fill="FFFFFF"/>
            <w:tcMar>
              <w:top w:w="40" w:type="dxa"/>
              <w:left w:w="0" w:type="dxa"/>
              <w:bottom w:w="40" w:type="dxa"/>
              <w:right w:w="20" w:type="dxa"/>
            </w:tcMar>
            <w:vAlign w:val="bottom"/>
          </w:tcPr>
          <w:p w14:paraId="64302ADE" w14:textId="77777777" w:rsidR="009F6D8A" w:rsidRDefault="009F6D8A">
            <w:pPr>
              <w:jc w:val="right"/>
              <w:rPr>
                <w:rFonts w:ascii="宋体"/>
              </w:rPr>
            </w:pPr>
          </w:p>
        </w:tc>
      </w:tr>
      <w:tr w:rsidR="009F6D8A" w14:paraId="64302AE4" w14:textId="77777777">
        <w:trPr>
          <w:jc w:val="center"/>
          <w:hidden/>
        </w:trPr>
        <w:tc>
          <w:tcPr>
            <w:tcW w:w="0" w:type="auto"/>
            <w:gridSpan w:val="3"/>
            <w:shd w:val="clear" w:color="auto" w:fill="auto"/>
            <w:vAlign w:val="bottom"/>
          </w:tcPr>
          <w:p w14:paraId="64302AE0" w14:textId="77777777" w:rsidR="009F6D8A" w:rsidRDefault="009F6D8A">
            <w:pPr>
              <w:rPr>
                <w:rFonts w:ascii="宋体"/>
                <w:vanish/>
              </w:rPr>
            </w:pPr>
          </w:p>
        </w:tc>
        <w:tc>
          <w:tcPr>
            <w:tcW w:w="0" w:type="auto"/>
            <w:gridSpan w:val="3"/>
            <w:shd w:val="clear" w:color="auto" w:fill="auto"/>
            <w:vAlign w:val="bottom"/>
          </w:tcPr>
          <w:p w14:paraId="64302AE1" w14:textId="77777777" w:rsidR="009F6D8A" w:rsidRDefault="009F6D8A">
            <w:pPr>
              <w:rPr>
                <w:rFonts w:ascii="宋体"/>
                <w:vanish/>
              </w:rPr>
            </w:pPr>
          </w:p>
        </w:tc>
        <w:tc>
          <w:tcPr>
            <w:tcW w:w="0" w:type="auto"/>
            <w:gridSpan w:val="3"/>
            <w:shd w:val="clear" w:color="auto" w:fill="auto"/>
            <w:vAlign w:val="bottom"/>
          </w:tcPr>
          <w:p w14:paraId="64302AE2" w14:textId="77777777" w:rsidR="009F6D8A" w:rsidRDefault="009F6D8A">
            <w:pPr>
              <w:rPr>
                <w:rFonts w:ascii="宋体"/>
                <w:vanish/>
              </w:rPr>
            </w:pPr>
          </w:p>
        </w:tc>
        <w:tc>
          <w:tcPr>
            <w:tcW w:w="0" w:type="auto"/>
            <w:gridSpan w:val="3"/>
            <w:shd w:val="clear" w:color="auto" w:fill="auto"/>
            <w:vAlign w:val="bottom"/>
          </w:tcPr>
          <w:p w14:paraId="64302AE3" w14:textId="77777777" w:rsidR="009F6D8A" w:rsidRDefault="009F6D8A">
            <w:pPr>
              <w:rPr>
                <w:rFonts w:ascii="宋体"/>
                <w:vanish/>
              </w:rPr>
            </w:pPr>
          </w:p>
        </w:tc>
      </w:tr>
      <w:tr w:rsidR="009F6D8A" w14:paraId="64302AEB" w14:textId="77777777">
        <w:trPr>
          <w:jc w:val="center"/>
        </w:trPr>
        <w:tc>
          <w:tcPr>
            <w:tcW w:w="0" w:type="auto"/>
            <w:gridSpan w:val="3"/>
            <w:shd w:val="clear" w:color="auto" w:fill="E2E2E2"/>
            <w:tcMar>
              <w:top w:w="40" w:type="dxa"/>
              <w:left w:w="965" w:type="dxa"/>
              <w:bottom w:w="40" w:type="dxa"/>
              <w:right w:w="20" w:type="dxa"/>
            </w:tcMar>
            <w:vAlign w:val="bottom"/>
          </w:tcPr>
          <w:p w14:paraId="64302AE5" w14:textId="77777777" w:rsidR="009F6D8A" w:rsidRDefault="00C50974">
            <w:pPr>
              <w:textAlignment w:val="bottom"/>
            </w:pPr>
            <w:r>
              <w:rPr>
                <w:rFonts w:ascii="Arial" w:eastAsia="宋体" w:hAnsi="Arial" w:cs="Arial"/>
                <w:color w:val="000000"/>
                <w:sz w:val="17"/>
                <w:szCs w:val="17"/>
              </w:rPr>
              <w:t>Total liabilities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AE6" w14:textId="77777777" w:rsidR="009F6D8A" w:rsidRDefault="00C50974">
            <w:pPr>
              <w:jc w:val="right"/>
              <w:textAlignment w:val="bottom"/>
            </w:pPr>
            <w:r>
              <w:rPr>
                <w:rFonts w:ascii="Arial" w:eastAsia="宋体" w:hAnsi="Arial" w:cs="Arial"/>
                <w:color w:val="000000"/>
                <w:sz w:val="17"/>
                <w:szCs w:val="17"/>
              </w:rPr>
              <w:t>18,807 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AE7"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AE8"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AE9" w14:textId="77777777" w:rsidR="009F6D8A" w:rsidRDefault="00C50974">
            <w:pPr>
              <w:jc w:val="right"/>
              <w:textAlignment w:val="bottom"/>
            </w:pPr>
            <w:r>
              <w:rPr>
                <w:rFonts w:ascii="Arial" w:eastAsia="宋体" w:hAnsi="Arial" w:cs="Arial"/>
                <w:color w:val="000000"/>
                <w:sz w:val="17"/>
                <w:szCs w:val="17"/>
              </w:rPr>
              <w:t>15,749 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AEA" w14:textId="77777777" w:rsidR="009F6D8A" w:rsidRDefault="009F6D8A">
            <w:pPr>
              <w:jc w:val="right"/>
              <w:rPr>
                <w:rFonts w:ascii="宋体"/>
              </w:rPr>
            </w:pPr>
          </w:p>
        </w:tc>
      </w:tr>
      <w:tr w:rsidR="009F6D8A" w14:paraId="64302AF0" w14:textId="77777777">
        <w:trPr>
          <w:jc w:val="center"/>
        </w:trPr>
        <w:tc>
          <w:tcPr>
            <w:tcW w:w="0" w:type="auto"/>
            <w:gridSpan w:val="3"/>
            <w:shd w:val="clear" w:color="auto" w:fill="FFFFFF"/>
            <w:tcMar>
              <w:top w:w="40" w:type="dxa"/>
              <w:left w:w="20" w:type="dxa"/>
              <w:bottom w:w="40" w:type="dxa"/>
              <w:right w:w="20" w:type="dxa"/>
            </w:tcMar>
            <w:vAlign w:val="bottom"/>
          </w:tcPr>
          <w:p w14:paraId="64302AEC" w14:textId="77777777" w:rsidR="009F6D8A" w:rsidRDefault="00C50974">
            <w:pPr>
              <w:textAlignment w:val="bottom"/>
            </w:pPr>
            <w:r>
              <w:rPr>
                <w:rFonts w:ascii="Arial" w:eastAsia="宋体" w:hAnsi="Arial" w:cs="Arial"/>
                <w:color w:val="000000"/>
                <w:sz w:val="17"/>
                <w:szCs w:val="17"/>
              </w:rPr>
              <w:t>Commitments and Contingencies (Note 11)</w:t>
            </w:r>
          </w:p>
        </w:tc>
        <w:tc>
          <w:tcPr>
            <w:tcW w:w="0" w:type="auto"/>
            <w:gridSpan w:val="3"/>
            <w:shd w:val="clear" w:color="auto" w:fill="FFFFFF"/>
            <w:tcMar>
              <w:top w:w="0" w:type="dxa"/>
              <w:left w:w="20" w:type="dxa"/>
              <w:bottom w:w="0" w:type="dxa"/>
              <w:right w:w="20" w:type="dxa"/>
            </w:tcMar>
            <w:vAlign w:val="bottom"/>
          </w:tcPr>
          <w:p w14:paraId="64302AED"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AEE"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AEF" w14:textId="77777777" w:rsidR="009F6D8A" w:rsidRDefault="009F6D8A">
            <w:pPr>
              <w:rPr>
                <w:rFonts w:ascii="宋体"/>
              </w:rPr>
            </w:pPr>
          </w:p>
        </w:tc>
      </w:tr>
      <w:tr w:rsidR="009F6D8A" w14:paraId="64302AF5" w14:textId="77777777">
        <w:trPr>
          <w:jc w:val="center"/>
        </w:trPr>
        <w:tc>
          <w:tcPr>
            <w:tcW w:w="0" w:type="auto"/>
            <w:gridSpan w:val="3"/>
            <w:shd w:val="clear" w:color="auto" w:fill="E2E2E2"/>
            <w:tcMar>
              <w:top w:w="40" w:type="dxa"/>
              <w:left w:w="20" w:type="dxa"/>
              <w:bottom w:w="40" w:type="dxa"/>
              <w:right w:w="20" w:type="dxa"/>
            </w:tcMar>
            <w:vAlign w:val="bottom"/>
          </w:tcPr>
          <w:p w14:paraId="64302AF1" w14:textId="77777777" w:rsidR="009F6D8A" w:rsidRDefault="00C50974">
            <w:pPr>
              <w:textAlignment w:val="bottom"/>
            </w:pPr>
            <w:r>
              <w:rPr>
                <w:rFonts w:ascii="Arial" w:eastAsia="宋体" w:hAnsi="Arial" w:cs="Arial"/>
                <w:color w:val="000000"/>
                <w:sz w:val="17"/>
                <w:szCs w:val="17"/>
              </w:rPr>
              <w:t>Stockholders’ equity:</w:t>
            </w:r>
          </w:p>
        </w:tc>
        <w:tc>
          <w:tcPr>
            <w:tcW w:w="0" w:type="auto"/>
            <w:gridSpan w:val="3"/>
            <w:shd w:val="clear" w:color="auto" w:fill="E2E2E2"/>
            <w:tcMar>
              <w:top w:w="0" w:type="dxa"/>
              <w:left w:w="20" w:type="dxa"/>
              <w:bottom w:w="0" w:type="dxa"/>
              <w:right w:w="20" w:type="dxa"/>
            </w:tcMar>
            <w:vAlign w:val="bottom"/>
          </w:tcPr>
          <w:p w14:paraId="64302AF2"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AF3"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AF4" w14:textId="77777777" w:rsidR="009F6D8A" w:rsidRDefault="009F6D8A">
            <w:pPr>
              <w:rPr>
                <w:rFonts w:ascii="宋体"/>
              </w:rPr>
            </w:pPr>
          </w:p>
        </w:tc>
      </w:tr>
      <w:tr w:rsidR="009F6D8A" w14:paraId="64302AFC" w14:textId="77777777">
        <w:trPr>
          <w:jc w:val="center"/>
        </w:trPr>
        <w:tc>
          <w:tcPr>
            <w:tcW w:w="0" w:type="auto"/>
            <w:gridSpan w:val="3"/>
            <w:shd w:val="clear" w:color="auto" w:fill="FFFFFF"/>
            <w:tcMar>
              <w:top w:w="40" w:type="dxa"/>
              <w:left w:w="20" w:type="dxa"/>
              <w:bottom w:w="40" w:type="dxa"/>
              <w:right w:w="20" w:type="dxa"/>
            </w:tcMar>
            <w:vAlign w:val="bottom"/>
          </w:tcPr>
          <w:p w14:paraId="64302AF6" w14:textId="77777777" w:rsidR="009F6D8A" w:rsidRDefault="00C50974">
            <w:pPr>
              <w:textAlignment w:val="bottom"/>
            </w:pPr>
            <w:r>
              <w:rPr>
                <w:rFonts w:ascii="Arial" w:eastAsia="宋体" w:hAnsi="Arial" w:cs="Arial"/>
                <w:color w:val="000000"/>
                <w:sz w:val="17"/>
                <w:szCs w:val="17"/>
              </w:rPr>
              <w:t xml:space="preserve">Common stock, $0.001 par value; 3,580 shares authorized; 661 and 684 shares </w:t>
            </w:r>
            <w:r>
              <w:rPr>
                <w:rFonts w:ascii="Arial" w:eastAsia="宋体" w:hAnsi="Arial" w:cs="Arial"/>
                <w:color w:val="000000"/>
                <w:sz w:val="17"/>
                <w:szCs w:val="17"/>
              </w:rPr>
              <w:t>outstanding</w:t>
            </w:r>
          </w:p>
        </w:tc>
        <w:tc>
          <w:tcPr>
            <w:tcW w:w="0" w:type="auto"/>
            <w:gridSpan w:val="2"/>
            <w:shd w:val="clear" w:color="auto" w:fill="FFFFFF"/>
            <w:tcMar>
              <w:top w:w="40" w:type="dxa"/>
              <w:left w:w="20" w:type="dxa"/>
              <w:bottom w:w="40" w:type="dxa"/>
              <w:right w:w="0" w:type="dxa"/>
            </w:tcMar>
            <w:vAlign w:val="bottom"/>
          </w:tcPr>
          <w:p w14:paraId="64302AF7" w14:textId="77777777" w:rsidR="009F6D8A" w:rsidRDefault="00C50974">
            <w:pPr>
              <w:jc w:val="right"/>
              <w:textAlignment w:val="bottom"/>
            </w:pPr>
            <w:r>
              <w:rPr>
                <w:rFonts w:ascii="Arial" w:eastAsia="宋体" w:hAnsi="Arial" w:cs="Arial"/>
                <w:color w:val="000000"/>
                <w:sz w:val="17"/>
                <w:szCs w:val="17"/>
              </w:rPr>
              <w:t>2 </w:t>
            </w:r>
          </w:p>
        </w:tc>
        <w:tc>
          <w:tcPr>
            <w:tcW w:w="0" w:type="auto"/>
            <w:shd w:val="clear" w:color="auto" w:fill="FFFFFF"/>
            <w:tcMar>
              <w:top w:w="40" w:type="dxa"/>
              <w:left w:w="0" w:type="dxa"/>
              <w:bottom w:w="40" w:type="dxa"/>
              <w:right w:w="20" w:type="dxa"/>
            </w:tcMar>
            <w:vAlign w:val="bottom"/>
          </w:tcPr>
          <w:p w14:paraId="64302AF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AF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AFA" w14:textId="77777777" w:rsidR="009F6D8A" w:rsidRDefault="00C50974">
            <w:pPr>
              <w:jc w:val="right"/>
              <w:textAlignment w:val="bottom"/>
            </w:pPr>
            <w:r>
              <w:rPr>
                <w:rFonts w:ascii="Arial" w:eastAsia="宋体" w:hAnsi="Arial" w:cs="Arial"/>
                <w:color w:val="000000"/>
                <w:sz w:val="17"/>
                <w:szCs w:val="17"/>
              </w:rPr>
              <w:t>2 </w:t>
            </w:r>
          </w:p>
        </w:tc>
        <w:tc>
          <w:tcPr>
            <w:tcW w:w="0" w:type="auto"/>
            <w:shd w:val="clear" w:color="auto" w:fill="FFFFFF"/>
            <w:tcMar>
              <w:top w:w="40" w:type="dxa"/>
              <w:left w:w="0" w:type="dxa"/>
              <w:bottom w:w="40" w:type="dxa"/>
              <w:right w:w="20" w:type="dxa"/>
            </w:tcMar>
            <w:vAlign w:val="bottom"/>
          </w:tcPr>
          <w:p w14:paraId="64302AFB" w14:textId="77777777" w:rsidR="009F6D8A" w:rsidRDefault="009F6D8A">
            <w:pPr>
              <w:jc w:val="right"/>
              <w:rPr>
                <w:rFonts w:ascii="宋体"/>
              </w:rPr>
            </w:pPr>
          </w:p>
        </w:tc>
      </w:tr>
      <w:tr w:rsidR="009F6D8A" w14:paraId="64302B03" w14:textId="77777777">
        <w:trPr>
          <w:jc w:val="center"/>
        </w:trPr>
        <w:tc>
          <w:tcPr>
            <w:tcW w:w="0" w:type="auto"/>
            <w:gridSpan w:val="3"/>
            <w:shd w:val="clear" w:color="auto" w:fill="E2E2E2"/>
            <w:tcMar>
              <w:top w:w="40" w:type="dxa"/>
              <w:left w:w="20" w:type="dxa"/>
              <w:bottom w:w="40" w:type="dxa"/>
              <w:right w:w="20" w:type="dxa"/>
            </w:tcMar>
            <w:vAlign w:val="bottom"/>
          </w:tcPr>
          <w:p w14:paraId="64302AFD" w14:textId="77777777" w:rsidR="009F6D8A" w:rsidRDefault="00C50974">
            <w:pPr>
              <w:textAlignment w:val="bottom"/>
            </w:pPr>
            <w:r>
              <w:rPr>
                <w:rFonts w:ascii="Arial" w:eastAsia="宋体" w:hAnsi="Arial" w:cs="Arial"/>
                <w:color w:val="000000"/>
                <w:sz w:val="17"/>
                <w:szCs w:val="17"/>
              </w:rPr>
              <w:t>Additional paid-in capital</w:t>
            </w:r>
          </w:p>
        </w:tc>
        <w:tc>
          <w:tcPr>
            <w:tcW w:w="0" w:type="auto"/>
            <w:gridSpan w:val="2"/>
            <w:shd w:val="clear" w:color="auto" w:fill="E2E2E2"/>
            <w:tcMar>
              <w:top w:w="40" w:type="dxa"/>
              <w:left w:w="20" w:type="dxa"/>
              <w:bottom w:w="40" w:type="dxa"/>
              <w:right w:w="0" w:type="dxa"/>
            </w:tcMar>
            <w:vAlign w:val="bottom"/>
          </w:tcPr>
          <w:p w14:paraId="64302AFE" w14:textId="77777777" w:rsidR="009F6D8A" w:rsidRDefault="00C50974">
            <w:pPr>
              <w:jc w:val="right"/>
              <w:textAlignment w:val="bottom"/>
            </w:pPr>
            <w:r>
              <w:rPr>
                <w:rFonts w:ascii="Arial" w:eastAsia="宋体" w:hAnsi="Arial" w:cs="Arial"/>
                <w:color w:val="000000"/>
                <w:sz w:val="17"/>
                <w:szCs w:val="17"/>
              </w:rPr>
              <w:t>16,676 </w:t>
            </w:r>
          </w:p>
        </w:tc>
        <w:tc>
          <w:tcPr>
            <w:tcW w:w="0" w:type="auto"/>
            <w:shd w:val="clear" w:color="auto" w:fill="E2E2E2"/>
            <w:tcMar>
              <w:top w:w="40" w:type="dxa"/>
              <w:left w:w="0" w:type="dxa"/>
              <w:bottom w:w="40" w:type="dxa"/>
              <w:right w:w="20" w:type="dxa"/>
            </w:tcMar>
            <w:vAlign w:val="bottom"/>
          </w:tcPr>
          <w:p w14:paraId="64302AF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00"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B01" w14:textId="77777777" w:rsidR="009F6D8A" w:rsidRDefault="00C50974">
            <w:pPr>
              <w:jc w:val="right"/>
              <w:textAlignment w:val="bottom"/>
            </w:pPr>
            <w:r>
              <w:rPr>
                <w:rFonts w:ascii="Arial" w:eastAsia="宋体" w:hAnsi="Arial" w:cs="Arial"/>
                <w:color w:val="000000"/>
                <w:sz w:val="17"/>
                <w:szCs w:val="17"/>
              </w:rPr>
              <w:t>16,497 </w:t>
            </w:r>
          </w:p>
        </w:tc>
        <w:tc>
          <w:tcPr>
            <w:tcW w:w="0" w:type="auto"/>
            <w:shd w:val="clear" w:color="auto" w:fill="E2E2E2"/>
            <w:tcMar>
              <w:top w:w="40" w:type="dxa"/>
              <w:left w:w="0" w:type="dxa"/>
              <w:bottom w:w="40" w:type="dxa"/>
              <w:right w:w="20" w:type="dxa"/>
            </w:tcMar>
            <w:vAlign w:val="bottom"/>
          </w:tcPr>
          <w:p w14:paraId="64302B02" w14:textId="77777777" w:rsidR="009F6D8A" w:rsidRDefault="009F6D8A">
            <w:pPr>
              <w:jc w:val="right"/>
              <w:rPr>
                <w:rFonts w:ascii="宋体"/>
              </w:rPr>
            </w:pPr>
          </w:p>
        </w:tc>
      </w:tr>
      <w:tr w:rsidR="009F6D8A" w14:paraId="64302B0A" w14:textId="77777777">
        <w:trPr>
          <w:jc w:val="center"/>
        </w:trPr>
        <w:tc>
          <w:tcPr>
            <w:tcW w:w="0" w:type="auto"/>
            <w:gridSpan w:val="3"/>
            <w:shd w:val="clear" w:color="auto" w:fill="FFFFFF"/>
            <w:tcMar>
              <w:top w:w="40" w:type="dxa"/>
              <w:left w:w="20" w:type="dxa"/>
              <w:bottom w:w="40" w:type="dxa"/>
              <w:right w:w="20" w:type="dxa"/>
            </w:tcMar>
            <w:vAlign w:val="bottom"/>
          </w:tcPr>
          <w:p w14:paraId="64302B04" w14:textId="77777777" w:rsidR="009F6D8A" w:rsidRDefault="00C50974">
            <w:pPr>
              <w:textAlignment w:val="bottom"/>
            </w:pPr>
            <w:r>
              <w:rPr>
                <w:rFonts w:ascii="Arial" w:eastAsia="宋体" w:hAnsi="Arial" w:cs="Arial"/>
                <w:color w:val="000000"/>
                <w:sz w:val="17"/>
                <w:szCs w:val="17"/>
              </w:rPr>
              <w:t>Treasury stock at cost, 1,050 and 1,021 shares</w:t>
            </w:r>
          </w:p>
        </w:tc>
        <w:tc>
          <w:tcPr>
            <w:tcW w:w="0" w:type="auto"/>
            <w:gridSpan w:val="2"/>
            <w:shd w:val="clear" w:color="auto" w:fill="FFFFFF"/>
            <w:tcMar>
              <w:top w:w="40" w:type="dxa"/>
              <w:left w:w="20" w:type="dxa"/>
              <w:bottom w:w="40" w:type="dxa"/>
              <w:right w:w="0" w:type="dxa"/>
            </w:tcMar>
            <w:vAlign w:val="bottom"/>
          </w:tcPr>
          <w:p w14:paraId="64302B05" w14:textId="77777777" w:rsidR="009F6D8A" w:rsidRDefault="00C50974">
            <w:pPr>
              <w:jc w:val="right"/>
              <w:textAlignment w:val="bottom"/>
            </w:pPr>
            <w:r>
              <w:rPr>
                <w:rFonts w:ascii="Arial" w:eastAsia="宋体" w:hAnsi="Arial" w:cs="Arial"/>
                <w:color w:val="000000"/>
                <w:sz w:val="17"/>
                <w:szCs w:val="17"/>
              </w:rPr>
              <w:t>(38,308)</w:t>
            </w:r>
          </w:p>
        </w:tc>
        <w:tc>
          <w:tcPr>
            <w:tcW w:w="0" w:type="auto"/>
            <w:shd w:val="clear" w:color="auto" w:fill="FFFFFF"/>
            <w:tcMar>
              <w:top w:w="40" w:type="dxa"/>
              <w:left w:w="0" w:type="dxa"/>
              <w:bottom w:w="40" w:type="dxa"/>
              <w:right w:w="20" w:type="dxa"/>
            </w:tcMar>
            <w:vAlign w:val="bottom"/>
          </w:tcPr>
          <w:p w14:paraId="64302B0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B0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B08" w14:textId="77777777" w:rsidR="009F6D8A" w:rsidRDefault="00C50974">
            <w:pPr>
              <w:jc w:val="right"/>
              <w:textAlignment w:val="bottom"/>
            </w:pPr>
            <w:r>
              <w:rPr>
                <w:rFonts w:ascii="Arial" w:eastAsia="宋体" w:hAnsi="Arial" w:cs="Arial"/>
                <w:color w:val="000000"/>
                <w:sz w:val="17"/>
                <w:szCs w:val="17"/>
              </w:rPr>
              <w:t>(36,515)</w:t>
            </w:r>
          </w:p>
        </w:tc>
        <w:tc>
          <w:tcPr>
            <w:tcW w:w="0" w:type="auto"/>
            <w:shd w:val="clear" w:color="auto" w:fill="FFFFFF"/>
            <w:tcMar>
              <w:top w:w="40" w:type="dxa"/>
              <w:left w:w="0" w:type="dxa"/>
              <w:bottom w:w="40" w:type="dxa"/>
              <w:right w:w="20" w:type="dxa"/>
            </w:tcMar>
            <w:vAlign w:val="bottom"/>
          </w:tcPr>
          <w:p w14:paraId="64302B09" w14:textId="77777777" w:rsidR="009F6D8A" w:rsidRDefault="009F6D8A">
            <w:pPr>
              <w:jc w:val="right"/>
              <w:rPr>
                <w:rFonts w:ascii="宋体"/>
              </w:rPr>
            </w:pPr>
          </w:p>
        </w:tc>
      </w:tr>
      <w:tr w:rsidR="009F6D8A" w14:paraId="64302B11" w14:textId="77777777">
        <w:trPr>
          <w:jc w:val="center"/>
        </w:trPr>
        <w:tc>
          <w:tcPr>
            <w:tcW w:w="0" w:type="auto"/>
            <w:gridSpan w:val="3"/>
            <w:shd w:val="clear" w:color="auto" w:fill="E2E2E2"/>
            <w:tcMar>
              <w:top w:w="40" w:type="dxa"/>
              <w:left w:w="20" w:type="dxa"/>
              <w:bottom w:w="40" w:type="dxa"/>
              <w:right w:w="20" w:type="dxa"/>
            </w:tcMar>
            <w:vAlign w:val="bottom"/>
          </w:tcPr>
          <w:p w14:paraId="64302B0B" w14:textId="77777777" w:rsidR="009F6D8A" w:rsidRDefault="00C50974">
            <w:pPr>
              <w:textAlignment w:val="bottom"/>
            </w:pPr>
            <w:r>
              <w:rPr>
                <w:rFonts w:ascii="Arial" w:eastAsia="宋体" w:hAnsi="Arial" w:cs="Arial"/>
                <w:color w:val="000000"/>
                <w:sz w:val="17"/>
                <w:szCs w:val="17"/>
              </w:rPr>
              <w:t>Retained earnings</w:t>
            </w:r>
          </w:p>
        </w:tc>
        <w:tc>
          <w:tcPr>
            <w:tcW w:w="0" w:type="auto"/>
            <w:gridSpan w:val="2"/>
            <w:shd w:val="clear" w:color="auto" w:fill="E2E2E2"/>
            <w:tcMar>
              <w:top w:w="40" w:type="dxa"/>
              <w:left w:w="20" w:type="dxa"/>
              <w:bottom w:w="40" w:type="dxa"/>
              <w:right w:w="0" w:type="dxa"/>
            </w:tcMar>
            <w:vAlign w:val="bottom"/>
          </w:tcPr>
          <w:p w14:paraId="64302B0C" w14:textId="77777777" w:rsidR="009F6D8A" w:rsidRDefault="00C50974">
            <w:pPr>
              <w:jc w:val="right"/>
              <w:textAlignment w:val="bottom"/>
            </w:pPr>
            <w:r>
              <w:rPr>
                <w:rFonts w:ascii="Arial" w:eastAsia="宋体" w:hAnsi="Arial" w:cs="Arial"/>
                <w:color w:val="000000"/>
                <w:sz w:val="17"/>
                <w:szCs w:val="17"/>
              </w:rPr>
              <w:t>34,086 </w:t>
            </w:r>
          </w:p>
        </w:tc>
        <w:tc>
          <w:tcPr>
            <w:tcW w:w="0" w:type="auto"/>
            <w:shd w:val="clear" w:color="auto" w:fill="E2E2E2"/>
            <w:tcMar>
              <w:top w:w="40" w:type="dxa"/>
              <w:left w:w="0" w:type="dxa"/>
              <w:bottom w:w="40" w:type="dxa"/>
              <w:right w:w="20" w:type="dxa"/>
            </w:tcMar>
            <w:vAlign w:val="bottom"/>
          </w:tcPr>
          <w:p w14:paraId="64302B0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0E"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B0F" w14:textId="77777777" w:rsidR="009F6D8A" w:rsidRDefault="00C50974">
            <w:pPr>
              <w:jc w:val="right"/>
              <w:textAlignment w:val="bottom"/>
            </w:pPr>
            <w:r>
              <w:rPr>
                <w:rFonts w:ascii="Arial" w:eastAsia="宋体" w:hAnsi="Arial" w:cs="Arial"/>
                <w:color w:val="000000"/>
                <w:sz w:val="17"/>
                <w:szCs w:val="17"/>
              </w:rPr>
              <w:t>22,961 </w:t>
            </w:r>
          </w:p>
        </w:tc>
        <w:tc>
          <w:tcPr>
            <w:tcW w:w="0" w:type="auto"/>
            <w:shd w:val="clear" w:color="auto" w:fill="E2E2E2"/>
            <w:tcMar>
              <w:top w:w="40" w:type="dxa"/>
              <w:left w:w="0" w:type="dxa"/>
              <w:bottom w:w="40" w:type="dxa"/>
              <w:right w:w="20" w:type="dxa"/>
            </w:tcMar>
            <w:vAlign w:val="bottom"/>
          </w:tcPr>
          <w:p w14:paraId="64302B10" w14:textId="77777777" w:rsidR="009F6D8A" w:rsidRDefault="009F6D8A">
            <w:pPr>
              <w:jc w:val="right"/>
              <w:rPr>
                <w:rFonts w:ascii="宋体"/>
              </w:rPr>
            </w:pPr>
          </w:p>
        </w:tc>
      </w:tr>
      <w:tr w:rsidR="009F6D8A" w14:paraId="64302B18" w14:textId="77777777">
        <w:trPr>
          <w:jc w:val="center"/>
        </w:trPr>
        <w:tc>
          <w:tcPr>
            <w:tcW w:w="0" w:type="auto"/>
            <w:gridSpan w:val="3"/>
            <w:shd w:val="clear" w:color="auto" w:fill="FFFFFF"/>
            <w:tcMar>
              <w:top w:w="40" w:type="dxa"/>
              <w:left w:w="20" w:type="dxa"/>
              <w:bottom w:w="40" w:type="dxa"/>
              <w:right w:w="20" w:type="dxa"/>
            </w:tcMar>
            <w:vAlign w:val="bottom"/>
          </w:tcPr>
          <w:p w14:paraId="64302B12" w14:textId="77777777" w:rsidR="009F6D8A" w:rsidRDefault="00C50974">
            <w:pPr>
              <w:textAlignment w:val="bottom"/>
            </w:pPr>
            <w:r>
              <w:rPr>
                <w:rFonts w:ascii="Arial" w:eastAsia="宋体" w:hAnsi="Arial" w:cs="Arial"/>
                <w:color w:val="000000"/>
                <w:sz w:val="17"/>
                <w:szCs w:val="17"/>
              </w:rPr>
              <w:t>Accumulated other comprehensive income</w:t>
            </w:r>
          </w:p>
        </w:tc>
        <w:tc>
          <w:tcPr>
            <w:tcW w:w="0" w:type="auto"/>
            <w:gridSpan w:val="2"/>
            <w:shd w:val="clear" w:color="auto" w:fill="FFFFFF"/>
            <w:tcMar>
              <w:top w:w="40" w:type="dxa"/>
              <w:left w:w="20" w:type="dxa"/>
              <w:bottom w:w="40" w:type="dxa"/>
              <w:right w:w="0" w:type="dxa"/>
            </w:tcMar>
            <w:vAlign w:val="bottom"/>
          </w:tcPr>
          <w:p w14:paraId="64302B13" w14:textId="77777777" w:rsidR="009F6D8A" w:rsidRDefault="00C50974">
            <w:pPr>
              <w:jc w:val="right"/>
              <w:textAlignment w:val="bottom"/>
            </w:pPr>
            <w:r>
              <w:rPr>
                <w:rFonts w:ascii="Arial" w:eastAsia="宋体" w:hAnsi="Arial" w:cs="Arial"/>
                <w:color w:val="000000"/>
                <w:sz w:val="17"/>
                <w:szCs w:val="17"/>
              </w:rPr>
              <w:t>560 </w:t>
            </w:r>
          </w:p>
        </w:tc>
        <w:tc>
          <w:tcPr>
            <w:tcW w:w="0" w:type="auto"/>
            <w:shd w:val="clear" w:color="auto" w:fill="FFFFFF"/>
            <w:tcMar>
              <w:top w:w="40" w:type="dxa"/>
              <w:left w:w="0" w:type="dxa"/>
              <w:bottom w:w="40" w:type="dxa"/>
              <w:right w:w="20" w:type="dxa"/>
            </w:tcMar>
            <w:vAlign w:val="bottom"/>
          </w:tcPr>
          <w:p w14:paraId="64302B1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B1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B16" w14:textId="77777777" w:rsidR="009F6D8A" w:rsidRDefault="00C50974">
            <w:pPr>
              <w:jc w:val="right"/>
              <w:textAlignment w:val="bottom"/>
            </w:pPr>
            <w:r>
              <w:rPr>
                <w:rFonts w:ascii="Arial" w:eastAsia="宋体" w:hAnsi="Arial" w:cs="Arial"/>
                <w:color w:val="000000"/>
                <w:sz w:val="17"/>
                <w:szCs w:val="17"/>
              </w:rPr>
              <w:t>616 </w:t>
            </w:r>
          </w:p>
        </w:tc>
        <w:tc>
          <w:tcPr>
            <w:tcW w:w="0" w:type="auto"/>
            <w:shd w:val="clear" w:color="auto" w:fill="FFFFFF"/>
            <w:tcMar>
              <w:top w:w="40" w:type="dxa"/>
              <w:left w:w="0" w:type="dxa"/>
              <w:bottom w:w="40" w:type="dxa"/>
              <w:right w:w="20" w:type="dxa"/>
            </w:tcMar>
            <w:vAlign w:val="bottom"/>
          </w:tcPr>
          <w:p w14:paraId="64302B17" w14:textId="77777777" w:rsidR="009F6D8A" w:rsidRDefault="009F6D8A">
            <w:pPr>
              <w:jc w:val="right"/>
              <w:rPr>
                <w:rFonts w:ascii="宋体"/>
              </w:rPr>
            </w:pPr>
          </w:p>
        </w:tc>
      </w:tr>
      <w:tr w:rsidR="009F6D8A" w14:paraId="64302B1F" w14:textId="77777777">
        <w:trPr>
          <w:jc w:val="center"/>
        </w:trPr>
        <w:tc>
          <w:tcPr>
            <w:tcW w:w="0" w:type="auto"/>
            <w:gridSpan w:val="3"/>
            <w:shd w:val="clear" w:color="auto" w:fill="E2E2E2"/>
            <w:tcMar>
              <w:top w:w="40" w:type="dxa"/>
              <w:left w:w="965" w:type="dxa"/>
              <w:bottom w:w="40" w:type="dxa"/>
              <w:right w:w="20" w:type="dxa"/>
            </w:tcMar>
            <w:vAlign w:val="bottom"/>
          </w:tcPr>
          <w:p w14:paraId="64302B19" w14:textId="77777777" w:rsidR="009F6D8A" w:rsidRDefault="00C50974">
            <w:pPr>
              <w:textAlignment w:val="bottom"/>
            </w:pPr>
            <w:r>
              <w:rPr>
                <w:rFonts w:ascii="Arial" w:eastAsia="宋体" w:hAnsi="Arial" w:cs="Arial"/>
                <w:color w:val="000000"/>
                <w:sz w:val="17"/>
                <w:szCs w:val="17"/>
              </w:rPr>
              <w:t xml:space="preserve">Total </w:t>
            </w:r>
            <w:r>
              <w:rPr>
                <w:rFonts w:ascii="Arial" w:eastAsia="宋体" w:hAnsi="Arial" w:cs="Arial"/>
                <w:color w:val="000000"/>
                <w:sz w:val="17"/>
                <w:szCs w:val="17"/>
              </w:rPr>
              <w:t>stockholders’ equity</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B1A" w14:textId="77777777" w:rsidR="009F6D8A" w:rsidRDefault="00C50974">
            <w:pPr>
              <w:jc w:val="right"/>
              <w:textAlignment w:val="bottom"/>
            </w:pPr>
            <w:r>
              <w:rPr>
                <w:rFonts w:ascii="Arial" w:eastAsia="宋体" w:hAnsi="Arial" w:cs="Arial"/>
                <w:color w:val="000000"/>
                <w:sz w:val="17"/>
                <w:szCs w:val="17"/>
              </w:rPr>
              <w:t>13,016 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B1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1C"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B1D" w14:textId="77777777" w:rsidR="009F6D8A" w:rsidRDefault="00C50974">
            <w:pPr>
              <w:jc w:val="right"/>
              <w:textAlignment w:val="bottom"/>
            </w:pPr>
            <w:r>
              <w:rPr>
                <w:rFonts w:ascii="Arial" w:eastAsia="宋体" w:hAnsi="Arial" w:cs="Arial"/>
                <w:color w:val="000000"/>
                <w:sz w:val="17"/>
                <w:szCs w:val="17"/>
              </w:rPr>
              <w:t>3,561 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B1E" w14:textId="77777777" w:rsidR="009F6D8A" w:rsidRDefault="009F6D8A">
            <w:pPr>
              <w:jc w:val="right"/>
              <w:rPr>
                <w:rFonts w:ascii="宋体"/>
              </w:rPr>
            </w:pPr>
          </w:p>
        </w:tc>
      </w:tr>
      <w:tr w:rsidR="009F6D8A" w14:paraId="64302B28" w14:textId="77777777">
        <w:trPr>
          <w:jc w:val="center"/>
        </w:trPr>
        <w:tc>
          <w:tcPr>
            <w:tcW w:w="0" w:type="auto"/>
            <w:gridSpan w:val="3"/>
            <w:shd w:val="clear" w:color="auto" w:fill="FFFFFF"/>
            <w:tcMar>
              <w:top w:w="40" w:type="dxa"/>
              <w:left w:w="515" w:type="dxa"/>
              <w:bottom w:w="40" w:type="dxa"/>
              <w:right w:w="20" w:type="dxa"/>
            </w:tcMar>
            <w:vAlign w:val="bottom"/>
          </w:tcPr>
          <w:p w14:paraId="64302B20" w14:textId="77777777" w:rsidR="009F6D8A" w:rsidRDefault="00C50974">
            <w:pPr>
              <w:textAlignment w:val="bottom"/>
            </w:pPr>
            <w:r>
              <w:rPr>
                <w:rFonts w:ascii="Arial" w:eastAsia="宋体" w:hAnsi="Arial" w:cs="Arial"/>
                <w:color w:val="000000"/>
                <w:sz w:val="17"/>
                <w:szCs w:val="17"/>
              </w:rPr>
              <w:t>Total liabilities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2B21" w14:textId="77777777" w:rsidR="009F6D8A" w:rsidRDefault="00C50974">
            <w:pPr>
              <w:textAlignment w:val="bottom"/>
            </w:pPr>
            <w:r>
              <w:rPr>
                <w:rFonts w:ascii="Arial" w:eastAsia="宋体" w:hAnsi="Arial" w:cs="Arial"/>
                <w:color w:val="000000"/>
                <w:sz w:val="17"/>
                <w:szCs w:val="17"/>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2B22" w14:textId="77777777" w:rsidR="009F6D8A" w:rsidRDefault="00C50974">
            <w:pPr>
              <w:jc w:val="right"/>
              <w:textAlignment w:val="bottom"/>
            </w:pPr>
            <w:r>
              <w:rPr>
                <w:rFonts w:ascii="Arial" w:eastAsia="宋体" w:hAnsi="Arial" w:cs="Arial"/>
                <w:color w:val="000000"/>
                <w:sz w:val="17"/>
                <w:szCs w:val="17"/>
              </w:rPr>
              <w:t>31,823 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2B2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B24"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2B25" w14:textId="77777777" w:rsidR="009F6D8A" w:rsidRDefault="00C50974">
            <w:pPr>
              <w:textAlignment w:val="bottom"/>
            </w:pPr>
            <w:r>
              <w:rPr>
                <w:rFonts w:ascii="Arial" w:eastAsia="宋体" w:hAnsi="Arial" w:cs="Arial"/>
                <w:color w:val="000000"/>
                <w:sz w:val="17"/>
                <w:szCs w:val="17"/>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2B26" w14:textId="77777777" w:rsidR="009F6D8A" w:rsidRDefault="00C50974">
            <w:pPr>
              <w:jc w:val="right"/>
              <w:textAlignment w:val="bottom"/>
            </w:pPr>
            <w:r>
              <w:rPr>
                <w:rFonts w:ascii="Arial" w:eastAsia="宋体" w:hAnsi="Arial" w:cs="Arial"/>
                <w:color w:val="000000"/>
                <w:sz w:val="17"/>
                <w:szCs w:val="17"/>
              </w:rPr>
              <w:t>19,310 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2B27" w14:textId="77777777" w:rsidR="009F6D8A" w:rsidRDefault="009F6D8A">
            <w:pPr>
              <w:jc w:val="right"/>
              <w:rPr>
                <w:rFonts w:ascii="宋体"/>
              </w:rPr>
            </w:pPr>
          </w:p>
        </w:tc>
      </w:tr>
    </w:tbl>
    <w:p w14:paraId="64302B29" w14:textId="77777777" w:rsidR="009F6D8A" w:rsidRDefault="009F6D8A">
      <w:pPr>
        <w:jc w:val="center"/>
      </w:pPr>
    </w:p>
    <w:p w14:paraId="64302B2A" w14:textId="77777777" w:rsidR="009F6D8A" w:rsidRDefault="00C50974">
      <w:pPr>
        <w:jc w:val="center"/>
      </w:pPr>
      <w:r>
        <w:rPr>
          <w:rFonts w:ascii="Arial" w:eastAsia="宋体" w:hAnsi="Arial" w:cs="Arial"/>
          <w:color w:val="000000"/>
          <w:sz w:val="18"/>
          <w:szCs w:val="18"/>
        </w:rPr>
        <w:t>The accompanying notes are an integral part of these condensed consolidated financial statements.</w:t>
      </w:r>
    </w:p>
    <w:p w14:paraId="64302B2B" w14:textId="77777777" w:rsidR="009F6D8A" w:rsidRDefault="009F6D8A">
      <w:pPr>
        <w:jc w:val="center"/>
      </w:pPr>
    </w:p>
    <w:p w14:paraId="64302B2C" w14:textId="77777777" w:rsidR="009F6D8A" w:rsidRDefault="00C50974">
      <w:pPr>
        <w:jc w:val="center"/>
      </w:pPr>
      <w:r>
        <w:rPr>
          <w:rFonts w:ascii="Arial" w:eastAsia="宋体" w:hAnsi="Arial" w:cs="Arial"/>
          <w:color w:val="000000"/>
          <w:sz w:val="20"/>
          <w:szCs w:val="20"/>
        </w:rPr>
        <w:t>2</w:t>
      </w:r>
    </w:p>
    <w:p w14:paraId="64302B2D" w14:textId="77777777" w:rsidR="009F6D8A" w:rsidRDefault="00C50974">
      <w:r>
        <w:pict w14:anchorId="64305805">
          <v:rect id="_x0000_i1026" style="width:415.3pt;height:1.5pt" o:hralign="center" o:hrstd="t" o:hr="t" fillcolor="#a0a0a0" stroked="f"/>
        </w:pict>
      </w:r>
    </w:p>
    <w:p w14:paraId="64302B2E" w14:textId="77777777" w:rsidR="009F6D8A" w:rsidRDefault="009F6D8A"/>
    <w:p w14:paraId="64302B2F" w14:textId="77777777" w:rsidR="009F6D8A" w:rsidRDefault="00C50974">
      <w:pPr>
        <w:jc w:val="center"/>
      </w:pPr>
      <w:r>
        <w:rPr>
          <w:rFonts w:ascii="Arial" w:eastAsia="宋体" w:hAnsi="Arial" w:cs="Arial"/>
          <w:b/>
          <w:bCs/>
          <w:color w:val="000000"/>
          <w:sz w:val="20"/>
          <w:szCs w:val="20"/>
        </w:rPr>
        <w:t xml:space="preserve">eBay Inc. </w:t>
      </w:r>
    </w:p>
    <w:p w14:paraId="64302B30" w14:textId="77777777" w:rsidR="009F6D8A" w:rsidRDefault="00C50974">
      <w:pPr>
        <w:spacing w:before="80"/>
        <w:jc w:val="center"/>
      </w:pPr>
      <w:r>
        <w:rPr>
          <w:rFonts w:ascii="Arial" w:eastAsia="宋体" w:hAnsi="Arial" w:cs="Arial"/>
          <w:b/>
          <w:bCs/>
          <w:color w:val="000000"/>
          <w:sz w:val="20"/>
          <w:szCs w:val="20"/>
        </w:rPr>
        <w:t xml:space="preserve">CONDENSED CONSOLIDATED STATEMENT OF INCOME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764"/>
        <w:gridCol w:w="39"/>
        <w:gridCol w:w="121"/>
        <w:gridCol w:w="918"/>
        <w:gridCol w:w="36"/>
        <w:gridCol w:w="36"/>
        <w:gridCol w:w="36"/>
        <w:gridCol w:w="36"/>
        <w:gridCol w:w="121"/>
        <w:gridCol w:w="874"/>
        <w:gridCol w:w="36"/>
        <w:gridCol w:w="36"/>
        <w:gridCol w:w="36"/>
        <w:gridCol w:w="36"/>
        <w:gridCol w:w="121"/>
        <w:gridCol w:w="874"/>
        <w:gridCol w:w="36"/>
        <w:gridCol w:w="36"/>
        <w:gridCol w:w="36"/>
        <w:gridCol w:w="36"/>
        <w:gridCol w:w="121"/>
        <w:gridCol w:w="875"/>
        <w:gridCol w:w="36"/>
      </w:tblGrid>
      <w:tr w:rsidR="009F6D8A" w14:paraId="64302B49" w14:textId="77777777">
        <w:trPr>
          <w:jc w:val="center"/>
        </w:trPr>
        <w:tc>
          <w:tcPr>
            <w:tcW w:w="50" w:type="pct"/>
            <w:shd w:val="clear" w:color="auto" w:fill="auto"/>
            <w:vAlign w:val="bottom"/>
          </w:tcPr>
          <w:p w14:paraId="64302B31" w14:textId="77777777" w:rsidR="009F6D8A" w:rsidRDefault="009F6D8A">
            <w:pPr>
              <w:rPr>
                <w:rFonts w:ascii="宋体"/>
              </w:rPr>
            </w:pPr>
          </w:p>
        </w:tc>
        <w:tc>
          <w:tcPr>
            <w:tcW w:w="2291" w:type="pct"/>
            <w:shd w:val="clear" w:color="auto" w:fill="auto"/>
            <w:vAlign w:val="bottom"/>
          </w:tcPr>
          <w:p w14:paraId="64302B32" w14:textId="77777777" w:rsidR="009F6D8A" w:rsidRDefault="009F6D8A">
            <w:pPr>
              <w:rPr>
                <w:rFonts w:ascii="宋体"/>
              </w:rPr>
            </w:pPr>
          </w:p>
        </w:tc>
        <w:tc>
          <w:tcPr>
            <w:tcW w:w="5" w:type="pct"/>
            <w:shd w:val="clear" w:color="auto" w:fill="auto"/>
            <w:vAlign w:val="bottom"/>
          </w:tcPr>
          <w:p w14:paraId="64302B33" w14:textId="77777777" w:rsidR="009F6D8A" w:rsidRDefault="009F6D8A">
            <w:pPr>
              <w:rPr>
                <w:rFonts w:ascii="宋体"/>
              </w:rPr>
            </w:pPr>
          </w:p>
        </w:tc>
        <w:tc>
          <w:tcPr>
            <w:tcW w:w="50" w:type="pct"/>
            <w:shd w:val="clear" w:color="auto" w:fill="auto"/>
            <w:vAlign w:val="bottom"/>
          </w:tcPr>
          <w:p w14:paraId="64302B34" w14:textId="77777777" w:rsidR="009F6D8A" w:rsidRDefault="009F6D8A">
            <w:pPr>
              <w:rPr>
                <w:rFonts w:ascii="宋体"/>
              </w:rPr>
            </w:pPr>
          </w:p>
        </w:tc>
        <w:tc>
          <w:tcPr>
            <w:tcW w:w="580" w:type="pct"/>
            <w:shd w:val="clear" w:color="auto" w:fill="auto"/>
            <w:vAlign w:val="bottom"/>
          </w:tcPr>
          <w:p w14:paraId="64302B35" w14:textId="77777777" w:rsidR="009F6D8A" w:rsidRDefault="009F6D8A">
            <w:pPr>
              <w:rPr>
                <w:rFonts w:ascii="宋体"/>
              </w:rPr>
            </w:pPr>
          </w:p>
        </w:tc>
        <w:tc>
          <w:tcPr>
            <w:tcW w:w="5" w:type="pct"/>
            <w:shd w:val="clear" w:color="auto" w:fill="auto"/>
            <w:vAlign w:val="bottom"/>
          </w:tcPr>
          <w:p w14:paraId="64302B36" w14:textId="77777777" w:rsidR="009F6D8A" w:rsidRDefault="009F6D8A">
            <w:pPr>
              <w:rPr>
                <w:rFonts w:ascii="宋体"/>
              </w:rPr>
            </w:pPr>
          </w:p>
        </w:tc>
        <w:tc>
          <w:tcPr>
            <w:tcW w:w="5" w:type="pct"/>
            <w:shd w:val="clear" w:color="auto" w:fill="auto"/>
            <w:vAlign w:val="bottom"/>
          </w:tcPr>
          <w:p w14:paraId="64302B37" w14:textId="77777777" w:rsidR="009F6D8A" w:rsidRDefault="009F6D8A">
            <w:pPr>
              <w:rPr>
                <w:rFonts w:ascii="宋体"/>
              </w:rPr>
            </w:pPr>
          </w:p>
        </w:tc>
        <w:tc>
          <w:tcPr>
            <w:tcW w:w="26" w:type="pct"/>
            <w:shd w:val="clear" w:color="auto" w:fill="auto"/>
            <w:vAlign w:val="bottom"/>
          </w:tcPr>
          <w:p w14:paraId="64302B38" w14:textId="77777777" w:rsidR="009F6D8A" w:rsidRDefault="009F6D8A">
            <w:pPr>
              <w:rPr>
                <w:rFonts w:ascii="宋体"/>
              </w:rPr>
            </w:pPr>
          </w:p>
        </w:tc>
        <w:tc>
          <w:tcPr>
            <w:tcW w:w="5" w:type="pct"/>
            <w:shd w:val="clear" w:color="auto" w:fill="auto"/>
            <w:vAlign w:val="bottom"/>
          </w:tcPr>
          <w:p w14:paraId="64302B39" w14:textId="77777777" w:rsidR="009F6D8A" w:rsidRDefault="009F6D8A">
            <w:pPr>
              <w:rPr>
                <w:rFonts w:ascii="宋体"/>
              </w:rPr>
            </w:pPr>
          </w:p>
        </w:tc>
        <w:tc>
          <w:tcPr>
            <w:tcW w:w="50" w:type="pct"/>
            <w:shd w:val="clear" w:color="auto" w:fill="auto"/>
            <w:vAlign w:val="bottom"/>
          </w:tcPr>
          <w:p w14:paraId="64302B3A" w14:textId="77777777" w:rsidR="009F6D8A" w:rsidRDefault="009F6D8A">
            <w:pPr>
              <w:rPr>
                <w:rFonts w:ascii="宋体"/>
              </w:rPr>
            </w:pPr>
          </w:p>
        </w:tc>
        <w:tc>
          <w:tcPr>
            <w:tcW w:w="580" w:type="pct"/>
            <w:shd w:val="clear" w:color="auto" w:fill="auto"/>
            <w:vAlign w:val="bottom"/>
          </w:tcPr>
          <w:p w14:paraId="64302B3B" w14:textId="77777777" w:rsidR="009F6D8A" w:rsidRDefault="009F6D8A">
            <w:pPr>
              <w:rPr>
                <w:rFonts w:ascii="宋体"/>
              </w:rPr>
            </w:pPr>
          </w:p>
        </w:tc>
        <w:tc>
          <w:tcPr>
            <w:tcW w:w="5" w:type="pct"/>
            <w:shd w:val="clear" w:color="auto" w:fill="auto"/>
            <w:vAlign w:val="bottom"/>
          </w:tcPr>
          <w:p w14:paraId="64302B3C" w14:textId="77777777" w:rsidR="009F6D8A" w:rsidRDefault="009F6D8A">
            <w:pPr>
              <w:rPr>
                <w:rFonts w:ascii="宋体"/>
              </w:rPr>
            </w:pPr>
          </w:p>
        </w:tc>
        <w:tc>
          <w:tcPr>
            <w:tcW w:w="5" w:type="pct"/>
            <w:shd w:val="clear" w:color="auto" w:fill="auto"/>
            <w:vAlign w:val="bottom"/>
          </w:tcPr>
          <w:p w14:paraId="64302B3D" w14:textId="77777777" w:rsidR="009F6D8A" w:rsidRDefault="009F6D8A">
            <w:pPr>
              <w:rPr>
                <w:rFonts w:ascii="宋体"/>
              </w:rPr>
            </w:pPr>
          </w:p>
        </w:tc>
        <w:tc>
          <w:tcPr>
            <w:tcW w:w="26" w:type="pct"/>
            <w:shd w:val="clear" w:color="auto" w:fill="auto"/>
            <w:vAlign w:val="bottom"/>
          </w:tcPr>
          <w:p w14:paraId="64302B3E" w14:textId="77777777" w:rsidR="009F6D8A" w:rsidRDefault="009F6D8A">
            <w:pPr>
              <w:rPr>
                <w:rFonts w:ascii="宋体"/>
              </w:rPr>
            </w:pPr>
          </w:p>
        </w:tc>
        <w:tc>
          <w:tcPr>
            <w:tcW w:w="5" w:type="pct"/>
            <w:shd w:val="clear" w:color="auto" w:fill="auto"/>
            <w:vAlign w:val="bottom"/>
          </w:tcPr>
          <w:p w14:paraId="64302B3F" w14:textId="77777777" w:rsidR="009F6D8A" w:rsidRDefault="009F6D8A">
            <w:pPr>
              <w:rPr>
                <w:rFonts w:ascii="宋体"/>
              </w:rPr>
            </w:pPr>
          </w:p>
        </w:tc>
        <w:tc>
          <w:tcPr>
            <w:tcW w:w="50" w:type="pct"/>
            <w:shd w:val="clear" w:color="auto" w:fill="auto"/>
            <w:vAlign w:val="bottom"/>
          </w:tcPr>
          <w:p w14:paraId="64302B40" w14:textId="77777777" w:rsidR="009F6D8A" w:rsidRDefault="009F6D8A">
            <w:pPr>
              <w:rPr>
                <w:rFonts w:ascii="宋体"/>
              </w:rPr>
            </w:pPr>
          </w:p>
        </w:tc>
        <w:tc>
          <w:tcPr>
            <w:tcW w:w="580" w:type="pct"/>
            <w:shd w:val="clear" w:color="auto" w:fill="auto"/>
            <w:vAlign w:val="bottom"/>
          </w:tcPr>
          <w:p w14:paraId="64302B41" w14:textId="77777777" w:rsidR="009F6D8A" w:rsidRDefault="009F6D8A">
            <w:pPr>
              <w:rPr>
                <w:rFonts w:ascii="宋体"/>
              </w:rPr>
            </w:pPr>
          </w:p>
        </w:tc>
        <w:tc>
          <w:tcPr>
            <w:tcW w:w="5" w:type="pct"/>
            <w:shd w:val="clear" w:color="auto" w:fill="auto"/>
            <w:vAlign w:val="bottom"/>
          </w:tcPr>
          <w:p w14:paraId="64302B42" w14:textId="77777777" w:rsidR="009F6D8A" w:rsidRDefault="009F6D8A">
            <w:pPr>
              <w:rPr>
                <w:rFonts w:ascii="宋体"/>
              </w:rPr>
            </w:pPr>
          </w:p>
        </w:tc>
        <w:tc>
          <w:tcPr>
            <w:tcW w:w="5" w:type="pct"/>
            <w:shd w:val="clear" w:color="auto" w:fill="auto"/>
            <w:vAlign w:val="bottom"/>
          </w:tcPr>
          <w:p w14:paraId="64302B43" w14:textId="77777777" w:rsidR="009F6D8A" w:rsidRDefault="009F6D8A">
            <w:pPr>
              <w:rPr>
                <w:rFonts w:ascii="宋体"/>
              </w:rPr>
            </w:pPr>
          </w:p>
        </w:tc>
        <w:tc>
          <w:tcPr>
            <w:tcW w:w="26" w:type="pct"/>
            <w:shd w:val="clear" w:color="auto" w:fill="auto"/>
            <w:vAlign w:val="bottom"/>
          </w:tcPr>
          <w:p w14:paraId="64302B44" w14:textId="77777777" w:rsidR="009F6D8A" w:rsidRDefault="009F6D8A">
            <w:pPr>
              <w:rPr>
                <w:rFonts w:ascii="宋体"/>
              </w:rPr>
            </w:pPr>
          </w:p>
        </w:tc>
        <w:tc>
          <w:tcPr>
            <w:tcW w:w="5" w:type="pct"/>
            <w:shd w:val="clear" w:color="auto" w:fill="auto"/>
            <w:vAlign w:val="bottom"/>
          </w:tcPr>
          <w:p w14:paraId="64302B45" w14:textId="77777777" w:rsidR="009F6D8A" w:rsidRDefault="009F6D8A">
            <w:pPr>
              <w:rPr>
                <w:rFonts w:ascii="宋体"/>
              </w:rPr>
            </w:pPr>
          </w:p>
        </w:tc>
        <w:tc>
          <w:tcPr>
            <w:tcW w:w="50" w:type="pct"/>
            <w:shd w:val="clear" w:color="auto" w:fill="auto"/>
            <w:vAlign w:val="bottom"/>
          </w:tcPr>
          <w:p w14:paraId="64302B46" w14:textId="77777777" w:rsidR="009F6D8A" w:rsidRDefault="009F6D8A">
            <w:pPr>
              <w:rPr>
                <w:rFonts w:ascii="宋体"/>
              </w:rPr>
            </w:pPr>
          </w:p>
        </w:tc>
        <w:tc>
          <w:tcPr>
            <w:tcW w:w="581" w:type="pct"/>
            <w:shd w:val="clear" w:color="auto" w:fill="auto"/>
            <w:vAlign w:val="bottom"/>
          </w:tcPr>
          <w:p w14:paraId="64302B47" w14:textId="77777777" w:rsidR="009F6D8A" w:rsidRDefault="009F6D8A">
            <w:pPr>
              <w:rPr>
                <w:rFonts w:ascii="宋体"/>
              </w:rPr>
            </w:pPr>
          </w:p>
        </w:tc>
        <w:tc>
          <w:tcPr>
            <w:tcW w:w="5" w:type="pct"/>
            <w:shd w:val="clear" w:color="auto" w:fill="auto"/>
            <w:vAlign w:val="bottom"/>
          </w:tcPr>
          <w:p w14:paraId="64302B48" w14:textId="77777777" w:rsidR="009F6D8A" w:rsidRDefault="009F6D8A">
            <w:pPr>
              <w:rPr>
                <w:rFonts w:ascii="宋体"/>
              </w:rPr>
            </w:pPr>
          </w:p>
        </w:tc>
      </w:tr>
      <w:tr w:rsidR="009F6D8A" w14:paraId="64302B4E" w14:textId="77777777">
        <w:trPr>
          <w:jc w:val="center"/>
        </w:trPr>
        <w:tc>
          <w:tcPr>
            <w:tcW w:w="0" w:type="auto"/>
            <w:gridSpan w:val="3"/>
            <w:shd w:val="clear" w:color="auto" w:fill="auto"/>
            <w:tcMar>
              <w:top w:w="40" w:type="dxa"/>
              <w:left w:w="20" w:type="dxa"/>
              <w:bottom w:w="40" w:type="dxa"/>
              <w:right w:w="20" w:type="dxa"/>
            </w:tcMar>
            <w:vAlign w:val="bottom"/>
          </w:tcPr>
          <w:p w14:paraId="64302B4A" w14:textId="77777777" w:rsidR="009F6D8A" w:rsidRDefault="00C50974">
            <w:pPr>
              <w:textAlignment w:val="bottom"/>
            </w:pPr>
            <w:r>
              <w:rPr>
                <w:rFonts w:ascii="Arial" w:eastAsia="宋体" w:hAnsi="Arial" w:cs="Arial"/>
                <w:b/>
                <w:bCs/>
                <w:color w:val="000000"/>
                <w:sz w:val="16"/>
                <w:szCs w:val="16"/>
              </w:rPr>
              <w:t> </w:t>
            </w:r>
          </w:p>
        </w:tc>
        <w:tc>
          <w:tcPr>
            <w:tcW w:w="0" w:type="auto"/>
            <w:gridSpan w:val="9"/>
            <w:shd w:val="clear" w:color="auto" w:fill="auto"/>
            <w:tcMar>
              <w:top w:w="40" w:type="dxa"/>
              <w:left w:w="20" w:type="dxa"/>
              <w:bottom w:w="40" w:type="dxa"/>
              <w:right w:w="20" w:type="dxa"/>
            </w:tcMar>
            <w:vAlign w:val="bottom"/>
          </w:tcPr>
          <w:p w14:paraId="64302B4B" w14:textId="77777777" w:rsidR="009F6D8A" w:rsidRDefault="00C50974">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Mar>
              <w:top w:w="0" w:type="dxa"/>
              <w:left w:w="20" w:type="dxa"/>
              <w:bottom w:w="0" w:type="dxa"/>
              <w:right w:w="20" w:type="dxa"/>
            </w:tcMar>
            <w:vAlign w:val="bottom"/>
          </w:tcPr>
          <w:p w14:paraId="64302B4C"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2B4D" w14:textId="77777777" w:rsidR="009F6D8A" w:rsidRDefault="00C50974">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r>
      <w:tr w:rsidR="009F6D8A" w14:paraId="64302B57" w14:textId="77777777">
        <w:trPr>
          <w:jc w:val="center"/>
        </w:trPr>
        <w:tc>
          <w:tcPr>
            <w:tcW w:w="0" w:type="auto"/>
            <w:gridSpan w:val="3"/>
            <w:shd w:val="clear" w:color="auto" w:fill="auto"/>
            <w:tcMar>
              <w:top w:w="40" w:type="dxa"/>
              <w:left w:w="20" w:type="dxa"/>
              <w:bottom w:w="40" w:type="dxa"/>
              <w:right w:w="20" w:type="dxa"/>
            </w:tcMar>
            <w:vAlign w:val="bottom"/>
          </w:tcPr>
          <w:p w14:paraId="64302B4F" w14:textId="77777777" w:rsidR="009F6D8A" w:rsidRDefault="00C50974">
            <w:pP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2B50"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4302B51"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2B52" w14:textId="77777777" w:rsidR="009F6D8A" w:rsidRDefault="00C50974">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4302B53"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2B54"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4302B55"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2B56" w14:textId="77777777" w:rsidR="009F6D8A" w:rsidRDefault="00C50974">
            <w:pPr>
              <w:jc w:val="center"/>
              <w:textAlignment w:val="bottom"/>
            </w:pPr>
            <w:r>
              <w:rPr>
                <w:rFonts w:ascii="Arial" w:eastAsia="宋体" w:hAnsi="Arial" w:cs="Arial"/>
                <w:b/>
                <w:bCs/>
                <w:color w:val="000000"/>
                <w:sz w:val="16"/>
                <w:szCs w:val="16"/>
              </w:rPr>
              <w:t>2020</w:t>
            </w:r>
          </w:p>
        </w:tc>
      </w:tr>
      <w:tr w:rsidR="009F6D8A" w14:paraId="64302B5A" w14:textId="77777777">
        <w:trPr>
          <w:jc w:val="center"/>
        </w:trPr>
        <w:tc>
          <w:tcPr>
            <w:tcW w:w="0" w:type="auto"/>
            <w:gridSpan w:val="3"/>
            <w:shd w:val="clear" w:color="auto" w:fill="auto"/>
            <w:tcMar>
              <w:top w:w="40" w:type="dxa"/>
              <w:left w:w="20" w:type="dxa"/>
              <w:bottom w:w="40" w:type="dxa"/>
              <w:right w:w="20" w:type="dxa"/>
            </w:tcMar>
            <w:vAlign w:val="bottom"/>
          </w:tcPr>
          <w:p w14:paraId="64302B58" w14:textId="77777777" w:rsidR="009F6D8A" w:rsidRDefault="00C50974">
            <w:pPr>
              <w:textAlignment w:val="bottom"/>
            </w:pPr>
            <w:r>
              <w:rPr>
                <w:rFonts w:ascii="Arial" w:eastAsia="宋体" w:hAnsi="Arial" w:cs="Arial"/>
                <w:b/>
                <w:bCs/>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64302B59" w14:textId="77777777" w:rsidR="009F6D8A" w:rsidRDefault="00C50974">
            <w:pPr>
              <w:jc w:val="center"/>
              <w:textAlignment w:val="bottom"/>
            </w:pPr>
            <w:r>
              <w:rPr>
                <w:rFonts w:ascii="Arial" w:eastAsia="宋体" w:hAnsi="Arial" w:cs="Arial"/>
                <w:b/>
                <w:bCs/>
                <w:color w:val="000000"/>
                <w:sz w:val="16"/>
                <w:szCs w:val="16"/>
              </w:rPr>
              <w:t>(In millions, except per share amounts)</w:t>
            </w:r>
          </w:p>
        </w:tc>
      </w:tr>
      <w:tr w:rsidR="009F6D8A" w14:paraId="64302B5D" w14:textId="77777777">
        <w:trPr>
          <w:jc w:val="center"/>
        </w:trPr>
        <w:tc>
          <w:tcPr>
            <w:tcW w:w="0" w:type="auto"/>
            <w:gridSpan w:val="3"/>
            <w:shd w:val="clear" w:color="auto" w:fill="auto"/>
            <w:tcMar>
              <w:top w:w="40" w:type="dxa"/>
              <w:left w:w="20" w:type="dxa"/>
              <w:bottom w:w="40" w:type="dxa"/>
              <w:right w:w="20" w:type="dxa"/>
            </w:tcMar>
            <w:vAlign w:val="bottom"/>
          </w:tcPr>
          <w:p w14:paraId="64302B5B" w14:textId="77777777" w:rsidR="009F6D8A" w:rsidRDefault="00C50974">
            <w:pPr>
              <w:textAlignment w:val="bottom"/>
            </w:pPr>
            <w:r>
              <w:rPr>
                <w:rFonts w:ascii="Arial" w:eastAsia="宋体" w:hAnsi="Arial" w:cs="Arial"/>
                <w:b/>
                <w:bCs/>
                <w:color w:val="000000"/>
                <w:sz w:val="16"/>
                <w:szCs w:val="16"/>
              </w:rPr>
              <w:t> </w:t>
            </w:r>
          </w:p>
        </w:tc>
        <w:tc>
          <w:tcPr>
            <w:tcW w:w="0" w:type="auto"/>
            <w:gridSpan w:val="21"/>
            <w:shd w:val="clear" w:color="auto" w:fill="auto"/>
            <w:tcMar>
              <w:top w:w="40" w:type="dxa"/>
              <w:left w:w="20" w:type="dxa"/>
              <w:bottom w:w="40" w:type="dxa"/>
              <w:right w:w="20" w:type="dxa"/>
            </w:tcMar>
            <w:vAlign w:val="bottom"/>
          </w:tcPr>
          <w:p w14:paraId="64302B5C" w14:textId="77777777" w:rsidR="009F6D8A" w:rsidRDefault="00C50974">
            <w:pPr>
              <w:jc w:val="center"/>
              <w:textAlignment w:val="bottom"/>
            </w:pPr>
            <w:r>
              <w:rPr>
                <w:rFonts w:ascii="Arial" w:eastAsia="宋体" w:hAnsi="Arial" w:cs="Arial"/>
                <w:b/>
                <w:bCs/>
                <w:color w:val="000000"/>
                <w:sz w:val="16"/>
                <w:szCs w:val="16"/>
              </w:rPr>
              <w:t>(Unaudited)</w:t>
            </w:r>
          </w:p>
        </w:tc>
      </w:tr>
      <w:tr w:rsidR="009F6D8A" w14:paraId="64302B6E" w14:textId="77777777">
        <w:trPr>
          <w:jc w:val="center"/>
        </w:trPr>
        <w:tc>
          <w:tcPr>
            <w:tcW w:w="0" w:type="auto"/>
            <w:gridSpan w:val="3"/>
            <w:shd w:val="clear" w:color="auto" w:fill="E2E2E2"/>
            <w:tcMar>
              <w:top w:w="40" w:type="dxa"/>
              <w:left w:w="20" w:type="dxa"/>
              <w:bottom w:w="40" w:type="dxa"/>
              <w:right w:w="20" w:type="dxa"/>
            </w:tcMar>
            <w:vAlign w:val="bottom"/>
          </w:tcPr>
          <w:p w14:paraId="64302B5E" w14:textId="77777777" w:rsidR="009F6D8A" w:rsidRDefault="00C50974">
            <w:pPr>
              <w:textAlignment w:val="bottom"/>
            </w:pPr>
            <w:r>
              <w:rPr>
                <w:rFonts w:ascii="Arial" w:eastAsia="宋体" w:hAnsi="Arial" w:cs="Arial"/>
                <w:color w:val="000000"/>
                <w:sz w:val="18"/>
                <w:szCs w:val="18"/>
              </w:rPr>
              <w:t>Net revenues</w:t>
            </w:r>
          </w:p>
        </w:tc>
        <w:tc>
          <w:tcPr>
            <w:tcW w:w="0" w:type="auto"/>
            <w:shd w:val="clear" w:color="auto" w:fill="E2E2E2"/>
            <w:tcMar>
              <w:top w:w="40" w:type="dxa"/>
              <w:left w:w="20" w:type="dxa"/>
              <w:bottom w:w="40" w:type="dxa"/>
              <w:right w:w="0" w:type="dxa"/>
            </w:tcMar>
            <w:vAlign w:val="bottom"/>
          </w:tcPr>
          <w:p w14:paraId="64302B5F"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4302B60" w14:textId="77777777" w:rsidR="009F6D8A" w:rsidRDefault="00C50974">
            <w:pPr>
              <w:jc w:val="right"/>
              <w:textAlignment w:val="bottom"/>
            </w:pPr>
            <w:r>
              <w:rPr>
                <w:rFonts w:ascii="Arial" w:eastAsia="宋体" w:hAnsi="Arial" w:cs="Arial"/>
                <w:color w:val="000000"/>
                <w:sz w:val="18"/>
                <w:szCs w:val="18"/>
              </w:rPr>
              <w:t>2,668 </w:t>
            </w:r>
          </w:p>
        </w:tc>
        <w:tc>
          <w:tcPr>
            <w:tcW w:w="0" w:type="auto"/>
            <w:shd w:val="clear" w:color="auto" w:fill="E2E2E2"/>
            <w:tcMar>
              <w:top w:w="40" w:type="dxa"/>
              <w:left w:w="0" w:type="dxa"/>
              <w:bottom w:w="40" w:type="dxa"/>
              <w:right w:w="20" w:type="dxa"/>
            </w:tcMar>
            <w:vAlign w:val="bottom"/>
          </w:tcPr>
          <w:p w14:paraId="64302B6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62"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2B63"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4302B64" w14:textId="77777777" w:rsidR="009F6D8A" w:rsidRDefault="00C50974">
            <w:pPr>
              <w:jc w:val="right"/>
              <w:textAlignment w:val="bottom"/>
            </w:pPr>
            <w:r>
              <w:rPr>
                <w:rFonts w:ascii="Arial" w:eastAsia="宋体" w:hAnsi="Arial" w:cs="Arial"/>
                <w:color w:val="000000"/>
                <w:sz w:val="18"/>
                <w:szCs w:val="18"/>
              </w:rPr>
              <w:t>2,337 </w:t>
            </w:r>
          </w:p>
        </w:tc>
        <w:tc>
          <w:tcPr>
            <w:tcW w:w="0" w:type="auto"/>
            <w:shd w:val="clear" w:color="auto" w:fill="E2E2E2"/>
            <w:tcMar>
              <w:top w:w="40" w:type="dxa"/>
              <w:left w:w="0" w:type="dxa"/>
              <w:bottom w:w="40" w:type="dxa"/>
              <w:right w:w="20" w:type="dxa"/>
            </w:tcMar>
            <w:vAlign w:val="bottom"/>
          </w:tcPr>
          <w:p w14:paraId="64302B6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66"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2B67"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4302B68" w14:textId="77777777" w:rsidR="009F6D8A" w:rsidRDefault="00C50974">
            <w:pPr>
              <w:jc w:val="right"/>
              <w:textAlignment w:val="bottom"/>
            </w:pPr>
            <w:r>
              <w:rPr>
                <w:rFonts w:ascii="Arial" w:eastAsia="宋体" w:hAnsi="Arial" w:cs="Arial"/>
                <w:color w:val="000000"/>
                <w:sz w:val="18"/>
                <w:szCs w:val="18"/>
              </w:rPr>
              <w:t>5,306 </w:t>
            </w:r>
          </w:p>
        </w:tc>
        <w:tc>
          <w:tcPr>
            <w:tcW w:w="0" w:type="auto"/>
            <w:shd w:val="clear" w:color="auto" w:fill="E2E2E2"/>
            <w:tcMar>
              <w:top w:w="40" w:type="dxa"/>
              <w:left w:w="0" w:type="dxa"/>
              <w:bottom w:w="40" w:type="dxa"/>
              <w:right w:w="20" w:type="dxa"/>
            </w:tcMar>
            <w:vAlign w:val="bottom"/>
          </w:tcPr>
          <w:p w14:paraId="64302B69"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6A"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2B6B"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4302B6C" w14:textId="77777777" w:rsidR="009F6D8A" w:rsidRDefault="00C50974">
            <w:pPr>
              <w:jc w:val="right"/>
              <w:textAlignment w:val="bottom"/>
            </w:pPr>
            <w:r>
              <w:rPr>
                <w:rFonts w:ascii="Arial" w:eastAsia="宋体" w:hAnsi="Arial" w:cs="Arial"/>
                <w:color w:val="000000"/>
                <w:sz w:val="18"/>
                <w:szCs w:val="18"/>
              </w:rPr>
              <w:t>4,158 </w:t>
            </w:r>
          </w:p>
        </w:tc>
        <w:tc>
          <w:tcPr>
            <w:tcW w:w="0" w:type="auto"/>
            <w:shd w:val="clear" w:color="auto" w:fill="E2E2E2"/>
            <w:tcMar>
              <w:top w:w="40" w:type="dxa"/>
              <w:left w:w="0" w:type="dxa"/>
              <w:bottom w:w="40" w:type="dxa"/>
              <w:right w:w="20" w:type="dxa"/>
            </w:tcMar>
            <w:vAlign w:val="bottom"/>
          </w:tcPr>
          <w:p w14:paraId="64302B6D" w14:textId="77777777" w:rsidR="009F6D8A" w:rsidRDefault="009F6D8A">
            <w:pPr>
              <w:jc w:val="right"/>
              <w:rPr>
                <w:rFonts w:ascii="宋体"/>
              </w:rPr>
            </w:pPr>
          </w:p>
        </w:tc>
      </w:tr>
      <w:tr w:rsidR="009F6D8A" w14:paraId="64302B7B" w14:textId="77777777">
        <w:trPr>
          <w:jc w:val="center"/>
        </w:trPr>
        <w:tc>
          <w:tcPr>
            <w:tcW w:w="0" w:type="auto"/>
            <w:gridSpan w:val="3"/>
            <w:shd w:val="clear" w:color="auto" w:fill="FFFFFF"/>
            <w:tcMar>
              <w:top w:w="40" w:type="dxa"/>
              <w:left w:w="20" w:type="dxa"/>
              <w:bottom w:w="40" w:type="dxa"/>
              <w:right w:w="20" w:type="dxa"/>
            </w:tcMar>
            <w:vAlign w:val="bottom"/>
          </w:tcPr>
          <w:p w14:paraId="64302B6F" w14:textId="77777777" w:rsidR="009F6D8A" w:rsidRDefault="00C50974">
            <w:pPr>
              <w:textAlignment w:val="bottom"/>
            </w:pPr>
            <w:r>
              <w:rPr>
                <w:rFonts w:ascii="Arial" w:eastAsia="宋体" w:hAnsi="Arial" w:cs="Arial"/>
                <w:color w:val="000000"/>
                <w:sz w:val="18"/>
                <w:szCs w:val="18"/>
              </w:rPr>
              <w:t>Cost of net revenues</w:t>
            </w:r>
          </w:p>
        </w:tc>
        <w:tc>
          <w:tcPr>
            <w:tcW w:w="0" w:type="auto"/>
            <w:gridSpan w:val="2"/>
            <w:shd w:val="clear" w:color="auto" w:fill="FFFFFF"/>
            <w:tcMar>
              <w:top w:w="40" w:type="dxa"/>
              <w:left w:w="20" w:type="dxa"/>
              <w:bottom w:w="40" w:type="dxa"/>
              <w:right w:w="0" w:type="dxa"/>
            </w:tcMar>
            <w:vAlign w:val="bottom"/>
          </w:tcPr>
          <w:p w14:paraId="64302B70" w14:textId="77777777" w:rsidR="009F6D8A" w:rsidRDefault="00C50974">
            <w:pPr>
              <w:jc w:val="right"/>
              <w:textAlignment w:val="bottom"/>
            </w:pPr>
            <w:r>
              <w:rPr>
                <w:rFonts w:ascii="Arial" w:eastAsia="宋体" w:hAnsi="Arial" w:cs="Arial"/>
                <w:color w:val="000000"/>
                <w:sz w:val="18"/>
                <w:szCs w:val="18"/>
              </w:rPr>
              <w:t>672 </w:t>
            </w:r>
          </w:p>
        </w:tc>
        <w:tc>
          <w:tcPr>
            <w:tcW w:w="0" w:type="auto"/>
            <w:shd w:val="clear" w:color="auto" w:fill="FFFFFF"/>
            <w:tcMar>
              <w:top w:w="40" w:type="dxa"/>
              <w:left w:w="0" w:type="dxa"/>
              <w:bottom w:w="40" w:type="dxa"/>
              <w:right w:w="20" w:type="dxa"/>
            </w:tcMar>
            <w:vAlign w:val="bottom"/>
          </w:tcPr>
          <w:p w14:paraId="64302B7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B7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B73" w14:textId="77777777" w:rsidR="009F6D8A" w:rsidRDefault="00C50974">
            <w:pPr>
              <w:jc w:val="right"/>
              <w:textAlignment w:val="bottom"/>
            </w:pPr>
            <w:r>
              <w:rPr>
                <w:rFonts w:ascii="Arial" w:eastAsia="宋体" w:hAnsi="Arial" w:cs="Arial"/>
                <w:color w:val="000000"/>
                <w:sz w:val="18"/>
                <w:szCs w:val="18"/>
              </w:rPr>
              <w:t>417 </w:t>
            </w:r>
          </w:p>
        </w:tc>
        <w:tc>
          <w:tcPr>
            <w:tcW w:w="0" w:type="auto"/>
            <w:shd w:val="clear" w:color="auto" w:fill="FFFFFF"/>
            <w:tcMar>
              <w:top w:w="40" w:type="dxa"/>
              <w:left w:w="0" w:type="dxa"/>
              <w:bottom w:w="40" w:type="dxa"/>
              <w:right w:w="20" w:type="dxa"/>
            </w:tcMar>
            <w:vAlign w:val="bottom"/>
          </w:tcPr>
          <w:p w14:paraId="64302B7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B7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B76" w14:textId="77777777" w:rsidR="009F6D8A" w:rsidRDefault="00C50974">
            <w:pPr>
              <w:jc w:val="right"/>
              <w:textAlignment w:val="bottom"/>
            </w:pPr>
            <w:r>
              <w:rPr>
                <w:rFonts w:ascii="Arial" w:eastAsia="宋体" w:hAnsi="Arial" w:cs="Arial"/>
                <w:color w:val="000000"/>
                <w:sz w:val="18"/>
                <w:szCs w:val="18"/>
              </w:rPr>
              <w:t>1,278 </w:t>
            </w:r>
          </w:p>
        </w:tc>
        <w:tc>
          <w:tcPr>
            <w:tcW w:w="0" w:type="auto"/>
            <w:shd w:val="clear" w:color="auto" w:fill="FFFFFF"/>
            <w:tcMar>
              <w:top w:w="40" w:type="dxa"/>
              <w:left w:w="0" w:type="dxa"/>
              <w:bottom w:w="40" w:type="dxa"/>
              <w:right w:w="20" w:type="dxa"/>
            </w:tcMar>
            <w:vAlign w:val="bottom"/>
          </w:tcPr>
          <w:p w14:paraId="64302B7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B7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B79" w14:textId="77777777" w:rsidR="009F6D8A" w:rsidRDefault="00C50974">
            <w:pPr>
              <w:jc w:val="right"/>
              <w:textAlignment w:val="bottom"/>
            </w:pPr>
            <w:r>
              <w:rPr>
                <w:rFonts w:ascii="Arial" w:eastAsia="宋体" w:hAnsi="Arial" w:cs="Arial"/>
                <w:color w:val="000000"/>
                <w:sz w:val="18"/>
                <w:szCs w:val="18"/>
              </w:rPr>
              <w:t>771 </w:t>
            </w:r>
          </w:p>
        </w:tc>
        <w:tc>
          <w:tcPr>
            <w:tcW w:w="0" w:type="auto"/>
            <w:shd w:val="clear" w:color="auto" w:fill="FFFFFF"/>
            <w:tcMar>
              <w:top w:w="40" w:type="dxa"/>
              <w:left w:w="0" w:type="dxa"/>
              <w:bottom w:w="40" w:type="dxa"/>
              <w:right w:w="20" w:type="dxa"/>
            </w:tcMar>
            <w:vAlign w:val="bottom"/>
          </w:tcPr>
          <w:p w14:paraId="64302B7A" w14:textId="77777777" w:rsidR="009F6D8A" w:rsidRDefault="009F6D8A">
            <w:pPr>
              <w:jc w:val="right"/>
              <w:rPr>
                <w:rFonts w:ascii="宋体"/>
              </w:rPr>
            </w:pPr>
          </w:p>
        </w:tc>
      </w:tr>
      <w:tr w:rsidR="009F6D8A" w14:paraId="64302B88" w14:textId="77777777">
        <w:trPr>
          <w:jc w:val="center"/>
        </w:trPr>
        <w:tc>
          <w:tcPr>
            <w:tcW w:w="0" w:type="auto"/>
            <w:gridSpan w:val="3"/>
            <w:shd w:val="clear" w:color="auto" w:fill="E2E2E2"/>
            <w:tcMar>
              <w:top w:w="40" w:type="dxa"/>
              <w:left w:w="875" w:type="dxa"/>
              <w:bottom w:w="40" w:type="dxa"/>
              <w:right w:w="20" w:type="dxa"/>
            </w:tcMar>
            <w:vAlign w:val="bottom"/>
          </w:tcPr>
          <w:p w14:paraId="64302B7C" w14:textId="77777777" w:rsidR="009F6D8A" w:rsidRDefault="00C50974">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B7D" w14:textId="77777777" w:rsidR="009F6D8A" w:rsidRDefault="00C50974">
            <w:pPr>
              <w:jc w:val="right"/>
              <w:textAlignment w:val="bottom"/>
            </w:pPr>
            <w:r>
              <w:rPr>
                <w:rFonts w:ascii="Arial" w:eastAsia="宋体" w:hAnsi="Arial" w:cs="Arial"/>
                <w:color w:val="000000"/>
                <w:sz w:val="18"/>
                <w:szCs w:val="18"/>
              </w:rPr>
              <w:t>1,996 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B7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7F"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B80" w14:textId="77777777" w:rsidR="009F6D8A" w:rsidRDefault="00C50974">
            <w:pPr>
              <w:jc w:val="right"/>
              <w:textAlignment w:val="bottom"/>
            </w:pPr>
            <w:r>
              <w:rPr>
                <w:rFonts w:ascii="Arial" w:eastAsia="宋体" w:hAnsi="Arial" w:cs="Arial"/>
                <w:color w:val="000000"/>
                <w:sz w:val="18"/>
                <w:szCs w:val="18"/>
              </w:rPr>
              <w:t>1,920 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B8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82"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B83" w14:textId="77777777" w:rsidR="009F6D8A" w:rsidRDefault="00C50974">
            <w:pPr>
              <w:jc w:val="right"/>
              <w:textAlignment w:val="bottom"/>
            </w:pPr>
            <w:r>
              <w:rPr>
                <w:rFonts w:ascii="Arial" w:eastAsia="宋体" w:hAnsi="Arial" w:cs="Arial"/>
                <w:color w:val="000000"/>
                <w:sz w:val="18"/>
                <w:szCs w:val="18"/>
              </w:rPr>
              <w:t>4,028 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B84"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85"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B86" w14:textId="77777777" w:rsidR="009F6D8A" w:rsidRDefault="00C50974">
            <w:pPr>
              <w:jc w:val="right"/>
              <w:textAlignment w:val="bottom"/>
            </w:pPr>
            <w:r>
              <w:rPr>
                <w:rFonts w:ascii="Arial" w:eastAsia="宋体" w:hAnsi="Arial" w:cs="Arial"/>
                <w:color w:val="000000"/>
                <w:sz w:val="18"/>
                <w:szCs w:val="18"/>
              </w:rPr>
              <w:t>3,387 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B87" w14:textId="77777777" w:rsidR="009F6D8A" w:rsidRDefault="009F6D8A">
            <w:pPr>
              <w:jc w:val="right"/>
              <w:rPr>
                <w:rFonts w:ascii="宋体"/>
              </w:rPr>
            </w:pPr>
          </w:p>
        </w:tc>
      </w:tr>
      <w:tr w:rsidR="009F6D8A" w14:paraId="64302B91" w14:textId="77777777">
        <w:trPr>
          <w:jc w:val="center"/>
        </w:trPr>
        <w:tc>
          <w:tcPr>
            <w:tcW w:w="0" w:type="auto"/>
            <w:gridSpan w:val="3"/>
            <w:shd w:val="clear" w:color="auto" w:fill="FFFFFF"/>
            <w:tcMar>
              <w:top w:w="40" w:type="dxa"/>
              <w:left w:w="20" w:type="dxa"/>
              <w:bottom w:w="40" w:type="dxa"/>
              <w:right w:w="20" w:type="dxa"/>
            </w:tcMar>
            <w:vAlign w:val="bottom"/>
          </w:tcPr>
          <w:p w14:paraId="64302B89" w14:textId="77777777" w:rsidR="009F6D8A" w:rsidRDefault="00C50974">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B8A"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B8B"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B8C"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B8D"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B8E"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B8F"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B90" w14:textId="77777777" w:rsidR="009F6D8A" w:rsidRDefault="009F6D8A">
            <w:pPr>
              <w:rPr>
                <w:rFonts w:ascii="宋体"/>
              </w:rPr>
            </w:pPr>
          </w:p>
        </w:tc>
      </w:tr>
      <w:tr w:rsidR="009F6D8A" w14:paraId="64302B9E" w14:textId="77777777">
        <w:trPr>
          <w:jc w:val="center"/>
        </w:trPr>
        <w:tc>
          <w:tcPr>
            <w:tcW w:w="0" w:type="auto"/>
            <w:gridSpan w:val="3"/>
            <w:shd w:val="clear" w:color="auto" w:fill="E2E2E2"/>
            <w:tcMar>
              <w:top w:w="40" w:type="dxa"/>
              <w:left w:w="515" w:type="dxa"/>
              <w:bottom w:w="40" w:type="dxa"/>
              <w:right w:w="20" w:type="dxa"/>
            </w:tcMar>
            <w:vAlign w:val="bottom"/>
          </w:tcPr>
          <w:p w14:paraId="64302B92" w14:textId="77777777" w:rsidR="009F6D8A" w:rsidRDefault="00C50974">
            <w:pPr>
              <w:textAlignment w:val="bottom"/>
            </w:pPr>
            <w:r>
              <w:rPr>
                <w:rFonts w:ascii="Arial" w:eastAsia="宋体" w:hAnsi="Arial" w:cs="Arial"/>
                <w:color w:val="000000"/>
                <w:sz w:val="18"/>
                <w:szCs w:val="18"/>
              </w:rPr>
              <w:t>Sales and marketing</w:t>
            </w:r>
          </w:p>
        </w:tc>
        <w:tc>
          <w:tcPr>
            <w:tcW w:w="0" w:type="auto"/>
            <w:gridSpan w:val="2"/>
            <w:shd w:val="clear" w:color="auto" w:fill="E2E2E2"/>
            <w:tcMar>
              <w:top w:w="40" w:type="dxa"/>
              <w:left w:w="20" w:type="dxa"/>
              <w:bottom w:w="40" w:type="dxa"/>
              <w:right w:w="0" w:type="dxa"/>
            </w:tcMar>
            <w:vAlign w:val="bottom"/>
          </w:tcPr>
          <w:p w14:paraId="64302B93" w14:textId="77777777" w:rsidR="009F6D8A" w:rsidRDefault="00C50974">
            <w:pPr>
              <w:jc w:val="right"/>
              <w:textAlignment w:val="bottom"/>
            </w:pPr>
            <w:r>
              <w:rPr>
                <w:rFonts w:ascii="Arial" w:eastAsia="宋体" w:hAnsi="Arial" w:cs="Arial"/>
                <w:color w:val="000000"/>
                <w:sz w:val="18"/>
                <w:szCs w:val="18"/>
              </w:rPr>
              <w:t>559 </w:t>
            </w:r>
          </w:p>
        </w:tc>
        <w:tc>
          <w:tcPr>
            <w:tcW w:w="0" w:type="auto"/>
            <w:shd w:val="clear" w:color="auto" w:fill="E2E2E2"/>
            <w:tcMar>
              <w:top w:w="40" w:type="dxa"/>
              <w:left w:w="0" w:type="dxa"/>
              <w:bottom w:w="40" w:type="dxa"/>
              <w:right w:w="20" w:type="dxa"/>
            </w:tcMar>
            <w:vAlign w:val="bottom"/>
          </w:tcPr>
          <w:p w14:paraId="64302B94"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95"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B96" w14:textId="77777777" w:rsidR="009F6D8A" w:rsidRDefault="00C50974">
            <w:pPr>
              <w:jc w:val="right"/>
              <w:textAlignment w:val="bottom"/>
            </w:pPr>
            <w:r>
              <w:rPr>
                <w:rFonts w:ascii="Arial" w:eastAsia="宋体" w:hAnsi="Arial" w:cs="Arial"/>
                <w:color w:val="000000"/>
                <w:sz w:val="18"/>
                <w:szCs w:val="18"/>
              </w:rPr>
              <w:t>523 </w:t>
            </w:r>
          </w:p>
        </w:tc>
        <w:tc>
          <w:tcPr>
            <w:tcW w:w="0" w:type="auto"/>
            <w:shd w:val="clear" w:color="auto" w:fill="E2E2E2"/>
            <w:tcMar>
              <w:top w:w="40" w:type="dxa"/>
              <w:left w:w="0" w:type="dxa"/>
              <w:bottom w:w="40" w:type="dxa"/>
              <w:right w:w="20" w:type="dxa"/>
            </w:tcMar>
            <w:vAlign w:val="bottom"/>
          </w:tcPr>
          <w:p w14:paraId="64302B97"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98"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B99" w14:textId="77777777" w:rsidR="009F6D8A" w:rsidRDefault="00C50974">
            <w:pPr>
              <w:jc w:val="right"/>
              <w:textAlignment w:val="bottom"/>
            </w:pPr>
            <w:r>
              <w:rPr>
                <w:rFonts w:ascii="Arial" w:eastAsia="宋体" w:hAnsi="Arial" w:cs="Arial"/>
                <w:color w:val="000000"/>
                <w:sz w:val="18"/>
                <w:szCs w:val="18"/>
              </w:rPr>
              <w:t>1,105 </w:t>
            </w:r>
          </w:p>
        </w:tc>
        <w:tc>
          <w:tcPr>
            <w:tcW w:w="0" w:type="auto"/>
            <w:shd w:val="clear" w:color="auto" w:fill="E2E2E2"/>
            <w:tcMar>
              <w:top w:w="40" w:type="dxa"/>
              <w:left w:w="0" w:type="dxa"/>
              <w:bottom w:w="40" w:type="dxa"/>
              <w:right w:w="20" w:type="dxa"/>
            </w:tcMar>
            <w:vAlign w:val="bottom"/>
          </w:tcPr>
          <w:p w14:paraId="64302B9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9B"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B9C" w14:textId="77777777" w:rsidR="009F6D8A" w:rsidRDefault="00C50974">
            <w:pPr>
              <w:jc w:val="right"/>
              <w:textAlignment w:val="bottom"/>
            </w:pPr>
            <w:r>
              <w:rPr>
                <w:rFonts w:ascii="Arial" w:eastAsia="宋体" w:hAnsi="Arial" w:cs="Arial"/>
                <w:color w:val="000000"/>
                <w:sz w:val="18"/>
                <w:szCs w:val="18"/>
              </w:rPr>
              <w:t>917 </w:t>
            </w:r>
          </w:p>
        </w:tc>
        <w:tc>
          <w:tcPr>
            <w:tcW w:w="0" w:type="auto"/>
            <w:shd w:val="clear" w:color="auto" w:fill="E2E2E2"/>
            <w:tcMar>
              <w:top w:w="40" w:type="dxa"/>
              <w:left w:w="0" w:type="dxa"/>
              <w:bottom w:w="40" w:type="dxa"/>
              <w:right w:w="20" w:type="dxa"/>
            </w:tcMar>
            <w:vAlign w:val="bottom"/>
          </w:tcPr>
          <w:p w14:paraId="64302B9D" w14:textId="77777777" w:rsidR="009F6D8A" w:rsidRDefault="009F6D8A">
            <w:pPr>
              <w:jc w:val="right"/>
              <w:rPr>
                <w:rFonts w:ascii="宋体"/>
              </w:rPr>
            </w:pPr>
          </w:p>
        </w:tc>
      </w:tr>
      <w:tr w:rsidR="009F6D8A" w14:paraId="64302BAB" w14:textId="77777777">
        <w:trPr>
          <w:jc w:val="center"/>
        </w:trPr>
        <w:tc>
          <w:tcPr>
            <w:tcW w:w="0" w:type="auto"/>
            <w:gridSpan w:val="3"/>
            <w:shd w:val="clear" w:color="auto" w:fill="FFFFFF"/>
            <w:tcMar>
              <w:top w:w="40" w:type="dxa"/>
              <w:left w:w="515" w:type="dxa"/>
              <w:bottom w:w="40" w:type="dxa"/>
              <w:right w:w="20" w:type="dxa"/>
            </w:tcMar>
            <w:vAlign w:val="bottom"/>
          </w:tcPr>
          <w:p w14:paraId="64302B9F" w14:textId="77777777" w:rsidR="009F6D8A" w:rsidRDefault="00C50974">
            <w:pPr>
              <w:textAlignment w:val="bottom"/>
            </w:pPr>
            <w:r>
              <w:rPr>
                <w:rFonts w:ascii="Arial" w:eastAsia="宋体" w:hAnsi="Arial" w:cs="Arial"/>
                <w:color w:val="000000"/>
                <w:sz w:val="18"/>
                <w:szCs w:val="18"/>
              </w:rPr>
              <w:t>Product development</w:t>
            </w:r>
          </w:p>
        </w:tc>
        <w:tc>
          <w:tcPr>
            <w:tcW w:w="0" w:type="auto"/>
            <w:gridSpan w:val="2"/>
            <w:shd w:val="clear" w:color="auto" w:fill="FFFFFF"/>
            <w:tcMar>
              <w:top w:w="40" w:type="dxa"/>
              <w:left w:w="20" w:type="dxa"/>
              <w:bottom w:w="40" w:type="dxa"/>
              <w:right w:w="0" w:type="dxa"/>
            </w:tcMar>
            <w:vAlign w:val="bottom"/>
          </w:tcPr>
          <w:p w14:paraId="64302BA0" w14:textId="77777777" w:rsidR="009F6D8A" w:rsidRDefault="00C50974">
            <w:pPr>
              <w:jc w:val="right"/>
              <w:textAlignment w:val="bottom"/>
            </w:pPr>
            <w:r>
              <w:rPr>
                <w:rFonts w:ascii="Arial" w:eastAsia="宋体" w:hAnsi="Arial" w:cs="Arial"/>
                <w:color w:val="000000"/>
                <w:sz w:val="18"/>
                <w:szCs w:val="18"/>
              </w:rPr>
              <w:t>350 </w:t>
            </w:r>
          </w:p>
        </w:tc>
        <w:tc>
          <w:tcPr>
            <w:tcW w:w="0" w:type="auto"/>
            <w:shd w:val="clear" w:color="auto" w:fill="FFFFFF"/>
            <w:tcMar>
              <w:top w:w="40" w:type="dxa"/>
              <w:left w:w="0" w:type="dxa"/>
              <w:bottom w:w="40" w:type="dxa"/>
              <w:right w:w="20" w:type="dxa"/>
            </w:tcMar>
            <w:vAlign w:val="bottom"/>
          </w:tcPr>
          <w:p w14:paraId="64302BA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BA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BA3" w14:textId="77777777" w:rsidR="009F6D8A" w:rsidRDefault="00C50974">
            <w:pPr>
              <w:jc w:val="right"/>
              <w:textAlignment w:val="bottom"/>
            </w:pPr>
            <w:r>
              <w:rPr>
                <w:rFonts w:ascii="Arial" w:eastAsia="宋体" w:hAnsi="Arial" w:cs="Arial"/>
                <w:color w:val="000000"/>
                <w:sz w:val="18"/>
                <w:szCs w:val="18"/>
              </w:rPr>
              <w:t>256 </w:t>
            </w:r>
          </w:p>
        </w:tc>
        <w:tc>
          <w:tcPr>
            <w:tcW w:w="0" w:type="auto"/>
            <w:shd w:val="clear" w:color="auto" w:fill="FFFFFF"/>
            <w:tcMar>
              <w:top w:w="40" w:type="dxa"/>
              <w:left w:w="0" w:type="dxa"/>
              <w:bottom w:w="40" w:type="dxa"/>
              <w:right w:w="20" w:type="dxa"/>
            </w:tcMar>
            <w:vAlign w:val="bottom"/>
          </w:tcPr>
          <w:p w14:paraId="64302BA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BA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BA6" w14:textId="77777777" w:rsidR="009F6D8A" w:rsidRDefault="00C50974">
            <w:pPr>
              <w:jc w:val="right"/>
              <w:textAlignment w:val="bottom"/>
            </w:pPr>
            <w:r>
              <w:rPr>
                <w:rFonts w:ascii="Arial" w:eastAsia="宋体" w:hAnsi="Arial" w:cs="Arial"/>
                <w:color w:val="000000"/>
                <w:sz w:val="18"/>
                <w:szCs w:val="18"/>
              </w:rPr>
              <w:t>654 </w:t>
            </w:r>
          </w:p>
        </w:tc>
        <w:tc>
          <w:tcPr>
            <w:tcW w:w="0" w:type="auto"/>
            <w:shd w:val="clear" w:color="auto" w:fill="FFFFFF"/>
            <w:tcMar>
              <w:top w:w="40" w:type="dxa"/>
              <w:left w:w="0" w:type="dxa"/>
              <w:bottom w:w="40" w:type="dxa"/>
              <w:right w:w="20" w:type="dxa"/>
            </w:tcMar>
            <w:vAlign w:val="bottom"/>
          </w:tcPr>
          <w:p w14:paraId="64302BA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BA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BA9" w14:textId="77777777" w:rsidR="009F6D8A" w:rsidRDefault="00C50974">
            <w:pPr>
              <w:jc w:val="right"/>
              <w:textAlignment w:val="bottom"/>
            </w:pPr>
            <w:r>
              <w:rPr>
                <w:rFonts w:ascii="Arial" w:eastAsia="宋体" w:hAnsi="Arial" w:cs="Arial"/>
                <w:color w:val="000000"/>
                <w:sz w:val="18"/>
                <w:szCs w:val="18"/>
              </w:rPr>
              <w:t>474 </w:t>
            </w:r>
          </w:p>
        </w:tc>
        <w:tc>
          <w:tcPr>
            <w:tcW w:w="0" w:type="auto"/>
            <w:shd w:val="clear" w:color="auto" w:fill="FFFFFF"/>
            <w:tcMar>
              <w:top w:w="40" w:type="dxa"/>
              <w:left w:w="0" w:type="dxa"/>
              <w:bottom w:w="40" w:type="dxa"/>
              <w:right w:w="20" w:type="dxa"/>
            </w:tcMar>
            <w:vAlign w:val="bottom"/>
          </w:tcPr>
          <w:p w14:paraId="64302BAA" w14:textId="77777777" w:rsidR="009F6D8A" w:rsidRDefault="009F6D8A">
            <w:pPr>
              <w:jc w:val="right"/>
              <w:rPr>
                <w:rFonts w:ascii="宋体"/>
              </w:rPr>
            </w:pPr>
          </w:p>
        </w:tc>
      </w:tr>
      <w:tr w:rsidR="009F6D8A" w14:paraId="64302BB8" w14:textId="77777777">
        <w:trPr>
          <w:jc w:val="center"/>
        </w:trPr>
        <w:tc>
          <w:tcPr>
            <w:tcW w:w="0" w:type="auto"/>
            <w:gridSpan w:val="3"/>
            <w:shd w:val="clear" w:color="auto" w:fill="E2E2E2"/>
            <w:tcMar>
              <w:top w:w="40" w:type="dxa"/>
              <w:left w:w="515" w:type="dxa"/>
              <w:bottom w:w="40" w:type="dxa"/>
              <w:right w:w="20" w:type="dxa"/>
            </w:tcMar>
            <w:vAlign w:val="bottom"/>
          </w:tcPr>
          <w:p w14:paraId="64302BAC" w14:textId="77777777" w:rsidR="009F6D8A" w:rsidRDefault="00C50974">
            <w:pPr>
              <w:textAlignment w:val="bottom"/>
            </w:pPr>
            <w:r>
              <w:rPr>
                <w:rFonts w:ascii="Arial" w:eastAsia="宋体" w:hAnsi="Arial" w:cs="Arial"/>
                <w:color w:val="000000"/>
                <w:sz w:val="18"/>
                <w:szCs w:val="18"/>
              </w:rPr>
              <w:t>General and administrative</w:t>
            </w:r>
          </w:p>
        </w:tc>
        <w:tc>
          <w:tcPr>
            <w:tcW w:w="0" w:type="auto"/>
            <w:gridSpan w:val="2"/>
            <w:shd w:val="clear" w:color="auto" w:fill="E2E2E2"/>
            <w:tcMar>
              <w:top w:w="40" w:type="dxa"/>
              <w:left w:w="20" w:type="dxa"/>
              <w:bottom w:w="40" w:type="dxa"/>
              <w:right w:w="0" w:type="dxa"/>
            </w:tcMar>
            <w:vAlign w:val="bottom"/>
          </w:tcPr>
          <w:p w14:paraId="64302BAD" w14:textId="77777777" w:rsidR="009F6D8A" w:rsidRDefault="00C50974">
            <w:pPr>
              <w:jc w:val="right"/>
              <w:textAlignment w:val="bottom"/>
            </w:pPr>
            <w:r>
              <w:rPr>
                <w:rFonts w:ascii="Arial" w:eastAsia="宋体" w:hAnsi="Arial" w:cs="Arial"/>
                <w:color w:val="000000"/>
                <w:sz w:val="18"/>
                <w:szCs w:val="18"/>
              </w:rPr>
              <w:t>250 </w:t>
            </w:r>
          </w:p>
        </w:tc>
        <w:tc>
          <w:tcPr>
            <w:tcW w:w="0" w:type="auto"/>
            <w:shd w:val="clear" w:color="auto" w:fill="E2E2E2"/>
            <w:tcMar>
              <w:top w:w="40" w:type="dxa"/>
              <w:left w:w="0" w:type="dxa"/>
              <w:bottom w:w="40" w:type="dxa"/>
              <w:right w:w="20" w:type="dxa"/>
            </w:tcMar>
            <w:vAlign w:val="bottom"/>
          </w:tcPr>
          <w:p w14:paraId="64302BA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AF"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BB0" w14:textId="77777777" w:rsidR="009F6D8A" w:rsidRDefault="00C50974">
            <w:pPr>
              <w:jc w:val="right"/>
              <w:textAlignment w:val="bottom"/>
            </w:pPr>
            <w:r>
              <w:rPr>
                <w:rFonts w:ascii="Arial" w:eastAsia="宋体" w:hAnsi="Arial" w:cs="Arial"/>
                <w:color w:val="000000"/>
                <w:sz w:val="18"/>
                <w:szCs w:val="18"/>
              </w:rPr>
              <w:t>281 </w:t>
            </w:r>
          </w:p>
        </w:tc>
        <w:tc>
          <w:tcPr>
            <w:tcW w:w="0" w:type="auto"/>
            <w:shd w:val="clear" w:color="auto" w:fill="E2E2E2"/>
            <w:tcMar>
              <w:top w:w="40" w:type="dxa"/>
              <w:left w:w="0" w:type="dxa"/>
              <w:bottom w:w="40" w:type="dxa"/>
              <w:right w:w="20" w:type="dxa"/>
            </w:tcMar>
            <w:vAlign w:val="bottom"/>
          </w:tcPr>
          <w:p w14:paraId="64302BB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B2"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BB3" w14:textId="77777777" w:rsidR="009F6D8A" w:rsidRDefault="00C50974">
            <w:pPr>
              <w:jc w:val="right"/>
              <w:textAlignment w:val="bottom"/>
            </w:pPr>
            <w:r>
              <w:rPr>
                <w:rFonts w:ascii="Arial" w:eastAsia="宋体" w:hAnsi="Arial" w:cs="Arial"/>
                <w:color w:val="000000"/>
                <w:sz w:val="18"/>
                <w:szCs w:val="18"/>
              </w:rPr>
              <w:t>496 </w:t>
            </w:r>
          </w:p>
        </w:tc>
        <w:tc>
          <w:tcPr>
            <w:tcW w:w="0" w:type="auto"/>
            <w:shd w:val="clear" w:color="auto" w:fill="E2E2E2"/>
            <w:tcMar>
              <w:top w:w="40" w:type="dxa"/>
              <w:left w:w="0" w:type="dxa"/>
              <w:bottom w:w="40" w:type="dxa"/>
              <w:right w:w="20" w:type="dxa"/>
            </w:tcMar>
            <w:vAlign w:val="bottom"/>
          </w:tcPr>
          <w:p w14:paraId="64302BB4"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B5"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BB6" w14:textId="77777777" w:rsidR="009F6D8A" w:rsidRDefault="00C50974">
            <w:pPr>
              <w:jc w:val="right"/>
              <w:textAlignment w:val="bottom"/>
            </w:pPr>
            <w:r>
              <w:rPr>
                <w:rFonts w:ascii="Arial" w:eastAsia="宋体" w:hAnsi="Arial" w:cs="Arial"/>
                <w:color w:val="000000"/>
                <w:sz w:val="18"/>
                <w:szCs w:val="18"/>
              </w:rPr>
              <w:t>484 </w:t>
            </w:r>
          </w:p>
        </w:tc>
        <w:tc>
          <w:tcPr>
            <w:tcW w:w="0" w:type="auto"/>
            <w:shd w:val="clear" w:color="auto" w:fill="E2E2E2"/>
            <w:tcMar>
              <w:top w:w="40" w:type="dxa"/>
              <w:left w:w="0" w:type="dxa"/>
              <w:bottom w:w="40" w:type="dxa"/>
              <w:right w:w="20" w:type="dxa"/>
            </w:tcMar>
            <w:vAlign w:val="bottom"/>
          </w:tcPr>
          <w:p w14:paraId="64302BB7" w14:textId="77777777" w:rsidR="009F6D8A" w:rsidRDefault="009F6D8A">
            <w:pPr>
              <w:jc w:val="right"/>
              <w:rPr>
                <w:rFonts w:ascii="宋体"/>
              </w:rPr>
            </w:pPr>
          </w:p>
        </w:tc>
      </w:tr>
      <w:tr w:rsidR="009F6D8A" w14:paraId="64302BC5" w14:textId="77777777">
        <w:trPr>
          <w:jc w:val="center"/>
        </w:trPr>
        <w:tc>
          <w:tcPr>
            <w:tcW w:w="0" w:type="auto"/>
            <w:gridSpan w:val="3"/>
            <w:shd w:val="clear" w:color="auto" w:fill="FFFFFF"/>
            <w:tcMar>
              <w:top w:w="40" w:type="dxa"/>
              <w:left w:w="515" w:type="dxa"/>
              <w:bottom w:w="40" w:type="dxa"/>
              <w:right w:w="20" w:type="dxa"/>
            </w:tcMar>
            <w:vAlign w:val="bottom"/>
          </w:tcPr>
          <w:p w14:paraId="64302BB9" w14:textId="77777777" w:rsidR="009F6D8A" w:rsidRDefault="00C50974">
            <w:pPr>
              <w:textAlignment w:val="bottom"/>
            </w:pPr>
            <w:r>
              <w:rPr>
                <w:rFonts w:ascii="Arial" w:eastAsia="宋体" w:hAnsi="Arial" w:cs="Arial"/>
                <w:color w:val="000000"/>
                <w:sz w:val="18"/>
                <w:szCs w:val="18"/>
              </w:rPr>
              <w:t>Provision for transaction losses</w:t>
            </w:r>
          </w:p>
        </w:tc>
        <w:tc>
          <w:tcPr>
            <w:tcW w:w="0" w:type="auto"/>
            <w:gridSpan w:val="2"/>
            <w:shd w:val="clear" w:color="auto" w:fill="FFFFFF"/>
            <w:tcMar>
              <w:top w:w="40" w:type="dxa"/>
              <w:left w:w="20" w:type="dxa"/>
              <w:bottom w:w="40" w:type="dxa"/>
              <w:right w:w="0" w:type="dxa"/>
            </w:tcMar>
            <w:vAlign w:val="bottom"/>
          </w:tcPr>
          <w:p w14:paraId="64302BBA" w14:textId="77777777" w:rsidR="009F6D8A" w:rsidRDefault="00C50974">
            <w:pPr>
              <w:jc w:val="right"/>
              <w:textAlignment w:val="bottom"/>
            </w:pPr>
            <w:r>
              <w:rPr>
                <w:rFonts w:ascii="Arial" w:eastAsia="宋体" w:hAnsi="Arial" w:cs="Arial"/>
                <w:color w:val="000000"/>
                <w:sz w:val="18"/>
                <w:szCs w:val="18"/>
              </w:rPr>
              <w:t>103 </w:t>
            </w:r>
          </w:p>
        </w:tc>
        <w:tc>
          <w:tcPr>
            <w:tcW w:w="0" w:type="auto"/>
            <w:shd w:val="clear" w:color="auto" w:fill="FFFFFF"/>
            <w:tcMar>
              <w:top w:w="40" w:type="dxa"/>
              <w:left w:w="0" w:type="dxa"/>
              <w:bottom w:w="40" w:type="dxa"/>
              <w:right w:w="20" w:type="dxa"/>
            </w:tcMar>
            <w:vAlign w:val="bottom"/>
          </w:tcPr>
          <w:p w14:paraId="64302BB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BBC"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BBD" w14:textId="77777777" w:rsidR="009F6D8A" w:rsidRDefault="00C50974">
            <w:pPr>
              <w:jc w:val="right"/>
              <w:textAlignment w:val="bottom"/>
            </w:pPr>
            <w:r>
              <w:rPr>
                <w:rFonts w:ascii="Arial" w:eastAsia="宋体" w:hAnsi="Arial" w:cs="Arial"/>
                <w:color w:val="000000"/>
                <w:sz w:val="18"/>
                <w:szCs w:val="18"/>
              </w:rPr>
              <w:t>89 </w:t>
            </w:r>
          </w:p>
        </w:tc>
        <w:tc>
          <w:tcPr>
            <w:tcW w:w="0" w:type="auto"/>
            <w:shd w:val="clear" w:color="auto" w:fill="FFFFFF"/>
            <w:tcMar>
              <w:top w:w="40" w:type="dxa"/>
              <w:left w:w="0" w:type="dxa"/>
              <w:bottom w:w="40" w:type="dxa"/>
              <w:right w:w="20" w:type="dxa"/>
            </w:tcMar>
            <w:vAlign w:val="bottom"/>
          </w:tcPr>
          <w:p w14:paraId="64302BB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BBF"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BC0" w14:textId="77777777" w:rsidR="009F6D8A" w:rsidRDefault="00C50974">
            <w:pPr>
              <w:jc w:val="right"/>
              <w:textAlignment w:val="bottom"/>
            </w:pPr>
            <w:r>
              <w:rPr>
                <w:rFonts w:ascii="Arial" w:eastAsia="宋体" w:hAnsi="Arial" w:cs="Arial"/>
                <w:color w:val="000000"/>
                <w:sz w:val="18"/>
                <w:szCs w:val="18"/>
              </w:rPr>
              <w:t>191 </w:t>
            </w:r>
          </w:p>
        </w:tc>
        <w:tc>
          <w:tcPr>
            <w:tcW w:w="0" w:type="auto"/>
            <w:shd w:val="clear" w:color="auto" w:fill="FFFFFF"/>
            <w:tcMar>
              <w:top w:w="40" w:type="dxa"/>
              <w:left w:w="0" w:type="dxa"/>
              <w:bottom w:w="40" w:type="dxa"/>
              <w:right w:w="20" w:type="dxa"/>
            </w:tcMar>
            <w:vAlign w:val="bottom"/>
          </w:tcPr>
          <w:p w14:paraId="64302BC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BC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BC3" w14:textId="77777777" w:rsidR="009F6D8A" w:rsidRDefault="00C50974">
            <w:pPr>
              <w:jc w:val="right"/>
              <w:textAlignment w:val="bottom"/>
            </w:pPr>
            <w:r>
              <w:rPr>
                <w:rFonts w:ascii="Arial" w:eastAsia="宋体" w:hAnsi="Arial" w:cs="Arial"/>
                <w:color w:val="000000"/>
                <w:sz w:val="18"/>
                <w:szCs w:val="18"/>
              </w:rPr>
              <w:t>185 </w:t>
            </w:r>
          </w:p>
        </w:tc>
        <w:tc>
          <w:tcPr>
            <w:tcW w:w="0" w:type="auto"/>
            <w:shd w:val="clear" w:color="auto" w:fill="FFFFFF"/>
            <w:tcMar>
              <w:top w:w="40" w:type="dxa"/>
              <w:left w:w="0" w:type="dxa"/>
              <w:bottom w:w="40" w:type="dxa"/>
              <w:right w:w="20" w:type="dxa"/>
            </w:tcMar>
            <w:vAlign w:val="bottom"/>
          </w:tcPr>
          <w:p w14:paraId="64302BC4" w14:textId="77777777" w:rsidR="009F6D8A" w:rsidRDefault="009F6D8A">
            <w:pPr>
              <w:jc w:val="right"/>
              <w:rPr>
                <w:rFonts w:ascii="宋体"/>
              </w:rPr>
            </w:pPr>
          </w:p>
        </w:tc>
      </w:tr>
      <w:tr w:rsidR="009F6D8A" w14:paraId="64302BD2" w14:textId="77777777">
        <w:trPr>
          <w:jc w:val="center"/>
        </w:trPr>
        <w:tc>
          <w:tcPr>
            <w:tcW w:w="0" w:type="auto"/>
            <w:gridSpan w:val="3"/>
            <w:shd w:val="clear" w:color="auto" w:fill="E2E2E2"/>
            <w:tcMar>
              <w:top w:w="40" w:type="dxa"/>
              <w:left w:w="515" w:type="dxa"/>
              <w:bottom w:w="40" w:type="dxa"/>
              <w:right w:w="20" w:type="dxa"/>
            </w:tcMar>
            <w:vAlign w:val="bottom"/>
          </w:tcPr>
          <w:p w14:paraId="64302BC6" w14:textId="77777777" w:rsidR="009F6D8A" w:rsidRDefault="00C50974">
            <w:pPr>
              <w:textAlignment w:val="bottom"/>
            </w:pPr>
            <w:r>
              <w:rPr>
                <w:rFonts w:ascii="Arial" w:eastAsia="宋体" w:hAnsi="Arial" w:cs="Arial"/>
                <w:color w:val="000000"/>
                <w:sz w:val="18"/>
                <w:szCs w:val="18"/>
              </w:rPr>
              <w:t>Amortization of acquired intangible assets</w:t>
            </w:r>
          </w:p>
        </w:tc>
        <w:tc>
          <w:tcPr>
            <w:tcW w:w="0" w:type="auto"/>
            <w:gridSpan w:val="2"/>
            <w:shd w:val="clear" w:color="auto" w:fill="E2E2E2"/>
            <w:tcMar>
              <w:top w:w="40" w:type="dxa"/>
              <w:left w:w="20" w:type="dxa"/>
              <w:bottom w:w="40" w:type="dxa"/>
              <w:right w:w="0" w:type="dxa"/>
            </w:tcMar>
            <w:vAlign w:val="bottom"/>
          </w:tcPr>
          <w:p w14:paraId="64302BC7" w14:textId="77777777" w:rsidR="009F6D8A" w:rsidRDefault="00C50974">
            <w:pPr>
              <w:jc w:val="right"/>
              <w:textAlignment w:val="bottom"/>
            </w:pPr>
            <w:r>
              <w:rPr>
                <w:rFonts w:ascii="Arial" w:eastAsia="宋体" w:hAnsi="Arial" w:cs="Arial"/>
                <w:color w:val="000000"/>
                <w:sz w:val="18"/>
                <w:szCs w:val="18"/>
              </w:rPr>
              <w:t>2 </w:t>
            </w:r>
          </w:p>
        </w:tc>
        <w:tc>
          <w:tcPr>
            <w:tcW w:w="0" w:type="auto"/>
            <w:shd w:val="clear" w:color="auto" w:fill="E2E2E2"/>
            <w:tcMar>
              <w:top w:w="40" w:type="dxa"/>
              <w:left w:w="0" w:type="dxa"/>
              <w:bottom w:w="40" w:type="dxa"/>
              <w:right w:w="20" w:type="dxa"/>
            </w:tcMar>
            <w:vAlign w:val="bottom"/>
          </w:tcPr>
          <w:p w14:paraId="64302BC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C9"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BCA" w14:textId="77777777" w:rsidR="009F6D8A" w:rsidRDefault="00C50974">
            <w:pPr>
              <w:jc w:val="right"/>
              <w:textAlignment w:val="bottom"/>
            </w:pPr>
            <w:r>
              <w:rPr>
                <w:rFonts w:ascii="Arial" w:eastAsia="宋体" w:hAnsi="Arial" w:cs="Arial"/>
                <w:color w:val="000000"/>
                <w:sz w:val="18"/>
                <w:szCs w:val="18"/>
              </w:rPr>
              <w:t>7 </w:t>
            </w:r>
          </w:p>
        </w:tc>
        <w:tc>
          <w:tcPr>
            <w:tcW w:w="0" w:type="auto"/>
            <w:shd w:val="clear" w:color="auto" w:fill="E2E2E2"/>
            <w:tcMar>
              <w:top w:w="40" w:type="dxa"/>
              <w:left w:w="0" w:type="dxa"/>
              <w:bottom w:w="40" w:type="dxa"/>
              <w:right w:w="20" w:type="dxa"/>
            </w:tcMar>
            <w:vAlign w:val="bottom"/>
          </w:tcPr>
          <w:p w14:paraId="64302BC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CC"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BCD" w14:textId="77777777" w:rsidR="009F6D8A" w:rsidRDefault="00C50974">
            <w:pPr>
              <w:jc w:val="right"/>
              <w:textAlignment w:val="bottom"/>
            </w:pPr>
            <w:r>
              <w:rPr>
                <w:rFonts w:ascii="Arial" w:eastAsia="宋体" w:hAnsi="Arial" w:cs="Arial"/>
                <w:color w:val="000000"/>
                <w:sz w:val="18"/>
                <w:szCs w:val="18"/>
              </w:rPr>
              <w:t>9 </w:t>
            </w:r>
          </w:p>
        </w:tc>
        <w:tc>
          <w:tcPr>
            <w:tcW w:w="0" w:type="auto"/>
            <w:shd w:val="clear" w:color="auto" w:fill="E2E2E2"/>
            <w:tcMar>
              <w:top w:w="40" w:type="dxa"/>
              <w:left w:w="0" w:type="dxa"/>
              <w:bottom w:w="40" w:type="dxa"/>
              <w:right w:w="20" w:type="dxa"/>
            </w:tcMar>
            <w:vAlign w:val="bottom"/>
          </w:tcPr>
          <w:p w14:paraId="64302BC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CF"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BD0" w14:textId="77777777" w:rsidR="009F6D8A" w:rsidRDefault="00C50974">
            <w:pPr>
              <w:jc w:val="right"/>
              <w:textAlignment w:val="bottom"/>
            </w:pPr>
            <w:r>
              <w:rPr>
                <w:rFonts w:ascii="Arial" w:eastAsia="宋体" w:hAnsi="Arial" w:cs="Arial"/>
                <w:color w:val="000000"/>
                <w:sz w:val="18"/>
                <w:szCs w:val="18"/>
              </w:rPr>
              <w:t>14 </w:t>
            </w:r>
          </w:p>
        </w:tc>
        <w:tc>
          <w:tcPr>
            <w:tcW w:w="0" w:type="auto"/>
            <w:shd w:val="clear" w:color="auto" w:fill="E2E2E2"/>
            <w:tcMar>
              <w:top w:w="40" w:type="dxa"/>
              <w:left w:w="0" w:type="dxa"/>
              <w:bottom w:w="40" w:type="dxa"/>
              <w:right w:w="20" w:type="dxa"/>
            </w:tcMar>
            <w:vAlign w:val="bottom"/>
          </w:tcPr>
          <w:p w14:paraId="64302BD1" w14:textId="77777777" w:rsidR="009F6D8A" w:rsidRDefault="009F6D8A">
            <w:pPr>
              <w:jc w:val="right"/>
              <w:rPr>
                <w:rFonts w:ascii="宋体"/>
              </w:rPr>
            </w:pPr>
          </w:p>
        </w:tc>
      </w:tr>
      <w:tr w:rsidR="009F6D8A" w14:paraId="64302BDF" w14:textId="77777777">
        <w:trPr>
          <w:jc w:val="center"/>
        </w:trPr>
        <w:tc>
          <w:tcPr>
            <w:tcW w:w="0" w:type="auto"/>
            <w:gridSpan w:val="3"/>
            <w:shd w:val="clear" w:color="auto" w:fill="FFFFFF"/>
            <w:tcMar>
              <w:top w:w="40" w:type="dxa"/>
              <w:left w:w="875" w:type="dxa"/>
              <w:bottom w:w="40" w:type="dxa"/>
              <w:right w:w="20" w:type="dxa"/>
            </w:tcMar>
            <w:vAlign w:val="bottom"/>
          </w:tcPr>
          <w:p w14:paraId="64302BD3" w14:textId="77777777" w:rsidR="009F6D8A" w:rsidRDefault="00C50974">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2BD4" w14:textId="77777777" w:rsidR="009F6D8A" w:rsidRDefault="00C50974">
            <w:pPr>
              <w:jc w:val="right"/>
              <w:textAlignment w:val="bottom"/>
            </w:pPr>
            <w:r>
              <w:rPr>
                <w:rFonts w:ascii="Arial" w:eastAsia="宋体" w:hAnsi="Arial" w:cs="Arial"/>
                <w:color w:val="000000"/>
                <w:sz w:val="18"/>
                <w:szCs w:val="18"/>
              </w:rPr>
              <w:t>1,264 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BD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BD6"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2BD7" w14:textId="77777777" w:rsidR="009F6D8A" w:rsidRDefault="00C50974">
            <w:pPr>
              <w:jc w:val="right"/>
              <w:textAlignment w:val="bottom"/>
            </w:pPr>
            <w:r>
              <w:rPr>
                <w:rFonts w:ascii="Arial" w:eastAsia="宋体" w:hAnsi="Arial" w:cs="Arial"/>
                <w:color w:val="000000"/>
                <w:sz w:val="18"/>
                <w:szCs w:val="18"/>
              </w:rPr>
              <w:t>1,156 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BD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BD9"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2BDA" w14:textId="77777777" w:rsidR="009F6D8A" w:rsidRDefault="00C50974">
            <w:pPr>
              <w:jc w:val="right"/>
              <w:textAlignment w:val="bottom"/>
            </w:pPr>
            <w:r>
              <w:rPr>
                <w:rFonts w:ascii="Arial" w:eastAsia="宋体" w:hAnsi="Arial" w:cs="Arial"/>
                <w:color w:val="000000"/>
                <w:sz w:val="18"/>
                <w:szCs w:val="18"/>
              </w:rPr>
              <w:t>2,455 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BD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BDC"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2BDD" w14:textId="77777777" w:rsidR="009F6D8A" w:rsidRDefault="00C50974">
            <w:pPr>
              <w:jc w:val="right"/>
              <w:textAlignment w:val="bottom"/>
            </w:pPr>
            <w:r>
              <w:rPr>
                <w:rFonts w:ascii="Arial" w:eastAsia="宋体" w:hAnsi="Arial" w:cs="Arial"/>
                <w:color w:val="000000"/>
                <w:sz w:val="18"/>
                <w:szCs w:val="18"/>
              </w:rPr>
              <w:t>2,074 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BDE" w14:textId="77777777" w:rsidR="009F6D8A" w:rsidRDefault="009F6D8A">
            <w:pPr>
              <w:jc w:val="right"/>
              <w:rPr>
                <w:rFonts w:ascii="宋体"/>
              </w:rPr>
            </w:pPr>
          </w:p>
        </w:tc>
      </w:tr>
      <w:tr w:rsidR="009F6D8A" w14:paraId="64302BEC" w14:textId="77777777">
        <w:trPr>
          <w:jc w:val="center"/>
        </w:trPr>
        <w:tc>
          <w:tcPr>
            <w:tcW w:w="0" w:type="auto"/>
            <w:gridSpan w:val="3"/>
            <w:shd w:val="clear" w:color="auto" w:fill="E2E2E2"/>
            <w:tcMar>
              <w:top w:w="40" w:type="dxa"/>
              <w:left w:w="20" w:type="dxa"/>
              <w:bottom w:w="40" w:type="dxa"/>
              <w:right w:w="20" w:type="dxa"/>
            </w:tcMar>
            <w:vAlign w:val="bottom"/>
          </w:tcPr>
          <w:p w14:paraId="64302BE0" w14:textId="77777777" w:rsidR="009F6D8A" w:rsidRDefault="00C50974">
            <w:pPr>
              <w:textAlignment w:val="bottom"/>
            </w:pPr>
            <w:r>
              <w:rPr>
                <w:rFonts w:ascii="Arial" w:eastAsia="宋体" w:hAnsi="Arial" w:cs="Arial"/>
                <w:color w:val="000000"/>
                <w:sz w:val="18"/>
                <w:szCs w:val="18"/>
              </w:rPr>
              <w:t>Income from operations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BE1" w14:textId="77777777" w:rsidR="009F6D8A" w:rsidRDefault="00C50974">
            <w:pPr>
              <w:jc w:val="right"/>
              <w:textAlignment w:val="bottom"/>
            </w:pPr>
            <w:r>
              <w:rPr>
                <w:rFonts w:ascii="Arial" w:eastAsia="宋体" w:hAnsi="Arial" w:cs="Arial"/>
                <w:color w:val="000000"/>
                <w:sz w:val="18"/>
                <w:szCs w:val="18"/>
              </w:rPr>
              <w:t>732 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BE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E3"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BE4" w14:textId="77777777" w:rsidR="009F6D8A" w:rsidRDefault="00C50974">
            <w:pPr>
              <w:jc w:val="right"/>
              <w:textAlignment w:val="bottom"/>
            </w:pPr>
            <w:r>
              <w:rPr>
                <w:rFonts w:ascii="Arial" w:eastAsia="宋体" w:hAnsi="Arial" w:cs="Arial"/>
                <w:color w:val="000000"/>
                <w:sz w:val="18"/>
                <w:szCs w:val="18"/>
              </w:rPr>
              <w:t>764 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BE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E6"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BE7" w14:textId="77777777" w:rsidR="009F6D8A" w:rsidRDefault="00C50974">
            <w:pPr>
              <w:jc w:val="right"/>
              <w:textAlignment w:val="bottom"/>
            </w:pPr>
            <w:r>
              <w:rPr>
                <w:rFonts w:ascii="Arial" w:eastAsia="宋体" w:hAnsi="Arial" w:cs="Arial"/>
                <w:color w:val="000000"/>
                <w:sz w:val="18"/>
                <w:szCs w:val="18"/>
              </w:rPr>
              <w:t>1,573 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BE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E9"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BEA" w14:textId="77777777" w:rsidR="009F6D8A" w:rsidRDefault="00C50974">
            <w:pPr>
              <w:jc w:val="right"/>
              <w:textAlignment w:val="bottom"/>
            </w:pPr>
            <w:r>
              <w:rPr>
                <w:rFonts w:ascii="Arial" w:eastAsia="宋体" w:hAnsi="Arial" w:cs="Arial"/>
                <w:color w:val="000000"/>
                <w:sz w:val="18"/>
                <w:szCs w:val="18"/>
              </w:rPr>
              <w:t>1,313 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BEB" w14:textId="77777777" w:rsidR="009F6D8A" w:rsidRDefault="009F6D8A">
            <w:pPr>
              <w:jc w:val="right"/>
              <w:rPr>
                <w:rFonts w:ascii="宋体"/>
              </w:rPr>
            </w:pPr>
          </w:p>
        </w:tc>
      </w:tr>
      <w:tr w:rsidR="009F6D8A" w14:paraId="64302BF9" w14:textId="77777777">
        <w:trPr>
          <w:jc w:val="center"/>
        </w:trPr>
        <w:tc>
          <w:tcPr>
            <w:tcW w:w="0" w:type="auto"/>
            <w:gridSpan w:val="3"/>
            <w:shd w:val="clear" w:color="auto" w:fill="FFFFFF"/>
            <w:tcMar>
              <w:top w:w="40" w:type="dxa"/>
              <w:left w:w="20" w:type="dxa"/>
              <w:bottom w:w="40" w:type="dxa"/>
              <w:right w:w="20" w:type="dxa"/>
            </w:tcMar>
            <w:vAlign w:val="bottom"/>
          </w:tcPr>
          <w:p w14:paraId="64302BED" w14:textId="77777777" w:rsidR="009F6D8A" w:rsidRDefault="00C50974">
            <w:pPr>
              <w:textAlignment w:val="bottom"/>
            </w:pPr>
            <w:r>
              <w:rPr>
                <w:rFonts w:ascii="Arial" w:eastAsia="宋体" w:hAnsi="Arial" w:cs="Arial"/>
                <w:color w:val="000000"/>
                <w:sz w:val="18"/>
                <w:szCs w:val="18"/>
              </w:rPr>
              <w:t>Interest and other, net</w:t>
            </w:r>
          </w:p>
        </w:tc>
        <w:tc>
          <w:tcPr>
            <w:tcW w:w="0" w:type="auto"/>
            <w:gridSpan w:val="2"/>
            <w:shd w:val="clear" w:color="auto" w:fill="FFFFFF"/>
            <w:tcMar>
              <w:top w:w="40" w:type="dxa"/>
              <w:left w:w="20" w:type="dxa"/>
              <w:bottom w:w="40" w:type="dxa"/>
              <w:right w:w="0" w:type="dxa"/>
            </w:tcMar>
            <w:vAlign w:val="bottom"/>
          </w:tcPr>
          <w:p w14:paraId="64302BEE" w14:textId="77777777" w:rsidR="009F6D8A" w:rsidRDefault="00C50974">
            <w:pPr>
              <w:jc w:val="right"/>
              <w:textAlignment w:val="bottom"/>
            </w:pPr>
            <w:r>
              <w:rPr>
                <w:rFonts w:ascii="Arial" w:eastAsia="宋体" w:hAnsi="Arial" w:cs="Arial"/>
                <w:color w:val="000000"/>
                <w:sz w:val="18"/>
                <w:szCs w:val="18"/>
              </w:rPr>
              <w:t>(331)</w:t>
            </w:r>
          </w:p>
        </w:tc>
        <w:tc>
          <w:tcPr>
            <w:tcW w:w="0" w:type="auto"/>
            <w:shd w:val="clear" w:color="auto" w:fill="FFFFFF"/>
            <w:tcMar>
              <w:top w:w="40" w:type="dxa"/>
              <w:left w:w="0" w:type="dxa"/>
              <w:bottom w:w="40" w:type="dxa"/>
              <w:right w:w="20" w:type="dxa"/>
            </w:tcMar>
            <w:vAlign w:val="bottom"/>
          </w:tcPr>
          <w:p w14:paraId="64302BE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BF0"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BF1" w14:textId="77777777" w:rsidR="009F6D8A" w:rsidRDefault="00C50974">
            <w:pPr>
              <w:jc w:val="right"/>
              <w:textAlignment w:val="bottom"/>
            </w:pPr>
            <w:r>
              <w:rPr>
                <w:rFonts w:ascii="Arial" w:eastAsia="宋体" w:hAnsi="Arial" w:cs="Arial"/>
                <w:color w:val="000000"/>
                <w:sz w:val="18"/>
                <w:szCs w:val="18"/>
              </w:rPr>
              <w:t>181 </w:t>
            </w:r>
          </w:p>
        </w:tc>
        <w:tc>
          <w:tcPr>
            <w:tcW w:w="0" w:type="auto"/>
            <w:shd w:val="clear" w:color="auto" w:fill="FFFFFF"/>
            <w:tcMar>
              <w:top w:w="40" w:type="dxa"/>
              <w:left w:w="0" w:type="dxa"/>
              <w:bottom w:w="40" w:type="dxa"/>
              <w:right w:w="20" w:type="dxa"/>
            </w:tcMar>
            <w:vAlign w:val="bottom"/>
          </w:tcPr>
          <w:p w14:paraId="64302BF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BF3"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BF4" w14:textId="77777777" w:rsidR="009F6D8A" w:rsidRDefault="00C50974">
            <w:pPr>
              <w:jc w:val="right"/>
              <w:textAlignment w:val="bottom"/>
            </w:pPr>
            <w:r>
              <w:rPr>
                <w:rFonts w:ascii="Arial" w:eastAsia="宋体" w:hAnsi="Arial" w:cs="Arial"/>
                <w:color w:val="000000"/>
                <w:sz w:val="18"/>
                <w:szCs w:val="18"/>
              </w:rPr>
              <w:t>(448)</w:t>
            </w:r>
          </w:p>
        </w:tc>
        <w:tc>
          <w:tcPr>
            <w:tcW w:w="0" w:type="auto"/>
            <w:shd w:val="clear" w:color="auto" w:fill="FFFFFF"/>
            <w:tcMar>
              <w:top w:w="40" w:type="dxa"/>
              <w:left w:w="0" w:type="dxa"/>
              <w:bottom w:w="40" w:type="dxa"/>
              <w:right w:w="20" w:type="dxa"/>
            </w:tcMar>
            <w:vAlign w:val="bottom"/>
          </w:tcPr>
          <w:p w14:paraId="64302BF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BF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BF7" w14:textId="77777777" w:rsidR="009F6D8A" w:rsidRDefault="00C50974">
            <w:pPr>
              <w:jc w:val="right"/>
              <w:textAlignment w:val="bottom"/>
            </w:pPr>
            <w:r>
              <w:rPr>
                <w:rFonts w:ascii="Arial" w:eastAsia="宋体" w:hAnsi="Arial" w:cs="Arial"/>
                <w:color w:val="000000"/>
                <w:sz w:val="18"/>
                <w:szCs w:val="18"/>
              </w:rPr>
              <w:t>182 </w:t>
            </w:r>
          </w:p>
        </w:tc>
        <w:tc>
          <w:tcPr>
            <w:tcW w:w="0" w:type="auto"/>
            <w:shd w:val="clear" w:color="auto" w:fill="FFFFFF"/>
            <w:tcMar>
              <w:top w:w="40" w:type="dxa"/>
              <w:left w:w="0" w:type="dxa"/>
              <w:bottom w:w="40" w:type="dxa"/>
              <w:right w:w="20" w:type="dxa"/>
            </w:tcMar>
            <w:vAlign w:val="bottom"/>
          </w:tcPr>
          <w:p w14:paraId="64302BF8" w14:textId="77777777" w:rsidR="009F6D8A" w:rsidRDefault="009F6D8A">
            <w:pPr>
              <w:jc w:val="right"/>
              <w:rPr>
                <w:rFonts w:ascii="宋体"/>
              </w:rPr>
            </w:pPr>
          </w:p>
        </w:tc>
      </w:tr>
      <w:tr w:rsidR="009F6D8A" w14:paraId="64302C06" w14:textId="77777777">
        <w:trPr>
          <w:jc w:val="center"/>
        </w:trPr>
        <w:tc>
          <w:tcPr>
            <w:tcW w:w="0" w:type="auto"/>
            <w:gridSpan w:val="3"/>
            <w:shd w:val="clear" w:color="auto" w:fill="E2E2E2"/>
            <w:tcMar>
              <w:top w:w="40" w:type="dxa"/>
              <w:left w:w="20" w:type="dxa"/>
              <w:bottom w:w="40" w:type="dxa"/>
              <w:right w:w="20" w:type="dxa"/>
            </w:tcMar>
            <w:vAlign w:val="bottom"/>
          </w:tcPr>
          <w:p w14:paraId="64302BFA" w14:textId="77777777" w:rsidR="009F6D8A" w:rsidRDefault="00C50974">
            <w:pPr>
              <w:textAlignment w:val="bottom"/>
            </w:pPr>
            <w:r>
              <w:rPr>
                <w:rFonts w:ascii="Arial" w:eastAsia="宋体" w:hAnsi="Arial" w:cs="Arial"/>
                <w:color w:val="000000"/>
                <w:sz w:val="18"/>
                <w:szCs w:val="18"/>
              </w:rPr>
              <w:t>Income from continuing operations before income taxes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BFB" w14:textId="77777777" w:rsidR="009F6D8A" w:rsidRDefault="00C50974">
            <w:pPr>
              <w:jc w:val="right"/>
              <w:textAlignment w:val="bottom"/>
            </w:pPr>
            <w:r>
              <w:rPr>
                <w:rFonts w:ascii="Arial" w:eastAsia="宋体" w:hAnsi="Arial" w:cs="Arial"/>
                <w:color w:val="000000"/>
                <w:sz w:val="18"/>
                <w:szCs w:val="18"/>
              </w:rPr>
              <w:t>401 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BFC"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BFD"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BFE" w14:textId="77777777" w:rsidR="009F6D8A" w:rsidRDefault="00C50974">
            <w:pPr>
              <w:jc w:val="right"/>
              <w:textAlignment w:val="bottom"/>
            </w:pPr>
            <w:r>
              <w:rPr>
                <w:rFonts w:ascii="Arial" w:eastAsia="宋体" w:hAnsi="Arial" w:cs="Arial"/>
                <w:color w:val="000000"/>
                <w:sz w:val="18"/>
                <w:szCs w:val="18"/>
              </w:rPr>
              <w:t>945 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BF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00"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C01" w14:textId="77777777" w:rsidR="009F6D8A" w:rsidRDefault="00C50974">
            <w:pPr>
              <w:jc w:val="right"/>
              <w:textAlignment w:val="bottom"/>
            </w:pPr>
            <w:r>
              <w:rPr>
                <w:rFonts w:ascii="Arial" w:eastAsia="宋体" w:hAnsi="Arial" w:cs="Arial"/>
                <w:color w:val="000000"/>
                <w:sz w:val="18"/>
                <w:szCs w:val="18"/>
              </w:rPr>
              <w:t>1,125 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C0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03"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C04" w14:textId="77777777" w:rsidR="009F6D8A" w:rsidRDefault="00C50974">
            <w:pPr>
              <w:jc w:val="right"/>
              <w:textAlignment w:val="bottom"/>
            </w:pPr>
            <w:r>
              <w:rPr>
                <w:rFonts w:ascii="Arial" w:eastAsia="宋体" w:hAnsi="Arial" w:cs="Arial"/>
                <w:color w:val="000000"/>
                <w:sz w:val="18"/>
                <w:szCs w:val="18"/>
              </w:rPr>
              <w:t>1,495 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C05" w14:textId="77777777" w:rsidR="009F6D8A" w:rsidRDefault="009F6D8A">
            <w:pPr>
              <w:jc w:val="right"/>
              <w:rPr>
                <w:rFonts w:ascii="宋体"/>
              </w:rPr>
            </w:pPr>
          </w:p>
        </w:tc>
      </w:tr>
      <w:tr w:rsidR="009F6D8A" w14:paraId="64302C13" w14:textId="77777777">
        <w:trPr>
          <w:jc w:val="center"/>
        </w:trPr>
        <w:tc>
          <w:tcPr>
            <w:tcW w:w="0" w:type="auto"/>
            <w:gridSpan w:val="3"/>
            <w:shd w:val="clear" w:color="auto" w:fill="FFFFFF"/>
            <w:tcMar>
              <w:top w:w="40" w:type="dxa"/>
              <w:left w:w="20" w:type="dxa"/>
              <w:bottom w:w="40" w:type="dxa"/>
              <w:right w:w="20" w:type="dxa"/>
            </w:tcMar>
            <w:vAlign w:val="bottom"/>
          </w:tcPr>
          <w:p w14:paraId="64302C07" w14:textId="77777777" w:rsidR="009F6D8A" w:rsidRDefault="00C50974">
            <w:pPr>
              <w:textAlignment w:val="bottom"/>
            </w:pPr>
            <w:r>
              <w:rPr>
                <w:rFonts w:ascii="Arial" w:eastAsia="宋体" w:hAnsi="Arial" w:cs="Arial"/>
                <w:color w:val="000000"/>
                <w:sz w:val="18"/>
                <w:szCs w:val="18"/>
              </w:rPr>
              <w:t>Income tax provision</w:t>
            </w:r>
          </w:p>
        </w:tc>
        <w:tc>
          <w:tcPr>
            <w:tcW w:w="0" w:type="auto"/>
            <w:gridSpan w:val="2"/>
            <w:shd w:val="clear" w:color="auto" w:fill="FFFFFF"/>
            <w:tcMar>
              <w:top w:w="40" w:type="dxa"/>
              <w:left w:w="20" w:type="dxa"/>
              <w:bottom w:w="40" w:type="dxa"/>
              <w:right w:w="0" w:type="dxa"/>
            </w:tcMar>
            <w:vAlign w:val="bottom"/>
          </w:tcPr>
          <w:p w14:paraId="64302C08" w14:textId="77777777" w:rsidR="009F6D8A" w:rsidRDefault="00C50974">
            <w:pPr>
              <w:jc w:val="right"/>
              <w:textAlignment w:val="bottom"/>
            </w:pPr>
            <w:r>
              <w:rPr>
                <w:rFonts w:ascii="Arial" w:eastAsia="宋体" w:hAnsi="Arial" w:cs="Arial"/>
                <w:color w:val="000000"/>
                <w:sz w:val="18"/>
                <w:szCs w:val="18"/>
              </w:rPr>
              <w:t>(107)</w:t>
            </w:r>
          </w:p>
        </w:tc>
        <w:tc>
          <w:tcPr>
            <w:tcW w:w="0" w:type="auto"/>
            <w:shd w:val="clear" w:color="auto" w:fill="FFFFFF"/>
            <w:tcMar>
              <w:top w:w="40" w:type="dxa"/>
              <w:left w:w="0" w:type="dxa"/>
              <w:bottom w:w="40" w:type="dxa"/>
              <w:right w:w="20" w:type="dxa"/>
            </w:tcMar>
            <w:vAlign w:val="bottom"/>
          </w:tcPr>
          <w:p w14:paraId="64302C0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C0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C0B" w14:textId="77777777" w:rsidR="009F6D8A" w:rsidRDefault="00C50974">
            <w:pPr>
              <w:jc w:val="right"/>
              <w:textAlignment w:val="bottom"/>
            </w:pPr>
            <w:r>
              <w:rPr>
                <w:rFonts w:ascii="Arial" w:eastAsia="宋体" w:hAnsi="Arial" w:cs="Arial"/>
                <w:color w:val="000000"/>
                <w:sz w:val="18"/>
                <w:szCs w:val="18"/>
              </w:rPr>
              <w:t>(256)</w:t>
            </w:r>
          </w:p>
        </w:tc>
        <w:tc>
          <w:tcPr>
            <w:tcW w:w="0" w:type="auto"/>
            <w:shd w:val="clear" w:color="auto" w:fill="FFFFFF"/>
            <w:tcMar>
              <w:top w:w="40" w:type="dxa"/>
              <w:left w:w="0" w:type="dxa"/>
              <w:bottom w:w="40" w:type="dxa"/>
              <w:right w:w="20" w:type="dxa"/>
            </w:tcMar>
            <w:vAlign w:val="bottom"/>
          </w:tcPr>
          <w:p w14:paraId="64302C0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C0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C0E" w14:textId="77777777" w:rsidR="009F6D8A" w:rsidRDefault="00C50974">
            <w:pPr>
              <w:jc w:val="right"/>
              <w:textAlignment w:val="bottom"/>
            </w:pPr>
            <w:r>
              <w:rPr>
                <w:rFonts w:ascii="Arial" w:eastAsia="宋体" w:hAnsi="Arial" w:cs="Arial"/>
                <w:color w:val="000000"/>
                <w:sz w:val="18"/>
                <w:szCs w:val="18"/>
              </w:rPr>
              <w:t>(263)</w:t>
            </w:r>
          </w:p>
        </w:tc>
        <w:tc>
          <w:tcPr>
            <w:tcW w:w="0" w:type="auto"/>
            <w:shd w:val="clear" w:color="auto" w:fill="FFFFFF"/>
            <w:tcMar>
              <w:top w:w="40" w:type="dxa"/>
              <w:left w:w="0" w:type="dxa"/>
              <w:bottom w:w="40" w:type="dxa"/>
              <w:right w:w="20" w:type="dxa"/>
            </w:tcMar>
            <w:vAlign w:val="bottom"/>
          </w:tcPr>
          <w:p w14:paraId="64302C0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C10"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C11" w14:textId="77777777" w:rsidR="009F6D8A" w:rsidRDefault="00C50974">
            <w:pPr>
              <w:jc w:val="right"/>
              <w:textAlignment w:val="bottom"/>
            </w:pPr>
            <w:r>
              <w:rPr>
                <w:rFonts w:ascii="Arial" w:eastAsia="宋体" w:hAnsi="Arial" w:cs="Arial"/>
                <w:color w:val="000000"/>
                <w:sz w:val="18"/>
                <w:szCs w:val="18"/>
              </w:rPr>
              <w:t>(385)</w:t>
            </w:r>
          </w:p>
        </w:tc>
        <w:tc>
          <w:tcPr>
            <w:tcW w:w="0" w:type="auto"/>
            <w:shd w:val="clear" w:color="auto" w:fill="FFFFFF"/>
            <w:tcMar>
              <w:top w:w="40" w:type="dxa"/>
              <w:left w:w="0" w:type="dxa"/>
              <w:bottom w:w="40" w:type="dxa"/>
              <w:right w:w="20" w:type="dxa"/>
            </w:tcMar>
            <w:vAlign w:val="bottom"/>
          </w:tcPr>
          <w:p w14:paraId="64302C12" w14:textId="77777777" w:rsidR="009F6D8A" w:rsidRDefault="009F6D8A">
            <w:pPr>
              <w:jc w:val="right"/>
              <w:rPr>
                <w:rFonts w:ascii="宋体"/>
              </w:rPr>
            </w:pPr>
          </w:p>
        </w:tc>
      </w:tr>
      <w:tr w:rsidR="009F6D8A" w14:paraId="64302C20" w14:textId="77777777">
        <w:trPr>
          <w:jc w:val="center"/>
        </w:trPr>
        <w:tc>
          <w:tcPr>
            <w:tcW w:w="0" w:type="auto"/>
            <w:gridSpan w:val="3"/>
            <w:shd w:val="clear" w:color="auto" w:fill="E2E2E2"/>
            <w:tcMar>
              <w:top w:w="40" w:type="dxa"/>
              <w:left w:w="20" w:type="dxa"/>
              <w:bottom w:w="40" w:type="dxa"/>
              <w:right w:w="20" w:type="dxa"/>
            </w:tcMar>
            <w:vAlign w:val="bottom"/>
          </w:tcPr>
          <w:p w14:paraId="64302C14" w14:textId="77777777" w:rsidR="009F6D8A" w:rsidRDefault="00C50974">
            <w:pPr>
              <w:textAlignment w:val="bottom"/>
            </w:pPr>
            <w:r>
              <w:rPr>
                <w:rFonts w:ascii="Arial" w:eastAsia="宋体" w:hAnsi="Arial" w:cs="Arial"/>
                <w:color w:val="000000"/>
                <w:sz w:val="18"/>
                <w:szCs w:val="18"/>
              </w:rPr>
              <w:t>Income from continuing operations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C15" w14:textId="77777777" w:rsidR="009F6D8A" w:rsidRDefault="00C50974">
            <w:pPr>
              <w:jc w:val="right"/>
              <w:textAlignment w:val="bottom"/>
            </w:pPr>
            <w:r>
              <w:rPr>
                <w:rFonts w:ascii="Arial" w:eastAsia="宋体" w:hAnsi="Arial" w:cs="Arial"/>
                <w:color w:val="000000"/>
                <w:sz w:val="18"/>
                <w:szCs w:val="18"/>
              </w:rPr>
              <w:t>294 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C1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17"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C18" w14:textId="77777777" w:rsidR="009F6D8A" w:rsidRDefault="00C50974">
            <w:pPr>
              <w:jc w:val="right"/>
              <w:textAlignment w:val="bottom"/>
            </w:pPr>
            <w:r>
              <w:rPr>
                <w:rFonts w:ascii="Arial" w:eastAsia="宋体" w:hAnsi="Arial" w:cs="Arial"/>
                <w:color w:val="000000"/>
                <w:sz w:val="18"/>
                <w:szCs w:val="18"/>
              </w:rPr>
              <w:t>689 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C19"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1A"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C1B" w14:textId="77777777" w:rsidR="009F6D8A" w:rsidRDefault="00C50974">
            <w:pPr>
              <w:jc w:val="right"/>
              <w:textAlignment w:val="bottom"/>
            </w:pPr>
            <w:r>
              <w:rPr>
                <w:rFonts w:ascii="Arial" w:eastAsia="宋体" w:hAnsi="Arial" w:cs="Arial"/>
                <w:color w:val="000000"/>
                <w:sz w:val="18"/>
                <w:szCs w:val="18"/>
              </w:rPr>
              <w:t>862 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C1C"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1D"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C1E" w14:textId="77777777" w:rsidR="009F6D8A" w:rsidRDefault="00C50974">
            <w:pPr>
              <w:jc w:val="right"/>
              <w:textAlignment w:val="bottom"/>
            </w:pPr>
            <w:r>
              <w:rPr>
                <w:rFonts w:ascii="Arial" w:eastAsia="宋体" w:hAnsi="Arial" w:cs="Arial"/>
                <w:color w:val="000000"/>
                <w:sz w:val="18"/>
                <w:szCs w:val="18"/>
              </w:rPr>
              <w:t>1,110 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C1F" w14:textId="77777777" w:rsidR="009F6D8A" w:rsidRDefault="009F6D8A">
            <w:pPr>
              <w:jc w:val="right"/>
              <w:rPr>
                <w:rFonts w:ascii="宋体"/>
              </w:rPr>
            </w:pPr>
          </w:p>
        </w:tc>
      </w:tr>
      <w:tr w:rsidR="009F6D8A" w14:paraId="64302C2D" w14:textId="77777777">
        <w:trPr>
          <w:jc w:val="center"/>
        </w:trPr>
        <w:tc>
          <w:tcPr>
            <w:tcW w:w="0" w:type="auto"/>
            <w:gridSpan w:val="3"/>
            <w:shd w:val="clear" w:color="auto" w:fill="FFFFFF"/>
            <w:tcMar>
              <w:top w:w="40" w:type="dxa"/>
              <w:left w:w="20" w:type="dxa"/>
              <w:bottom w:w="40" w:type="dxa"/>
              <w:right w:w="20" w:type="dxa"/>
            </w:tcMar>
            <w:vAlign w:val="bottom"/>
          </w:tcPr>
          <w:p w14:paraId="64302C21" w14:textId="77777777" w:rsidR="009F6D8A" w:rsidRDefault="00C50974">
            <w:pPr>
              <w:textAlignment w:val="bottom"/>
            </w:pPr>
            <w:r>
              <w:rPr>
                <w:rFonts w:ascii="Arial" w:eastAsia="宋体" w:hAnsi="Arial" w:cs="Arial"/>
                <w:color w:val="000000"/>
                <w:sz w:val="18"/>
                <w:szCs w:val="18"/>
              </w:rPr>
              <w:t>Income from discontinued operations, net of income taxes</w:t>
            </w:r>
          </w:p>
        </w:tc>
        <w:tc>
          <w:tcPr>
            <w:tcW w:w="0" w:type="auto"/>
            <w:gridSpan w:val="2"/>
            <w:shd w:val="clear" w:color="auto" w:fill="FFFFFF"/>
            <w:tcMar>
              <w:top w:w="40" w:type="dxa"/>
              <w:left w:w="20" w:type="dxa"/>
              <w:bottom w:w="40" w:type="dxa"/>
              <w:right w:w="0" w:type="dxa"/>
            </w:tcMar>
            <w:vAlign w:val="bottom"/>
          </w:tcPr>
          <w:p w14:paraId="64302C22" w14:textId="77777777" w:rsidR="009F6D8A" w:rsidRDefault="00C50974">
            <w:pPr>
              <w:jc w:val="right"/>
              <w:textAlignment w:val="bottom"/>
            </w:pPr>
            <w:r>
              <w:rPr>
                <w:rFonts w:ascii="Arial" w:eastAsia="宋体" w:hAnsi="Arial" w:cs="Arial"/>
                <w:color w:val="000000"/>
                <w:sz w:val="18"/>
                <w:szCs w:val="18"/>
              </w:rPr>
              <w:t>10,440 </w:t>
            </w:r>
          </w:p>
        </w:tc>
        <w:tc>
          <w:tcPr>
            <w:tcW w:w="0" w:type="auto"/>
            <w:shd w:val="clear" w:color="auto" w:fill="FFFFFF"/>
            <w:tcMar>
              <w:top w:w="40" w:type="dxa"/>
              <w:left w:w="0" w:type="dxa"/>
              <w:bottom w:w="40" w:type="dxa"/>
              <w:right w:w="20" w:type="dxa"/>
            </w:tcMar>
            <w:vAlign w:val="bottom"/>
          </w:tcPr>
          <w:p w14:paraId="64302C2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C2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C25" w14:textId="77777777" w:rsidR="009F6D8A" w:rsidRDefault="00C50974">
            <w:pPr>
              <w:jc w:val="right"/>
              <w:textAlignment w:val="bottom"/>
            </w:pPr>
            <w:r>
              <w:rPr>
                <w:rFonts w:ascii="Arial" w:eastAsia="宋体" w:hAnsi="Arial" w:cs="Arial"/>
                <w:color w:val="000000"/>
                <w:sz w:val="18"/>
                <w:szCs w:val="18"/>
              </w:rPr>
              <w:t>57 </w:t>
            </w:r>
          </w:p>
        </w:tc>
        <w:tc>
          <w:tcPr>
            <w:tcW w:w="0" w:type="auto"/>
            <w:shd w:val="clear" w:color="auto" w:fill="FFFFFF"/>
            <w:tcMar>
              <w:top w:w="40" w:type="dxa"/>
              <w:left w:w="0" w:type="dxa"/>
              <w:bottom w:w="40" w:type="dxa"/>
              <w:right w:w="20" w:type="dxa"/>
            </w:tcMar>
            <w:vAlign w:val="bottom"/>
          </w:tcPr>
          <w:p w14:paraId="64302C2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C2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C28" w14:textId="77777777" w:rsidR="009F6D8A" w:rsidRDefault="00C50974">
            <w:pPr>
              <w:jc w:val="right"/>
              <w:textAlignment w:val="bottom"/>
            </w:pPr>
            <w:r>
              <w:rPr>
                <w:rFonts w:ascii="Arial" w:eastAsia="宋体" w:hAnsi="Arial" w:cs="Arial"/>
                <w:color w:val="000000"/>
                <w:sz w:val="18"/>
                <w:szCs w:val="18"/>
              </w:rPr>
              <w:t>10,513 </w:t>
            </w:r>
          </w:p>
        </w:tc>
        <w:tc>
          <w:tcPr>
            <w:tcW w:w="0" w:type="auto"/>
            <w:shd w:val="clear" w:color="auto" w:fill="FFFFFF"/>
            <w:tcMar>
              <w:top w:w="40" w:type="dxa"/>
              <w:left w:w="0" w:type="dxa"/>
              <w:bottom w:w="40" w:type="dxa"/>
              <w:right w:w="20" w:type="dxa"/>
            </w:tcMar>
            <w:vAlign w:val="bottom"/>
          </w:tcPr>
          <w:p w14:paraId="64302C2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C2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C2B" w14:textId="77777777" w:rsidR="009F6D8A" w:rsidRDefault="00C50974">
            <w:pPr>
              <w:jc w:val="right"/>
              <w:textAlignment w:val="bottom"/>
            </w:pPr>
            <w:r>
              <w:rPr>
                <w:rFonts w:ascii="Arial" w:eastAsia="宋体" w:hAnsi="Arial" w:cs="Arial"/>
                <w:color w:val="000000"/>
                <w:sz w:val="18"/>
                <w:szCs w:val="18"/>
              </w:rPr>
              <w:t>3,048 </w:t>
            </w:r>
          </w:p>
        </w:tc>
        <w:tc>
          <w:tcPr>
            <w:tcW w:w="0" w:type="auto"/>
            <w:shd w:val="clear" w:color="auto" w:fill="FFFFFF"/>
            <w:tcMar>
              <w:top w:w="40" w:type="dxa"/>
              <w:left w:w="0" w:type="dxa"/>
              <w:bottom w:w="40" w:type="dxa"/>
              <w:right w:w="20" w:type="dxa"/>
            </w:tcMar>
            <w:vAlign w:val="bottom"/>
          </w:tcPr>
          <w:p w14:paraId="64302C2C" w14:textId="77777777" w:rsidR="009F6D8A" w:rsidRDefault="009F6D8A">
            <w:pPr>
              <w:jc w:val="right"/>
              <w:rPr>
                <w:rFonts w:ascii="宋体"/>
              </w:rPr>
            </w:pPr>
          </w:p>
        </w:tc>
      </w:tr>
      <w:tr w:rsidR="009F6D8A" w14:paraId="64302C3E" w14:textId="77777777">
        <w:trPr>
          <w:jc w:val="center"/>
        </w:trPr>
        <w:tc>
          <w:tcPr>
            <w:tcW w:w="0" w:type="auto"/>
            <w:gridSpan w:val="3"/>
            <w:shd w:val="clear" w:color="auto" w:fill="E2E2E2"/>
            <w:tcMar>
              <w:top w:w="40" w:type="dxa"/>
              <w:left w:w="20" w:type="dxa"/>
              <w:bottom w:w="40" w:type="dxa"/>
              <w:right w:w="20" w:type="dxa"/>
            </w:tcMar>
            <w:vAlign w:val="bottom"/>
          </w:tcPr>
          <w:p w14:paraId="64302C2E" w14:textId="77777777" w:rsidR="009F6D8A" w:rsidRDefault="00C50974">
            <w:pPr>
              <w:textAlignment w:val="bottom"/>
            </w:pPr>
            <w:r>
              <w:rPr>
                <w:rFonts w:ascii="Arial" w:eastAsia="宋体" w:hAnsi="Arial" w:cs="Arial"/>
                <w:color w:val="000000"/>
                <w:sz w:val="18"/>
                <w:szCs w:val="18"/>
              </w:rPr>
              <w:t>Net income</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2C2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2C30" w14:textId="77777777" w:rsidR="009F6D8A" w:rsidRDefault="00C50974">
            <w:pPr>
              <w:jc w:val="right"/>
              <w:textAlignment w:val="bottom"/>
            </w:pPr>
            <w:r>
              <w:rPr>
                <w:rFonts w:ascii="Arial" w:eastAsia="宋体" w:hAnsi="Arial" w:cs="Arial"/>
                <w:color w:val="000000"/>
                <w:sz w:val="18"/>
                <w:szCs w:val="18"/>
              </w:rPr>
              <w:t>10,734 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C3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32"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2C33"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2C34" w14:textId="77777777" w:rsidR="009F6D8A" w:rsidRDefault="00C50974">
            <w:pPr>
              <w:jc w:val="right"/>
              <w:textAlignment w:val="bottom"/>
            </w:pPr>
            <w:r>
              <w:rPr>
                <w:rFonts w:ascii="Arial" w:eastAsia="宋体" w:hAnsi="Arial" w:cs="Arial"/>
                <w:color w:val="000000"/>
                <w:sz w:val="18"/>
                <w:szCs w:val="18"/>
              </w:rPr>
              <w:t>746 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C3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36"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2C37"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2C38" w14:textId="77777777" w:rsidR="009F6D8A" w:rsidRDefault="00C50974">
            <w:pPr>
              <w:jc w:val="right"/>
              <w:textAlignment w:val="bottom"/>
            </w:pPr>
            <w:r>
              <w:rPr>
                <w:rFonts w:ascii="Arial" w:eastAsia="宋体" w:hAnsi="Arial" w:cs="Arial"/>
                <w:color w:val="000000"/>
                <w:sz w:val="18"/>
                <w:szCs w:val="18"/>
              </w:rPr>
              <w:t>11,375 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C39"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3A"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2C3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2C3C" w14:textId="77777777" w:rsidR="009F6D8A" w:rsidRDefault="00C50974">
            <w:pPr>
              <w:jc w:val="right"/>
              <w:textAlignment w:val="bottom"/>
            </w:pPr>
            <w:r>
              <w:rPr>
                <w:rFonts w:ascii="Arial" w:eastAsia="宋体" w:hAnsi="Arial" w:cs="Arial"/>
                <w:color w:val="000000"/>
                <w:sz w:val="18"/>
                <w:szCs w:val="18"/>
              </w:rPr>
              <w:t>4,158 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C3D" w14:textId="77777777" w:rsidR="009F6D8A" w:rsidRDefault="009F6D8A">
            <w:pPr>
              <w:jc w:val="right"/>
              <w:rPr>
                <w:rFonts w:ascii="宋体"/>
              </w:rPr>
            </w:pPr>
          </w:p>
        </w:tc>
      </w:tr>
      <w:tr w:rsidR="009F6D8A" w14:paraId="64302C47" w14:textId="77777777">
        <w:trPr>
          <w:trHeight w:val="300"/>
          <w:jc w:val="center"/>
        </w:trPr>
        <w:tc>
          <w:tcPr>
            <w:tcW w:w="0" w:type="auto"/>
            <w:gridSpan w:val="3"/>
            <w:shd w:val="clear" w:color="auto" w:fill="FFFFFF"/>
            <w:tcMar>
              <w:top w:w="0" w:type="dxa"/>
              <w:left w:w="20" w:type="dxa"/>
              <w:bottom w:w="0" w:type="dxa"/>
              <w:right w:w="20" w:type="dxa"/>
            </w:tcMar>
            <w:vAlign w:val="bottom"/>
          </w:tcPr>
          <w:p w14:paraId="64302C3F"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2C4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C41"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2C42"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C43"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2C44"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C45"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2C46" w14:textId="77777777" w:rsidR="009F6D8A" w:rsidRDefault="009F6D8A">
            <w:pPr>
              <w:rPr>
                <w:rFonts w:ascii="宋体"/>
              </w:rPr>
            </w:pPr>
          </w:p>
        </w:tc>
      </w:tr>
      <w:tr w:rsidR="009F6D8A" w14:paraId="64302C50" w14:textId="77777777">
        <w:trPr>
          <w:jc w:val="center"/>
          <w:hidden/>
        </w:trPr>
        <w:tc>
          <w:tcPr>
            <w:tcW w:w="0" w:type="auto"/>
            <w:gridSpan w:val="3"/>
            <w:shd w:val="clear" w:color="auto" w:fill="auto"/>
            <w:vAlign w:val="bottom"/>
          </w:tcPr>
          <w:p w14:paraId="64302C48" w14:textId="77777777" w:rsidR="009F6D8A" w:rsidRDefault="009F6D8A">
            <w:pPr>
              <w:rPr>
                <w:rFonts w:ascii="宋体"/>
                <w:vanish/>
              </w:rPr>
            </w:pPr>
          </w:p>
        </w:tc>
        <w:tc>
          <w:tcPr>
            <w:tcW w:w="0" w:type="auto"/>
            <w:gridSpan w:val="3"/>
            <w:shd w:val="clear" w:color="auto" w:fill="auto"/>
            <w:vAlign w:val="bottom"/>
          </w:tcPr>
          <w:p w14:paraId="64302C49" w14:textId="77777777" w:rsidR="009F6D8A" w:rsidRDefault="009F6D8A">
            <w:pPr>
              <w:rPr>
                <w:rFonts w:ascii="宋体"/>
                <w:vanish/>
              </w:rPr>
            </w:pPr>
          </w:p>
        </w:tc>
        <w:tc>
          <w:tcPr>
            <w:tcW w:w="0" w:type="auto"/>
            <w:gridSpan w:val="3"/>
            <w:shd w:val="clear" w:color="auto" w:fill="auto"/>
            <w:vAlign w:val="bottom"/>
          </w:tcPr>
          <w:p w14:paraId="64302C4A" w14:textId="77777777" w:rsidR="009F6D8A" w:rsidRDefault="009F6D8A">
            <w:pPr>
              <w:rPr>
                <w:rFonts w:ascii="宋体"/>
                <w:vanish/>
              </w:rPr>
            </w:pPr>
          </w:p>
        </w:tc>
        <w:tc>
          <w:tcPr>
            <w:tcW w:w="0" w:type="auto"/>
            <w:gridSpan w:val="3"/>
            <w:shd w:val="clear" w:color="auto" w:fill="auto"/>
            <w:vAlign w:val="bottom"/>
          </w:tcPr>
          <w:p w14:paraId="64302C4B" w14:textId="77777777" w:rsidR="009F6D8A" w:rsidRDefault="009F6D8A">
            <w:pPr>
              <w:rPr>
                <w:rFonts w:ascii="宋体"/>
                <w:vanish/>
              </w:rPr>
            </w:pPr>
          </w:p>
        </w:tc>
        <w:tc>
          <w:tcPr>
            <w:tcW w:w="0" w:type="auto"/>
            <w:gridSpan w:val="3"/>
            <w:shd w:val="clear" w:color="auto" w:fill="auto"/>
            <w:vAlign w:val="bottom"/>
          </w:tcPr>
          <w:p w14:paraId="64302C4C" w14:textId="77777777" w:rsidR="009F6D8A" w:rsidRDefault="009F6D8A">
            <w:pPr>
              <w:rPr>
                <w:rFonts w:ascii="宋体"/>
                <w:vanish/>
              </w:rPr>
            </w:pPr>
          </w:p>
        </w:tc>
        <w:tc>
          <w:tcPr>
            <w:tcW w:w="0" w:type="auto"/>
            <w:gridSpan w:val="3"/>
            <w:shd w:val="clear" w:color="auto" w:fill="auto"/>
            <w:vAlign w:val="bottom"/>
          </w:tcPr>
          <w:p w14:paraId="64302C4D" w14:textId="77777777" w:rsidR="009F6D8A" w:rsidRDefault="009F6D8A">
            <w:pPr>
              <w:rPr>
                <w:rFonts w:ascii="宋体"/>
                <w:vanish/>
              </w:rPr>
            </w:pPr>
          </w:p>
        </w:tc>
        <w:tc>
          <w:tcPr>
            <w:tcW w:w="0" w:type="auto"/>
            <w:gridSpan w:val="3"/>
            <w:shd w:val="clear" w:color="auto" w:fill="auto"/>
            <w:vAlign w:val="bottom"/>
          </w:tcPr>
          <w:p w14:paraId="64302C4E" w14:textId="77777777" w:rsidR="009F6D8A" w:rsidRDefault="009F6D8A">
            <w:pPr>
              <w:rPr>
                <w:rFonts w:ascii="宋体"/>
                <w:vanish/>
              </w:rPr>
            </w:pPr>
          </w:p>
        </w:tc>
        <w:tc>
          <w:tcPr>
            <w:tcW w:w="0" w:type="auto"/>
            <w:gridSpan w:val="3"/>
            <w:shd w:val="clear" w:color="auto" w:fill="auto"/>
            <w:vAlign w:val="bottom"/>
          </w:tcPr>
          <w:p w14:paraId="64302C4F" w14:textId="77777777" w:rsidR="009F6D8A" w:rsidRDefault="009F6D8A">
            <w:pPr>
              <w:rPr>
                <w:rFonts w:ascii="宋体"/>
                <w:vanish/>
              </w:rPr>
            </w:pPr>
          </w:p>
        </w:tc>
      </w:tr>
      <w:tr w:rsidR="009F6D8A" w14:paraId="64302C59" w14:textId="77777777">
        <w:trPr>
          <w:jc w:val="center"/>
        </w:trPr>
        <w:tc>
          <w:tcPr>
            <w:tcW w:w="0" w:type="auto"/>
            <w:gridSpan w:val="3"/>
            <w:shd w:val="clear" w:color="auto" w:fill="E2E2E2"/>
            <w:tcMar>
              <w:top w:w="40" w:type="dxa"/>
              <w:left w:w="20" w:type="dxa"/>
              <w:bottom w:w="40" w:type="dxa"/>
              <w:right w:w="20" w:type="dxa"/>
            </w:tcMar>
            <w:vAlign w:val="bottom"/>
          </w:tcPr>
          <w:p w14:paraId="64302C51" w14:textId="77777777" w:rsidR="009F6D8A" w:rsidRDefault="00C50974">
            <w:pPr>
              <w:textAlignment w:val="bottom"/>
            </w:pPr>
            <w:r>
              <w:rPr>
                <w:rFonts w:ascii="Arial" w:eastAsia="宋体" w:hAnsi="Arial" w:cs="Arial"/>
                <w:color w:val="000000"/>
                <w:sz w:val="18"/>
                <w:szCs w:val="18"/>
              </w:rPr>
              <w:t>Income per share - basic:</w:t>
            </w:r>
          </w:p>
        </w:tc>
        <w:tc>
          <w:tcPr>
            <w:tcW w:w="0" w:type="auto"/>
            <w:gridSpan w:val="3"/>
            <w:shd w:val="clear" w:color="auto" w:fill="E2E2E2"/>
            <w:tcMar>
              <w:top w:w="0" w:type="dxa"/>
              <w:left w:w="20" w:type="dxa"/>
              <w:bottom w:w="0" w:type="dxa"/>
              <w:right w:w="20" w:type="dxa"/>
            </w:tcMar>
            <w:vAlign w:val="bottom"/>
          </w:tcPr>
          <w:p w14:paraId="64302C52"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C53"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C54"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C55" w14:textId="77777777" w:rsidR="009F6D8A" w:rsidRDefault="009F6D8A">
            <w:pPr>
              <w:rPr>
                <w:rFonts w:ascii="宋体"/>
              </w:rPr>
            </w:pPr>
          </w:p>
        </w:tc>
        <w:tc>
          <w:tcPr>
            <w:tcW w:w="0" w:type="auto"/>
            <w:gridSpan w:val="3"/>
            <w:shd w:val="clear" w:color="auto" w:fill="E2E2E2"/>
            <w:tcMar>
              <w:top w:w="40" w:type="dxa"/>
              <w:left w:w="20" w:type="dxa"/>
              <w:bottom w:w="40" w:type="dxa"/>
              <w:right w:w="20" w:type="dxa"/>
            </w:tcMar>
            <w:vAlign w:val="bottom"/>
          </w:tcPr>
          <w:p w14:paraId="64302C56" w14:textId="77777777" w:rsidR="009F6D8A" w:rsidRDefault="00C50974">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64302C57" w14:textId="77777777" w:rsidR="009F6D8A" w:rsidRDefault="009F6D8A">
            <w:pPr>
              <w:rPr>
                <w:rFonts w:ascii="宋体"/>
              </w:rPr>
            </w:pPr>
          </w:p>
        </w:tc>
        <w:tc>
          <w:tcPr>
            <w:tcW w:w="0" w:type="auto"/>
            <w:gridSpan w:val="3"/>
            <w:shd w:val="clear" w:color="auto" w:fill="E2E2E2"/>
            <w:tcMar>
              <w:top w:w="40" w:type="dxa"/>
              <w:left w:w="20" w:type="dxa"/>
              <w:bottom w:w="40" w:type="dxa"/>
              <w:right w:w="20" w:type="dxa"/>
            </w:tcMar>
            <w:vAlign w:val="bottom"/>
          </w:tcPr>
          <w:p w14:paraId="64302C58" w14:textId="77777777" w:rsidR="009F6D8A" w:rsidRDefault="00C50974">
            <w:pPr>
              <w:textAlignment w:val="bottom"/>
            </w:pPr>
            <w:r>
              <w:rPr>
                <w:rFonts w:ascii="Arial" w:eastAsia="宋体" w:hAnsi="Arial" w:cs="Arial"/>
                <w:color w:val="000000"/>
                <w:sz w:val="18"/>
                <w:szCs w:val="18"/>
              </w:rPr>
              <w:t> </w:t>
            </w:r>
          </w:p>
        </w:tc>
      </w:tr>
      <w:tr w:rsidR="009F6D8A" w14:paraId="64302C6A" w14:textId="77777777">
        <w:trPr>
          <w:jc w:val="center"/>
        </w:trPr>
        <w:tc>
          <w:tcPr>
            <w:tcW w:w="0" w:type="auto"/>
            <w:gridSpan w:val="3"/>
            <w:shd w:val="clear" w:color="auto" w:fill="FFFFFF"/>
            <w:tcMar>
              <w:top w:w="40" w:type="dxa"/>
              <w:left w:w="515" w:type="dxa"/>
              <w:bottom w:w="40" w:type="dxa"/>
              <w:right w:w="20" w:type="dxa"/>
            </w:tcMar>
            <w:vAlign w:val="bottom"/>
          </w:tcPr>
          <w:p w14:paraId="64302C5A" w14:textId="77777777" w:rsidR="009F6D8A" w:rsidRDefault="00C50974">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64302C5B"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2C5C" w14:textId="77777777" w:rsidR="009F6D8A" w:rsidRDefault="00C50974">
            <w:pPr>
              <w:jc w:val="right"/>
              <w:textAlignment w:val="bottom"/>
            </w:pPr>
            <w:r>
              <w:rPr>
                <w:rFonts w:ascii="Arial" w:eastAsia="宋体" w:hAnsi="Arial" w:cs="Arial"/>
                <w:color w:val="000000"/>
                <w:sz w:val="18"/>
                <w:szCs w:val="18"/>
              </w:rPr>
              <w:t>0.44 </w:t>
            </w:r>
          </w:p>
        </w:tc>
        <w:tc>
          <w:tcPr>
            <w:tcW w:w="0" w:type="auto"/>
            <w:shd w:val="clear" w:color="auto" w:fill="FFFFFF"/>
            <w:tcMar>
              <w:top w:w="40" w:type="dxa"/>
              <w:left w:w="0" w:type="dxa"/>
              <w:bottom w:w="40" w:type="dxa"/>
              <w:right w:w="20" w:type="dxa"/>
            </w:tcMar>
            <w:vAlign w:val="bottom"/>
          </w:tcPr>
          <w:p w14:paraId="64302C5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C5E"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2C5F"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2C60" w14:textId="77777777" w:rsidR="009F6D8A" w:rsidRDefault="00C50974">
            <w:pPr>
              <w:jc w:val="right"/>
              <w:textAlignment w:val="bottom"/>
            </w:pPr>
            <w:r>
              <w:rPr>
                <w:rFonts w:ascii="Arial" w:eastAsia="宋体" w:hAnsi="Arial" w:cs="Arial"/>
                <w:color w:val="000000"/>
                <w:sz w:val="18"/>
                <w:szCs w:val="18"/>
              </w:rPr>
              <w:t>0.98 </w:t>
            </w:r>
          </w:p>
        </w:tc>
        <w:tc>
          <w:tcPr>
            <w:tcW w:w="0" w:type="auto"/>
            <w:shd w:val="clear" w:color="auto" w:fill="FFFFFF"/>
            <w:tcMar>
              <w:top w:w="40" w:type="dxa"/>
              <w:left w:w="0" w:type="dxa"/>
              <w:bottom w:w="40" w:type="dxa"/>
              <w:right w:w="20" w:type="dxa"/>
            </w:tcMar>
            <w:vAlign w:val="bottom"/>
          </w:tcPr>
          <w:p w14:paraId="64302C6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C62"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2C63"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2C64" w14:textId="77777777" w:rsidR="009F6D8A" w:rsidRDefault="00C50974">
            <w:pPr>
              <w:jc w:val="right"/>
              <w:textAlignment w:val="bottom"/>
            </w:pPr>
            <w:r>
              <w:rPr>
                <w:rFonts w:ascii="Arial" w:eastAsia="宋体" w:hAnsi="Arial" w:cs="Arial"/>
                <w:color w:val="000000"/>
                <w:sz w:val="18"/>
                <w:szCs w:val="18"/>
              </w:rPr>
              <w:t>1.27 </w:t>
            </w:r>
          </w:p>
        </w:tc>
        <w:tc>
          <w:tcPr>
            <w:tcW w:w="0" w:type="auto"/>
            <w:shd w:val="clear" w:color="auto" w:fill="FFFFFF"/>
            <w:tcMar>
              <w:top w:w="40" w:type="dxa"/>
              <w:left w:w="0" w:type="dxa"/>
              <w:bottom w:w="40" w:type="dxa"/>
              <w:right w:w="20" w:type="dxa"/>
            </w:tcMar>
            <w:vAlign w:val="bottom"/>
          </w:tcPr>
          <w:p w14:paraId="64302C6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C66"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2C67"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2C68" w14:textId="77777777" w:rsidR="009F6D8A" w:rsidRDefault="00C50974">
            <w:pPr>
              <w:jc w:val="right"/>
              <w:textAlignment w:val="bottom"/>
            </w:pPr>
            <w:r>
              <w:rPr>
                <w:rFonts w:ascii="Arial" w:eastAsia="宋体" w:hAnsi="Arial" w:cs="Arial"/>
                <w:color w:val="000000"/>
                <w:sz w:val="18"/>
                <w:szCs w:val="18"/>
              </w:rPr>
              <w:t>1.53 </w:t>
            </w:r>
          </w:p>
        </w:tc>
        <w:tc>
          <w:tcPr>
            <w:tcW w:w="0" w:type="auto"/>
            <w:shd w:val="clear" w:color="auto" w:fill="FFFFFF"/>
            <w:tcMar>
              <w:top w:w="40" w:type="dxa"/>
              <w:left w:w="0" w:type="dxa"/>
              <w:bottom w:w="40" w:type="dxa"/>
              <w:right w:w="20" w:type="dxa"/>
            </w:tcMar>
            <w:vAlign w:val="bottom"/>
          </w:tcPr>
          <w:p w14:paraId="64302C69" w14:textId="77777777" w:rsidR="009F6D8A" w:rsidRDefault="009F6D8A">
            <w:pPr>
              <w:jc w:val="right"/>
              <w:rPr>
                <w:rFonts w:ascii="宋体"/>
              </w:rPr>
            </w:pPr>
          </w:p>
        </w:tc>
      </w:tr>
      <w:tr w:rsidR="009F6D8A" w14:paraId="64302C77" w14:textId="77777777">
        <w:trPr>
          <w:jc w:val="center"/>
        </w:trPr>
        <w:tc>
          <w:tcPr>
            <w:tcW w:w="0" w:type="auto"/>
            <w:gridSpan w:val="3"/>
            <w:shd w:val="clear" w:color="auto" w:fill="E2E2E2"/>
            <w:tcMar>
              <w:top w:w="40" w:type="dxa"/>
              <w:left w:w="515" w:type="dxa"/>
              <w:bottom w:w="40" w:type="dxa"/>
              <w:right w:w="20" w:type="dxa"/>
            </w:tcMar>
            <w:vAlign w:val="bottom"/>
          </w:tcPr>
          <w:p w14:paraId="64302C6B" w14:textId="77777777" w:rsidR="009F6D8A" w:rsidRDefault="00C50974">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64302C6C" w14:textId="77777777" w:rsidR="009F6D8A" w:rsidRDefault="00C50974">
            <w:pPr>
              <w:jc w:val="right"/>
              <w:textAlignment w:val="bottom"/>
            </w:pPr>
            <w:r>
              <w:rPr>
                <w:rFonts w:ascii="Arial" w:eastAsia="宋体" w:hAnsi="Arial" w:cs="Arial"/>
                <w:color w:val="000000"/>
                <w:sz w:val="18"/>
                <w:szCs w:val="18"/>
              </w:rPr>
              <w:t>15.48 </w:t>
            </w:r>
          </w:p>
        </w:tc>
        <w:tc>
          <w:tcPr>
            <w:tcW w:w="0" w:type="auto"/>
            <w:shd w:val="clear" w:color="auto" w:fill="E2E2E2"/>
            <w:tcMar>
              <w:top w:w="40" w:type="dxa"/>
              <w:left w:w="0" w:type="dxa"/>
              <w:bottom w:w="40" w:type="dxa"/>
              <w:right w:w="20" w:type="dxa"/>
            </w:tcMar>
            <w:vAlign w:val="bottom"/>
          </w:tcPr>
          <w:p w14:paraId="64302C6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6E"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C6F" w14:textId="77777777" w:rsidR="009F6D8A" w:rsidRDefault="00C50974">
            <w:pPr>
              <w:jc w:val="right"/>
              <w:textAlignment w:val="bottom"/>
            </w:pPr>
            <w:r>
              <w:rPr>
                <w:rFonts w:ascii="Arial" w:eastAsia="宋体" w:hAnsi="Arial" w:cs="Arial"/>
                <w:color w:val="000000"/>
                <w:sz w:val="18"/>
                <w:szCs w:val="18"/>
              </w:rPr>
              <w:t>0.08 </w:t>
            </w:r>
          </w:p>
        </w:tc>
        <w:tc>
          <w:tcPr>
            <w:tcW w:w="0" w:type="auto"/>
            <w:shd w:val="clear" w:color="auto" w:fill="E2E2E2"/>
            <w:tcMar>
              <w:top w:w="40" w:type="dxa"/>
              <w:left w:w="0" w:type="dxa"/>
              <w:bottom w:w="40" w:type="dxa"/>
              <w:right w:w="20" w:type="dxa"/>
            </w:tcMar>
            <w:vAlign w:val="bottom"/>
          </w:tcPr>
          <w:p w14:paraId="64302C70"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71"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C72" w14:textId="77777777" w:rsidR="009F6D8A" w:rsidRDefault="00C50974">
            <w:pPr>
              <w:jc w:val="right"/>
              <w:textAlignment w:val="bottom"/>
            </w:pPr>
            <w:r>
              <w:rPr>
                <w:rFonts w:ascii="Arial" w:eastAsia="宋体" w:hAnsi="Arial" w:cs="Arial"/>
                <w:color w:val="000000"/>
                <w:sz w:val="18"/>
                <w:szCs w:val="18"/>
              </w:rPr>
              <w:t>15.52 </w:t>
            </w:r>
          </w:p>
        </w:tc>
        <w:tc>
          <w:tcPr>
            <w:tcW w:w="0" w:type="auto"/>
            <w:shd w:val="clear" w:color="auto" w:fill="E2E2E2"/>
            <w:tcMar>
              <w:top w:w="40" w:type="dxa"/>
              <w:left w:w="0" w:type="dxa"/>
              <w:bottom w:w="40" w:type="dxa"/>
              <w:right w:w="20" w:type="dxa"/>
            </w:tcMar>
            <w:vAlign w:val="bottom"/>
          </w:tcPr>
          <w:p w14:paraId="64302C73"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74"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C75" w14:textId="77777777" w:rsidR="009F6D8A" w:rsidRDefault="00C50974">
            <w:pPr>
              <w:jc w:val="right"/>
              <w:textAlignment w:val="bottom"/>
            </w:pPr>
            <w:r>
              <w:rPr>
                <w:rFonts w:ascii="Arial" w:eastAsia="宋体" w:hAnsi="Arial" w:cs="Arial"/>
                <w:color w:val="000000"/>
                <w:sz w:val="18"/>
                <w:szCs w:val="18"/>
              </w:rPr>
              <w:t>4.18 </w:t>
            </w:r>
          </w:p>
        </w:tc>
        <w:tc>
          <w:tcPr>
            <w:tcW w:w="0" w:type="auto"/>
            <w:shd w:val="clear" w:color="auto" w:fill="E2E2E2"/>
            <w:tcMar>
              <w:top w:w="40" w:type="dxa"/>
              <w:left w:w="0" w:type="dxa"/>
              <w:bottom w:w="40" w:type="dxa"/>
              <w:right w:w="20" w:type="dxa"/>
            </w:tcMar>
            <w:vAlign w:val="bottom"/>
          </w:tcPr>
          <w:p w14:paraId="64302C76" w14:textId="77777777" w:rsidR="009F6D8A" w:rsidRDefault="009F6D8A">
            <w:pPr>
              <w:jc w:val="right"/>
              <w:rPr>
                <w:rFonts w:ascii="宋体"/>
              </w:rPr>
            </w:pPr>
          </w:p>
        </w:tc>
      </w:tr>
      <w:tr w:rsidR="009F6D8A" w14:paraId="64302C88" w14:textId="77777777">
        <w:trPr>
          <w:jc w:val="center"/>
        </w:trPr>
        <w:tc>
          <w:tcPr>
            <w:tcW w:w="0" w:type="auto"/>
            <w:gridSpan w:val="3"/>
            <w:shd w:val="clear" w:color="auto" w:fill="FFFFFF"/>
            <w:tcMar>
              <w:top w:w="40" w:type="dxa"/>
              <w:left w:w="20" w:type="dxa"/>
              <w:bottom w:w="40" w:type="dxa"/>
              <w:right w:w="20" w:type="dxa"/>
            </w:tcMar>
            <w:vAlign w:val="bottom"/>
          </w:tcPr>
          <w:p w14:paraId="64302C78" w14:textId="77777777" w:rsidR="009F6D8A" w:rsidRDefault="00C50974">
            <w:pPr>
              <w:textAlignment w:val="bottom"/>
            </w:pPr>
            <w:r>
              <w:rPr>
                <w:rFonts w:ascii="Arial" w:eastAsia="宋体" w:hAnsi="Arial" w:cs="Arial"/>
                <w:color w:val="000000"/>
                <w:sz w:val="18"/>
                <w:szCs w:val="18"/>
              </w:rPr>
              <w:t>Net income per share - basic</w:t>
            </w:r>
          </w:p>
        </w:tc>
        <w:tc>
          <w:tcPr>
            <w:tcW w:w="0" w:type="auto"/>
            <w:tcBorders>
              <w:top w:val="single" w:sz="8" w:space="0" w:color="000000"/>
            </w:tcBorders>
            <w:shd w:val="clear" w:color="auto" w:fill="FFFFFF"/>
            <w:tcMar>
              <w:top w:w="40" w:type="dxa"/>
              <w:left w:w="20" w:type="dxa"/>
              <w:bottom w:w="40" w:type="dxa"/>
              <w:right w:w="0" w:type="dxa"/>
            </w:tcMar>
            <w:vAlign w:val="bottom"/>
          </w:tcPr>
          <w:p w14:paraId="64302C79"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2C7A" w14:textId="77777777" w:rsidR="009F6D8A" w:rsidRDefault="00C50974">
            <w:pPr>
              <w:jc w:val="right"/>
              <w:textAlignment w:val="bottom"/>
            </w:pPr>
            <w:r>
              <w:rPr>
                <w:rFonts w:ascii="Arial" w:eastAsia="宋体" w:hAnsi="Arial" w:cs="Arial"/>
                <w:color w:val="000000"/>
                <w:sz w:val="18"/>
                <w:szCs w:val="18"/>
              </w:rPr>
              <w:t>15.92 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C7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C7C"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2C7D"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2C7E" w14:textId="77777777" w:rsidR="009F6D8A" w:rsidRDefault="00C50974">
            <w:pPr>
              <w:jc w:val="right"/>
              <w:textAlignment w:val="bottom"/>
            </w:pPr>
            <w:r>
              <w:rPr>
                <w:rFonts w:ascii="Arial" w:eastAsia="宋体" w:hAnsi="Arial" w:cs="Arial"/>
                <w:color w:val="000000"/>
                <w:sz w:val="18"/>
                <w:szCs w:val="18"/>
              </w:rPr>
              <w:t>1.06 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C7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C80"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2C81"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2C82" w14:textId="77777777" w:rsidR="009F6D8A" w:rsidRDefault="00C50974">
            <w:pPr>
              <w:jc w:val="right"/>
              <w:textAlignment w:val="bottom"/>
            </w:pPr>
            <w:r>
              <w:rPr>
                <w:rFonts w:ascii="Arial" w:eastAsia="宋体" w:hAnsi="Arial" w:cs="Arial"/>
                <w:color w:val="000000"/>
                <w:sz w:val="18"/>
                <w:szCs w:val="18"/>
              </w:rPr>
              <w:t>16.79 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C8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C84"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2C85"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2C86" w14:textId="77777777" w:rsidR="009F6D8A" w:rsidRDefault="00C50974">
            <w:pPr>
              <w:jc w:val="right"/>
              <w:textAlignment w:val="bottom"/>
            </w:pPr>
            <w:r>
              <w:rPr>
                <w:rFonts w:ascii="Arial" w:eastAsia="宋体" w:hAnsi="Arial" w:cs="Arial"/>
                <w:color w:val="000000"/>
                <w:sz w:val="18"/>
                <w:szCs w:val="18"/>
              </w:rPr>
              <w:t>5.71 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C87" w14:textId="77777777" w:rsidR="009F6D8A" w:rsidRDefault="009F6D8A">
            <w:pPr>
              <w:jc w:val="right"/>
              <w:rPr>
                <w:rFonts w:ascii="宋体"/>
              </w:rPr>
            </w:pPr>
          </w:p>
        </w:tc>
      </w:tr>
      <w:tr w:rsidR="009F6D8A" w14:paraId="64302C91" w14:textId="77777777">
        <w:trPr>
          <w:trHeight w:val="300"/>
          <w:jc w:val="center"/>
        </w:trPr>
        <w:tc>
          <w:tcPr>
            <w:tcW w:w="0" w:type="auto"/>
            <w:gridSpan w:val="3"/>
            <w:shd w:val="clear" w:color="auto" w:fill="E2E2E2"/>
            <w:tcMar>
              <w:top w:w="0" w:type="dxa"/>
              <w:left w:w="20" w:type="dxa"/>
              <w:bottom w:w="0" w:type="dxa"/>
              <w:right w:w="20" w:type="dxa"/>
            </w:tcMar>
            <w:vAlign w:val="bottom"/>
          </w:tcPr>
          <w:p w14:paraId="64302C89" w14:textId="77777777" w:rsidR="009F6D8A" w:rsidRDefault="009F6D8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2C8A"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C8B" w14:textId="77777777" w:rsidR="009F6D8A" w:rsidRDefault="009F6D8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2C8C"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C8D" w14:textId="77777777" w:rsidR="009F6D8A" w:rsidRDefault="009F6D8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2C8E"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C8F" w14:textId="77777777" w:rsidR="009F6D8A" w:rsidRDefault="009F6D8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2C90" w14:textId="77777777" w:rsidR="009F6D8A" w:rsidRDefault="009F6D8A">
            <w:pPr>
              <w:rPr>
                <w:rFonts w:ascii="宋体"/>
              </w:rPr>
            </w:pPr>
          </w:p>
        </w:tc>
      </w:tr>
      <w:tr w:rsidR="009F6D8A" w14:paraId="64302C9A" w14:textId="77777777">
        <w:trPr>
          <w:jc w:val="center"/>
        </w:trPr>
        <w:tc>
          <w:tcPr>
            <w:tcW w:w="0" w:type="auto"/>
            <w:gridSpan w:val="3"/>
            <w:shd w:val="clear" w:color="auto" w:fill="FFFFFF"/>
            <w:tcMar>
              <w:top w:w="40" w:type="dxa"/>
              <w:left w:w="20" w:type="dxa"/>
              <w:bottom w:w="40" w:type="dxa"/>
              <w:right w:w="20" w:type="dxa"/>
            </w:tcMar>
            <w:vAlign w:val="bottom"/>
          </w:tcPr>
          <w:p w14:paraId="64302C92" w14:textId="77777777" w:rsidR="009F6D8A" w:rsidRDefault="00C50974">
            <w:pPr>
              <w:textAlignment w:val="bottom"/>
            </w:pPr>
            <w:r>
              <w:rPr>
                <w:rFonts w:ascii="Arial" w:eastAsia="宋体" w:hAnsi="Arial" w:cs="Arial"/>
                <w:color w:val="000000"/>
                <w:sz w:val="18"/>
                <w:szCs w:val="18"/>
              </w:rPr>
              <w:t xml:space="preserve">Income per share - </w:t>
            </w:r>
            <w:r>
              <w:rPr>
                <w:rFonts w:ascii="Arial" w:eastAsia="宋体" w:hAnsi="Arial" w:cs="Arial"/>
                <w:color w:val="000000"/>
                <w:sz w:val="18"/>
                <w:szCs w:val="18"/>
              </w:rPr>
              <w:t>diluted:</w:t>
            </w:r>
          </w:p>
        </w:tc>
        <w:tc>
          <w:tcPr>
            <w:tcW w:w="0" w:type="auto"/>
            <w:gridSpan w:val="3"/>
            <w:shd w:val="clear" w:color="auto" w:fill="FFFFFF"/>
            <w:tcMar>
              <w:top w:w="0" w:type="dxa"/>
              <w:left w:w="20" w:type="dxa"/>
              <w:bottom w:w="0" w:type="dxa"/>
              <w:right w:w="20" w:type="dxa"/>
            </w:tcMar>
            <w:vAlign w:val="bottom"/>
          </w:tcPr>
          <w:p w14:paraId="64302C93"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C94"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C95"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C96"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C97"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C9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C99" w14:textId="77777777" w:rsidR="009F6D8A" w:rsidRDefault="009F6D8A">
            <w:pPr>
              <w:rPr>
                <w:rFonts w:ascii="宋体"/>
              </w:rPr>
            </w:pPr>
          </w:p>
        </w:tc>
      </w:tr>
      <w:tr w:rsidR="009F6D8A" w14:paraId="64302CAB" w14:textId="77777777">
        <w:trPr>
          <w:jc w:val="center"/>
        </w:trPr>
        <w:tc>
          <w:tcPr>
            <w:tcW w:w="0" w:type="auto"/>
            <w:gridSpan w:val="3"/>
            <w:shd w:val="clear" w:color="auto" w:fill="E2E2E2"/>
            <w:tcMar>
              <w:top w:w="40" w:type="dxa"/>
              <w:left w:w="515" w:type="dxa"/>
              <w:bottom w:w="40" w:type="dxa"/>
              <w:right w:w="20" w:type="dxa"/>
            </w:tcMar>
            <w:vAlign w:val="bottom"/>
          </w:tcPr>
          <w:p w14:paraId="64302C9B" w14:textId="77777777" w:rsidR="009F6D8A" w:rsidRDefault="00C50974">
            <w:pPr>
              <w:textAlignment w:val="bottom"/>
            </w:pPr>
            <w:r>
              <w:rPr>
                <w:rFonts w:ascii="Arial" w:eastAsia="宋体" w:hAnsi="Arial" w:cs="Arial"/>
                <w:color w:val="000000"/>
                <w:sz w:val="18"/>
                <w:szCs w:val="18"/>
              </w:rPr>
              <w:t>Continuing operations</w:t>
            </w:r>
          </w:p>
        </w:tc>
        <w:tc>
          <w:tcPr>
            <w:tcW w:w="0" w:type="auto"/>
            <w:shd w:val="clear" w:color="auto" w:fill="E2E2E2"/>
            <w:tcMar>
              <w:top w:w="40" w:type="dxa"/>
              <w:left w:w="20" w:type="dxa"/>
              <w:bottom w:w="40" w:type="dxa"/>
              <w:right w:w="0" w:type="dxa"/>
            </w:tcMar>
            <w:vAlign w:val="bottom"/>
          </w:tcPr>
          <w:p w14:paraId="64302C9C"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4302C9D" w14:textId="77777777" w:rsidR="009F6D8A" w:rsidRDefault="00C50974">
            <w:pPr>
              <w:jc w:val="right"/>
              <w:textAlignment w:val="bottom"/>
            </w:pPr>
            <w:r>
              <w:rPr>
                <w:rFonts w:ascii="Arial" w:eastAsia="宋体" w:hAnsi="Arial" w:cs="Arial"/>
                <w:color w:val="000000"/>
                <w:sz w:val="18"/>
                <w:szCs w:val="18"/>
              </w:rPr>
              <w:t>0.43 </w:t>
            </w:r>
          </w:p>
        </w:tc>
        <w:tc>
          <w:tcPr>
            <w:tcW w:w="0" w:type="auto"/>
            <w:shd w:val="clear" w:color="auto" w:fill="E2E2E2"/>
            <w:tcMar>
              <w:top w:w="40" w:type="dxa"/>
              <w:left w:w="0" w:type="dxa"/>
              <w:bottom w:w="40" w:type="dxa"/>
              <w:right w:w="20" w:type="dxa"/>
            </w:tcMar>
            <w:vAlign w:val="bottom"/>
          </w:tcPr>
          <w:p w14:paraId="64302C9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9F"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2CA0"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4302CA1" w14:textId="77777777" w:rsidR="009F6D8A" w:rsidRDefault="00C50974">
            <w:pPr>
              <w:jc w:val="right"/>
              <w:textAlignment w:val="bottom"/>
            </w:pPr>
            <w:r>
              <w:rPr>
                <w:rFonts w:ascii="Arial" w:eastAsia="宋体" w:hAnsi="Arial" w:cs="Arial"/>
                <w:color w:val="000000"/>
                <w:sz w:val="18"/>
                <w:szCs w:val="18"/>
              </w:rPr>
              <w:t>0.97 </w:t>
            </w:r>
          </w:p>
        </w:tc>
        <w:tc>
          <w:tcPr>
            <w:tcW w:w="0" w:type="auto"/>
            <w:shd w:val="clear" w:color="auto" w:fill="E2E2E2"/>
            <w:tcMar>
              <w:top w:w="40" w:type="dxa"/>
              <w:left w:w="0" w:type="dxa"/>
              <w:bottom w:w="40" w:type="dxa"/>
              <w:right w:w="20" w:type="dxa"/>
            </w:tcMar>
            <w:vAlign w:val="bottom"/>
          </w:tcPr>
          <w:p w14:paraId="64302CA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A3"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2CA4"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4302CA5" w14:textId="77777777" w:rsidR="009F6D8A" w:rsidRDefault="00C50974">
            <w:pPr>
              <w:jc w:val="right"/>
              <w:textAlignment w:val="bottom"/>
            </w:pPr>
            <w:r>
              <w:rPr>
                <w:rFonts w:ascii="Arial" w:eastAsia="宋体" w:hAnsi="Arial" w:cs="Arial"/>
                <w:color w:val="000000"/>
                <w:sz w:val="18"/>
                <w:szCs w:val="18"/>
              </w:rPr>
              <w:t>1.25 </w:t>
            </w:r>
          </w:p>
        </w:tc>
        <w:tc>
          <w:tcPr>
            <w:tcW w:w="0" w:type="auto"/>
            <w:shd w:val="clear" w:color="auto" w:fill="E2E2E2"/>
            <w:tcMar>
              <w:top w:w="40" w:type="dxa"/>
              <w:left w:w="0" w:type="dxa"/>
              <w:bottom w:w="40" w:type="dxa"/>
              <w:right w:w="20" w:type="dxa"/>
            </w:tcMar>
            <w:vAlign w:val="bottom"/>
          </w:tcPr>
          <w:p w14:paraId="64302CA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A7"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2CA8"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4302CA9" w14:textId="77777777" w:rsidR="009F6D8A" w:rsidRDefault="00C50974">
            <w:pPr>
              <w:jc w:val="right"/>
              <w:textAlignment w:val="bottom"/>
            </w:pPr>
            <w:r>
              <w:rPr>
                <w:rFonts w:ascii="Arial" w:eastAsia="宋体" w:hAnsi="Arial" w:cs="Arial"/>
                <w:color w:val="000000"/>
                <w:sz w:val="18"/>
                <w:szCs w:val="18"/>
              </w:rPr>
              <w:t>1.51 </w:t>
            </w:r>
          </w:p>
        </w:tc>
        <w:tc>
          <w:tcPr>
            <w:tcW w:w="0" w:type="auto"/>
            <w:shd w:val="clear" w:color="auto" w:fill="E2E2E2"/>
            <w:tcMar>
              <w:top w:w="40" w:type="dxa"/>
              <w:left w:w="0" w:type="dxa"/>
              <w:bottom w:w="40" w:type="dxa"/>
              <w:right w:w="20" w:type="dxa"/>
            </w:tcMar>
            <w:vAlign w:val="bottom"/>
          </w:tcPr>
          <w:p w14:paraId="64302CAA" w14:textId="77777777" w:rsidR="009F6D8A" w:rsidRDefault="009F6D8A">
            <w:pPr>
              <w:jc w:val="right"/>
              <w:rPr>
                <w:rFonts w:ascii="宋体"/>
              </w:rPr>
            </w:pPr>
          </w:p>
        </w:tc>
      </w:tr>
      <w:tr w:rsidR="009F6D8A" w14:paraId="64302CB8" w14:textId="77777777">
        <w:trPr>
          <w:jc w:val="center"/>
        </w:trPr>
        <w:tc>
          <w:tcPr>
            <w:tcW w:w="0" w:type="auto"/>
            <w:gridSpan w:val="3"/>
            <w:shd w:val="clear" w:color="auto" w:fill="FFFFFF"/>
            <w:tcMar>
              <w:top w:w="40" w:type="dxa"/>
              <w:left w:w="515" w:type="dxa"/>
              <w:bottom w:w="40" w:type="dxa"/>
              <w:right w:w="20" w:type="dxa"/>
            </w:tcMar>
            <w:vAlign w:val="bottom"/>
          </w:tcPr>
          <w:p w14:paraId="64302CAC" w14:textId="77777777" w:rsidR="009F6D8A" w:rsidRDefault="00C50974">
            <w:pPr>
              <w:textAlignment w:val="bottom"/>
            </w:pPr>
            <w:r>
              <w:rPr>
                <w:rFonts w:ascii="Arial" w:eastAsia="宋体" w:hAnsi="Arial" w:cs="Arial"/>
                <w:color w:val="000000"/>
                <w:sz w:val="18"/>
                <w:szCs w:val="18"/>
              </w:rPr>
              <w:t>Discontinued operations</w:t>
            </w:r>
          </w:p>
        </w:tc>
        <w:tc>
          <w:tcPr>
            <w:tcW w:w="0" w:type="auto"/>
            <w:gridSpan w:val="2"/>
            <w:shd w:val="clear" w:color="auto" w:fill="FFFFFF"/>
            <w:tcMar>
              <w:top w:w="40" w:type="dxa"/>
              <w:left w:w="20" w:type="dxa"/>
              <w:bottom w:w="40" w:type="dxa"/>
              <w:right w:w="0" w:type="dxa"/>
            </w:tcMar>
            <w:vAlign w:val="bottom"/>
          </w:tcPr>
          <w:p w14:paraId="64302CAD" w14:textId="77777777" w:rsidR="009F6D8A" w:rsidRDefault="00C50974">
            <w:pPr>
              <w:jc w:val="right"/>
              <w:textAlignment w:val="bottom"/>
            </w:pPr>
            <w:r>
              <w:rPr>
                <w:rFonts w:ascii="Arial" w:eastAsia="宋体" w:hAnsi="Arial" w:cs="Arial"/>
                <w:color w:val="000000"/>
                <w:sz w:val="18"/>
                <w:szCs w:val="18"/>
              </w:rPr>
              <w:t>15.25 </w:t>
            </w:r>
          </w:p>
        </w:tc>
        <w:tc>
          <w:tcPr>
            <w:tcW w:w="0" w:type="auto"/>
            <w:shd w:val="clear" w:color="auto" w:fill="FFFFFF"/>
            <w:tcMar>
              <w:top w:w="40" w:type="dxa"/>
              <w:left w:w="0" w:type="dxa"/>
              <w:bottom w:w="40" w:type="dxa"/>
              <w:right w:w="20" w:type="dxa"/>
            </w:tcMar>
            <w:vAlign w:val="bottom"/>
          </w:tcPr>
          <w:p w14:paraId="64302CA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CAF"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CB0" w14:textId="77777777" w:rsidR="009F6D8A" w:rsidRDefault="00C50974">
            <w:pPr>
              <w:jc w:val="right"/>
              <w:textAlignment w:val="bottom"/>
            </w:pPr>
            <w:r>
              <w:rPr>
                <w:rFonts w:ascii="Arial" w:eastAsia="宋体" w:hAnsi="Arial" w:cs="Arial"/>
                <w:color w:val="000000"/>
                <w:sz w:val="18"/>
                <w:szCs w:val="18"/>
              </w:rPr>
              <w:t>0.08 </w:t>
            </w:r>
          </w:p>
        </w:tc>
        <w:tc>
          <w:tcPr>
            <w:tcW w:w="0" w:type="auto"/>
            <w:shd w:val="clear" w:color="auto" w:fill="FFFFFF"/>
            <w:tcMar>
              <w:top w:w="40" w:type="dxa"/>
              <w:left w:w="0" w:type="dxa"/>
              <w:bottom w:w="40" w:type="dxa"/>
              <w:right w:w="20" w:type="dxa"/>
            </w:tcMar>
            <w:vAlign w:val="bottom"/>
          </w:tcPr>
          <w:p w14:paraId="64302CB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CB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CB3" w14:textId="77777777" w:rsidR="009F6D8A" w:rsidRDefault="00C50974">
            <w:pPr>
              <w:jc w:val="right"/>
              <w:textAlignment w:val="bottom"/>
            </w:pPr>
            <w:r>
              <w:rPr>
                <w:rFonts w:ascii="Arial" w:eastAsia="宋体" w:hAnsi="Arial" w:cs="Arial"/>
                <w:color w:val="000000"/>
                <w:sz w:val="18"/>
                <w:szCs w:val="18"/>
              </w:rPr>
              <w:t>15.27 </w:t>
            </w:r>
          </w:p>
        </w:tc>
        <w:tc>
          <w:tcPr>
            <w:tcW w:w="0" w:type="auto"/>
            <w:shd w:val="clear" w:color="auto" w:fill="FFFFFF"/>
            <w:tcMar>
              <w:top w:w="40" w:type="dxa"/>
              <w:left w:w="0" w:type="dxa"/>
              <w:bottom w:w="40" w:type="dxa"/>
              <w:right w:w="20" w:type="dxa"/>
            </w:tcMar>
            <w:vAlign w:val="bottom"/>
          </w:tcPr>
          <w:p w14:paraId="64302CB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CB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CB6" w14:textId="77777777" w:rsidR="009F6D8A" w:rsidRDefault="00C50974">
            <w:pPr>
              <w:jc w:val="right"/>
              <w:textAlignment w:val="bottom"/>
            </w:pPr>
            <w:r>
              <w:rPr>
                <w:rFonts w:ascii="Arial" w:eastAsia="宋体" w:hAnsi="Arial" w:cs="Arial"/>
                <w:color w:val="000000"/>
                <w:sz w:val="18"/>
                <w:szCs w:val="18"/>
              </w:rPr>
              <w:t>4.16 </w:t>
            </w:r>
          </w:p>
        </w:tc>
        <w:tc>
          <w:tcPr>
            <w:tcW w:w="0" w:type="auto"/>
            <w:shd w:val="clear" w:color="auto" w:fill="FFFFFF"/>
            <w:tcMar>
              <w:top w:w="40" w:type="dxa"/>
              <w:left w:w="0" w:type="dxa"/>
              <w:bottom w:w="40" w:type="dxa"/>
              <w:right w:w="20" w:type="dxa"/>
            </w:tcMar>
            <w:vAlign w:val="bottom"/>
          </w:tcPr>
          <w:p w14:paraId="64302CB7" w14:textId="77777777" w:rsidR="009F6D8A" w:rsidRDefault="009F6D8A">
            <w:pPr>
              <w:jc w:val="right"/>
              <w:rPr>
                <w:rFonts w:ascii="宋体"/>
              </w:rPr>
            </w:pPr>
          </w:p>
        </w:tc>
      </w:tr>
      <w:tr w:rsidR="009F6D8A" w14:paraId="64302CC9" w14:textId="77777777">
        <w:trPr>
          <w:jc w:val="center"/>
        </w:trPr>
        <w:tc>
          <w:tcPr>
            <w:tcW w:w="0" w:type="auto"/>
            <w:gridSpan w:val="3"/>
            <w:shd w:val="clear" w:color="auto" w:fill="E2E2E2"/>
            <w:tcMar>
              <w:top w:w="40" w:type="dxa"/>
              <w:left w:w="20" w:type="dxa"/>
              <w:bottom w:w="40" w:type="dxa"/>
              <w:right w:w="20" w:type="dxa"/>
            </w:tcMar>
            <w:vAlign w:val="bottom"/>
          </w:tcPr>
          <w:p w14:paraId="64302CB9" w14:textId="77777777" w:rsidR="009F6D8A" w:rsidRDefault="00C50974">
            <w:pPr>
              <w:textAlignment w:val="bottom"/>
            </w:pPr>
            <w:r>
              <w:rPr>
                <w:rFonts w:ascii="Arial" w:eastAsia="宋体" w:hAnsi="Arial" w:cs="Arial"/>
                <w:color w:val="000000"/>
                <w:sz w:val="18"/>
                <w:szCs w:val="18"/>
              </w:rPr>
              <w:t>Net income per share - diluted</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2CBA"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2CBB" w14:textId="77777777" w:rsidR="009F6D8A" w:rsidRDefault="00C50974">
            <w:pPr>
              <w:jc w:val="right"/>
              <w:textAlignment w:val="bottom"/>
            </w:pPr>
            <w:r>
              <w:rPr>
                <w:rFonts w:ascii="Arial" w:eastAsia="宋体" w:hAnsi="Arial" w:cs="Arial"/>
                <w:color w:val="000000"/>
                <w:sz w:val="18"/>
                <w:szCs w:val="18"/>
              </w:rPr>
              <w:t>15.68 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CBC"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BD"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2CBE"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2CBF" w14:textId="77777777" w:rsidR="009F6D8A" w:rsidRDefault="00C50974">
            <w:pPr>
              <w:jc w:val="right"/>
              <w:textAlignment w:val="bottom"/>
            </w:pPr>
            <w:r>
              <w:rPr>
                <w:rFonts w:ascii="Arial" w:eastAsia="宋体" w:hAnsi="Arial" w:cs="Arial"/>
                <w:color w:val="000000"/>
                <w:sz w:val="18"/>
                <w:szCs w:val="18"/>
              </w:rPr>
              <w:t>1.05 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CC0"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C1"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2CC2"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2CC3" w14:textId="77777777" w:rsidR="009F6D8A" w:rsidRDefault="00C50974">
            <w:pPr>
              <w:jc w:val="right"/>
              <w:textAlignment w:val="bottom"/>
            </w:pPr>
            <w:r>
              <w:rPr>
                <w:rFonts w:ascii="Arial" w:eastAsia="宋体" w:hAnsi="Arial" w:cs="Arial"/>
                <w:color w:val="000000"/>
                <w:sz w:val="18"/>
                <w:szCs w:val="18"/>
              </w:rPr>
              <w:t>16.52 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CC4"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C5"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2CC6"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2CC7" w14:textId="77777777" w:rsidR="009F6D8A" w:rsidRDefault="00C50974">
            <w:pPr>
              <w:jc w:val="right"/>
              <w:textAlignment w:val="bottom"/>
            </w:pPr>
            <w:r>
              <w:rPr>
                <w:rFonts w:ascii="Arial" w:eastAsia="宋体" w:hAnsi="Arial" w:cs="Arial"/>
                <w:color w:val="000000"/>
                <w:sz w:val="18"/>
                <w:szCs w:val="18"/>
              </w:rPr>
              <w:t>5.67 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CC8" w14:textId="77777777" w:rsidR="009F6D8A" w:rsidRDefault="009F6D8A">
            <w:pPr>
              <w:jc w:val="right"/>
              <w:rPr>
                <w:rFonts w:ascii="宋体"/>
              </w:rPr>
            </w:pPr>
          </w:p>
        </w:tc>
      </w:tr>
      <w:tr w:rsidR="009F6D8A" w14:paraId="64302CD2" w14:textId="77777777">
        <w:trPr>
          <w:trHeight w:val="300"/>
          <w:jc w:val="center"/>
        </w:trPr>
        <w:tc>
          <w:tcPr>
            <w:tcW w:w="0" w:type="auto"/>
            <w:gridSpan w:val="3"/>
            <w:shd w:val="clear" w:color="auto" w:fill="FFFFFF"/>
            <w:tcMar>
              <w:top w:w="0" w:type="dxa"/>
              <w:left w:w="20" w:type="dxa"/>
              <w:bottom w:w="0" w:type="dxa"/>
              <w:right w:w="20" w:type="dxa"/>
            </w:tcMar>
            <w:vAlign w:val="bottom"/>
          </w:tcPr>
          <w:p w14:paraId="64302CCA"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2CCB"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CCC"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2CCD"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CCE"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2CCF"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CD0"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2CD1" w14:textId="77777777" w:rsidR="009F6D8A" w:rsidRDefault="009F6D8A">
            <w:pPr>
              <w:rPr>
                <w:rFonts w:ascii="宋体"/>
              </w:rPr>
            </w:pPr>
          </w:p>
        </w:tc>
      </w:tr>
      <w:tr w:rsidR="009F6D8A" w14:paraId="64302CDB" w14:textId="77777777">
        <w:trPr>
          <w:jc w:val="center"/>
        </w:trPr>
        <w:tc>
          <w:tcPr>
            <w:tcW w:w="0" w:type="auto"/>
            <w:gridSpan w:val="3"/>
            <w:shd w:val="clear" w:color="auto" w:fill="E2E2E2"/>
            <w:tcMar>
              <w:top w:w="40" w:type="dxa"/>
              <w:left w:w="20" w:type="dxa"/>
              <w:bottom w:w="40" w:type="dxa"/>
              <w:right w:w="20" w:type="dxa"/>
            </w:tcMar>
            <w:vAlign w:val="bottom"/>
          </w:tcPr>
          <w:p w14:paraId="64302CD3" w14:textId="77777777" w:rsidR="009F6D8A" w:rsidRDefault="00C50974">
            <w:pPr>
              <w:textAlignment w:val="bottom"/>
            </w:pPr>
            <w:r>
              <w:rPr>
                <w:rFonts w:ascii="Arial" w:eastAsia="宋体" w:hAnsi="Arial" w:cs="Arial"/>
                <w:color w:val="000000"/>
                <w:sz w:val="18"/>
                <w:szCs w:val="18"/>
              </w:rPr>
              <w:t>Weighted-average shares:</w:t>
            </w:r>
          </w:p>
        </w:tc>
        <w:tc>
          <w:tcPr>
            <w:tcW w:w="0" w:type="auto"/>
            <w:gridSpan w:val="3"/>
            <w:shd w:val="clear" w:color="auto" w:fill="E2E2E2"/>
            <w:tcMar>
              <w:top w:w="0" w:type="dxa"/>
              <w:left w:w="20" w:type="dxa"/>
              <w:bottom w:w="0" w:type="dxa"/>
              <w:right w:w="20" w:type="dxa"/>
            </w:tcMar>
            <w:vAlign w:val="bottom"/>
          </w:tcPr>
          <w:p w14:paraId="64302CD4"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CD5"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CD6"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CD7" w14:textId="77777777" w:rsidR="009F6D8A" w:rsidRDefault="009F6D8A">
            <w:pPr>
              <w:rPr>
                <w:rFonts w:ascii="宋体"/>
              </w:rPr>
            </w:pPr>
          </w:p>
        </w:tc>
        <w:tc>
          <w:tcPr>
            <w:tcW w:w="0" w:type="auto"/>
            <w:gridSpan w:val="3"/>
            <w:shd w:val="clear" w:color="auto" w:fill="E2E2E2"/>
            <w:tcMar>
              <w:top w:w="40" w:type="dxa"/>
              <w:left w:w="20" w:type="dxa"/>
              <w:bottom w:w="40" w:type="dxa"/>
              <w:right w:w="20" w:type="dxa"/>
            </w:tcMar>
            <w:vAlign w:val="bottom"/>
          </w:tcPr>
          <w:p w14:paraId="64302CD8" w14:textId="77777777" w:rsidR="009F6D8A" w:rsidRDefault="00C50974">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64302CD9" w14:textId="77777777" w:rsidR="009F6D8A" w:rsidRDefault="009F6D8A">
            <w:pPr>
              <w:rPr>
                <w:rFonts w:ascii="宋体"/>
              </w:rPr>
            </w:pPr>
          </w:p>
        </w:tc>
        <w:tc>
          <w:tcPr>
            <w:tcW w:w="0" w:type="auto"/>
            <w:gridSpan w:val="3"/>
            <w:shd w:val="clear" w:color="auto" w:fill="E2E2E2"/>
            <w:tcMar>
              <w:top w:w="40" w:type="dxa"/>
              <w:left w:w="20" w:type="dxa"/>
              <w:bottom w:w="40" w:type="dxa"/>
              <w:right w:w="20" w:type="dxa"/>
            </w:tcMar>
            <w:vAlign w:val="bottom"/>
          </w:tcPr>
          <w:p w14:paraId="64302CDA" w14:textId="77777777" w:rsidR="009F6D8A" w:rsidRDefault="00C50974">
            <w:pPr>
              <w:textAlignment w:val="bottom"/>
            </w:pPr>
            <w:r>
              <w:rPr>
                <w:rFonts w:ascii="Arial" w:eastAsia="宋体" w:hAnsi="Arial" w:cs="Arial"/>
                <w:color w:val="000000"/>
                <w:sz w:val="18"/>
                <w:szCs w:val="18"/>
              </w:rPr>
              <w:t> </w:t>
            </w:r>
          </w:p>
        </w:tc>
      </w:tr>
      <w:tr w:rsidR="009F6D8A" w14:paraId="64302CE8" w14:textId="77777777">
        <w:trPr>
          <w:jc w:val="center"/>
        </w:trPr>
        <w:tc>
          <w:tcPr>
            <w:tcW w:w="0" w:type="auto"/>
            <w:gridSpan w:val="3"/>
            <w:shd w:val="clear" w:color="auto" w:fill="FFFFFF"/>
            <w:tcMar>
              <w:top w:w="40" w:type="dxa"/>
              <w:left w:w="515" w:type="dxa"/>
              <w:bottom w:w="40" w:type="dxa"/>
              <w:right w:w="20" w:type="dxa"/>
            </w:tcMar>
            <w:vAlign w:val="bottom"/>
          </w:tcPr>
          <w:p w14:paraId="64302CDC" w14:textId="77777777" w:rsidR="009F6D8A" w:rsidRDefault="00C50974">
            <w:pPr>
              <w:textAlignment w:val="bottom"/>
            </w:pPr>
            <w:r>
              <w:rPr>
                <w:rFonts w:ascii="Arial" w:eastAsia="宋体" w:hAnsi="Arial" w:cs="Arial"/>
                <w:color w:val="000000"/>
                <w:sz w:val="18"/>
                <w:szCs w:val="18"/>
              </w:rPr>
              <w:t>Basic</w:t>
            </w:r>
          </w:p>
        </w:tc>
        <w:tc>
          <w:tcPr>
            <w:tcW w:w="0" w:type="auto"/>
            <w:gridSpan w:val="2"/>
            <w:shd w:val="clear" w:color="auto" w:fill="FFFFFF"/>
            <w:tcMar>
              <w:top w:w="40" w:type="dxa"/>
              <w:left w:w="20" w:type="dxa"/>
              <w:bottom w:w="40" w:type="dxa"/>
              <w:right w:w="0" w:type="dxa"/>
            </w:tcMar>
            <w:vAlign w:val="bottom"/>
          </w:tcPr>
          <w:p w14:paraId="64302CDD" w14:textId="77777777" w:rsidR="009F6D8A" w:rsidRDefault="00C50974">
            <w:pPr>
              <w:jc w:val="right"/>
              <w:textAlignment w:val="bottom"/>
            </w:pPr>
            <w:r>
              <w:rPr>
                <w:rFonts w:ascii="Arial" w:eastAsia="宋体" w:hAnsi="Arial" w:cs="Arial"/>
                <w:color w:val="000000"/>
                <w:sz w:val="18"/>
                <w:szCs w:val="18"/>
              </w:rPr>
              <w:t>674 </w:t>
            </w:r>
          </w:p>
        </w:tc>
        <w:tc>
          <w:tcPr>
            <w:tcW w:w="0" w:type="auto"/>
            <w:shd w:val="clear" w:color="auto" w:fill="FFFFFF"/>
            <w:tcMar>
              <w:top w:w="40" w:type="dxa"/>
              <w:left w:w="0" w:type="dxa"/>
              <w:bottom w:w="40" w:type="dxa"/>
              <w:right w:w="20" w:type="dxa"/>
            </w:tcMar>
            <w:vAlign w:val="bottom"/>
          </w:tcPr>
          <w:p w14:paraId="64302CD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CDF"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CE0" w14:textId="77777777" w:rsidR="009F6D8A" w:rsidRDefault="00C50974">
            <w:pPr>
              <w:jc w:val="right"/>
              <w:textAlignment w:val="bottom"/>
            </w:pPr>
            <w:r>
              <w:rPr>
                <w:rFonts w:ascii="Arial" w:eastAsia="宋体" w:hAnsi="Arial" w:cs="Arial"/>
                <w:color w:val="000000"/>
                <w:sz w:val="18"/>
                <w:szCs w:val="18"/>
              </w:rPr>
              <w:t>703 </w:t>
            </w:r>
          </w:p>
        </w:tc>
        <w:tc>
          <w:tcPr>
            <w:tcW w:w="0" w:type="auto"/>
            <w:shd w:val="clear" w:color="auto" w:fill="FFFFFF"/>
            <w:tcMar>
              <w:top w:w="40" w:type="dxa"/>
              <w:left w:w="0" w:type="dxa"/>
              <w:bottom w:w="40" w:type="dxa"/>
              <w:right w:w="20" w:type="dxa"/>
            </w:tcMar>
            <w:vAlign w:val="bottom"/>
          </w:tcPr>
          <w:p w14:paraId="64302CE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CE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CE3" w14:textId="77777777" w:rsidR="009F6D8A" w:rsidRDefault="00C50974">
            <w:pPr>
              <w:jc w:val="right"/>
              <w:textAlignment w:val="bottom"/>
            </w:pPr>
            <w:r>
              <w:rPr>
                <w:rFonts w:ascii="Arial" w:eastAsia="宋体" w:hAnsi="Arial" w:cs="Arial"/>
                <w:color w:val="000000"/>
                <w:sz w:val="18"/>
                <w:szCs w:val="18"/>
              </w:rPr>
              <w:t>678 </w:t>
            </w:r>
          </w:p>
        </w:tc>
        <w:tc>
          <w:tcPr>
            <w:tcW w:w="0" w:type="auto"/>
            <w:shd w:val="clear" w:color="auto" w:fill="FFFFFF"/>
            <w:tcMar>
              <w:top w:w="40" w:type="dxa"/>
              <w:left w:w="0" w:type="dxa"/>
              <w:bottom w:w="40" w:type="dxa"/>
              <w:right w:w="20" w:type="dxa"/>
            </w:tcMar>
            <w:vAlign w:val="bottom"/>
          </w:tcPr>
          <w:p w14:paraId="64302CE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CE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CE6" w14:textId="77777777" w:rsidR="009F6D8A" w:rsidRDefault="00C50974">
            <w:pPr>
              <w:jc w:val="right"/>
              <w:textAlignment w:val="bottom"/>
            </w:pPr>
            <w:r>
              <w:rPr>
                <w:rFonts w:ascii="Arial" w:eastAsia="宋体" w:hAnsi="Arial" w:cs="Arial"/>
                <w:color w:val="000000"/>
                <w:sz w:val="18"/>
                <w:szCs w:val="18"/>
              </w:rPr>
              <w:t>728 </w:t>
            </w:r>
          </w:p>
        </w:tc>
        <w:tc>
          <w:tcPr>
            <w:tcW w:w="0" w:type="auto"/>
            <w:shd w:val="clear" w:color="auto" w:fill="FFFFFF"/>
            <w:tcMar>
              <w:top w:w="40" w:type="dxa"/>
              <w:left w:w="0" w:type="dxa"/>
              <w:bottom w:w="40" w:type="dxa"/>
              <w:right w:w="20" w:type="dxa"/>
            </w:tcMar>
            <w:vAlign w:val="bottom"/>
          </w:tcPr>
          <w:p w14:paraId="64302CE7" w14:textId="77777777" w:rsidR="009F6D8A" w:rsidRDefault="009F6D8A">
            <w:pPr>
              <w:jc w:val="right"/>
              <w:rPr>
                <w:rFonts w:ascii="宋体"/>
              </w:rPr>
            </w:pPr>
          </w:p>
        </w:tc>
      </w:tr>
      <w:tr w:rsidR="009F6D8A" w14:paraId="64302CF5" w14:textId="77777777">
        <w:trPr>
          <w:jc w:val="center"/>
        </w:trPr>
        <w:tc>
          <w:tcPr>
            <w:tcW w:w="0" w:type="auto"/>
            <w:gridSpan w:val="3"/>
            <w:shd w:val="clear" w:color="auto" w:fill="E2E2E2"/>
            <w:tcMar>
              <w:top w:w="40" w:type="dxa"/>
              <w:left w:w="515" w:type="dxa"/>
              <w:bottom w:w="40" w:type="dxa"/>
              <w:right w:w="20" w:type="dxa"/>
            </w:tcMar>
            <w:vAlign w:val="bottom"/>
          </w:tcPr>
          <w:p w14:paraId="64302CE9" w14:textId="77777777" w:rsidR="009F6D8A" w:rsidRDefault="00C50974">
            <w:pPr>
              <w:textAlignment w:val="bottom"/>
            </w:pPr>
            <w:r>
              <w:rPr>
                <w:rFonts w:ascii="Arial" w:eastAsia="宋体" w:hAnsi="Arial" w:cs="Arial"/>
                <w:color w:val="000000"/>
                <w:sz w:val="18"/>
                <w:szCs w:val="18"/>
              </w:rPr>
              <w:t>Diluted</w:t>
            </w: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64302CEA" w14:textId="77777777" w:rsidR="009F6D8A" w:rsidRDefault="00C50974">
            <w:pPr>
              <w:jc w:val="right"/>
              <w:textAlignment w:val="bottom"/>
            </w:pPr>
            <w:r>
              <w:rPr>
                <w:rFonts w:ascii="Arial" w:eastAsia="宋体" w:hAnsi="Arial" w:cs="Arial"/>
                <w:color w:val="000000"/>
                <w:sz w:val="18"/>
                <w:szCs w:val="18"/>
              </w:rPr>
              <w:t>685 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64302CE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EC" w14:textId="77777777" w:rsidR="009F6D8A" w:rsidRDefault="009F6D8A">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64302CED" w14:textId="77777777" w:rsidR="009F6D8A" w:rsidRDefault="00C50974">
            <w:pPr>
              <w:jc w:val="right"/>
              <w:textAlignment w:val="bottom"/>
            </w:pPr>
            <w:r>
              <w:rPr>
                <w:rFonts w:ascii="Arial" w:eastAsia="宋体" w:hAnsi="Arial" w:cs="Arial"/>
                <w:color w:val="000000"/>
                <w:sz w:val="18"/>
                <w:szCs w:val="18"/>
              </w:rPr>
              <w:t>711 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64302CE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EF" w14:textId="77777777" w:rsidR="009F6D8A" w:rsidRDefault="009F6D8A">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64302CF0" w14:textId="77777777" w:rsidR="009F6D8A" w:rsidRDefault="00C50974">
            <w:pPr>
              <w:jc w:val="right"/>
              <w:textAlignment w:val="bottom"/>
            </w:pPr>
            <w:r>
              <w:rPr>
                <w:rFonts w:ascii="Arial" w:eastAsia="宋体" w:hAnsi="Arial" w:cs="Arial"/>
                <w:color w:val="000000"/>
                <w:sz w:val="18"/>
                <w:szCs w:val="18"/>
              </w:rPr>
              <w:t>689 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64302CF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CF2" w14:textId="77777777" w:rsidR="009F6D8A" w:rsidRDefault="009F6D8A">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64302CF3" w14:textId="77777777" w:rsidR="009F6D8A" w:rsidRDefault="00C50974">
            <w:pPr>
              <w:jc w:val="right"/>
              <w:textAlignment w:val="bottom"/>
            </w:pPr>
            <w:r>
              <w:rPr>
                <w:rFonts w:ascii="Arial" w:eastAsia="宋体" w:hAnsi="Arial" w:cs="Arial"/>
                <w:color w:val="000000"/>
                <w:sz w:val="18"/>
                <w:szCs w:val="18"/>
              </w:rPr>
              <w:t>734 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64302CF4" w14:textId="77777777" w:rsidR="009F6D8A" w:rsidRDefault="009F6D8A">
            <w:pPr>
              <w:jc w:val="right"/>
              <w:rPr>
                <w:rFonts w:ascii="宋体"/>
              </w:rPr>
            </w:pPr>
          </w:p>
        </w:tc>
      </w:tr>
    </w:tbl>
    <w:p w14:paraId="64302CF6" w14:textId="77777777" w:rsidR="009F6D8A" w:rsidRDefault="009F6D8A">
      <w:pPr>
        <w:jc w:val="center"/>
      </w:pPr>
    </w:p>
    <w:p w14:paraId="64302CF7" w14:textId="77777777" w:rsidR="009F6D8A" w:rsidRDefault="00C50974">
      <w:pPr>
        <w:jc w:val="center"/>
      </w:pPr>
      <w:r>
        <w:rPr>
          <w:rFonts w:ascii="Arial" w:eastAsia="宋体" w:hAnsi="Arial" w:cs="Arial"/>
          <w:color w:val="000000"/>
          <w:sz w:val="18"/>
          <w:szCs w:val="18"/>
        </w:rPr>
        <w:t xml:space="preserve">The accompanying notes are an integral part of these condensed consolidated financial statements. </w:t>
      </w:r>
    </w:p>
    <w:p w14:paraId="64302CF8" w14:textId="77777777" w:rsidR="009F6D8A" w:rsidRDefault="009F6D8A">
      <w:pPr>
        <w:jc w:val="center"/>
      </w:pPr>
    </w:p>
    <w:p w14:paraId="64302CF9" w14:textId="77777777" w:rsidR="009F6D8A" w:rsidRDefault="009F6D8A">
      <w:pPr>
        <w:jc w:val="center"/>
      </w:pPr>
    </w:p>
    <w:p w14:paraId="64302CFA" w14:textId="77777777" w:rsidR="009F6D8A" w:rsidRDefault="00C50974">
      <w:pPr>
        <w:jc w:val="center"/>
      </w:pPr>
      <w:r>
        <w:rPr>
          <w:rFonts w:ascii="Arial" w:eastAsia="宋体" w:hAnsi="Arial" w:cs="Arial"/>
          <w:color w:val="000000"/>
          <w:sz w:val="20"/>
          <w:szCs w:val="20"/>
        </w:rPr>
        <w:t>3</w:t>
      </w:r>
    </w:p>
    <w:p w14:paraId="64302CFB" w14:textId="77777777" w:rsidR="009F6D8A" w:rsidRDefault="00C50974">
      <w:r>
        <w:pict w14:anchorId="64305806">
          <v:rect id="_x0000_i1027" style="width:415.3pt;height:1.5pt" o:hralign="center" o:hrstd="t" o:hr="t" fillcolor="#a0a0a0" stroked="f"/>
        </w:pict>
      </w:r>
    </w:p>
    <w:p w14:paraId="64302CFC" w14:textId="77777777" w:rsidR="009F6D8A" w:rsidRDefault="009F6D8A"/>
    <w:p w14:paraId="64302CFD" w14:textId="77777777" w:rsidR="009F6D8A" w:rsidRDefault="00C50974">
      <w:pPr>
        <w:jc w:val="center"/>
      </w:pPr>
      <w:r>
        <w:rPr>
          <w:rFonts w:ascii="Arial" w:eastAsia="宋体" w:hAnsi="Arial" w:cs="Arial"/>
          <w:b/>
          <w:bCs/>
          <w:color w:val="000000"/>
          <w:sz w:val="20"/>
          <w:szCs w:val="20"/>
        </w:rPr>
        <w:t>eBay Inc.</w:t>
      </w:r>
    </w:p>
    <w:p w14:paraId="64302CFE" w14:textId="77777777" w:rsidR="009F6D8A" w:rsidRDefault="00C50974">
      <w:pPr>
        <w:spacing w:before="80"/>
        <w:jc w:val="center"/>
      </w:pPr>
      <w:r>
        <w:rPr>
          <w:rFonts w:ascii="Arial" w:eastAsia="宋体" w:hAnsi="Arial" w:cs="Arial"/>
          <w:b/>
          <w:bCs/>
          <w:color w:val="000000"/>
          <w:sz w:val="20"/>
          <w:szCs w:val="20"/>
        </w:rPr>
        <w:t>CONDENSED CONSOLIDATED STATEMENT OF COMPREHENSIVE 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764"/>
        <w:gridCol w:w="38"/>
        <w:gridCol w:w="121"/>
        <w:gridCol w:w="918"/>
        <w:gridCol w:w="36"/>
        <w:gridCol w:w="36"/>
        <w:gridCol w:w="36"/>
        <w:gridCol w:w="36"/>
        <w:gridCol w:w="121"/>
        <w:gridCol w:w="874"/>
        <w:gridCol w:w="36"/>
        <w:gridCol w:w="36"/>
        <w:gridCol w:w="36"/>
        <w:gridCol w:w="36"/>
        <w:gridCol w:w="121"/>
        <w:gridCol w:w="874"/>
        <w:gridCol w:w="36"/>
        <w:gridCol w:w="36"/>
        <w:gridCol w:w="36"/>
        <w:gridCol w:w="36"/>
        <w:gridCol w:w="121"/>
        <w:gridCol w:w="876"/>
        <w:gridCol w:w="36"/>
      </w:tblGrid>
      <w:tr w:rsidR="009F6D8A" w14:paraId="64302D17" w14:textId="77777777">
        <w:trPr>
          <w:jc w:val="center"/>
        </w:trPr>
        <w:tc>
          <w:tcPr>
            <w:tcW w:w="50" w:type="pct"/>
            <w:shd w:val="clear" w:color="auto" w:fill="auto"/>
            <w:vAlign w:val="bottom"/>
          </w:tcPr>
          <w:p w14:paraId="64302CFF" w14:textId="77777777" w:rsidR="009F6D8A" w:rsidRDefault="009F6D8A">
            <w:pPr>
              <w:rPr>
                <w:rFonts w:ascii="宋体"/>
              </w:rPr>
            </w:pPr>
          </w:p>
        </w:tc>
        <w:tc>
          <w:tcPr>
            <w:tcW w:w="2291" w:type="pct"/>
            <w:shd w:val="clear" w:color="auto" w:fill="auto"/>
            <w:vAlign w:val="bottom"/>
          </w:tcPr>
          <w:p w14:paraId="64302D00" w14:textId="77777777" w:rsidR="009F6D8A" w:rsidRDefault="009F6D8A">
            <w:pPr>
              <w:rPr>
                <w:rFonts w:ascii="宋体"/>
              </w:rPr>
            </w:pPr>
          </w:p>
        </w:tc>
        <w:tc>
          <w:tcPr>
            <w:tcW w:w="5" w:type="pct"/>
            <w:shd w:val="clear" w:color="auto" w:fill="auto"/>
            <w:vAlign w:val="bottom"/>
          </w:tcPr>
          <w:p w14:paraId="64302D01" w14:textId="77777777" w:rsidR="009F6D8A" w:rsidRDefault="009F6D8A">
            <w:pPr>
              <w:rPr>
                <w:rFonts w:ascii="宋体"/>
              </w:rPr>
            </w:pPr>
          </w:p>
        </w:tc>
        <w:tc>
          <w:tcPr>
            <w:tcW w:w="50" w:type="pct"/>
            <w:shd w:val="clear" w:color="auto" w:fill="auto"/>
            <w:vAlign w:val="bottom"/>
          </w:tcPr>
          <w:p w14:paraId="64302D02" w14:textId="77777777" w:rsidR="009F6D8A" w:rsidRDefault="009F6D8A">
            <w:pPr>
              <w:rPr>
                <w:rFonts w:ascii="宋体"/>
              </w:rPr>
            </w:pPr>
          </w:p>
        </w:tc>
        <w:tc>
          <w:tcPr>
            <w:tcW w:w="580" w:type="pct"/>
            <w:shd w:val="clear" w:color="auto" w:fill="auto"/>
            <w:vAlign w:val="bottom"/>
          </w:tcPr>
          <w:p w14:paraId="64302D03" w14:textId="77777777" w:rsidR="009F6D8A" w:rsidRDefault="009F6D8A">
            <w:pPr>
              <w:rPr>
                <w:rFonts w:ascii="宋体"/>
              </w:rPr>
            </w:pPr>
          </w:p>
        </w:tc>
        <w:tc>
          <w:tcPr>
            <w:tcW w:w="5" w:type="pct"/>
            <w:shd w:val="clear" w:color="auto" w:fill="auto"/>
            <w:vAlign w:val="bottom"/>
          </w:tcPr>
          <w:p w14:paraId="64302D04" w14:textId="77777777" w:rsidR="009F6D8A" w:rsidRDefault="009F6D8A">
            <w:pPr>
              <w:rPr>
                <w:rFonts w:ascii="宋体"/>
              </w:rPr>
            </w:pPr>
          </w:p>
        </w:tc>
        <w:tc>
          <w:tcPr>
            <w:tcW w:w="5" w:type="pct"/>
            <w:shd w:val="clear" w:color="auto" w:fill="auto"/>
            <w:vAlign w:val="bottom"/>
          </w:tcPr>
          <w:p w14:paraId="64302D05" w14:textId="77777777" w:rsidR="009F6D8A" w:rsidRDefault="009F6D8A">
            <w:pPr>
              <w:rPr>
                <w:rFonts w:ascii="宋体"/>
              </w:rPr>
            </w:pPr>
          </w:p>
        </w:tc>
        <w:tc>
          <w:tcPr>
            <w:tcW w:w="26" w:type="pct"/>
            <w:shd w:val="clear" w:color="auto" w:fill="auto"/>
            <w:vAlign w:val="bottom"/>
          </w:tcPr>
          <w:p w14:paraId="64302D06" w14:textId="77777777" w:rsidR="009F6D8A" w:rsidRDefault="009F6D8A">
            <w:pPr>
              <w:rPr>
                <w:rFonts w:ascii="宋体"/>
              </w:rPr>
            </w:pPr>
          </w:p>
        </w:tc>
        <w:tc>
          <w:tcPr>
            <w:tcW w:w="5" w:type="pct"/>
            <w:shd w:val="clear" w:color="auto" w:fill="auto"/>
            <w:vAlign w:val="bottom"/>
          </w:tcPr>
          <w:p w14:paraId="64302D07" w14:textId="77777777" w:rsidR="009F6D8A" w:rsidRDefault="009F6D8A">
            <w:pPr>
              <w:rPr>
                <w:rFonts w:ascii="宋体"/>
              </w:rPr>
            </w:pPr>
          </w:p>
        </w:tc>
        <w:tc>
          <w:tcPr>
            <w:tcW w:w="50" w:type="pct"/>
            <w:shd w:val="clear" w:color="auto" w:fill="auto"/>
            <w:vAlign w:val="bottom"/>
          </w:tcPr>
          <w:p w14:paraId="64302D08" w14:textId="77777777" w:rsidR="009F6D8A" w:rsidRDefault="009F6D8A">
            <w:pPr>
              <w:rPr>
                <w:rFonts w:ascii="宋体"/>
              </w:rPr>
            </w:pPr>
          </w:p>
        </w:tc>
        <w:tc>
          <w:tcPr>
            <w:tcW w:w="580" w:type="pct"/>
            <w:shd w:val="clear" w:color="auto" w:fill="auto"/>
            <w:vAlign w:val="bottom"/>
          </w:tcPr>
          <w:p w14:paraId="64302D09" w14:textId="77777777" w:rsidR="009F6D8A" w:rsidRDefault="009F6D8A">
            <w:pPr>
              <w:rPr>
                <w:rFonts w:ascii="宋体"/>
              </w:rPr>
            </w:pPr>
          </w:p>
        </w:tc>
        <w:tc>
          <w:tcPr>
            <w:tcW w:w="5" w:type="pct"/>
            <w:shd w:val="clear" w:color="auto" w:fill="auto"/>
            <w:vAlign w:val="bottom"/>
          </w:tcPr>
          <w:p w14:paraId="64302D0A" w14:textId="77777777" w:rsidR="009F6D8A" w:rsidRDefault="009F6D8A">
            <w:pPr>
              <w:rPr>
                <w:rFonts w:ascii="宋体"/>
              </w:rPr>
            </w:pPr>
          </w:p>
        </w:tc>
        <w:tc>
          <w:tcPr>
            <w:tcW w:w="5" w:type="pct"/>
            <w:shd w:val="clear" w:color="auto" w:fill="auto"/>
            <w:vAlign w:val="bottom"/>
          </w:tcPr>
          <w:p w14:paraId="64302D0B" w14:textId="77777777" w:rsidR="009F6D8A" w:rsidRDefault="009F6D8A">
            <w:pPr>
              <w:rPr>
                <w:rFonts w:ascii="宋体"/>
              </w:rPr>
            </w:pPr>
          </w:p>
        </w:tc>
        <w:tc>
          <w:tcPr>
            <w:tcW w:w="26" w:type="pct"/>
            <w:shd w:val="clear" w:color="auto" w:fill="auto"/>
            <w:vAlign w:val="bottom"/>
          </w:tcPr>
          <w:p w14:paraId="64302D0C" w14:textId="77777777" w:rsidR="009F6D8A" w:rsidRDefault="009F6D8A">
            <w:pPr>
              <w:rPr>
                <w:rFonts w:ascii="宋体"/>
              </w:rPr>
            </w:pPr>
          </w:p>
        </w:tc>
        <w:tc>
          <w:tcPr>
            <w:tcW w:w="5" w:type="pct"/>
            <w:shd w:val="clear" w:color="auto" w:fill="auto"/>
            <w:vAlign w:val="bottom"/>
          </w:tcPr>
          <w:p w14:paraId="64302D0D" w14:textId="77777777" w:rsidR="009F6D8A" w:rsidRDefault="009F6D8A">
            <w:pPr>
              <w:rPr>
                <w:rFonts w:ascii="宋体"/>
              </w:rPr>
            </w:pPr>
          </w:p>
        </w:tc>
        <w:tc>
          <w:tcPr>
            <w:tcW w:w="50" w:type="pct"/>
            <w:shd w:val="clear" w:color="auto" w:fill="auto"/>
            <w:vAlign w:val="bottom"/>
          </w:tcPr>
          <w:p w14:paraId="64302D0E" w14:textId="77777777" w:rsidR="009F6D8A" w:rsidRDefault="009F6D8A">
            <w:pPr>
              <w:rPr>
                <w:rFonts w:ascii="宋体"/>
              </w:rPr>
            </w:pPr>
          </w:p>
        </w:tc>
        <w:tc>
          <w:tcPr>
            <w:tcW w:w="580" w:type="pct"/>
            <w:shd w:val="clear" w:color="auto" w:fill="auto"/>
            <w:vAlign w:val="bottom"/>
          </w:tcPr>
          <w:p w14:paraId="64302D0F" w14:textId="77777777" w:rsidR="009F6D8A" w:rsidRDefault="009F6D8A">
            <w:pPr>
              <w:rPr>
                <w:rFonts w:ascii="宋体"/>
              </w:rPr>
            </w:pPr>
          </w:p>
        </w:tc>
        <w:tc>
          <w:tcPr>
            <w:tcW w:w="5" w:type="pct"/>
            <w:shd w:val="clear" w:color="auto" w:fill="auto"/>
            <w:vAlign w:val="bottom"/>
          </w:tcPr>
          <w:p w14:paraId="64302D10" w14:textId="77777777" w:rsidR="009F6D8A" w:rsidRDefault="009F6D8A">
            <w:pPr>
              <w:rPr>
                <w:rFonts w:ascii="宋体"/>
              </w:rPr>
            </w:pPr>
          </w:p>
        </w:tc>
        <w:tc>
          <w:tcPr>
            <w:tcW w:w="5" w:type="pct"/>
            <w:shd w:val="clear" w:color="auto" w:fill="auto"/>
            <w:vAlign w:val="bottom"/>
          </w:tcPr>
          <w:p w14:paraId="64302D11" w14:textId="77777777" w:rsidR="009F6D8A" w:rsidRDefault="009F6D8A">
            <w:pPr>
              <w:rPr>
                <w:rFonts w:ascii="宋体"/>
              </w:rPr>
            </w:pPr>
          </w:p>
        </w:tc>
        <w:tc>
          <w:tcPr>
            <w:tcW w:w="26" w:type="pct"/>
            <w:shd w:val="clear" w:color="auto" w:fill="auto"/>
            <w:vAlign w:val="bottom"/>
          </w:tcPr>
          <w:p w14:paraId="64302D12" w14:textId="77777777" w:rsidR="009F6D8A" w:rsidRDefault="009F6D8A">
            <w:pPr>
              <w:rPr>
                <w:rFonts w:ascii="宋体"/>
              </w:rPr>
            </w:pPr>
          </w:p>
        </w:tc>
        <w:tc>
          <w:tcPr>
            <w:tcW w:w="5" w:type="pct"/>
            <w:shd w:val="clear" w:color="auto" w:fill="auto"/>
            <w:vAlign w:val="bottom"/>
          </w:tcPr>
          <w:p w14:paraId="64302D13" w14:textId="77777777" w:rsidR="009F6D8A" w:rsidRDefault="009F6D8A">
            <w:pPr>
              <w:rPr>
                <w:rFonts w:ascii="宋体"/>
              </w:rPr>
            </w:pPr>
          </w:p>
        </w:tc>
        <w:tc>
          <w:tcPr>
            <w:tcW w:w="50" w:type="pct"/>
            <w:shd w:val="clear" w:color="auto" w:fill="auto"/>
            <w:vAlign w:val="bottom"/>
          </w:tcPr>
          <w:p w14:paraId="64302D14" w14:textId="77777777" w:rsidR="009F6D8A" w:rsidRDefault="009F6D8A">
            <w:pPr>
              <w:rPr>
                <w:rFonts w:ascii="宋体"/>
              </w:rPr>
            </w:pPr>
          </w:p>
        </w:tc>
        <w:tc>
          <w:tcPr>
            <w:tcW w:w="581" w:type="pct"/>
            <w:shd w:val="clear" w:color="auto" w:fill="auto"/>
            <w:vAlign w:val="bottom"/>
          </w:tcPr>
          <w:p w14:paraId="64302D15" w14:textId="77777777" w:rsidR="009F6D8A" w:rsidRDefault="009F6D8A">
            <w:pPr>
              <w:rPr>
                <w:rFonts w:ascii="宋体"/>
              </w:rPr>
            </w:pPr>
          </w:p>
        </w:tc>
        <w:tc>
          <w:tcPr>
            <w:tcW w:w="5" w:type="pct"/>
            <w:shd w:val="clear" w:color="auto" w:fill="auto"/>
            <w:vAlign w:val="bottom"/>
          </w:tcPr>
          <w:p w14:paraId="64302D16" w14:textId="77777777" w:rsidR="009F6D8A" w:rsidRDefault="009F6D8A">
            <w:pPr>
              <w:rPr>
                <w:rFonts w:ascii="宋体"/>
              </w:rPr>
            </w:pPr>
          </w:p>
        </w:tc>
      </w:tr>
      <w:tr w:rsidR="009F6D8A" w14:paraId="64302D1C" w14:textId="77777777">
        <w:trPr>
          <w:jc w:val="center"/>
        </w:trPr>
        <w:tc>
          <w:tcPr>
            <w:tcW w:w="0" w:type="auto"/>
            <w:gridSpan w:val="3"/>
            <w:shd w:val="clear" w:color="auto" w:fill="auto"/>
            <w:tcMar>
              <w:top w:w="0" w:type="dxa"/>
              <w:left w:w="20" w:type="dxa"/>
              <w:bottom w:w="0" w:type="dxa"/>
              <w:right w:w="20" w:type="dxa"/>
            </w:tcMar>
            <w:vAlign w:val="bottom"/>
          </w:tcPr>
          <w:p w14:paraId="64302D18"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2D19" w14:textId="77777777" w:rsidR="009F6D8A" w:rsidRDefault="00C50974">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Mar>
              <w:top w:w="0" w:type="dxa"/>
              <w:left w:w="20" w:type="dxa"/>
              <w:bottom w:w="0" w:type="dxa"/>
              <w:right w:w="20" w:type="dxa"/>
            </w:tcMar>
            <w:vAlign w:val="bottom"/>
          </w:tcPr>
          <w:p w14:paraId="64302D1A"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2D1B" w14:textId="77777777" w:rsidR="009F6D8A" w:rsidRDefault="00C50974">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r>
      <w:tr w:rsidR="009F6D8A" w14:paraId="64302D25" w14:textId="77777777">
        <w:trPr>
          <w:jc w:val="center"/>
        </w:trPr>
        <w:tc>
          <w:tcPr>
            <w:tcW w:w="0" w:type="auto"/>
            <w:gridSpan w:val="3"/>
            <w:shd w:val="clear" w:color="auto" w:fill="auto"/>
            <w:tcMar>
              <w:top w:w="40" w:type="dxa"/>
              <w:left w:w="20" w:type="dxa"/>
              <w:bottom w:w="40" w:type="dxa"/>
              <w:right w:w="20" w:type="dxa"/>
            </w:tcMar>
            <w:vAlign w:val="bottom"/>
          </w:tcPr>
          <w:p w14:paraId="64302D1D" w14:textId="77777777" w:rsidR="009F6D8A" w:rsidRDefault="00C50974">
            <w:pPr>
              <w:jc w:val="cente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2D1E"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4302D1F"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2D20" w14:textId="77777777" w:rsidR="009F6D8A" w:rsidRDefault="00C50974">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4302D21"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2D22"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4302D23"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2D24" w14:textId="77777777" w:rsidR="009F6D8A" w:rsidRDefault="00C50974">
            <w:pPr>
              <w:jc w:val="center"/>
              <w:textAlignment w:val="bottom"/>
            </w:pPr>
            <w:r>
              <w:rPr>
                <w:rFonts w:ascii="Arial" w:eastAsia="宋体" w:hAnsi="Arial" w:cs="Arial"/>
                <w:b/>
                <w:bCs/>
                <w:color w:val="000000"/>
                <w:sz w:val="16"/>
                <w:szCs w:val="16"/>
              </w:rPr>
              <w:t>2020</w:t>
            </w:r>
          </w:p>
        </w:tc>
      </w:tr>
      <w:tr w:rsidR="009F6D8A" w14:paraId="64302D28" w14:textId="77777777">
        <w:trPr>
          <w:jc w:val="center"/>
        </w:trPr>
        <w:tc>
          <w:tcPr>
            <w:tcW w:w="0" w:type="auto"/>
            <w:gridSpan w:val="3"/>
            <w:shd w:val="clear" w:color="auto" w:fill="auto"/>
            <w:tcMar>
              <w:top w:w="40" w:type="dxa"/>
              <w:left w:w="20" w:type="dxa"/>
              <w:bottom w:w="40" w:type="dxa"/>
              <w:right w:w="20" w:type="dxa"/>
            </w:tcMar>
            <w:vAlign w:val="bottom"/>
          </w:tcPr>
          <w:p w14:paraId="64302D26" w14:textId="77777777" w:rsidR="009F6D8A" w:rsidRDefault="00C50974">
            <w:pPr>
              <w:jc w:val="center"/>
              <w:textAlignment w:val="bottom"/>
            </w:pPr>
            <w:r>
              <w:rPr>
                <w:rFonts w:ascii="Arial" w:eastAsia="宋体" w:hAnsi="Arial" w:cs="Arial"/>
                <w:b/>
                <w:bCs/>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64302D27" w14:textId="77777777" w:rsidR="009F6D8A" w:rsidRDefault="00C50974">
            <w:pPr>
              <w:jc w:val="center"/>
              <w:textAlignment w:val="bottom"/>
            </w:pPr>
            <w:r>
              <w:rPr>
                <w:rFonts w:ascii="Arial" w:eastAsia="宋体" w:hAnsi="Arial" w:cs="Arial"/>
                <w:b/>
                <w:bCs/>
                <w:color w:val="000000"/>
                <w:sz w:val="16"/>
                <w:szCs w:val="16"/>
              </w:rPr>
              <w:t>(In millions)</w:t>
            </w:r>
          </w:p>
        </w:tc>
      </w:tr>
      <w:tr w:rsidR="009F6D8A" w14:paraId="64302D2B" w14:textId="77777777">
        <w:trPr>
          <w:jc w:val="center"/>
        </w:trPr>
        <w:tc>
          <w:tcPr>
            <w:tcW w:w="0" w:type="auto"/>
            <w:gridSpan w:val="3"/>
            <w:shd w:val="clear" w:color="auto" w:fill="auto"/>
            <w:tcMar>
              <w:top w:w="40" w:type="dxa"/>
              <w:left w:w="20" w:type="dxa"/>
              <w:bottom w:w="40" w:type="dxa"/>
              <w:right w:w="20" w:type="dxa"/>
            </w:tcMar>
            <w:vAlign w:val="bottom"/>
          </w:tcPr>
          <w:p w14:paraId="64302D29" w14:textId="77777777" w:rsidR="009F6D8A" w:rsidRDefault="00C50974">
            <w:pPr>
              <w:jc w:val="center"/>
              <w:textAlignment w:val="bottom"/>
            </w:pPr>
            <w:r>
              <w:rPr>
                <w:rFonts w:ascii="Arial" w:eastAsia="宋体" w:hAnsi="Arial" w:cs="Arial"/>
                <w:b/>
                <w:bCs/>
                <w:color w:val="000000"/>
                <w:sz w:val="16"/>
                <w:szCs w:val="16"/>
              </w:rPr>
              <w:t> </w:t>
            </w:r>
          </w:p>
        </w:tc>
        <w:tc>
          <w:tcPr>
            <w:tcW w:w="0" w:type="auto"/>
            <w:gridSpan w:val="21"/>
            <w:shd w:val="clear" w:color="auto" w:fill="auto"/>
            <w:tcMar>
              <w:top w:w="40" w:type="dxa"/>
              <w:left w:w="20" w:type="dxa"/>
              <w:bottom w:w="40" w:type="dxa"/>
              <w:right w:w="20" w:type="dxa"/>
            </w:tcMar>
            <w:vAlign w:val="bottom"/>
          </w:tcPr>
          <w:p w14:paraId="64302D2A" w14:textId="77777777" w:rsidR="009F6D8A" w:rsidRDefault="00C50974">
            <w:pPr>
              <w:jc w:val="center"/>
              <w:textAlignment w:val="bottom"/>
            </w:pPr>
            <w:r>
              <w:rPr>
                <w:rFonts w:ascii="Arial" w:eastAsia="宋体" w:hAnsi="Arial" w:cs="Arial"/>
                <w:b/>
                <w:bCs/>
                <w:color w:val="000000"/>
                <w:sz w:val="16"/>
                <w:szCs w:val="16"/>
              </w:rPr>
              <w:t>(Unaudited)</w:t>
            </w:r>
          </w:p>
        </w:tc>
      </w:tr>
      <w:tr w:rsidR="009F6D8A" w14:paraId="64302D3C" w14:textId="77777777">
        <w:trPr>
          <w:jc w:val="center"/>
        </w:trPr>
        <w:tc>
          <w:tcPr>
            <w:tcW w:w="0" w:type="auto"/>
            <w:gridSpan w:val="3"/>
            <w:shd w:val="clear" w:color="auto" w:fill="E2E2E2"/>
            <w:tcMar>
              <w:top w:w="40" w:type="dxa"/>
              <w:left w:w="20" w:type="dxa"/>
              <w:bottom w:w="40" w:type="dxa"/>
              <w:right w:w="20" w:type="dxa"/>
            </w:tcMar>
            <w:vAlign w:val="bottom"/>
          </w:tcPr>
          <w:p w14:paraId="64302D2C" w14:textId="77777777" w:rsidR="009F6D8A" w:rsidRDefault="00C50974">
            <w:pPr>
              <w:textAlignment w:val="bottom"/>
            </w:pPr>
            <w:r>
              <w:rPr>
                <w:rFonts w:ascii="Arial" w:eastAsia="宋体" w:hAnsi="Arial" w:cs="Arial"/>
                <w:color w:val="000000"/>
                <w:sz w:val="18"/>
                <w:szCs w:val="18"/>
              </w:rPr>
              <w:t>Net income</w:t>
            </w:r>
          </w:p>
        </w:tc>
        <w:tc>
          <w:tcPr>
            <w:tcW w:w="0" w:type="auto"/>
            <w:shd w:val="clear" w:color="auto" w:fill="E2E2E2"/>
            <w:tcMar>
              <w:top w:w="40" w:type="dxa"/>
              <w:left w:w="20" w:type="dxa"/>
              <w:bottom w:w="40" w:type="dxa"/>
              <w:right w:w="0" w:type="dxa"/>
            </w:tcMar>
            <w:vAlign w:val="bottom"/>
          </w:tcPr>
          <w:p w14:paraId="64302D2D"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4302D2E" w14:textId="77777777" w:rsidR="009F6D8A" w:rsidRDefault="00C50974">
            <w:pPr>
              <w:jc w:val="right"/>
              <w:textAlignment w:val="bottom"/>
            </w:pPr>
            <w:r>
              <w:rPr>
                <w:rFonts w:ascii="Arial" w:eastAsia="宋体" w:hAnsi="Arial" w:cs="Arial"/>
                <w:color w:val="000000"/>
                <w:sz w:val="18"/>
                <w:szCs w:val="18"/>
              </w:rPr>
              <w:t>10,734 </w:t>
            </w:r>
          </w:p>
        </w:tc>
        <w:tc>
          <w:tcPr>
            <w:tcW w:w="0" w:type="auto"/>
            <w:shd w:val="clear" w:color="auto" w:fill="E2E2E2"/>
            <w:tcMar>
              <w:top w:w="40" w:type="dxa"/>
              <w:left w:w="0" w:type="dxa"/>
              <w:bottom w:w="40" w:type="dxa"/>
              <w:right w:w="20" w:type="dxa"/>
            </w:tcMar>
            <w:vAlign w:val="bottom"/>
          </w:tcPr>
          <w:p w14:paraId="64302D2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D30"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2D31"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4302D32" w14:textId="77777777" w:rsidR="009F6D8A" w:rsidRDefault="00C50974">
            <w:pPr>
              <w:jc w:val="right"/>
              <w:textAlignment w:val="bottom"/>
            </w:pPr>
            <w:r>
              <w:rPr>
                <w:rFonts w:ascii="Arial" w:eastAsia="宋体" w:hAnsi="Arial" w:cs="Arial"/>
                <w:color w:val="000000"/>
                <w:sz w:val="18"/>
                <w:szCs w:val="18"/>
              </w:rPr>
              <w:t>746 </w:t>
            </w:r>
          </w:p>
        </w:tc>
        <w:tc>
          <w:tcPr>
            <w:tcW w:w="0" w:type="auto"/>
            <w:shd w:val="clear" w:color="auto" w:fill="E2E2E2"/>
            <w:tcMar>
              <w:top w:w="40" w:type="dxa"/>
              <w:left w:w="0" w:type="dxa"/>
              <w:bottom w:w="40" w:type="dxa"/>
              <w:right w:w="20" w:type="dxa"/>
            </w:tcMar>
            <w:vAlign w:val="bottom"/>
          </w:tcPr>
          <w:p w14:paraId="64302D33"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D34"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2D35"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4302D36" w14:textId="77777777" w:rsidR="009F6D8A" w:rsidRDefault="00C50974">
            <w:pPr>
              <w:jc w:val="right"/>
              <w:textAlignment w:val="bottom"/>
            </w:pPr>
            <w:r>
              <w:rPr>
                <w:rFonts w:ascii="Arial" w:eastAsia="宋体" w:hAnsi="Arial" w:cs="Arial"/>
                <w:color w:val="000000"/>
                <w:sz w:val="18"/>
                <w:szCs w:val="18"/>
              </w:rPr>
              <w:t>11,375 </w:t>
            </w:r>
          </w:p>
        </w:tc>
        <w:tc>
          <w:tcPr>
            <w:tcW w:w="0" w:type="auto"/>
            <w:shd w:val="clear" w:color="auto" w:fill="E2E2E2"/>
            <w:tcMar>
              <w:top w:w="40" w:type="dxa"/>
              <w:left w:w="0" w:type="dxa"/>
              <w:bottom w:w="40" w:type="dxa"/>
              <w:right w:w="20" w:type="dxa"/>
            </w:tcMar>
            <w:vAlign w:val="bottom"/>
          </w:tcPr>
          <w:p w14:paraId="64302D37"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D38"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2D39"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4302D3A" w14:textId="77777777" w:rsidR="009F6D8A" w:rsidRDefault="00C50974">
            <w:pPr>
              <w:jc w:val="right"/>
              <w:textAlignment w:val="bottom"/>
            </w:pPr>
            <w:r>
              <w:rPr>
                <w:rFonts w:ascii="Arial" w:eastAsia="宋体" w:hAnsi="Arial" w:cs="Arial"/>
                <w:color w:val="000000"/>
                <w:sz w:val="18"/>
                <w:szCs w:val="18"/>
              </w:rPr>
              <w:t>4,158 </w:t>
            </w:r>
          </w:p>
        </w:tc>
        <w:tc>
          <w:tcPr>
            <w:tcW w:w="0" w:type="auto"/>
            <w:shd w:val="clear" w:color="auto" w:fill="E2E2E2"/>
            <w:tcMar>
              <w:top w:w="40" w:type="dxa"/>
              <w:left w:w="0" w:type="dxa"/>
              <w:bottom w:w="40" w:type="dxa"/>
              <w:right w:w="20" w:type="dxa"/>
            </w:tcMar>
            <w:vAlign w:val="bottom"/>
          </w:tcPr>
          <w:p w14:paraId="64302D3B" w14:textId="77777777" w:rsidR="009F6D8A" w:rsidRDefault="009F6D8A">
            <w:pPr>
              <w:jc w:val="right"/>
              <w:rPr>
                <w:rFonts w:ascii="宋体"/>
              </w:rPr>
            </w:pPr>
          </w:p>
        </w:tc>
      </w:tr>
      <w:tr w:rsidR="009F6D8A" w14:paraId="64302D45" w14:textId="77777777">
        <w:trPr>
          <w:jc w:val="center"/>
        </w:trPr>
        <w:tc>
          <w:tcPr>
            <w:tcW w:w="0" w:type="auto"/>
            <w:gridSpan w:val="3"/>
            <w:shd w:val="clear" w:color="auto" w:fill="FFFFFF"/>
            <w:tcMar>
              <w:top w:w="40" w:type="dxa"/>
              <w:left w:w="20" w:type="dxa"/>
              <w:bottom w:w="40" w:type="dxa"/>
              <w:right w:w="20" w:type="dxa"/>
            </w:tcMar>
            <w:vAlign w:val="bottom"/>
          </w:tcPr>
          <w:p w14:paraId="64302D3D" w14:textId="77777777" w:rsidR="009F6D8A" w:rsidRDefault="00C50974">
            <w:pPr>
              <w:textAlignment w:val="bottom"/>
            </w:pPr>
            <w:r>
              <w:rPr>
                <w:rFonts w:ascii="Arial" w:eastAsia="宋体" w:hAnsi="Arial" w:cs="Arial"/>
                <w:color w:val="000000"/>
                <w:sz w:val="18"/>
                <w:szCs w:val="18"/>
              </w:rPr>
              <w:t>Other comprehensive income (loss), net of reclassification adjustments: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D3E"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D3F"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D4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D41"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D42"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D43"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D44" w14:textId="77777777" w:rsidR="009F6D8A" w:rsidRDefault="009F6D8A">
            <w:pPr>
              <w:rPr>
                <w:rFonts w:ascii="宋体"/>
              </w:rPr>
            </w:pPr>
          </w:p>
        </w:tc>
      </w:tr>
      <w:tr w:rsidR="009F6D8A" w14:paraId="64302D52" w14:textId="77777777">
        <w:trPr>
          <w:jc w:val="center"/>
        </w:trPr>
        <w:tc>
          <w:tcPr>
            <w:tcW w:w="0" w:type="auto"/>
            <w:gridSpan w:val="3"/>
            <w:shd w:val="clear" w:color="auto" w:fill="E2E2E2"/>
            <w:tcMar>
              <w:top w:w="40" w:type="dxa"/>
              <w:left w:w="515" w:type="dxa"/>
              <w:bottom w:w="40" w:type="dxa"/>
              <w:right w:w="20" w:type="dxa"/>
            </w:tcMar>
            <w:vAlign w:val="bottom"/>
          </w:tcPr>
          <w:p w14:paraId="64302D46" w14:textId="77777777" w:rsidR="009F6D8A" w:rsidRDefault="00C50974">
            <w:pPr>
              <w:textAlignment w:val="bottom"/>
            </w:pPr>
            <w:r>
              <w:rPr>
                <w:rFonts w:ascii="Arial" w:eastAsia="宋体" w:hAnsi="Arial" w:cs="Arial"/>
                <w:color w:val="000000"/>
                <w:sz w:val="18"/>
                <w:szCs w:val="18"/>
              </w:rPr>
              <w:t>Foreign currency translation gains (losses)</w:t>
            </w:r>
          </w:p>
        </w:tc>
        <w:tc>
          <w:tcPr>
            <w:tcW w:w="0" w:type="auto"/>
            <w:gridSpan w:val="2"/>
            <w:shd w:val="clear" w:color="auto" w:fill="E2E2E2"/>
            <w:tcMar>
              <w:top w:w="40" w:type="dxa"/>
              <w:left w:w="20" w:type="dxa"/>
              <w:bottom w:w="40" w:type="dxa"/>
              <w:right w:w="0" w:type="dxa"/>
            </w:tcMar>
            <w:vAlign w:val="bottom"/>
          </w:tcPr>
          <w:p w14:paraId="64302D47" w14:textId="77777777" w:rsidR="009F6D8A" w:rsidRDefault="00C50974">
            <w:pPr>
              <w:jc w:val="right"/>
              <w:textAlignment w:val="bottom"/>
            </w:pPr>
            <w:r>
              <w:rPr>
                <w:rFonts w:ascii="Arial" w:eastAsia="宋体" w:hAnsi="Arial" w:cs="Arial"/>
                <w:color w:val="000000"/>
                <w:sz w:val="18"/>
                <w:szCs w:val="18"/>
              </w:rPr>
              <w:t>10 </w:t>
            </w:r>
          </w:p>
        </w:tc>
        <w:tc>
          <w:tcPr>
            <w:tcW w:w="0" w:type="auto"/>
            <w:shd w:val="clear" w:color="auto" w:fill="E2E2E2"/>
            <w:tcMar>
              <w:top w:w="40" w:type="dxa"/>
              <w:left w:w="0" w:type="dxa"/>
              <w:bottom w:w="40" w:type="dxa"/>
              <w:right w:w="20" w:type="dxa"/>
            </w:tcMar>
            <w:vAlign w:val="bottom"/>
          </w:tcPr>
          <w:p w14:paraId="64302D4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D49"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D4A" w14:textId="77777777" w:rsidR="009F6D8A" w:rsidRDefault="00C50974">
            <w:pPr>
              <w:jc w:val="right"/>
              <w:textAlignment w:val="bottom"/>
            </w:pPr>
            <w:r>
              <w:rPr>
                <w:rFonts w:ascii="Arial" w:eastAsia="宋体" w:hAnsi="Arial" w:cs="Arial"/>
                <w:color w:val="000000"/>
                <w:sz w:val="18"/>
                <w:szCs w:val="18"/>
              </w:rPr>
              <w:t>49 </w:t>
            </w:r>
          </w:p>
        </w:tc>
        <w:tc>
          <w:tcPr>
            <w:tcW w:w="0" w:type="auto"/>
            <w:shd w:val="clear" w:color="auto" w:fill="E2E2E2"/>
            <w:tcMar>
              <w:top w:w="40" w:type="dxa"/>
              <w:left w:w="0" w:type="dxa"/>
              <w:bottom w:w="40" w:type="dxa"/>
              <w:right w:w="20" w:type="dxa"/>
            </w:tcMar>
            <w:vAlign w:val="bottom"/>
          </w:tcPr>
          <w:p w14:paraId="64302D4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D4C"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D4D" w14:textId="77777777" w:rsidR="009F6D8A" w:rsidRDefault="00C50974">
            <w:pPr>
              <w:jc w:val="right"/>
              <w:textAlignment w:val="bottom"/>
            </w:pPr>
            <w:r>
              <w:rPr>
                <w:rFonts w:ascii="Arial" w:eastAsia="宋体" w:hAnsi="Arial" w:cs="Arial"/>
                <w:color w:val="000000"/>
                <w:sz w:val="18"/>
                <w:szCs w:val="18"/>
              </w:rPr>
              <w:t>(107)</w:t>
            </w:r>
          </w:p>
        </w:tc>
        <w:tc>
          <w:tcPr>
            <w:tcW w:w="0" w:type="auto"/>
            <w:shd w:val="clear" w:color="auto" w:fill="E2E2E2"/>
            <w:tcMar>
              <w:top w:w="40" w:type="dxa"/>
              <w:left w:w="0" w:type="dxa"/>
              <w:bottom w:w="40" w:type="dxa"/>
              <w:right w:w="20" w:type="dxa"/>
            </w:tcMar>
            <w:vAlign w:val="bottom"/>
          </w:tcPr>
          <w:p w14:paraId="64302D4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D4F"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D50" w14:textId="77777777" w:rsidR="009F6D8A" w:rsidRDefault="00C50974">
            <w:pPr>
              <w:jc w:val="right"/>
              <w:textAlignment w:val="bottom"/>
            </w:pPr>
            <w:r>
              <w:rPr>
                <w:rFonts w:ascii="Arial" w:eastAsia="宋体" w:hAnsi="Arial" w:cs="Arial"/>
                <w:color w:val="000000"/>
                <w:sz w:val="18"/>
                <w:szCs w:val="18"/>
              </w:rPr>
              <w:t>(64)</w:t>
            </w:r>
          </w:p>
        </w:tc>
        <w:tc>
          <w:tcPr>
            <w:tcW w:w="0" w:type="auto"/>
            <w:shd w:val="clear" w:color="auto" w:fill="E2E2E2"/>
            <w:tcMar>
              <w:top w:w="40" w:type="dxa"/>
              <w:left w:w="0" w:type="dxa"/>
              <w:bottom w:w="40" w:type="dxa"/>
              <w:right w:w="20" w:type="dxa"/>
            </w:tcMar>
            <w:vAlign w:val="bottom"/>
          </w:tcPr>
          <w:p w14:paraId="64302D51" w14:textId="77777777" w:rsidR="009F6D8A" w:rsidRDefault="009F6D8A">
            <w:pPr>
              <w:jc w:val="right"/>
              <w:rPr>
                <w:rFonts w:ascii="宋体"/>
              </w:rPr>
            </w:pPr>
          </w:p>
        </w:tc>
      </w:tr>
      <w:tr w:rsidR="009F6D8A" w14:paraId="64302D5F" w14:textId="77777777">
        <w:trPr>
          <w:jc w:val="center"/>
        </w:trPr>
        <w:tc>
          <w:tcPr>
            <w:tcW w:w="0" w:type="auto"/>
            <w:gridSpan w:val="3"/>
            <w:shd w:val="clear" w:color="auto" w:fill="FFFFFF"/>
            <w:tcMar>
              <w:top w:w="40" w:type="dxa"/>
              <w:left w:w="515" w:type="dxa"/>
              <w:bottom w:w="40" w:type="dxa"/>
              <w:right w:w="20" w:type="dxa"/>
            </w:tcMar>
            <w:vAlign w:val="bottom"/>
          </w:tcPr>
          <w:p w14:paraId="64302D53" w14:textId="77777777" w:rsidR="009F6D8A" w:rsidRDefault="00C50974">
            <w:pPr>
              <w:textAlignment w:val="bottom"/>
            </w:pPr>
            <w:r>
              <w:rPr>
                <w:rFonts w:ascii="Arial" w:eastAsia="宋体" w:hAnsi="Arial" w:cs="Arial"/>
                <w:color w:val="000000"/>
                <w:sz w:val="18"/>
                <w:szCs w:val="18"/>
              </w:rPr>
              <w:t>Unrealized gains (losses) on investments, net</w:t>
            </w:r>
          </w:p>
        </w:tc>
        <w:tc>
          <w:tcPr>
            <w:tcW w:w="0" w:type="auto"/>
            <w:gridSpan w:val="2"/>
            <w:shd w:val="clear" w:color="auto" w:fill="FFFFFF"/>
            <w:tcMar>
              <w:top w:w="40" w:type="dxa"/>
              <w:left w:w="20" w:type="dxa"/>
              <w:bottom w:w="40" w:type="dxa"/>
              <w:right w:w="0" w:type="dxa"/>
            </w:tcMar>
            <w:vAlign w:val="bottom"/>
          </w:tcPr>
          <w:p w14:paraId="64302D54" w14:textId="77777777" w:rsidR="009F6D8A" w:rsidRDefault="00C50974">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64302D5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D5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D57" w14:textId="77777777" w:rsidR="009F6D8A" w:rsidRDefault="00C50974">
            <w:pPr>
              <w:jc w:val="right"/>
              <w:textAlignment w:val="bottom"/>
            </w:pPr>
            <w:r>
              <w:rPr>
                <w:rFonts w:ascii="Arial" w:eastAsia="宋体" w:hAnsi="Arial" w:cs="Arial"/>
                <w:color w:val="000000"/>
                <w:sz w:val="18"/>
                <w:szCs w:val="18"/>
              </w:rPr>
              <w:t>32 </w:t>
            </w:r>
          </w:p>
        </w:tc>
        <w:tc>
          <w:tcPr>
            <w:tcW w:w="0" w:type="auto"/>
            <w:shd w:val="clear" w:color="auto" w:fill="FFFFFF"/>
            <w:tcMar>
              <w:top w:w="40" w:type="dxa"/>
              <w:left w:w="0" w:type="dxa"/>
              <w:bottom w:w="40" w:type="dxa"/>
              <w:right w:w="20" w:type="dxa"/>
            </w:tcMar>
            <w:vAlign w:val="bottom"/>
          </w:tcPr>
          <w:p w14:paraId="64302D5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D5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D5A" w14:textId="77777777" w:rsidR="009F6D8A" w:rsidRDefault="00C50974">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64302D5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D5C"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D5D"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4302D5E" w14:textId="77777777" w:rsidR="009F6D8A" w:rsidRDefault="009F6D8A">
            <w:pPr>
              <w:jc w:val="right"/>
              <w:rPr>
                <w:rFonts w:ascii="宋体"/>
              </w:rPr>
            </w:pPr>
          </w:p>
        </w:tc>
      </w:tr>
      <w:tr w:rsidR="009F6D8A" w14:paraId="64302D6C" w14:textId="77777777">
        <w:trPr>
          <w:jc w:val="center"/>
        </w:trPr>
        <w:tc>
          <w:tcPr>
            <w:tcW w:w="0" w:type="auto"/>
            <w:gridSpan w:val="3"/>
            <w:shd w:val="clear" w:color="auto" w:fill="E2E2E2"/>
            <w:tcMar>
              <w:top w:w="40" w:type="dxa"/>
              <w:left w:w="515" w:type="dxa"/>
              <w:bottom w:w="40" w:type="dxa"/>
              <w:right w:w="20" w:type="dxa"/>
            </w:tcMar>
            <w:vAlign w:val="bottom"/>
          </w:tcPr>
          <w:p w14:paraId="64302D60" w14:textId="77777777" w:rsidR="009F6D8A" w:rsidRDefault="00C50974">
            <w:pPr>
              <w:textAlignment w:val="bottom"/>
            </w:pPr>
            <w:r>
              <w:rPr>
                <w:rFonts w:ascii="Arial" w:eastAsia="宋体" w:hAnsi="Arial" w:cs="Arial"/>
                <w:color w:val="000000"/>
                <w:sz w:val="18"/>
                <w:szCs w:val="18"/>
              </w:rPr>
              <w:t>Tax benefit (expense) on unrealized gains (losses) on investments, net</w:t>
            </w:r>
          </w:p>
        </w:tc>
        <w:tc>
          <w:tcPr>
            <w:tcW w:w="0" w:type="auto"/>
            <w:gridSpan w:val="2"/>
            <w:shd w:val="clear" w:color="auto" w:fill="E2E2E2"/>
            <w:tcMar>
              <w:top w:w="40" w:type="dxa"/>
              <w:left w:w="20" w:type="dxa"/>
              <w:bottom w:w="40" w:type="dxa"/>
              <w:right w:w="0" w:type="dxa"/>
            </w:tcMar>
            <w:vAlign w:val="bottom"/>
          </w:tcPr>
          <w:p w14:paraId="64302D61"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64302D6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D63"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D64" w14:textId="77777777" w:rsidR="009F6D8A" w:rsidRDefault="00C50974">
            <w:pPr>
              <w:jc w:val="right"/>
              <w:textAlignment w:val="bottom"/>
            </w:pPr>
            <w:r>
              <w:rPr>
                <w:rFonts w:ascii="Arial" w:eastAsia="宋体" w:hAnsi="Arial" w:cs="Arial"/>
                <w:color w:val="000000"/>
                <w:sz w:val="18"/>
                <w:szCs w:val="18"/>
              </w:rPr>
              <w:t>(8)</w:t>
            </w:r>
          </w:p>
        </w:tc>
        <w:tc>
          <w:tcPr>
            <w:tcW w:w="0" w:type="auto"/>
            <w:shd w:val="clear" w:color="auto" w:fill="E2E2E2"/>
            <w:tcMar>
              <w:top w:w="40" w:type="dxa"/>
              <w:left w:w="0" w:type="dxa"/>
              <w:bottom w:w="40" w:type="dxa"/>
              <w:right w:w="20" w:type="dxa"/>
            </w:tcMar>
            <w:vAlign w:val="bottom"/>
          </w:tcPr>
          <w:p w14:paraId="64302D6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D66"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D67"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64302D6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D69"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D6A"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2D6B" w14:textId="77777777" w:rsidR="009F6D8A" w:rsidRDefault="009F6D8A">
            <w:pPr>
              <w:jc w:val="right"/>
              <w:rPr>
                <w:rFonts w:ascii="宋体"/>
              </w:rPr>
            </w:pPr>
          </w:p>
        </w:tc>
      </w:tr>
      <w:tr w:rsidR="009F6D8A" w14:paraId="64302D79" w14:textId="77777777">
        <w:trPr>
          <w:jc w:val="center"/>
        </w:trPr>
        <w:tc>
          <w:tcPr>
            <w:tcW w:w="0" w:type="auto"/>
            <w:gridSpan w:val="3"/>
            <w:shd w:val="clear" w:color="auto" w:fill="FFFFFF"/>
            <w:tcMar>
              <w:top w:w="40" w:type="dxa"/>
              <w:left w:w="515" w:type="dxa"/>
              <w:bottom w:w="40" w:type="dxa"/>
              <w:right w:w="20" w:type="dxa"/>
            </w:tcMar>
            <w:vAlign w:val="bottom"/>
          </w:tcPr>
          <w:p w14:paraId="64302D6D" w14:textId="77777777" w:rsidR="009F6D8A" w:rsidRDefault="00C50974">
            <w:pPr>
              <w:textAlignment w:val="bottom"/>
            </w:pPr>
            <w:r>
              <w:rPr>
                <w:rFonts w:ascii="Arial" w:eastAsia="宋体" w:hAnsi="Arial" w:cs="Arial"/>
                <w:color w:val="000000"/>
                <w:sz w:val="18"/>
                <w:szCs w:val="18"/>
              </w:rPr>
              <w:t>Unrealized gains (losses) on hedging activities, net</w:t>
            </w:r>
          </w:p>
        </w:tc>
        <w:tc>
          <w:tcPr>
            <w:tcW w:w="0" w:type="auto"/>
            <w:gridSpan w:val="2"/>
            <w:shd w:val="clear" w:color="auto" w:fill="FFFFFF"/>
            <w:tcMar>
              <w:top w:w="40" w:type="dxa"/>
              <w:left w:w="20" w:type="dxa"/>
              <w:bottom w:w="40" w:type="dxa"/>
              <w:right w:w="0" w:type="dxa"/>
            </w:tcMar>
            <w:vAlign w:val="bottom"/>
          </w:tcPr>
          <w:p w14:paraId="64302D6E" w14:textId="77777777" w:rsidR="009F6D8A" w:rsidRDefault="00C50974">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64302D6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D70"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D71" w14:textId="77777777" w:rsidR="009F6D8A" w:rsidRDefault="00C50974">
            <w:pPr>
              <w:jc w:val="right"/>
              <w:textAlignment w:val="bottom"/>
            </w:pPr>
            <w:r>
              <w:rPr>
                <w:rFonts w:ascii="Arial" w:eastAsia="宋体" w:hAnsi="Arial" w:cs="Arial"/>
                <w:color w:val="000000"/>
                <w:sz w:val="18"/>
                <w:szCs w:val="18"/>
              </w:rPr>
              <w:t>(47)</w:t>
            </w:r>
          </w:p>
        </w:tc>
        <w:tc>
          <w:tcPr>
            <w:tcW w:w="0" w:type="auto"/>
            <w:shd w:val="clear" w:color="auto" w:fill="FFFFFF"/>
            <w:tcMar>
              <w:top w:w="40" w:type="dxa"/>
              <w:left w:w="0" w:type="dxa"/>
              <w:bottom w:w="40" w:type="dxa"/>
              <w:right w:w="20" w:type="dxa"/>
            </w:tcMar>
            <w:vAlign w:val="bottom"/>
          </w:tcPr>
          <w:p w14:paraId="64302D7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D73"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D74" w14:textId="77777777" w:rsidR="009F6D8A" w:rsidRDefault="00C50974">
            <w:pPr>
              <w:jc w:val="right"/>
              <w:textAlignment w:val="bottom"/>
            </w:pPr>
            <w:r>
              <w:rPr>
                <w:rFonts w:ascii="Arial" w:eastAsia="宋体" w:hAnsi="Arial" w:cs="Arial"/>
                <w:color w:val="000000"/>
                <w:sz w:val="18"/>
                <w:szCs w:val="18"/>
              </w:rPr>
              <w:t>70 </w:t>
            </w:r>
          </w:p>
        </w:tc>
        <w:tc>
          <w:tcPr>
            <w:tcW w:w="0" w:type="auto"/>
            <w:shd w:val="clear" w:color="auto" w:fill="FFFFFF"/>
            <w:tcMar>
              <w:top w:w="40" w:type="dxa"/>
              <w:left w:w="0" w:type="dxa"/>
              <w:bottom w:w="40" w:type="dxa"/>
              <w:right w:w="20" w:type="dxa"/>
            </w:tcMar>
            <w:vAlign w:val="bottom"/>
          </w:tcPr>
          <w:p w14:paraId="64302D7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D7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D77"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2D78" w14:textId="77777777" w:rsidR="009F6D8A" w:rsidRDefault="009F6D8A">
            <w:pPr>
              <w:jc w:val="right"/>
              <w:rPr>
                <w:rFonts w:ascii="宋体"/>
              </w:rPr>
            </w:pPr>
          </w:p>
        </w:tc>
      </w:tr>
      <w:tr w:rsidR="009F6D8A" w14:paraId="64302D86" w14:textId="77777777">
        <w:trPr>
          <w:jc w:val="center"/>
        </w:trPr>
        <w:tc>
          <w:tcPr>
            <w:tcW w:w="0" w:type="auto"/>
            <w:gridSpan w:val="3"/>
            <w:shd w:val="clear" w:color="auto" w:fill="E2E2E2"/>
            <w:tcMar>
              <w:top w:w="40" w:type="dxa"/>
              <w:left w:w="515" w:type="dxa"/>
              <w:bottom w:w="40" w:type="dxa"/>
              <w:right w:w="20" w:type="dxa"/>
            </w:tcMar>
            <w:vAlign w:val="bottom"/>
          </w:tcPr>
          <w:p w14:paraId="64302D7A" w14:textId="77777777" w:rsidR="009F6D8A" w:rsidRDefault="00C50974">
            <w:pPr>
              <w:textAlignment w:val="bottom"/>
            </w:pPr>
            <w:r>
              <w:rPr>
                <w:rFonts w:ascii="Arial" w:eastAsia="宋体" w:hAnsi="Arial" w:cs="Arial"/>
                <w:color w:val="000000"/>
                <w:sz w:val="18"/>
                <w:szCs w:val="18"/>
              </w:rPr>
              <w:t>Tax benefit (expense) on unrealized gains (losses) on hedging activities, net</w:t>
            </w:r>
          </w:p>
        </w:tc>
        <w:tc>
          <w:tcPr>
            <w:tcW w:w="0" w:type="auto"/>
            <w:gridSpan w:val="2"/>
            <w:shd w:val="clear" w:color="auto" w:fill="E2E2E2"/>
            <w:tcMar>
              <w:top w:w="40" w:type="dxa"/>
              <w:left w:w="20" w:type="dxa"/>
              <w:bottom w:w="40" w:type="dxa"/>
              <w:right w:w="0" w:type="dxa"/>
            </w:tcMar>
            <w:vAlign w:val="bottom"/>
          </w:tcPr>
          <w:p w14:paraId="64302D7B"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64302D7C"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D7D"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D7E" w14:textId="77777777" w:rsidR="009F6D8A" w:rsidRDefault="00C50974">
            <w:pPr>
              <w:jc w:val="right"/>
              <w:textAlignment w:val="bottom"/>
            </w:pPr>
            <w:r>
              <w:rPr>
                <w:rFonts w:ascii="Arial" w:eastAsia="宋体" w:hAnsi="Arial" w:cs="Arial"/>
                <w:color w:val="000000"/>
                <w:sz w:val="18"/>
                <w:szCs w:val="18"/>
              </w:rPr>
              <w:t>10 </w:t>
            </w:r>
          </w:p>
        </w:tc>
        <w:tc>
          <w:tcPr>
            <w:tcW w:w="0" w:type="auto"/>
            <w:shd w:val="clear" w:color="auto" w:fill="E2E2E2"/>
            <w:tcMar>
              <w:top w:w="40" w:type="dxa"/>
              <w:left w:w="0" w:type="dxa"/>
              <w:bottom w:w="40" w:type="dxa"/>
              <w:right w:w="20" w:type="dxa"/>
            </w:tcMar>
            <w:vAlign w:val="bottom"/>
          </w:tcPr>
          <w:p w14:paraId="64302D7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D80"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D81" w14:textId="77777777" w:rsidR="009F6D8A" w:rsidRDefault="00C50974">
            <w:pPr>
              <w:jc w:val="right"/>
              <w:textAlignment w:val="bottom"/>
            </w:pPr>
            <w:r>
              <w:rPr>
                <w:rFonts w:ascii="Arial" w:eastAsia="宋体" w:hAnsi="Arial" w:cs="Arial"/>
                <w:color w:val="000000"/>
                <w:sz w:val="18"/>
                <w:szCs w:val="18"/>
              </w:rPr>
              <w:t>(16)</w:t>
            </w:r>
          </w:p>
        </w:tc>
        <w:tc>
          <w:tcPr>
            <w:tcW w:w="0" w:type="auto"/>
            <w:shd w:val="clear" w:color="auto" w:fill="E2E2E2"/>
            <w:tcMar>
              <w:top w:w="40" w:type="dxa"/>
              <w:left w:w="0" w:type="dxa"/>
              <w:bottom w:w="40" w:type="dxa"/>
              <w:right w:w="20" w:type="dxa"/>
            </w:tcMar>
            <w:vAlign w:val="bottom"/>
          </w:tcPr>
          <w:p w14:paraId="64302D8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D83"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D84"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2D85" w14:textId="77777777" w:rsidR="009F6D8A" w:rsidRDefault="009F6D8A">
            <w:pPr>
              <w:jc w:val="right"/>
              <w:rPr>
                <w:rFonts w:ascii="宋体"/>
              </w:rPr>
            </w:pPr>
          </w:p>
        </w:tc>
      </w:tr>
      <w:tr w:rsidR="009F6D8A" w14:paraId="64302D93" w14:textId="77777777">
        <w:trPr>
          <w:jc w:val="center"/>
        </w:trPr>
        <w:tc>
          <w:tcPr>
            <w:tcW w:w="0" w:type="auto"/>
            <w:gridSpan w:val="3"/>
            <w:shd w:val="clear" w:color="auto" w:fill="FFFFFF"/>
            <w:tcMar>
              <w:top w:w="40" w:type="dxa"/>
              <w:left w:w="20" w:type="dxa"/>
              <w:bottom w:w="40" w:type="dxa"/>
              <w:right w:w="20" w:type="dxa"/>
            </w:tcMar>
            <w:vAlign w:val="bottom"/>
          </w:tcPr>
          <w:p w14:paraId="64302D87" w14:textId="77777777" w:rsidR="009F6D8A" w:rsidRDefault="00C50974">
            <w:pPr>
              <w:textAlignment w:val="bottom"/>
            </w:pPr>
            <w:r>
              <w:rPr>
                <w:rFonts w:ascii="Arial" w:eastAsia="宋体" w:hAnsi="Arial" w:cs="Arial"/>
                <w:color w:val="000000"/>
                <w:sz w:val="18"/>
                <w:szCs w:val="18"/>
              </w:rPr>
              <w:t>Other comprehensive income (loss), net of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2D88" w14:textId="77777777" w:rsidR="009F6D8A" w:rsidRDefault="00C50974">
            <w:pPr>
              <w:jc w:val="right"/>
              <w:textAlignment w:val="bottom"/>
            </w:pPr>
            <w:r>
              <w:rPr>
                <w:rFonts w:ascii="Arial" w:eastAsia="宋体" w:hAnsi="Arial" w:cs="Arial"/>
                <w:color w:val="000000"/>
                <w:sz w:val="18"/>
                <w:szCs w:val="18"/>
              </w:rPr>
              <w:t>7 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D8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D8A"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2D8B" w14:textId="77777777" w:rsidR="009F6D8A" w:rsidRDefault="00C50974">
            <w:pPr>
              <w:jc w:val="right"/>
              <w:textAlignment w:val="bottom"/>
            </w:pPr>
            <w:r>
              <w:rPr>
                <w:rFonts w:ascii="Arial" w:eastAsia="宋体" w:hAnsi="Arial" w:cs="Arial"/>
                <w:color w:val="000000"/>
                <w:sz w:val="18"/>
                <w:szCs w:val="18"/>
              </w:rPr>
              <w:t>36 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D8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D8D"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2D8E" w14:textId="77777777" w:rsidR="009F6D8A" w:rsidRDefault="00C50974">
            <w:pPr>
              <w:jc w:val="right"/>
              <w:textAlignment w:val="bottom"/>
            </w:pPr>
            <w:r>
              <w:rPr>
                <w:rFonts w:ascii="Arial" w:eastAsia="宋体" w:hAnsi="Arial" w:cs="Arial"/>
                <w:color w:val="000000"/>
                <w:sz w:val="18"/>
                <w:szCs w:val="18"/>
              </w:rPr>
              <w:t>(56)</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D8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D90"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2D91" w14:textId="77777777" w:rsidR="009F6D8A" w:rsidRDefault="00C50974">
            <w:pPr>
              <w:jc w:val="right"/>
              <w:textAlignment w:val="bottom"/>
            </w:pPr>
            <w:r>
              <w:rPr>
                <w:rFonts w:ascii="Arial" w:eastAsia="宋体" w:hAnsi="Arial" w:cs="Arial"/>
                <w:color w:val="000000"/>
                <w:sz w:val="18"/>
                <w:szCs w:val="18"/>
              </w:rPr>
              <w:t>(63)</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D92" w14:textId="77777777" w:rsidR="009F6D8A" w:rsidRDefault="009F6D8A">
            <w:pPr>
              <w:jc w:val="right"/>
              <w:rPr>
                <w:rFonts w:ascii="宋体"/>
              </w:rPr>
            </w:pPr>
          </w:p>
        </w:tc>
      </w:tr>
      <w:tr w:rsidR="009F6D8A" w14:paraId="64302DA4" w14:textId="77777777">
        <w:trPr>
          <w:jc w:val="center"/>
        </w:trPr>
        <w:tc>
          <w:tcPr>
            <w:tcW w:w="0" w:type="auto"/>
            <w:gridSpan w:val="3"/>
            <w:shd w:val="clear" w:color="auto" w:fill="E2E2E2"/>
            <w:tcMar>
              <w:top w:w="40" w:type="dxa"/>
              <w:left w:w="20" w:type="dxa"/>
              <w:bottom w:w="40" w:type="dxa"/>
              <w:right w:w="20" w:type="dxa"/>
            </w:tcMar>
            <w:vAlign w:val="bottom"/>
          </w:tcPr>
          <w:p w14:paraId="64302D94" w14:textId="77777777" w:rsidR="009F6D8A" w:rsidRDefault="00C50974">
            <w:pPr>
              <w:textAlignment w:val="bottom"/>
            </w:pPr>
            <w:r>
              <w:rPr>
                <w:rFonts w:ascii="Arial" w:eastAsia="宋体" w:hAnsi="Arial" w:cs="Arial"/>
                <w:color w:val="000000"/>
                <w:sz w:val="18"/>
                <w:szCs w:val="18"/>
              </w:rPr>
              <w:t xml:space="preserve">Comprehensive income </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2D95"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2D96" w14:textId="77777777" w:rsidR="009F6D8A" w:rsidRDefault="00C50974">
            <w:pPr>
              <w:jc w:val="right"/>
              <w:textAlignment w:val="bottom"/>
            </w:pPr>
            <w:r>
              <w:rPr>
                <w:rFonts w:ascii="Arial" w:eastAsia="宋体" w:hAnsi="Arial" w:cs="Arial"/>
                <w:color w:val="000000"/>
                <w:sz w:val="18"/>
                <w:szCs w:val="18"/>
              </w:rPr>
              <w:t>10,741 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2D97"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D98"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2D99"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2D9A" w14:textId="77777777" w:rsidR="009F6D8A" w:rsidRDefault="00C50974">
            <w:pPr>
              <w:jc w:val="right"/>
              <w:textAlignment w:val="bottom"/>
            </w:pPr>
            <w:r>
              <w:rPr>
                <w:rFonts w:ascii="Arial" w:eastAsia="宋体" w:hAnsi="Arial" w:cs="Arial"/>
                <w:color w:val="000000"/>
                <w:sz w:val="18"/>
                <w:szCs w:val="18"/>
              </w:rPr>
              <w:t>782 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2D9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D9C"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2D9D"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2D9E" w14:textId="77777777" w:rsidR="009F6D8A" w:rsidRDefault="00C50974">
            <w:pPr>
              <w:jc w:val="right"/>
              <w:textAlignment w:val="bottom"/>
            </w:pPr>
            <w:r>
              <w:rPr>
                <w:rFonts w:ascii="Arial" w:eastAsia="宋体" w:hAnsi="Arial" w:cs="Arial"/>
                <w:color w:val="000000"/>
                <w:sz w:val="18"/>
                <w:szCs w:val="18"/>
              </w:rPr>
              <w:t>11,319 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2D9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DA0"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2DA1"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2DA2" w14:textId="77777777" w:rsidR="009F6D8A" w:rsidRDefault="00C50974">
            <w:pPr>
              <w:jc w:val="right"/>
              <w:textAlignment w:val="bottom"/>
            </w:pPr>
            <w:r>
              <w:rPr>
                <w:rFonts w:ascii="Arial" w:eastAsia="宋体" w:hAnsi="Arial" w:cs="Arial"/>
                <w:color w:val="000000"/>
                <w:sz w:val="18"/>
                <w:szCs w:val="18"/>
              </w:rPr>
              <w:t>4,095 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2DA3" w14:textId="77777777" w:rsidR="009F6D8A" w:rsidRDefault="009F6D8A">
            <w:pPr>
              <w:jc w:val="right"/>
              <w:rPr>
                <w:rFonts w:ascii="宋体"/>
              </w:rPr>
            </w:pPr>
          </w:p>
        </w:tc>
      </w:tr>
    </w:tbl>
    <w:p w14:paraId="64302DA5" w14:textId="77777777" w:rsidR="009F6D8A" w:rsidRDefault="009F6D8A">
      <w:pPr>
        <w:jc w:val="center"/>
      </w:pPr>
    </w:p>
    <w:p w14:paraId="64302DA6" w14:textId="77777777" w:rsidR="009F6D8A" w:rsidRDefault="00C50974">
      <w:pPr>
        <w:jc w:val="center"/>
      </w:pPr>
      <w:r>
        <w:rPr>
          <w:rFonts w:ascii="Arial" w:eastAsia="宋体" w:hAnsi="Arial" w:cs="Arial"/>
          <w:color w:val="000000"/>
          <w:sz w:val="18"/>
          <w:szCs w:val="18"/>
        </w:rPr>
        <w:t xml:space="preserve">The accompanying notes are an integral part of these condensed consolidated financial statements. </w:t>
      </w:r>
    </w:p>
    <w:p w14:paraId="64302DA7" w14:textId="77777777" w:rsidR="009F6D8A" w:rsidRDefault="009F6D8A">
      <w:pPr>
        <w:jc w:val="center"/>
      </w:pPr>
    </w:p>
    <w:p w14:paraId="64302DA8" w14:textId="77777777" w:rsidR="009F6D8A" w:rsidRDefault="009F6D8A">
      <w:pPr>
        <w:jc w:val="center"/>
      </w:pPr>
    </w:p>
    <w:p w14:paraId="64302DA9" w14:textId="77777777" w:rsidR="009F6D8A" w:rsidRDefault="00C50974">
      <w:pPr>
        <w:jc w:val="center"/>
      </w:pPr>
      <w:r>
        <w:rPr>
          <w:rFonts w:ascii="Arial" w:eastAsia="宋体" w:hAnsi="Arial" w:cs="Arial"/>
          <w:color w:val="000000"/>
          <w:sz w:val="20"/>
          <w:szCs w:val="20"/>
        </w:rPr>
        <w:t>4</w:t>
      </w:r>
    </w:p>
    <w:p w14:paraId="64302DAA" w14:textId="77777777" w:rsidR="009F6D8A" w:rsidRDefault="00C50974">
      <w:r>
        <w:pict w14:anchorId="64305807">
          <v:rect id="_x0000_i1028" style="width:415.3pt;height:1.5pt" o:hralign="center" o:hrstd="t" o:hr="t" fillcolor="#a0a0a0" stroked="f"/>
        </w:pict>
      </w:r>
    </w:p>
    <w:p w14:paraId="64302DAB" w14:textId="77777777" w:rsidR="009F6D8A" w:rsidRDefault="009F6D8A"/>
    <w:p w14:paraId="64302DAC" w14:textId="77777777" w:rsidR="009F6D8A" w:rsidRDefault="00C50974">
      <w:pPr>
        <w:jc w:val="center"/>
      </w:pPr>
      <w:r>
        <w:rPr>
          <w:rFonts w:ascii="Arial" w:eastAsia="宋体" w:hAnsi="Arial" w:cs="Arial"/>
          <w:b/>
          <w:bCs/>
          <w:color w:val="000000"/>
          <w:sz w:val="20"/>
          <w:szCs w:val="20"/>
        </w:rPr>
        <w:t>eB</w:t>
      </w:r>
      <w:r>
        <w:rPr>
          <w:rFonts w:ascii="Arial" w:eastAsia="宋体" w:hAnsi="Arial" w:cs="Arial"/>
          <w:b/>
          <w:bCs/>
          <w:color w:val="000000"/>
          <w:sz w:val="20"/>
          <w:szCs w:val="20"/>
        </w:rPr>
        <w:t xml:space="preserve">ay Inc. </w:t>
      </w:r>
    </w:p>
    <w:p w14:paraId="64302DAD" w14:textId="77777777" w:rsidR="009F6D8A" w:rsidRDefault="00C50974">
      <w:pPr>
        <w:spacing w:before="60"/>
        <w:jc w:val="center"/>
      </w:pPr>
      <w:r>
        <w:rPr>
          <w:rFonts w:ascii="Arial" w:eastAsia="宋体" w:hAnsi="Arial" w:cs="Arial"/>
          <w:b/>
          <w:bCs/>
          <w:color w:val="000000"/>
          <w:sz w:val="20"/>
          <w:szCs w:val="20"/>
        </w:rPr>
        <w:t>CONDENSED CONSOLIDATED STATEMENT OF STOCKHOLDERS’ EQUITY</w:t>
      </w:r>
    </w:p>
    <w:p w14:paraId="64302DAE" w14:textId="77777777" w:rsidR="009F6D8A" w:rsidRDefault="00C50974">
      <w:r>
        <w:rPr>
          <w:rFonts w:ascii="Arial" w:eastAsia="宋体" w:hAnsi="Arial" w:cs="Arial"/>
          <w:color w:val="000000"/>
          <w:sz w:val="14"/>
          <w:szCs w:val="14"/>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4447"/>
        <w:gridCol w:w="39"/>
        <w:gridCol w:w="121"/>
        <w:gridCol w:w="746"/>
        <w:gridCol w:w="36"/>
        <w:gridCol w:w="36"/>
        <w:gridCol w:w="36"/>
        <w:gridCol w:w="36"/>
        <w:gridCol w:w="122"/>
        <w:gridCol w:w="702"/>
        <w:gridCol w:w="36"/>
        <w:gridCol w:w="36"/>
        <w:gridCol w:w="36"/>
        <w:gridCol w:w="36"/>
        <w:gridCol w:w="121"/>
        <w:gridCol w:w="704"/>
        <w:gridCol w:w="36"/>
        <w:gridCol w:w="36"/>
        <w:gridCol w:w="36"/>
        <w:gridCol w:w="36"/>
        <w:gridCol w:w="122"/>
        <w:gridCol w:w="704"/>
        <w:gridCol w:w="36"/>
      </w:tblGrid>
      <w:tr w:rsidR="009F6D8A" w14:paraId="64302DC7" w14:textId="77777777">
        <w:tc>
          <w:tcPr>
            <w:tcW w:w="50" w:type="pct"/>
            <w:shd w:val="clear" w:color="auto" w:fill="auto"/>
            <w:vAlign w:val="bottom"/>
          </w:tcPr>
          <w:p w14:paraId="64302DAF" w14:textId="77777777" w:rsidR="009F6D8A" w:rsidRDefault="009F6D8A">
            <w:pPr>
              <w:rPr>
                <w:rFonts w:ascii="宋体"/>
              </w:rPr>
            </w:pPr>
          </w:p>
        </w:tc>
        <w:tc>
          <w:tcPr>
            <w:tcW w:w="2700" w:type="pct"/>
            <w:shd w:val="clear" w:color="auto" w:fill="auto"/>
            <w:vAlign w:val="bottom"/>
          </w:tcPr>
          <w:p w14:paraId="64302DB0" w14:textId="77777777" w:rsidR="009F6D8A" w:rsidRDefault="009F6D8A">
            <w:pPr>
              <w:rPr>
                <w:rFonts w:ascii="宋体"/>
              </w:rPr>
            </w:pPr>
          </w:p>
        </w:tc>
        <w:tc>
          <w:tcPr>
            <w:tcW w:w="5" w:type="pct"/>
            <w:shd w:val="clear" w:color="auto" w:fill="auto"/>
            <w:vAlign w:val="bottom"/>
          </w:tcPr>
          <w:p w14:paraId="64302DB1" w14:textId="77777777" w:rsidR="009F6D8A" w:rsidRDefault="009F6D8A">
            <w:pPr>
              <w:rPr>
                <w:rFonts w:ascii="宋体"/>
              </w:rPr>
            </w:pPr>
          </w:p>
        </w:tc>
        <w:tc>
          <w:tcPr>
            <w:tcW w:w="50" w:type="pct"/>
            <w:shd w:val="clear" w:color="auto" w:fill="auto"/>
            <w:vAlign w:val="bottom"/>
          </w:tcPr>
          <w:p w14:paraId="64302DB2" w14:textId="77777777" w:rsidR="009F6D8A" w:rsidRDefault="009F6D8A">
            <w:pPr>
              <w:rPr>
                <w:rFonts w:ascii="宋体"/>
              </w:rPr>
            </w:pPr>
          </w:p>
        </w:tc>
        <w:tc>
          <w:tcPr>
            <w:tcW w:w="478" w:type="pct"/>
            <w:shd w:val="clear" w:color="auto" w:fill="auto"/>
            <w:vAlign w:val="bottom"/>
          </w:tcPr>
          <w:p w14:paraId="64302DB3" w14:textId="77777777" w:rsidR="009F6D8A" w:rsidRDefault="009F6D8A">
            <w:pPr>
              <w:rPr>
                <w:rFonts w:ascii="宋体"/>
              </w:rPr>
            </w:pPr>
          </w:p>
        </w:tc>
        <w:tc>
          <w:tcPr>
            <w:tcW w:w="5" w:type="pct"/>
            <w:shd w:val="clear" w:color="auto" w:fill="auto"/>
            <w:vAlign w:val="bottom"/>
          </w:tcPr>
          <w:p w14:paraId="64302DB4" w14:textId="77777777" w:rsidR="009F6D8A" w:rsidRDefault="009F6D8A">
            <w:pPr>
              <w:rPr>
                <w:rFonts w:ascii="宋体"/>
              </w:rPr>
            </w:pPr>
          </w:p>
        </w:tc>
        <w:tc>
          <w:tcPr>
            <w:tcW w:w="5" w:type="pct"/>
            <w:shd w:val="clear" w:color="auto" w:fill="auto"/>
            <w:vAlign w:val="bottom"/>
          </w:tcPr>
          <w:p w14:paraId="64302DB5" w14:textId="77777777" w:rsidR="009F6D8A" w:rsidRDefault="009F6D8A">
            <w:pPr>
              <w:rPr>
                <w:rFonts w:ascii="宋体"/>
              </w:rPr>
            </w:pPr>
          </w:p>
        </w:tc>
        <w:tc>
          <w:tcPr>
            <w:tcW w:w="26" w:type="pct"/>
            <w:shd w:val="clear" w:color="auto" w:fill="auto"/>
            <w:vAlign w:val="bottom"/>
          </w:tcPr>
          <w:p w14:paraId="64302DB6" w14:textId="77777777" w:rsidR="009F6D8A" w:rsidRDefault="009F6D8A">
            <w:pPr>
              <w:rPr>
                <w:rFonts w:ascii="宋体"/>
              </w:rPr>
            </w:pPr>
          </w:p>
        </w:tc>
        <w:tc>
          <w:tcPr>
            <w:tcW w:w="5" w:type="pct"/>
            <w:shd w:val="clear" w:color="auto" w:fill="auto"/>
            <w:vAlign w:val="bottom"/>
          </w:tcPr>
          <w:p w14:paraId="64302DB7" w14:textId="77777777" w:rsidR="009F6D8A" w:rsidRDefault="009F6D8A">
            <w:pPr>
              <w:rPr>
                <w:rFonts w:ascii="宋体"/>
              </w:rPr>
            </w:pPr>
          </w:p>
        </w:tc>
        <w:tc>
          <w:tcPr>
            <w:tcW w:w="50" w:type="pct"/>
            <w:shd w:val="clear" w:color="auto" w:fill="auto"/>
            <w:vAlign w:val="bottom"/>
          </w:tcPr>
          <w:p w14:paraId="64302DB8" w14:textId="77777777" w:rsidR="009F6D8A" w:rsidRDefault="009F6D8A">
            <w:pPr>
              <w:rPr>
                <w:rFonts w:ascii="宋体"/>
              </w:rPr>
            </w:pPr>
          </w:p>
        </w:tc>
        <w:tc>
          <w:tcPr>
            <w:tcW w:w="478" w:type="pct"/>
            <w:shd w:val="clear" w:color="auto" w:fill="auto"/>
            <w:vAlign w:val="bottom"/>
          </w:tcPr>
          <w:p w14:paraId="64302DB9" w14:textId="77777777" w:rsidR="009F6D8A" w:rsidRDefault="009F6D8A">
            <w:pPr>
              <w:rPr>
                <w:rFonts w:ascii="宋体"/>
              </w:rPr>
            </w:pPr>
          </w:p>
        </w:tc>
        <w:tc>
          <w:tcPr>
            <w:tcW w:w="5" w:type="pct"/>
            <w:shd w:val="clear" w:color="auto" w:fill="auto"/>
            <w:vAlign w:val="bottom"/>
          </w:tcPr>
          <w:p w14:paraId="64302DBA" w14:textId="77777777" w:rsidR="009F6D8A" w:rsidRDefault="009F6D8A">
            <w:pPr>
              <w:rPr>
                <w:rFonts w:ascii="宋体"/>
              </w:rPr>
            </w:pPr>
          </w:p>
        </w:tc>
        <w:tc>
          <w:tcPr>
            <w:tcW w:w="5" w:type="pct"/>
            <w:shd w:val="clear" w:color="auto" w:fill="auto"/>
            <w:vAlign w:val="bottom"/>
          </w:tcPr>
          <w:p w14:paraId="64302DBB" w14:textId="77777777" w:rsidR="009F6D8A" w:rsidRDefault="009F6D8A">
            <w:pPr>
              <w:rPr>
                <w:rFonts w:ascii="宋体"/>
              </w:rPr>
            </w:pPr>
          </w:p>
        </w:tc>
        <w:tc>
          <w:tcPr>
            <w:tcW w:w="26" w:type="pct"/>
            <w:shd w:val="clear" w:color="auto" w:fill="auto"/>
            <w:vAlign w:val="bottom"/>
          </w:tcPr>
          <w:p w14:paraId="64302DBC" w14:textId="77777777" w:rsidR="009F6D8A" w:rsidRDefault="009F6D8A">
            <w:pPr>
              <w:rPr>
                <w:rFonts w:ascii="宋体"/>
              </w:rPr>
            </w:pPr>
          </w:p>
        </w:tc>
        <w:tc>
          <w:tcPr>
            <w:tcW w:w="5" w:type="pct"/>
            <w:shd w:val="clear" w:color="auto" w:fill="auto"/>
            <w:vAlign w:val="bottom"/>
          </w:tcPr>
          <w:p w14:paraId="64302DBD" w14:textId="77777777" w:rsidR="009F6D8A" w:rsidRDefault="009F6D8A">
            <w:pPr>
              <w:rPr>
                <w:rFonts w:ascii="宋体"/>
              </w:rPr>
            </w:pPr>
          </w:p>
        </w:tc>
        <w:tc>
          <w:tcPr>
            <w:tcW w:w="50" w:type="pct"/>
            <w:shd w:val="clear" w:color="auto" w:fill="auto"/>
            <w:vAlign w:val="bottom"/>
          </w:tcPr>
          <w:p w14:paraId="64302DBE" w14:textId="77777777" w:rsidR="009F6D8A" w:rsidRDefault="009F6D8A">
            <w:pPr>
              <w:rPr>
                <w:rFonts w:ascii="宋体"/>
              </w:rPr>
            </w:pPr>
          </w:p>
        </w:tc>
        <w:tc>
          <w:tcPr>
            <w:tcW w:w="478" w:type="pct"/>
            <w:shd w:val="clear" w:color="auto" w:fill="auto"/>
            <w:vAlign w:val="bottom"/>
          </w:tcPr>
          <w:p w14:paraId="64302DBF" w14:textId="77777777" w:rsidR="009F6D8A" w:rsidRDefault="009F6D8A">
            <w:pPr>
              <w:rPr>
                <w:rFonts w:ascii="宋体"/>
              </w:rPr>
            </w:pPr>
          </w:p>
        </w:tc>
        <w:tc>
          <w:tcPr>
            <w:tcW w:w="5" w:type="pct"/>
            <w:shd w:val="clear" w:color="auto" w:fill="auto"/>
            <w:vAlign w:val="bottom"/>
          </w:tcPr>
          <w:p w14:paraId="64302DC0" w14:textId="77777777" w:rsidR="009F6D8A" w:rsidRDefault="009F6D8A">
            <w:pPr>
              <w:rPr>
                <w:rFonts w:ascii="宋体"/>
              </w:rPr>
            </w:pPr>
          </w:p>
        </w:tc>
        <w:tc>
          <w:tcPr>
            <w:tcW w:w="5" w:type="pct"/>
            <w:shd w:val="clear" w:color="auto" w:fill="auto"/>
            <w:vAlign w:val="bottom"/>
          </w:tcPr>
          <w:p w14:paraId="64302DC1" w14:textId="77777777" w:rsidR="009F6D8A" w:rsidRDefault="009F6D8A">
            <w:pPr>
              <w:rPr>
                <w:rFonts w:ascii="宋体"/>
              </w:rPr>
            </w:pPr>
          </w:p>
        </w:tc>
        <w:tc>
          <w:tcPr>
            <w:tcW w:w="26" w:type="pct"/>
            <w:shd w:val="clear" w:color="auto" w:fill="auto"/>
            <w:vAlign w:val="bottom"/>
          </w:tcPr>
          <w:p w14:paraId="64302DC2" w14:textId="77777777" w:rsidR="009F6D8A" w:rsidRDefault="009F6D8A">
            <w:pPr>
              <w:rPr>
                <w:rFonts w:ascii="宋体"/>
              </w:rPr>
            </w:pPr>
          </w:p>
        </w:tc>
        <w:tc>
          <w:tcPr>
            <w:tcW w:w="5" w:type="pct"/>
            <w:shd w:val="clear" w:color="auto" w:fill="auto"/>
            <w:vAlign w:val="bottom"/>
          </w:tcPr>
          <w:p w14:paraId="64302DC3" w14:textId="77777777" w:rsidR="009F6D8A" w:rsidRDefault="009F6D8A">
            <w:pPr>
              <w:rPr>
                <w:rFonts w:ascii="宋体"/>
              </w:rPr>
            </w:pPr>
          </w:p>
        </w:tc>
        <w:tc>
          <w:tcPr>
            <w:tcW w:w="50" w:type="pct"/>
            <w:shd w:val="clear" w:color="auto" w:fill="auto"/>
            <w:vAlign w:val="bottom"/>
          </w:tcPr>
          <w:p w14:paraId="64302DC4" w14:textId="77777777" w:rsidR="009F6D8A" w:rsidRDefault="009F6D8A">
            <w:pPr>
              <w:rPr>
                <w:rFonts w:ascii="宋体"/>
              </w:rPr>
            </w:pPr>
          </w:p>
        </w:tc>
        <w:tc>
          <w:tcPr>
            <w:tcW w:w="478" w:type="pct"/>
            <w:shd w:val="clear" w:color="auto" w:fill="auto"/>
            <w:vAlign w:val="bottom"/>
          </w:tcPr>
          <w:p w14:paraId="64302DC5" w14:textId="77777777" w:rsidR="009F6D8A" w:rsidRDefault="009F6D8A">
            <w:pPr>
              <w:rPr>
                <w:rFonts w:ascii="宋体"/>
              </w:rPr>
            </w:pPr>
          </w:p>
        </w:tc>
        <w:tc>
          <w:tcPr>
            <w:tcW w:w="5" w:type="pct"/>
            <w:shd w:val="clear" w:color="auto" w:fill="auto"/>
            <w:vAlign w:val="bottom"/>
          </w:tcPr>
          <w:p w14:paraId="64302DC6" w14:textId="77777777" w:rsidR="009F6D8A" w:rsidRDefault="009F6D8A">
            <w:pPr>
              <w:rPr>
                <w:rFonts w:ascii="宋体"/>
              </w:rPr>
            </w:pPr>
          </w:p>
        </w:tc>
      </w:tr>
      <w:tr w:rsidR="009F6D8A" w14:paraId="64302DCC" w14:textId="77777777">
        <w:tc>
          <w:tcPr>
            <w:tcW w:w="0" w:type="auto"/>
            <w:gridSpan w:val="3"/>
            <w:shd w:val="clear" w:color="auto" w:fill="auto"/>
            <w:tcMar>
              <w:top w:w="40" w:type="dxa"/>
              <w:left w:w="20" w:type="dxa"/>
              <w:bottom w:w="40" w:type="dxa"/>
              <w:right w:w="20" w:type="dxa"/>
            </w:tcMar>
            <w:vAlign w:val="bottom"/>
          </w:tcPr>
          <w:p w14:paraId="64302DC8" w14:textId="77777777" w:rsidR="009F6D8A" w:rsidRDefault="00C50974">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64302DC9" w14:textId="77777777" w:rsidR="009F6D8A" w:rsidRDefault="00C50974">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Mar>
              <w:top w:w="0" w:type="dxa"/>
              <w:left w:w="20" w:type="dxa"/>
              <w:bottom w:w="0" w:type="dxa"/>
              <w:right w:w="20" w:type="dxa"/>
            </w:tcMar>
            <w:vAlign w:val="bottom"/>
          </w:tcPr>
          <w:p w14:paraId="64302DCA"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2DCB" w14:textId="77777777" w:rsidR="009F6D8A" w:rsidRDefault="00C50974">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r>
      <w:tr w:rsidR="009F6D8A" w14:paraId="64302DD5" w14:textId="77777777">
        <w:tc>
          <w:tcPr>
            <w:tcW w:w="0" w:type="auto"/>
            <w:gridSpan w:val="3"/>
            <w:shd w:val="clear" w:color="auto" w:fill="auto"/>
            <w:tcMar>
              <w:top w:w="40" w:type="dxa"/>
              <w:left w:w="20" w:type="dxa"/>
              <w:bottom w:w="40" w:type="dxa"/>
              <w:right w:w="20" w:type="dxa"/>
            </w:tcMar>
            <w:vAlign w:val="bottom"/>
          </w:tcPr>
          <w:p w14:paraId="64302DCD" w14:textId="77777777" w:rsidR="009F6D8A" w:rsidRDefault="00C50974">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2DCE" w14:textId="77777777" w:rsidR="009F6D8A" w:rsidRDefault="00C50974">
            <w:pPr>
              <w:jc w:val="center"/>
              <w:textAlignment w:val="bottom"/>
            </w:pPr>
            <w:r>
              <w:rPr>
                <w:rFonts w:ascii="Arial" w:eastAsia="宋体" w:hAnsi="Arial" w:cs="Arial"/>
                <w:b/>
                <w:bCs/>
                <w:color w:val="000000"/>
                <w:sz w:val="18"/>
                <w:szCs w:val="18"/>
              </w:rP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4302DCF"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2DD0" w14:textId="77777777" w:rsidR="009F6D8A" w:rsidRDefault="00C50974">
            <w:pPr>
              <w:jc w:val="center"/>
              <w:textAlignment w:val="bottom"/>
            </w:pPr>
            <w:r>
              <w:rPr>
                <w:rFonts w:ascii="Arial" w:eastAsia="宋体" w:hAnsi="Arial" w:cs="Arial"/>
                <w:b/>
                <w:bCs/>
                <w:color w:val="000000"/>
                <w:sz w:val="18"/>
                <w:szCs w:val="18"/>
              </w:rPr>
              <w:t>2020</w:t>
            </w:r>
          </w:p>
        </w:tc>
        <w:tc>
          <w:tcPr>
            <w:tcW w:w="0" w:type="auto"/>
            <w:gridSpan w:val="3"/>
            <w:shd w:val="clear" w:color="auto" w:fill="auto"/>
            <w:tcMar>
              <w:top w:w="0" w:type="dxa"/>
              <w:left w:w="20" w:type="dxa"/>
              <w:bottom w:w="0" w:type="dxa"/>
              <w:right w:w="20" w:type="dxa"/>
            </w:tcMar>
            <w:vAlign w:val="bottom"/>
          </w:tcPr>
          <w:p w14:paraId="64302DD1"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2DD2" w14:textId="77777777" w:rsidR="009F6D8A" w:rsidRDefault="00C50974">
            <w:pPr>
              <w:jc w:val="center"/>
              <w:textAlignment w:val="bottom"/>
            </w:pPr>
            <w:r>
              <w:rPr>
                <w:rFonts w:ascii="Arial" w:eastAsia="宋体" w:hAnsi="Arial" w:cs="Arial"/>
                <w:b/>
                <w:bCs/>
                <w:color w:val="000000"/>
                <w:sz w:val="18"/>
                <w:szCs w:val="18"/>
              </w:rP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4302DD3"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2DD4" w14:textId="77777777" w:rsidR="009F6D8A" w:rsidRDefault="00C50974">
            <w:pPr>
              <w:jc w:val="center"/>
              <w:textAlignment w:val="bottom"/>
            </w:pPr>
            <w:r>
              <w:rPr>
                <w:rFonts w:ascii="Arial" w:eastAsia="宋体" w:hAnsi="Arial" w:cs="Arial"/>
                <w:b/>
                <w:bCs/>
                <w:color w:val="000000"/>
                <w:sz w:val="18"/>
                <w:szCs w:val="18"/>
              </w:rPr>
              <w:t>2020</w:t>
            </w:r>
          </w:p>
        </w:tc>
      </w:tr>
      <w:tr w:rsidR="009F6D8A" w14:paraId="64302DD8" w14:textId="77777777">
        <w:tc>
          <w:tcPr>
            <w:tcW w:w="0" w:type="auto"/>
            <w:gridSpan w:val="3"/>
            <w:shd w:val="clear" w:color="auto" w:fill="auto"/>
            <w:tcMar>
              <w:top w:w="40" w:type="dxa"/>
              <w:left w:w="20" w:type="dxa"/>
              <w:bottom w:w="40" w:type="dxa"/>
              <w:right w:w="20" w:type="dxa"/>
            </w:tcMar>
            <w:vAlign w:val="bottom"/>
          </w:tcPr>
          <w:p w14:paraId="64302DD6" w14:textId="77777777" w:rsidR="009F6D8A" w:rsidRDefault="00C50974">
            <w:pPr>
              <w:textAlignment w:val="bottom"/>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64302DD7" w14:textId="77777777" w:rsidR="009F6D8A" w:rsidRDefault="00C50974">
            <w:pPr>
              <w:jc w:val="center"/>
              <w:textAlignment w:val="bottom"/>
            </w:pPr>
            <w:r>
              <w:rPr>
                <w:rFonts w:ascii="Arial" w:eastAsia="宋体" w:hAnsi="Arial" w:cs="Arial"/>
                <w:b/>
                <w:bCs/>
                <w:color w:val="000000"/>
                <w:sz w:val="16"/>
                <w:szCs w:val="16"/>
              </w:rPr>
              <w:t>(In millions, except per share amounts)</w:t>
            </w:r>
          </w:p>
        </w:tc>
      </w:tr>
      <w:tr w:rsidR="009F6D8A" w14:paraId="64302DDB" w14:textId="77777777">
        <w:tc>
          <w:tcPr>
            <w:tcW w:w="0" w:type="auto"/>
            <w:gridSpan w:val="3"/>
            <w:shd w:val="clear" w:color="auto" w:fill="auto"/>
            <w:tcMar>
              <w:top w:w="0" w:type="dxa"/>
              <w:left w:w="20" w:type="dxa"/>
              <w:bottom w:w="0" w:type="dxa"/>
              <w:right w:w="20" w:type="dxa"/>
            </w:tcMar>
            <w:vAlign w:val="bottom"/>
          </w:tcPr>
          <w:p w14:paraId="64302DD9" w14:textId="77777777" w:rsidR="009F6D8A" w:rsidRDefault="009F6D8A">
            <w:pPr>
              <w:rPr>
                <w:rFonts w:ascii="宋体"/>
              </w:rPr>
            </w:pPr>
          </w:p>
        </w:tc>
        <w:tc>
          <w:tcPr>
            <w:tcW w:w="0" w:type="auto"/>
            <w:gridSpan w:val="21"/>
            <w:shd w:val="clear" w:color="auto" w:fill="auto"/>
            <w:tcMar>
              <w:top w:w="40" w:type="dxa"/>
              <w:left w:w="20" w:type="dxa"/>
              <w:bottom w:w="40" w:type="dxa"/>
              <w:right w:w="20" w:type="dxa"/>
            </w:tcMar>
            <w:vAlign w:val="bottom"/>
          </w:tcPr>
          <w:p w14:paraId="64302DDA" w14:textId="77777777" w:rsidR="009F6D8A" w:rsidRDefault="00C50974">
            <w:pPr>
              <w:jc w:val="center"/>
              <w:textAlignment w:val="bottom"/>
            </w:pPr>
            <w:r>
              <w:rPr>
                <w:rFonts w:ascii="Arial" w:eastAsia="宋体" w:hAnsi="Arial" w:cs="Arial"/>
                <w:b/>
                <w:bCs/>
                <w:color w:val="000000"/>
                <w:sz w:val="16"/>
                <w:szCs w:val="16"/>
              </w:rPr>
              <w:t>(Unaudited)</w:t>
            </w:r>
          </w:p>
        </w:tc>
      </w:tr>
      <w:tr w:rsidR="009F6D8A" w14:paraId="64302DE4" w14:textId="77777777">
        <w:tc>
          <w:tcPr>
            <w:tcW w:w="0" w:type="auto"/>
            <w:gridSpan w:val="3"/>
            <w:shd w:val="clear" w:color="auto" w:fill="E2E2E2"/>
            <w:tcMar>
              <w:top w:w="40" w:type="dxa"/>
              <w:left w:w="20" w:type="dxa"/>
              <w:bottom w:w="40" w:type="dxa"/>
              <w:right w:w="20" w:type="dxa"/>
            </w:tcMar>
            <w:vAlign w:val="bottom"/>
          </w:tcPr>
          <w:p w14:paraId="64302DDC" w14:textId="77777777" w:rsidR="009F6D8A" w:rsidRDefault="00C50974">
            <w:pPr>
              <w:textAlignment w:val="bottom"/>
            </w:pPr>
            <w:r>
              <w:rPr>
                <w:rFonts w:ascii="Arial" w:eastAsia="宋体" w:hAnsi="Arial" w:cs="Arial"/>
                <w:color w:val="000000"/>
                <w:sz w:val="18"/>
                <w:szCs w:val="18"/>
              </w:rPr>
              <w:t>Common stock:</w:t>
            </w:r>
          </w:p>
        </w:tc>
        <w:tc>
          <w:tcPr>
            <w:tcW w:w="0" w:type="auto"/>
            <w:gridSpan w:val="3"/>
            <w:shd w:val="clear" w:color="auto" w:fill="E2E2E2"/>
            <w:tcMar>
              <w:top w:w="0" w:type="dxa"/>
              <w:left w:w="20" w:type="dxa"/>
              <w:bottom w:w="0" w:type="dxa"/>
              <w:right w:w="20" w:type="dxa"/>
            </w:tcMar>
            <w:vAlign w:val="bottom"/>
          </w:tcPr>
          <w:p w14:paraId="64302DDD"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DDE"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DDF"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DE0"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DE1"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DE2"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DE3" w14:textId="77777777" w:rsidR="009F6D8A" w:rsidRDefault="009F6D8A">
            <w:pPr>
              <w:rPr>
                <w:rFonts w:ascii="宋体"/>
              </w:rPr>
            </w:pPr>
          </w:p>
        </w:tc>
      </w:tr>
      <w:tr w:rsidR="009F6D8A" w14:paraId="64302DF5" w14:textId="77777777">
        <w:tc>
          <w:tcPr>
            <w:tcW w:w="0" w:type="auto"/>
            <w:gridSpan w:val="3"/>
            <w:shd w:val="clear" w:color="auto" w:fill="FFFFFF"/>
            <w:tcMar>
              <w:top w:w="40" w:type="dxa"/>
              <w:left w:w="245" w:type="dxa"/>
              <w:bottom w:w="40" w:type="dxa"/>
              <w:right w:w="20" w:type="dxa"/>
            </w:tcMar>
            <w:vAlign w:val="bottom"/>
          </w:tcPr>
          <w:p w14:paraId="64302DE5" w14:textId="77777777" w:rsidR="009F6D8A" w:rsidRDefault="00C50974">
            <w:pPr>
              <w:textAlignment w:val="bottom"/>
            </w:pPr>
            <w:r>
              <w:rPr>
                <w:rFonts w:ascii="Arial" w:eastAsia="宋体" w:hAnsi="Arial" w:cs="Arial"/>
                <w:color w:val="000000"/>
                <w:sz w:val="18"/>
                <w:szCs w:val="18"/>
              </w:rPr>
              <w:t>Balance, beginning of period</w:t>
            </w:r>
          </w:p>
        </w:tc>
        <w:tc>
          <w:tcPr>
            <w:tcW w:w="0" w:type="auto"/>
            <w:shd w:val="clear" w:color="auto" w:fill="FFFFFF"/>
            <w:tcMar>
              <w:top w:w="40" w:type="dxa"/>
              <w:left w:w="20" w:type="dxa"/>
              <w:bottom w:w="40" w:type="dxa"/>
              <w:right w:w="0" w:type="dxa"/>
            </w:tcMar>
            <w:vAlign w:val="bottom"/>
          </w:tcPr>
          <w:p w14:paraId="64302DE6"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2DE7" w14:textId="77777777" w:rsidR="009F6D8A" w:rsidRDefault="00C50974">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64302DE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DE9"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2DEA"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2DEB" w14:textId="77777777" w:rsidR="009F6D8A" w:rsidRDefault="00C50974">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64302DE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DED"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2DEE"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2DEF" w14:textId="77777777" w:rsidR="009F6D8A" w:rsidRDefault="00C50974">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64302DF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DF1"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2DF2"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2DF3" w14:textId="77777777" w:rsidR="009F6D8A" w:rsidRDefault="00C50974">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64302DF4" w14:textId="77777777" w:rsidR="009F6D8A" w:rsidRDefault="009F6D8A">
            <w:pPr>
              <w:jc w:val="right"/>
              <w:rPr>
                <w:rFonts w:ascii="宋体"/>
              </w:rPr>
            </w:pPr>
          </w:p>
        </w:tc>
      </w:tr>
      <w:tr w:rsidR="009F6D8A" w14:paraId="64302E02" w14:textId="77777777">
        <w:tc>
          <w:tcPr>
            <w:tcW w:w="0" w:type="auto"/>
            <w:gridSpan w:val="3"/>
            <w:shd w:val="clear" w:color="auto" w:fill="E2E2E2"/>
            <w:tcMar>
              <w:top w:w="40" w:type="dxa"/>
              <w:left w:w="245" w:type="dxa"/>
              <w:bottom w:w="40" w:type="dxa"/>
              <w:right w:w="20" w:type="dxa"/>
            </w:tcMar>
            <w:vAlign w:val="bottom"/>
          </w:tcPr>
          <w:p w14:paraId="64302DF6" w14:textId="77777777" w:rsidR="009F6D8A" w:rsidRDefault="00C50974">
            <w:pPr>
              <w:textAlignment w:val="bottom"/>
            </w:pPr>
            <w:r>
              <w:rPr>
                <w:rFonts w:ascii="Arial" w:eastAsia="宋体" w:hAnsi="Arial" w:cs="Arial"/>
                <w:color w:val="000000"/>
                <w:sz w:val="18"/>
                <w:szCs w:val="18"/>
              </w:rPr>
              <w:t>Common stock issued</w:t>
            </w:r>
          </w:p>
        </w:tc>
        <w:tc>
          <w:tcPr>
            <w:tcW w:w="0" w:type="auto"/>
            <w:gridSpan w:val="2"/>
            <w:shd w:val="clear" w:color="auto" w:fill="E2E2E2"/>
            <w:tcMar>
              <w:top w:w="40" w:type="dxa"/>
              <w:left w:w="20" w:type="dxa"/>
              <w:bottom w:w="40" w:type="dxa"/>
              <w:right w:w="0" w:type="dxa"/>
            </w:tcMar>
            <w:vAlign w:val="bottom"/>
          </w:tcPr>
          <w:p w14:paraId="64302DF7"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2DF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DF9"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DFA"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2DF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DFC"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DFD"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2DF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DFF"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E00"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2E01" w14:textId="77777777" w:rsidR="009F6D8A" w:rsidRDefault="009F6D8A">
            <w:pPr>
              <w:jc w:val="right"/>
              <w:rPr>
                <w:rFonts w:ascii="宋体"/>
              </w:rPr>
            </w:pPr>
          </w:p>
        </w:tc>
      </w:tr>
      <w:tr w:rsidR="009F6D8A" w14:paraId="64302E0F" w14:textId="77777777">
        <w:tc>
          <w:tcPr>
            <w:tcW w:w="0" w:type="auto"/>
            <w:gridSpan w:val="3"/>
            <w:shd w:val="clear" w:color="auto" w:fill="FFFFFF"/>
            <w:tcMar>
              <w:top w:w="40" w:type="dxa"/>
              <w:left w:w="245" w:type="dxa"/>
              <w:bottom w:w="40" w:type="dxa"/>
              <w:right w:w="20" w:type="dxa"/>
            </w:tcMar>
            <w:vAlign w:val="bottom"/>
          </w:tcPr>
          <w:p w14:paraId="64302E03" w14:textId="77777777" w:rsidR="009F6D8A" w:rsidRDefault="00C50974">
            <w:pPr>
              <w:textAlignment w:val="bottom"/>
            </w:pPr>
            <w:r>
              <w:rPr>
                <w:rFonts w:ascii="Arial" w:eastAsia="宋体" w:hAnsi="Arial" w:cs="Arial"/>
                <w:color w:val="000000"/>
                <w:sz w:val="18"/>
                <w:szCs w:val="18"/>
              </w:rPr>
              <w:t>Common stock repurchased</w:t>
            </w:r>
          </w:p>
        </w:tc>
        <w:tc>
          <w:tcPr>
            <w:tcW w:w="0" w:type="auto"/>
            <w:gridSpan w:val="2"/>
            <w:shd w:val="clear" w:color="auto" w:fill="FFFFFF"/>
            <w:tcMar>
              <w:top w:w="40" w:type="dxa"/>
              <w:left w:w="20" w:type="dxa"/>
              <w:bottom w:w="40" w:type="dxa"/>
              <w:right w:w="0" w:type="dxa"/>
            </w:tcMar>
            <w:vAlign w:val="bottom"/>
          </w:tcPr>
          <w:p w14:paraId="64302E04"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2E0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E0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E07"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2E0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E0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E0A"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2E0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E0C"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E0D"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2E0E" w14:textId="77777777" w:rsidR="009F6D8A" w:rsidRDefault="009F6D8A">
            <w:pPr>
              <w:jc w:val="right"/>
              <w:rPr>
                <w:rFonts w:ascii="宋体"/>
              </w:rPr>
            </w:pPr>
          </w:p>
        </w:tc>
      </w:tr>
      <w:tr w:rsidR="009F6D8A" w14:paraId="64302E1C" w14:textId="77777777">
        <w:tc>
          <w:tcPr>
            <w:tcW w:w="0" w:type="auto"/>
            <w:gridSpan w:val="3"/>
            <w:shd w:val="clear" w:color="auto" w:fill="E2E2E2"/>
            <w:tcMar>
              <w:top w:w="40" w:type="dxa"/>
              <w:left w:w="740" w:type="dxa"/>
              <w:bottom w:w="40" w:type="dxa"/>
              <w:right w:w="20" w:type="dxa"/>
            </w:tcMar>
            <w:vAlign w:val="bottom"/>
          </w:tcPr>
          <w:p w14:paraId="64302E10" w14:textId="77777777" w:rsidR="009F6D8A" w:rsidRDefault="00C50974">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E11" w14:textId="77777777" w:rsidR="009F6D8A" w:rsidRDefault="00C50974">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E1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13"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E14" w14:textId="77777777" w:rsidR="009F6D8A" w:rsidRDefault="00C50974">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E1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16"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E17" w14:textId="77777777" w:rsidR="009F6D8A" w:rsidRDefault="00C50974">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E1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19"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E1A" w14:textId="77777777" w:rsidR="009F6D8A" w:rsidRDefault="00C50974">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E1B" w14:textId="77777777" w:rsidR="009F6D8A" w:rsidRDefault="009F6D8A">
            <w:pPr>
              <w:jc w:val="right"/>
              <w:rPr>
                <w:rFonts w:ascii="宋体"/>
              </w:rPr>
            </w:pPr>
          </w:p>
        </w:tc>
      </w:tr>
      <w:tr w:rsidR="009F6D8A" w14:paraId="64302E25" w14:textId="77777777">
        <w:tc>
          <w:tcPr>
            <w:tcW w:w="0" w:type="auto"/>
            <w:gridSpan w:val="3"/>
            <w:shd w:val="clear" w:color="auto" w:fill="FFFFFF"/>
            <w:tcMar>
              <w:top w:w="40" w:type="dxa"/>
              <w:left w:w="20" w:type="dxa"/>
              <w:bottom w:w="40" w:type="dxa"/>
              <w:right w:w="20" w:type="dxa"/>
            </w:tcMar>
            <w:vAlign w:val="bottom"/>
          </w:tcPr>
          <w:p w14:paraId="64302E1D" w14:textId="77777777" w:rsidR="009F6D8A" w:rsidRDefault="00C50974">
            <w:pPr>
              <w:textAlignment w:val="bottom"/>
            </w:pPr>
            <w:r>
              <w:rPr>
                <w:rFonts w:ascii="Arial" w:eastAsia="宋体" w:hAnsi="Arial" w:cs="Arial"/>
                <w:color w:val="000000"/>
                <w:sz w:val="18"/>
                <w:szCs w:val="18"/>
              </w:rPr>
              <w:t>Additional paid-in-capital: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E1E"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E1F"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E2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E21"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E22"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E23"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E24" w14:textId="77777777" w:rsidR="009F6D8A" w:rsidRDefault="009F6D8A">
            <w:pPr>
              <w:rPr>
                <w:rFonts w:ascii="宋体"/>
              </w:rPr>
            </w:pPr>
          </w:p>
        </w:tc>
      </w:tr>
      <w:tr w:rsidR="009F6D8A" w14:paraId="64302E32" w14:textId="77777777">
        <w:tc>
          <w:tcPr>
            <w:tcW w:w="0" w:type="auto"/>
            <w:gridSpan w:val="3"/>
            <w:shd w:val="clear" w:color="auto" w:fill="E2E2E2"/>
            <w:tcMar>
              <w:top w:w="40" w:type="dxa"/>
              <w:left w:w="245" w:type="dxa"/>
              <w:bottom w:w="40" w:type="dxa"/>
              <w:right w:w="20" w:type="dxa"/>
            </w:tcMar>
            <w:vAlign w:val="bottom"/>
          </w:tcPr>
          <w:p w14:paraId="64302E26" w14:textId="77777777" w:rsidR="009F6D8A" w:rsidRDefault="00C50974">
            <w:pPr>
              <w:textAlignment w:val="bottom"/>
            </w:pPr>
            <w:r>
              <w:rPr>
                <w:rFonts w:ascii="Arial" w:eastAsia="宋体" w:hAnsi="Arial" w:cs="Arial"/>
                <w:color w:val="000000"/>
                <w:sz w:val="18"/>
                <w:szCs w:val="18"/>
              </w:rPr>
              <w:t>Balance, beginning of period</w:t>
            </w:r>
          </w:p>
        </w:tc>
        <w:tc>
          <w:tcPr>
            <w:tcW w:w="0" w:type="auto"/>
            <w:gridSpan w:val="2"/>
            <w:shd w:val="clear" w:color="auto" w:fill="E2E2E2"/>
            <w:tcMar>
              <w:top w:w="40" w:type="dxa"/>
              <w:left w:w="20" w:type="dxa"/>
              <w:bottom w:w="40" w:type="dxa"/>
              <w:right w:w="0" w:type="dxa"/>
            </w:tcMar>
            <w:vAlign w:val="bottom"/>
          </w:tcPr>
          <w:p w14:paraId="64302E27" w14:textId="77777777" w:rsidR="009F6D8A" w:rsidRDefault="00C50974">
            <w:pPr>
              <w:jc w:val="right"/>
              <w:textAlignment w:val="bottom"/>
            </w:pPr>
            <w:r>
              <w:rPr>
                <w:rFonts w:ascii="Arial" w:eastAsia="宋体" w:hAnsi="Arial" w:cs="Arial"/>
                <w:color w:val="000000"/>
                <w:sz w:val="18"/>
                <w:szCs w:val="18"/>
              </w:rPr>
              <w:t>16,546 </w:t>
            </w:r>
          </w:p>
        </w:tc>
        <w:tc>
          <w:tcPr>
            <w:tcW w:w="0" w:type="auto"/>
            <w:shd w:val="clear" w:color="auto" w:fill="E2E2E2"/>
            <w:tcMar>
              <w:top w:w="40" w:type="dxa"/>
              <w:left w:w="0" w:type="dxa"/>
              <w:bottom w:w="40" w:type="dxa"/>
              <w:right w:w="20" w:type="dxa"/>
            </w:tcMar>
            <w:vAlign w:val="bottom"/>
          </w:tcPr>
          <w:p w14:paraId="64302E2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29"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E2A" w14:textId="77777777" w:rsidR="009F6D8A" w:rsidRDefault="00C50974">
            <w:pPr>
              <w:jc w:val="right"/>
              <w:textAlignment w:val="bottom"/>
            </w:pPr>
            <w:r>
              <w:rPr>
                <w:rFonts w:ascii="Arial" w:eastAsia="宋体" w:hAnsi="Arial" w:cs="Arial"/>
                <w:color w:val="000000"/>
                <w:sz w:val="18"/>
                <w:szCs w:val="18"/>
              </w:rPr>
              <w:t>15,723 </w:t>
            </w:r>
          </w:p>
        </w:tc>
        <w:tc>
          <w:tcPr>
            <w:tcW w:w="0" w:type="auto"/>
            <w:shd w:val="clear" w:color="auto" w:fill="E2E2E2"/>
            <w:tcMar>
              <w:top w:w="40" w:type="dxa"/>
              <w:left w:w="0" w:type="dxa"/>
              <w:bottom w:w="40" w:type="dxa"/>
              <w:right w:w="20" w:type="dxa"/>
            </w:tcMar>
            <w:vAlign w:val="bottom"/>
          </w:tcPr>
          <w:p w14:paraId="64302E2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2C"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E2D" w14:textId="77777777" w:rsidR="009F6D8A" w:rsidRDefault="00C50974">
            <w:pPr>
              <w:jc w:val="right"/>
              <w:textAlignment w:val="bottom"/>
            </w:pPr>
            <w:r>
              <w:rPr>
                <w:rFonts w:ascii="Arial" w:eastAsia="宋体" w:hAnsi="Arial" w:cs="Arial"/>
                <w:color w:val="000000"/>
                <w:sz w:val="18"/>
                <w:szCs w:val="18"/>
              </w:rPr>
              <w:t>16,497 </w:t>
            </w:r>
          </w:p>
        </w:tc>
        <w:tc>
          <w:tcPr>
            <w:tcW w:w="0" w:type="auto"/>
            <w:shd w:val="clear" w:color="auto" w:fill="E2E2E2"/>
            <w:tcMar>
              <w:top w:w="40" w:type="dxa"/>
              <w:left w:w="0" w:type="dxa"/>
              <w:bottom w:w="40" w:type="dxa"/>
              <w:right w:w="20" w:type="dxa"/>
            </w:tcMar>
            <w:vAlign w:val="bottom"/>
          </w:tcPr>
          <w:p w14:paraId="64302E2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2F"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E30" w14:textId="77777777" w:rsidR="009F6D8A" w:rsidRDefault="00C50974">
            <w:pPr>
              <w:jc w:val="right"/>
              <w:textAlignment w:val="bottom"/>
            </w:pPr>
            <w:r>
              <w:rPr>
                <w:rFonts w:ascii="Arial" w:eastAsia="宋体" w:hAnsi="Arial" w:cs="Arial"/>
                <w:color w:val="000000"/>
                <w:sz w:val="18"/>
                <w:szCs w:val="18"/>
              </w:rPr>
              <w:t>16,126 </w:t>
            </w:r>
          </w:p>
        </w:tc>
        <w:tc>
          <w:tcPr>
            <w:tcW w:w="0" w:type="auto"/>
            <w:shd w:val="clear" w:color="auto" w:fill="E2E2E2"/>
            <w:tcMar>
              <w:top w:w="40" w:type="dxa"/>
              <w:left w:w="0" w:type="dxa"/>
              <w:bottom w:w="40" w:type="dxa"/>
              <w:right w:w="20" w:type="dxa"/>
            </w:tcMar>
            <w:vAlign w:val="bottom"/>
          </w:tcPr>
          <w:p w14:paraId="64302E31" w14:textId="77777777" w:rsidR="009F6D8A" w:rsidRDefault="009F6D8A">
            <w:pPr>
              <w:jc w:val="right"/>
              <w:rPr>
                <w:rFonts w:ascii="宋体"/>
              </w:rPr>
            </w:pPr>
          </w:p>
        </w:tc>
      </w:tr>
      <w:tr w:rsidR="009F6D8A" w14:paraId="64302E3F" w14:textId="77777777">
        <w:tc>
          <w:tcPr>
            <w:tcW w:w="0" w:type="auto"/>
            <w:gridSpan w:val="3"/>
            <w:shd w:val="clear" w:color="auto" w:fill="FFFFFF"/>
            <w:tcMar>
              <w:top w:w="40" w:type="dxa"/>
              <w:left w:w="245" w:type="dxa"/>
              <w:bottom w:w="40" w:type="dxa"/>
              <w:right w:w="20" w:type="dxa"/>
            </w:tcMar>
            <w:vAlign w:val="bottom"/>
          </w:tcPr>
          <w:p w14:paraId="64302E33" w14:textId="77777777" w:rsidR="009F6D8A" w:rsidRDefault="00C50974">
            <w:pPr>
              <w:textAlignment w:val="bottom"/>
            </w:pPr>
            <w:r>
              <w:rPr>
                <w:rFonts w:ascii="Arial" w:eastAsia="宋体" w:hAnsi="Arial" w:cs="Arial"/>
                <w:color w:val="000000"/>
                <w:sz w:val="18"/>
                <w:szCs w:val="18"/>
              </w:rPr>
              <w:t>Common stock and stock-based awards issued</w:t>
            </w:r>
          </w:p>
        </w:tc>
        <w:tc>
          <w:tcPr>
            <w:tcW w:w="0" w:type="auto"/>
            <w:gridSpan w:val="2"/>
            <w:shd w:val="clear" w:color="auto" w:fill="FFFFFF"/>
            <w:tcMar>
              <w:top w:w="40" w:type="dxa"/>
              <w:left w:w="20" w:type="dxa"/>
              <w:bottom w:w="40" w:type="dxa"/>
              <w:right w:w="0" w:type="dxa"/>
            </w:tcMar>
            <w:vAlign w:val="bottom"/>
          </w:tcPr>
          <w:p w14:paraId="64302E34" w14:textId="77777777" w:rsidR="009F6D8A" w:rsidRDefault="00C50974">
            <w:pPr>
              <w:jc w:val="right"/>
              <w:textAlignment w:val="bottom"/>
            </w:pPr>
            <w:r>
              <w:rPr>
                <w:rFonts w:ascii="Arial" w:eastAsia="宋体" w:hAnsi="Arial" w:cs="Arial"/>
                <w:color w:val="000000"/>
                <w:sz w:val="18"/>
                <w:szCs w:val="18"/>
              </w:rPr>
              <w:t>57 </w:t>
            </w:r>
          </w:p>
        </w:tc>
        <w:tc>
          <w:tcPr>
            <w:tcW w:w="0" w:type="auto"/>
            <w:shd w:val="clear" w:color="auto" w:fill="FFFFFF"/>
            <w:tcMar>
              <w:top w:w="40" w:type="dxa"/>
              <w:left w:w="0" w:type="dxa"/>
              <w:bottom w:w="40" w:type="dxa"/>
              <w:right w:w="20" w:type="dxa"/>
            </w:tcMar>
            <w:vAlign w:val="bottom"/>
          </w:tcPr>
          <w:p w14:paraId="64302E3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E3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E37" w14:textId="77777777" w:rsidR="009F6D8A" w:rsidRDefault="00C50974">
            <w:pPr>
              <w:jc w:val="right"/>
              <w:textAlignment w:val="bottom"/>
            </w:pPr>
            <w:r>
              <w:rPr>
                <w:rFonts w:ascii="Arial" w:eastAsia="宋体" w:hAnsi="Arial" w:cs="Arial"/>
                <w:color w:val="000000"/>
                <w:sz w:val="18"/>
                <w:szCs w:val="18"/>
              </w:rPr>
              <w:t>45 </w:t>
            </w:r>
          </w:p>
        </w:tc>
        <w:tc>
          <w:tcPr>
            <w:tcW w:w="0" w:type="auto"/>
            <w:shd w:val="clear" w:color="auto" w:fill="FFFFFF"/>
            <w:tcMar>
              <w:top w:w="40" w:type="dxa"/>
              <w:left w:w="0" w:type="dxa"/>
              <w:bottom w:w="40" w:type="dxa"/>
              <w:right w:w="20" w:type="dxa"/>
            </w:tcMar>
            <w:vAlign w:val="bottom"/>
          </w:tcPr>
          <w:p w14:paraId="64302E3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E3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E3A" w14:textId="77777777" w:rsidR="009F6D8A" w:rsidRDefault="00C50974">
            <w:pPr>
              <w:jc w:val="right"/>
              <w:textAlignment w:val="bottom"/>
            </w:pPr>
            <w:r>
              <w:rPr>
                <w:rFonts w:ascii="Arial" w:eastAsia="宋体" w:hAnsi="Arial" w:cs="Arial"/>
                <w:color w:val="000000"/>
                <w:sz w:val="18"/>
                <w:szCs w:val="18"/>
              </w:rPr>
              <w:t>58 </w:t>
            </w:r>
          </w:p>
        </w:tc>
        <w:tc>
          <w:tcPr>
            <w:tcW w:w="0" w:type="auto"/>
            <w:shd w:val="clear" w:color="auto" w:fill="FFFFFF"/>
            <w:tcMar>
              <w:top w:w="40" w:type="dxa"/>
              <w:left w:w="0" w:type="dxa"/>
              <w:bottom w:w="40" w:type="dxa"/>
              <w:right w:w="20" w:type="dxa"/>
            </w:tcMar>
            <w:vAlign w:val="bottom"/>
          </w:tcPr>
          <w:p w14:paraId="64302E3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E3C"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E3D" w14:textId="77777777" w:rsidR="009F6D8A" w:rsidRDefault="00C50974">
            <w:pPr>
              <w:jc w:val="right"/>
              <w:textAlignment w:val="bottom"/>
            </w:pPr>
            <w:r>
              <w:rPr>
                <w:rFonts w:ascii="Arial" w:eastAsia="宋体" w:hAnsi="Arial" w:cs="Arial"/>
                <w:color w:val="000000"/>
                <w:sz w:val="18"/>
                <w:szCs w:val="18"/>
              </w:rPr>
              <w:t>49 </w:t>
            </w:r>
          </w:p>
        </w:tc>
        <w:tc>
          <w:tcPr>
            <w:tcW w:w="0" w:type="auto"/>
            <w:shd w:val="clear" w:color="auto" w:fill="FFFFFF"/>
            <w:tcMar>
              <w:top w:w="40" w:type="dxa"/>
              <w:left w:w="0" w:type="dxa"/>
              <w:bottom w:w="40" w:type="dxa"/>
              <w:right w:w="20" w:type="dxa"/>
            </w:tcMar>
            <w:vAlign w:val="bottom"/>
          </w:tcPr>
          <w:p w14:paraId="64302E3E" w14:textId="77777777" w:rsidR="009F6D8A" w:rsidRDefault="009F6D8A">
            <w:pPr>
              <w:jc w:val="right"/>
              <w:rPr>
                <w:rFonts w:ascii="宋体"/>
              </w:rPr>
            </w:pPr>
          </w:p>
        </w:tc>
      </w:tr>
      <w:tr w:rsidR="009F6D8A" w14:paraId="64302E4C" w14:textId="77777777">
        <w:tc>
          <w:tcPr>
            <w:tcW w:w="0" w:type="auto"/>
            <w:gridSpan w:val="3"/>
            <w:shd w:val="clear" w:color="auto" w:fill="E2E2E2"/>
            <w:tcMar>
              <w:top w:w="40" w:type="dxa"/>
              <w:left w:w="245" w:type="dxa"/>
              <w:bottom w:w="40" w:type="dxa"/>
              <w:right w:w="20" w:type="dxa"/>
            </w:tcMar>
            <w:vAlign w:val="bottom"/>
          </w:tcPr>
          <w:p w14:paraId="64302E40" w14:textId="77777777" w:rsidR="009F6D8A" w:rsidRDefault="00C50974">
            <w:pPr>
              <w:textAlignment w:val="bottom"/>
            </w:pPr>
            <w:r>
              <w:rPr>
                <w:rFonts w:ascii="Arial" w:eastAsia="宋体" w:hAnsi="Arial" w:cs="Arial"/>
                <w:color w:val="000000"/>
                <w:sz w:val="18"/>
                <w:szCs w:val="18"/>
              </w:rPr>
              <w:t>Tax withholdings related to net share settlements of restricted stock units and awards</w:t>
            </w:r>
          </w:p>
        </w:tc>
        <w:tc>
          <w:tcPr>
            <w:tcW w:w="0" w:type="auto"/>
            <w:gridSpan w:val="2"/>
            <w:shd w:val="clear" w:color="auto" w:fill="E2E2E2"/>
            <w:tcMar>
              <w:top w:w="40" w:type="dxa"/>
              <w:left w:w="20" w:type="dxa"/>
              <w:bottom w:w="40" w:type="dxa"/>
              <w:right w:w="0" w:type="dxa"/>
            </w:tcMar>
            <w:vAlign w:val="bottom"/>
          </w:tcPr>
          <w:p w14:paraId="64302E41" w14:textId="77777777" w:rsidR="009F6D8A" w:rsidRDefault="00C50974">
            <w:pPr>
              <w:jc w:val="right"/>
              <w:textAlignment w:val="bottom"/>
            </w:pPr>
            <w:r>
              <w:rPr>
                <w:rFonts w:ascii="Arial" w:eastAsia="宋体" w:hAnsi="Arial" w:cs="Arial"/>
                <w:color w:val="000000"/>
                <w:sz w:val="18"/>
                <w:szCs w:val="18"/>
              </w:rPr>
              <w:t>(59)</w:t>
            </w:r>
          </w:p>
        </w:tc>
        <w:tc>
          <w:tcPr>
            <w:tcW w:w="0" w:type="auto"/>
            <w:shd w:val="clear" w:color="auto" w:fill="E2E2E2"/>
            <w:tcMar>
              <w:top w:w="40" w:type="dxa"/>
              <w:left w:w="0" w:type="dxa"/>
              <w:bottom w:w="40" w:type="dxa"/>
              <w:right w:w="20" w:type="dxa"/>
            </w:tcMar>
            <w:vAlign w:val="bottom"/>
          </w:tcPr>
          <w:p w14:paraId="64302E4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43"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E44" w14:textId="77777777" w:rsidR="009F6D8A" w:rsidRDefault="00C50974">
            <w:pPr>
              <w:jc w:val="right"/>
              <w:textAlignment w:val="bottom"/>
            </w:pPr>
            <w:r>
              <w:rPr>
                <w:rFonts w:ascii="Arial" w:eastAsia="宋体" w:hAnsi="Arial" w:cs="Arial"/>
                <w:color w:val="000000"/>
                <w:sz w:val="18"/>
                <w:szCs w:val="18"/>
              </w:rPr>
              <w:t>(43)</w:t>
            </w:r>
          </w:p>
        </w:tc>
        <w:tc>
          <w:tcPr>
            <w:tcW w:w="0" w:type="auto"/>
            <w:shd w:val="clear" w:color="auto" w:fill="E2E2E2"/>
            <w:tcMar>
              <w:top w:w="40" w:type="dxa"/>
              <w:left w:w="0" w:type="dxa"/>
              <w:bottom w:w="40" w:type="dxa"/>
              <w:right w:w="20" w:type="dxa"/>
            </w:tcMar>
            <w:vAlign w:val="bottom"/>
          </w:tcPr>
          <w:p w14:paraId="64302E4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46"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E47" w14:textId="77777777" w:rsidR="009F6D8A" w:rsidRDefault="00C50974">
            <w:pPr>
              <w:jc w:val="right"/>
              <w:textAlignment w:val="bottom"/>
            </w:pPr>
            <w:r>
              <w:rPr>
                <w:rFonts w:ascii="Arial" w:eastAsia="宋体" w:hAnsi="Arial" w:cs="Arial"/>
                <w:color w:val="000000"/>
                <w:sz w:val="18"/>
                <w:szCs w:val="18"/>
              </w:rPr>
              <w:t>(128)</w:t>
            </w:r>
          </w:p>
        </w:tc>
        <w:tc>
          <w:tcPr>
            <w:tcW w:w="0" w:type="auto"/>
            <w:shd w:val="clear" w:color="auto" w:fill="E2E2E2"/>
            <w:tcMar>
              <w:top w:w="40" w:type="dxa"/>
              <w:left w:w="0" w:type="dxa"/>
              <w:bottom w:w="40" w:type="dxa"/>
              <w:right w:w="20" w:type="dxa"/>
            </w:tcMar>
            <w:vAlign w:val="bottom"/>
          </w:tcPr>
          <w:p w14:paraId="64302E4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49"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E4A" w14:textId="77777777" w:rsidR="009F6D8A" w:rsidRDefault="00C50974">
            <w:pPr>
              <w:jc w:val="right"/>
              <w:textAlignment w:val="bottom"/>
            </w:pPr>
            <w:r>
              <w:rPr>
                <w:rFonts w:ascii="Arial" w:eastAsia="宋体" w:hAnsi="Arial" w:cs="Arial"/>
                <w:color w:val="000000"/>
                <w:sz w:val="18"/>
                <w:szCs w:val="18"/>
              </w:rPr>
              <w:t>(83)</w:t>
            </w:r>
          </w:p>
        </w:tc>
        <w:tc>
          <w:tcPr>
            <w:tcW w:w="0" w:type="auto"/>
            <w:shd w:val="clear" w:color="auto" w:fill="E2E2E2"/>
            <w:tcMar>
              <w:top w:w="40" w:type="dxa"/>
              <w:left w:w="0" w:type="dxa"/>
              <w:bottom w:w="40" w:type="dxa"/>
              <w:right w:w="20" w:type="dxa"/>
            </w:tcMar>
            <w:vAlign w:val="bottom"/>
          </w:tcPr>
          <w:p w14:paraId="64302E4B" w14:textId="77777777" w:rsidR="009F6D8A" w:rsidRDefault="009F6D8A">
            <w:pPr>
              <w:jc w:val="right"/>
              <w:rPr>
                <w:rFonts w:ascii="宋体"/>
              </w:rPr>
            </w:pPr>
          </w:p>
        </w:tc>
      </w:tr>
      <w:tr w:rsidR="009F6D8A" w14:paraId="64302E59" w14:textId="77777777">
        <w:tc>
          <w:tcPr>
            <w:tcW w:w="0" w:type="auto"/>
            <w:gridSpan w:val="3"/>
            <w:shd w:val="clear" w:color="auto" w:fill="FFFFFF"/>
            <w:tcMar>
              <w:top w:w="40" w:type="dxa"/>
              <w:left w:w="245" w:type="dxa"/>
              <w:bottom w:w="40" w:type="dxa"/>
              <w:right w:w="20" w:type="dxa"/>
            </w:tcMar>
            <w:vAlign w:val="bottom"/>
          </w:tcPr>
          <w:p w14:paraId="64302E4D" w14:textId="77777777" w:rsidR="009F6D8A" w:rsidRDefault="00C50974">
            <w:pPr>
              <w:textAlignment w:val="bottom"/>
            </w:pPr>
            <w:r>
              <w:rPr>
                <w:rFonts w:ascii="Arial" w:eastAsia="宋体" w:hAnsi="Arial" w:cs="Arial"/>
                <w:color w:val="000000"/>
                <w:sz w:val="18"/>
                <w:szCs w:val="18"/>
              </w:rPr>
              <w:t>Stock-based compensation</w:t>
            </w:r>
          </w:p>
        </w:tc>
        <w:tc>
          <w:tcPr>
            <w:tcW w:w="0" w:type="auto"/>
            <w:gridSpan w:val="2"/>
            <w:shd w:val="clear" w:color="auto" w:fill="FFFFFF"/>
            <w:tcMar>
              <w:top w:w="40" w:type="dxa"/>
              <w:left w:w="20" w:type="dxa"/>
              <w:bottom w:w="40" w:type="dxa"/>
              <w:right w:w="0" w:type="dxa"/>
            </w:tcMar>
            <w:vAlign w:val="bottom"/>
          </w:tcPr>
          <w:p w14:paraId="64302E4E" w14:textId="77777777" w:rsidR="009F6D8A" w:rsidRDefault="00C50974">
            <w:pPr>
              <w:jc w:val="right"/>
              <w:textAlignment w:val="bottom"/>
            </w:pPr>
            <w:r>
              <w:rPr>
                <w:rFonts w:ascii="Arial" w:eastAsia="宋体" w:hAnsi="Arial" w:cs="Arial"/>
                <w:color w:val="000000"/>
                <w:sz w:val="18"/>
                <w:szCs w:val="18"/>
              </w:rPr>
              <w:t>140 </w:t>
            </w:r>
          </w:p>
        </w:tc>
        <w:tc>
          <w:tcPr>
            <w:tcW w:w="0" w:type="auto"/>
            <w:shd w:val="clear" w:color="auto" w:fill="FFFFFF"/>
            <w:tcMar>
              <w:top w:w="40" w:type="dxa"/>
              <w:left w:w="0" w:type="dxa"/>
              <w:bottom w:w="40" w:type="dxa"/>
              <w:right w:w="20" w:type="dxa"/>
            </w:tcMar>
            <w:vAlign w:val="bottom"/>
          </w:tcPr>
          <w:p w14:paraId="64302E4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E50"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E51" w14:textId="77777777" w:rsidR="009F6D8A" w:rsidRDefault="00C50974">
            <w:pPr>
              <w:jc w:val="right"/>
              <w:textAlignment w:val="bottom"/>
            </w:pPr>
            <w:r>
              <w:rPr>
                <w:rFonts w:ascii="Arial" w:eastAsia="宋体" w:hAnsi="Arial" w:cs="Arial"/>
                <w:color w:val="000000"/>
                <w:sz w:val="18"/>
                <w:szCs w:val="18"/>
              </w:rPr>
              <w:t>116 </w:t>
            </w:r>
          </w:p>
        </w:tc>
        <w:tc>
          <w:tcPr>
            <w:tcW w:w="0" w:type="auto"/>
            <w:shd w:val="clear" w:color="auto" w:fill="FFFFFF"/>
            <w:tcMar>
              <w:top w:w="40" w:type="dxa"/>
              <w:left w:w="0" w:type="dxa"/>
              <w:bottom w:w="40" w:type="dxa"/>
              <w:right w:w="20" w:type="dxa"/>
            </w:tcMar>
            <w:vAlign w:val="bottom"/>
          </w:tcPr>
          <w:p w14:paraId="64302E5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E53"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E54" w14:textId="77777777" w:rsidR="009F6D8A" w:rsidRDefault="00C50974">
            <w:pPr>
              <w:jc w:val="right"/>
              <w:textAlignment w:val="bottom"/>
            </w:pPr>
            <w:r>
              <w:rPr>
                <w:rFonts w:ascii="Arial" w:eastAsia="宋体" w:hAnsi="Arial" w:cs="Arial"/>
                <w:color w:val="000000"/>
                <w:sz w:val="18"/>
                <w:szCs w:val="18"/>
              </w:rPr>
              <w:t>256 </w:t>
            </w:r>
          </w:p>
        </w:tc>
        <w:tc>
          <w:tcPr>
            <w:tcW w:w="0" w:type="auto"/>
            <w:shd w:val="clear" w:color="auto" w:fill="FFFFFF"/>
            <w:tcMar>
              <w:top w:w="40" w:type="dxa"/>
              <w:left w:w="0" w:type="dxa"/>
              <w:bottom w:w="40" w:type="dxa"/>
              <w:right w:w="20" w:type="dxa"/>
            </w:tcMar>
            <w:vAlign w:val="bottom"/>
          </w:tcPr>
          <w:p w14:paraId="64302E5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E5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E57" w14:textId="77777777" w:rsidR="009F6D8A" w:rsidRDefault="00C50974">
            <w:pPr>
              <w:jc w:val="right"/>
              <w:textAlignment w:val="bottom"/>
            </w:pPr>
            <w:r>
              <w:rPr>
                <w:rFonts w:ascii="Arial" w:eastAsia="宋体" w:hAnsi="Arial" w:cs="Arial"/>
                <w:color w:val="000000"/>
                <w:sz w:val="18"/>
                <w:szCs w:val="18"/>
              </w:rPr>
              <w:t>210 </w:t>
            </w:r>
          </w:p>
        </w:tc>
        <w:tc>
          <w:tcPr>
            <w:tcW w:w="0" w:type="auto"/>
            <w:shd w:val="clear" w:color="auto" w:fill="FFFFFF"/>
            <w:tcMar>
              <w:top w:w="40" w:type="dxa"/>
              <w:left w:w="0" w:type="dxa"/>
              <w:bottom w:w="40" w:type="dxa"/>
              <w:right w:w="20" w:type="dxa"/>
            </w:tcMar>
            <w:vAlign w:val="bottom"/>
          </w:tcPr>
          <w:p w14:paraId="64302E58" w14:textId="77777777" w:rsidR="009F6D8A" w:rsidRDefault="009F6D8A">
            <w:pPr>
              <w:jc w:val="right"/>
              <w:rPr>
                <w:rFonts w:ascii="宋体"/>
              </w:rPr>
            </w:pPr>
          </w:p>
        </w:tc>
      </w:tr>
      <w:tr w:rsidR="009F6D8A" w14:paraId="64302E62" w14:textId="77777777">
        <w:trPr>
          <w:hidden/>
        </w:trPr>
        <w:tc>
          <w:tcPr>
            <w:tcW w:w="0" w:type="auto"/>
            <w:gridSpan w:val="3"/>
            <w:shd w:val="clear" w:color="auto" w:fill="auto"/>
            <w:vAlign w:val="bottom"/>
          </w:tcPr>
          <w:p w14:paraId="64302E5A" w14:textId="77777777" w:rsidR="009F6D8A" w:rsidRDefault="009F6D8A">
            <w:pPr>
              <w:rPr>
                <w:rFonts w:ascii="宋体"/>
                <w:vanish/>
              </w:rPr>
            </w:pPr>
          </w:p>
        </w:tc>
        <w:tc>
          <w:tcPr>
            <w:tcW w:w="0" w:type="auto"/>
            <w:gridSpan w:val="3"/>
            <w:shd w:val="clear" w:color="auto" w:fill="auto"/>
            <w:vAlign w:val="bottom"/>
          </w:tcPr>
          <w:p w14:paraId="64302E5B" w14:textId="77777777" w:rsidR="009F6D8A" w:rsidRDefault="009F6D8A">
            <w:pPr>
              <w:rPr>
                <w:rFonts w:ascii="宋体"/>
                <w:vanish/>
              </w:rPr>
            </w:pPr>
          </w:p>
        </w:tc>
        <w:tc>
          <w:tcPr>
            <w:tcW w:w="0" w:type="auto"/>
            <w:gridSpan w:val="3"/>
            <w:shd w:val="clear" w:color="auto" w:fill="auto"/>
            <w:vAlign w:val="bottom"/>
          </w:tcPr>
          <w:p w14:paraId="64302E5C" w14:textId="77777777" w:rsidR="009F6D8A" w:rsidRDefault="009F6D8A">
            <w:pPr>
              <w:rPr>
                <w:rFonts w:ascii="宋体"/>
                <w:vanish/>
              </w:rPr>
            </w:pPr>
          </w:p>
        </w:tc>
        <w:tc>
          <w:tcPr>
            <w:tcW w:w="0" w:type="auto"/>
            <w:gridSpan w:val="3"/>
            <w:shd w:val="clear" w:color="auto" w:fill="auto"/>
            <w:vAlign w:val="bottom"/>
          </w:tcPr>
          <w:p w14:paraId="64302E5D" w14:textId="77777777" w:rsidR="009F6D8A" w:rsidRDefault="009F6D8A">
            <w:pPr>
              <w:rPr>
                <w:rFonts w:ascii="宋体"/>
                <w:vanish/>
              </w:rPr>
            </w:pPr>
          </w:p>
        </w:tc>
        <w:tc>
          <w:tcPr>
            <w:tcW w:w="0" w:type="auto"/>
            <w:gridSpan w:val="3"/>
            <w:shd w:val="clear" w:color="auto" w:fill="auto"/>
            <w:vAlign w:val="bottom"/>
          </w:tcPr>
          <w:p w14:paraId="64302E5E" w14:textId="77777777" w:rsidR="009F6D8A" w:rsidRDefault="009F6D8A">
            <w:pPr>
              <w:rPr>
                <w:rFonts w:ascii="宋体"/>
                <w:vanish/>
              </w:rPr>
            </w:pPr>
          </w:p>
        </w:tc>
        <w:tc>
          <w:tcPr>
            <w:tcW w:w="0" w:type="auto"/>
            <w:gridSpan w:val="3"/>
            <w:shd w:val="clear" w:color="auto" w:fill="auto"/>
            <w:vAlign w:val="bottom"/>
          </w:tcPr>
          <w:p w14:paraId="64302E5F" w14:textId="77777777" w:rsidR="009F6D8A" w:rsidRDefault="009F6D8A">
            <w:pPr>
              <w:rPr>
                <w:rFonts w:ascii="宋体"/>
                <w:vanish/>
              </w:rPr>
            </w:pPr>
          </w:p>
        </w:tc>
        <w:tc>
          <w:tcPr>
            <w:tcW w:w="0" w:type="auto"/>
            <w:gridSpan w:val="3"/>
            <w:shd w:val="clear" w:color="auto" w:fill="auto"/>
            <w:vAlign w:val="bottom"/>
          </w:tcPr>
          <w:p w14:paraId="64302E60" w14:textId="77777777" w:rsidR="009F6D8A" w:rsidRDefault="009F6D8A">
            <w:pPr>
              <w:rPr>
                <w:rFonts w:ascii="宋体"/>
                <w:vanish/>
              </w:rPr>
            </w:pPr>
          </w:p>
        </w:tc>
        <w:tc>
          <w:tcPr>
            <w:tcW w:w="0" w:type="auto"/>
            <w:gridSpan w:val="3"/>
            <w:shd w:val="clear" w:color="auto" w:fill="auto"/>
            <w:vAlign w:val="bottom"/>
          </w:tcPr>
          <w:p w14:paraId="64302E61" w14:textId="77777777" w:rsidR="009F6D8A" w:rsidRDefault="009F6D8A">
            <w:pPr>
              <w:rPr>
                <w:rFonts w:ascii="宋体"/>
                <w:vanish/>
              </w:rPr>
            </w:pPr>
          </w:p>
        </w:tc>
      </w:tr>
      <w:tr w:rsidR="009F6D8A" w14:paraId="64302E6F" w14:textId="77777777">
        <w:tc>
          <w:tcPr>
            <w:tcW w:w="0" w:type="auto"/>
            <w:gridSpan w:val="3"/>
            <w:shd w:val="clear" w:color="auto" w:fill="E2E2E2"/>
            <w:tcMar>
              <w:top w:w="40" w:type="dxa"/>
              <w:left w:w="245" w:type="dxa"/>
              <w:bottom w:w="40" w:type="dxa"/>
              <w:right w:w="20" w:type="dxa"/>
            </w:tcMar>
            <w:vAlign w:val="bottom"/>
          </w:tcPr>
          <w:p w14:paraId="64302E63" w14:textId="77777777" w:rsidR="009F6D8A" w:rsidRDefault="00C50974">
            <w:pPr>
              <w:textAlignment w:val="bottom"/>
            </w:pPr>
            <w:r>
              <w:rPr>
                <w:rFonts w:ascii="Arial" w:eastAsia="宋体" w:hAnsi="Arial" w:cs="Arial"/>
                <w:color w:val="000000"/>
                <w:sz w:val="18"/>
                <w:szCs w:val="18"/>
              </w:rPr>
              <w:t>Forward contract for share repurchase</w:t>
            </w:r>
          </w:p>
        </w:tc>
        <w:tc>
          <w:tcPr>
            <w:tcW w:w="0" w:type="auto"/>
            <w:gridSpan w:val="2"/>
            <w:shd w:val="clear" w:color="auto" w:fill="E2E2E2"/>
            <w:tcMar>
              <w:top w:w="40" w:type="dxa"/>
              <w:left w:w="20" w:type="dxa"/>
              <w:bottom w:w="40" w:type="dxa"/>
              <w:right w:w="0" w:type="dxa"/>
            </w:tcMar>
            <w:vAlign w:val="bottom"/>
          </w:tcPr>
          <w:p w14:paraId="64302E64"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2E6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66"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E67"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2E6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69"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E6A"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2E6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6C"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E6D" w14:textId="77777777" w:rsidR="009F6D8A" w:rsidRDefault="00C50974">
            <w:pPr>
              <w:jc w:val="right"/>
              <w:textAlignment w:val="bottom"/>
            </w:pPr>
            <w:r>
              <w:rPr>
                <w:rFonts w:ascii="Arial" w:eastAsia="宋体" w:hAnsi="Arial" w:cs="Arial"/>
                <w:color w:val="000000"/>
                <w:sz w:val="18"/>
                <w:szCs w:val="18"/>
              </w:rPr>
              <w:t>(450)</w:t>
            </w:r>
          </w:p>
        </w:tc>
        <w:tc>
          <w:tcPr>
            <w:tcW w:w="0" w:type="auto"/>
            <w:shd w:val="clear" w:color="auto" w:fill="E2E2E2"/>
            <w:tcMar>
              <w:top w:w="40" w:type="dxa"/>
              <w:left w:w="0" w:type="dxa"/>
              <w:bottom w:w="40" w:type="dxa"/>
              <w:right w:w="20" w:type="dxa"/>
            </w:tcMar>
            <w:vAlign w:val="bottom"/>
          </w:tcPr>
          <w:p w14:paraId="64302E6E" w14:textId="77777777" w:rsidR="009F6D8A" w:rsidRDefault="009F6D8A">
            <w:pPr>
              <w:jc w:val="right"/>
              <w:rPr>
                <w:rFonts w:ascii="宋体"/>
              </w:rPr>
            </w:pPr>
          </w:p>
        </w:tc>
      </w:tr>
      <w:tr w:rsidR="009F6D8A" w14:paraId="64302E7C" w14:textId="77777777">
        <w:tc>
          <w:tcPr>
            <w:tcW w:w="0" w:type="auto"/>
            <w:gridSpan w:val="3"/>
            <w:shd w:val="clear" w:color="auto" w:fill="FFFFFF"/>
            <w:tcMar>
              <w:top w:w="40" w:type="dxa"/>
              <w:left w:w="245" w:type="dxa"/>
              <w:bottom w:w="40" w:type="dxa"/>
              <w:right w:w="20" w:type="dxa"/>
            </w:tcMar>
            <w:vAlign w:val="bottom"/>
          </w:tcPr>
          <w:p w14:paraId="64302E70" w14:textId="77777777" w:rsidR="009F6D8A" w:rsidRDefault="00C50974">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64302E71" w14:textId="77777777" w:rsidR="009F6D8A" w:rsidRDefault="00C50974">
            <w:pPr>
              <w:jc w:val="right"/>
              <w:textAlignment w:val="bottom"/>
            </w:pPr>
            <w:r>
              <w:rPr>
                <w:rFonts w:ascii="Arial" w:eastAsia="宋体" w:hAnsi="Arial" w:cs="Arial"/>
                <w:color w:val="000000"/>
                <w:sz w:val="18"/>
                <w:szCs w:val="18"/>
              </w:rPr>
              <w:t>(8)</w:t>
            </w:r>
          </w:p>
        </w:tc>
        <w:tc>
          <w:tcPr>
            <w:tcW w:w="0" w:type="auto"/>
            <w:shd w:val="clear" w:color="auto" w:fill="FFFFFF"/>
            <w:tcMar>
              <w:top w:w="40" w:type="dxa"/>
              <w:left w:w="0" w:type="dxa"/>
              <w:bottom w:w="40" w:type="dxa"/>
              <w:right w:w="20" w:type="dxa"/>
            </w:tcMar>
            <w:vAlign w:val="bottom"/>
          </w:tcPr>
          <w:p w14:paraId="64302E7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E73"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E74" w14:textId="77777777" w:rsidR="009F6D8A" w:rsidRDefault="00C50974">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64302E7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E7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E77" w14:textId="77777777" w:rsidR="009F6D8A" w:rsidRDefault="00C50974">
            <w:pPr>
              <w:jc w:val="right"/>
              <w:textAlignment w:val="bottom"/>
            </w:pPr>
            <w:r>
              <w:rPr>
                <w:rFonts w:ascii="Arial" w:eastAsia="宋体" w:hAnsi="Arial" w:cs="Arial"/>
                <w:color w:val="000000"/>
                <w:sz w:val="18"/>
                <w:szCs w:val="18"/>
              </w:rPr>
              <w:t>(7)</w:t>
            </w:r>
          </w:p>
        </w:tc>
        <w:tc>
          <w:tcPr>
            <w:tcW w:w="0" w:type="auto"/>
            <w:shd w:val="clear" w:color="auto" w:fill="FFFFFF"/>
            <w:tcMar>
              <w:top w:w="40" w:type="dxa"/>
              <w:left w:w="0" w:type="dxa"/>
              <w:bottom w:w="40" w:type="dxa"/>
              <w:right w:w="20" w:type="dxa"/>
            </w:tcMar>
            <w:vAlign w:val="bottom"/>
          </w:tcPr>
          <w:p w14:paraId="64302E7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E7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E7A" w14:textId="77777777" w:rsidR="009F6D8A" w:rsidRDefault="00C50974">
            <w:pPr>
              <w:jc w:val="right"/>
              <w:textAlignment w:val="bottom"/>
            </w:pPr>
            <w:r>
              <w:rPr>
                <w:rFonts w:ascii="Arial" w:eastAsia="宋体" w:hAnsi="Arial" w:cs="Arial"/>
                <w:color w:val="000000"/>
                <w:sz w:val="18"/>
                <w:szCs w:val="18"/>
              </w:rPr>
              <w:t>(8)</w:t>
            </w:r>
          </w:p>
        </w:tc>
        <w:tc>
          <w:tcPr>
            <w:tcW w:w="0" w:type="auto"/>
            <w:shd w:val="clear" w:color="auto" w:fill="FFFFFF"/>
            <w:tcMar>
              <w:top w:w="40" w:type="dxa"/>
              <w:left w:w="0" w:type="dxa"/>
              <w:bottom w:w="40" w:type="dxa"/>
              <w:right w:w="20" w:type="dxa"/>
            </w:tcMar>
            <w:vAlign w:val="bottom"/>
          </w:tcPr>
          <w:p w14:paraId="64302E7B" w14:textId="77777777" w:rsidR="009F6D8A" w:rsidRDefault="009F6D8A">
            <w:pPr>
              <w:jc w:val="right"/>
              <w:rPr>
                <w:rFonts w:ascii="宋体"/>
              </w:rPr>
            </w:pPr>
          </w:p>
        </w:tc>
      </w:tr>
      <w:tr w:rsidR="009F6D8A" w14:paraId="64302E89" w14:textId="77777777">
        <w:tc>
          <w:tcPr>
            <w:tcW w:w="0" w:type="auto"/>
            <w:gridSpan w:val="3"/>
            <w:shd w:val="clear" w:color="auto" w:fill="E2E2E2"/>
            <w:tcMar>
              <w:top w:w="40" w:type="dxa"/>
              <w:left w:w="740" w:type="dxa"/>
              <w:bottom w:w="40" w:type="dxa"/>
              <w:right w:w="20" w:type="dxa"/>
            </w:tcMar>
            <w:vAlign w:val="bottom"/>
          </w:tcPr>
          <w:p w14:paraId="64302E7D" w14:textId="77777777" w:rsidR="009F6D8A" w:rsidRDefault="00C50974">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E7E" w14:textId="77777777" w:rsidR="009F6D8A" w:rsidRDefault="00C50974">
            <w:pPr>
              <w:jc w:val="right"/>
              <w:textAlignment w:val="bottom"/>
            </w:pPr>
            <w:r>
              <w:rPr>
                <w:rFonts w:ascii="Arial" w:eastAsia="宋体" w:hAnsi="Arial" w:cs="Arial"/>
                <w:color w:val="000000"/>
                <w:sz w:val="18"/>
                <w:szCs w:val="18"/>
              </w:rPr>
              <w:t>16,676 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E7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80"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E81" w14:textId="77777777" w:rsidR="009F6D8A" w:rsidRDefault="00C50974">
            <w:pPr>
              <w:jc w:val="right"/>
              <w:textAlignment w:val="bottom"/>
            </w:pPr>
            <w:r>
              <w:rPr>
                <w:rFonts w:ascii="Arial" w:eastAsia="宋体" w:hAnsi="Arial" w:cs="Arial"/>
                <w:color w:val="000000"/>
                <w:sz w:val="18"/>
                <w:szCs w:val="18"/>
              </w:rPr>
              <w:t>15,844 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E8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83"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E84" w14:textId="77777777" w:rsidR="009F6D8A" w:rsidRDefault="00C50974">
            <w:pPr>
              <w:jc w:val="right"/>
              <w:textAlignment w:val="bottom"/>
            </w:pPr>
            <w:r>
              <w:rPr>
                <w:rFonts w:ascii="Arial" w:eastAsia="宋体" w:hAnsi="Arial" w:cs="Arial"/>
                <w:color w:val="000000"/>
                <w:sz w:val="18"/>
                <w:szCs w:val="18"/>
              </w:rPr>
              <w:t>16,676 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E8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86"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E87" w14:textId="77777777" w:rsidR="009F6D8A" w:rsidRDefault="00C50974">
            <w:pPr>
              <w:jc w:val="right"/>
              <w:textAlignment w:val="bottom"/>
            </w:pPr>
            <w:r>
              <w:rPr>
                <w:rFonts w:ascii="Arial" w:eastAsia="宋体" w:hAnsi="Arial" w:cs="Arial"/>
                <w:color w:val="000000"/>
                <w:sz w:val="18"/>
                <w:szCs w:val="18"/>
              </w:rPr>
              <w:t>15,844 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E88" w14:textId="77777777" w:rsidR="009F6D8A" w:rsidRDefault="009F6D8A">
            <w:pPr>
              <w:jc w:val="right"/>
              <w:rPr>
                <w:rFonts w:ascii="宋体"/>
              </w:rPr>
            </w:pPr>
          </w:p>
        </w:tc>
      </w:tr>
      <w:tr w:rsidR="009F6D8A" w14:paraId="64302E92" w14:textId="77777777">
        <w:tc>
          <w:tcPr>
            <w:tcW w:w="0" w:type="auto"/>
            <w:gridSpan w:val="3"/>
            <w:shd w:val="clear" w:color="auto" w:fill="FFFFFF"/>
            <w:tcMar>
              <w:top w:w="40" w:type="dxa"/>
              <w:left w:w="20" w:type="dxa"/>
              <w:bottom w:w="40" w:type="dxa"/>
              <w:right w:w="20" w:type="dxa"/>
            </w:tcMar>
            <w:vAlign w:val="bottom"/>
          </w:tcPr>
          <w:p w14:paraId="64302E8A" w14:textId="77777777" w:rsidR="009F6D8A" w:rsidRDefault="00C50974">
            <w:pPr>
              <w:textAlignment w:val="bottom"/>
            </w:pPr>
            <w:r>
              <w:rPr>
                <w:rFonts w:ascii="Arial" w:eastAsia="宋体" w:hAnsi="Arial" w:cs="Arial"/>
                <w:color w:val="000000"/>
                <w:sz w:val="18"/>
                <w:szCs w:val="18"/>
              </w:rPr>
              <w:t>Treasury stock at cost:</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E8B"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E8C"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E8D"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E8E"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E8F"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E90"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E91" w14:textId="77777777" w:rsidR="009F6D8A" w:rsidRDefault="009F6D8A">
            <w:pPr>
              <w:rPr>
                <w:rFonts w:ascii="宋体"/>
              </w:rPr>
            </w:pPr>
          </w:p>
        </w:tc>
      </w:tr>
      <w:tr w:rsidR="009F6D8A" w14:paraId="64302E9F" w14:textId="77777777">
        <w:tc>
          <w:tcPr>
            <w:tcW w:w="0" w:type="auto"/>
            <w:gridSpan w:val="3"/>
            <w:shd w:val="clear" w:color="auto" w:fill="E2E2E2"/>
            <w:tcMar>
              <w:top w:w="40" w:type="dxa"/>
              <w:left w:w="245" w:type="dxa"/>
              <w:bottom w:w="40" w:type="dxa"/>
              <w:right w:w="20" w:type="dxa"/>
            </w:tcMar>
            <w:vAlign w:val="bottom"/>
          </w:tcPr>
          <w:p w14:paraId="64302E93" w14:textId="77777777" w:rsidR="009F6D8A" w:rsidRDefault="00C50974">
            <w:pPr>
              <w:textAlignment w:val="bottom"/>
            </w:pPr>
            <w:r>
              <w:rPr>
                <w:rFonts w:ascii="Arial" w:eastAsia="宋体" w:hAnsi="Arial" w:cs="Arial"/>
                <w:color w:val="000000"/>
                <w:sz w:val="18"/>
                <w:szCs w:val="18"/>
              </w:rPr>
              <w:t>Balance, beginning of period</w:t>
            </w:r>
          </w:p>
        </w:tc>
        <w:tc>
          <w:tcPr>
            <w:tcW w:w="0" w:type="auto"/>
            <w:gridSpan w:val="2"/>
            <w:shd w:val="clear" w:color="auto" w:fill="E2E2E2"/>
            <w:tcMar>
              <w:top w:w="40" w:type="dxa"/>
              <w:left w:w="20" w:type="dxa"/>
              <w:bottom w:w="40" w:type="dxa"/>
              <w:right w:w="0" w:type="dxa"/>
            </w:tcMar>
            <w:vAlign w:val="bottom"/>
          </w:tcPr>
          <w:p w14:paraId="64302E94" w14:textId="77777777" w:rsidR="009F6D8A" w:rsidRDefault="00C50974">
            <w:pPr>
              <w:jc w:val="right"/>
              <w:textAlignment w:val="bottom"/>
            </w:pPr>
            <w:r>
              <w:rPr>
                <w:rFonts w:ascii="Arial" w:eastAsia="宋体" w:hAnsi="Arial" w:cs="Arial"/>
                <w:color w:val="000000"/>
                <w:sz w:val="18"/>
                <w:szCs w:val="18"/>
              </w:rPr>
              <w:t>(36,807)</w:t>
            </w:r>
          </w:p>
        </w:tc>
        <w:tc>
          <w:tcPr>
            <w:tcW w:w="0" w:type="auto"/>
            <w:shd w:val="clear" w:color="auto" w:fill="E2E2E2"/>
            <w:tcMar>
              <w:top w:w="40" w:type="dxa"/>
              <w:left w:w="0" w:type="dxa"/>
              <w:bottom w:w="40" w:type="dxa"/>
              <w:right w:w="20" w:type="dxa"/>
            </w:tcMar>
            <w:vAlign w:val="bottom"/>
          </w:tcPr>
          <w:p w14:paraId="64302E9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96"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E97" w14:textId="77777777" w:rsidR="009F6D8A" w:rsidRDefault="00C50974">
            <w:pPr>
              <w:jc w:val="right"/>
              <w:textAlignment w:val="bottom"/>
            </w:pPr>
            <w:r>
              <w:rPr>
                <w:rFonts w:ascii="Arial" w:eastAsia="宋体" w:hAnsi="Arial" w:cs="Arial"/>
                <w:color w:val="000000"/>
                <w:sz w:val="18"/>
                <w:szCs w:val="18"/>
              </w:rPr>
              <w:t>(34,946)</w:t>
            </w:r>
          </w:p>
        </w:tc>
        <w:tc>
          <w:tcPr>
            <w:tcW w:w="0" w:type="auto"/>
            <w:shd w:val="clear" w:color="auto" w:fill="E2E2E2"/>
            <w:tcMar>
              <w:top w:w="40" w:type="dxa"/>
              <w:left w:w="0" w:type="dxa"/>
              <w:bottom w:w="40" w:type="dxa"/>
              <w:right w:w="20" w:type="dxa"/>
            </w:tcMar>
            <w:vAlign w:val="bottom"/>
          </w:tcPr>
          <w:p w14:paraId="64302E9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99"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E9A" w14:textId="77777777" w:rsidR="009F6D8A" w:rsidRDefault="00C50974">
            <w:pPr>
              <w:jc w:val="right"/>
              <w:textAlignment w:val="bottom"/>
            </w:pPr>
            <w:r>
              <w:rPr>
                <w:rFonts w:ascii="Arial" w:eastAsia="宋体" w:hAnsi="Arial" w:cs="Arial"/>
                <w:color w:val="000000"/>
                <w:sz w:val="18"/>
                <w:szCs w:val="18"/>
              </w:rPr>
              <w:t>(36,515)</w:t>
            </w:r>
          </w:p>
        </w:tc>
        <w:tc>
          <w:tcPr>
            <w:tcW w:w="0" w:type="auto"/>
            <w:shd w:val="clear" w:color="auto" w:fill="E2E2E2"/>
            <w:tcMar>
              <w:top w:w="40" w:type="dxa"/>
              <w:left w:w="0" w:type="dxa"/>
              <w:bottom w:w="40" w:type="dxa"/>
              <w:right w:w="20" w:type="dxa"/>
            </w:tcMar>
            <w:vAlign w:val="bottom"/>
          </w:tcPr>
          <w:p w14:paraId="64302E9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9C"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E9D" w14:textId="77777777" w:rsidR="009F6D8A" w:rsidRDefault="00C50974">
            <w:pPr>
              <w:jc w:val="right"/>
              <w:textAlignment w:val="bottom"/>
            </w:pPr>
            <w:r>
              <w:rPr>
                <w:rFonts w:ascii="Arial" w:eastAsia="宋体" w:hAnsi="Arial" w:cs="Arial"/>
                <w:color w:val="000000"/>
                <w:sz w:val="18"/>
                <w:szCs w:val="18"/>
              </w:rPr>
              <w:t>(31,396)</w:t>
            </w:r>
          </w:p>
        </w:tc>
        <w:tc>
          <w:tcPr>
            <w:tcW w:w="0" w:type="auto"/>
            <w:shd w:val="clear" w:color="auto" w:fill="E2E2E2"/>
            <w:tcMar>
              <w:top w:w="40" w:type="dxa"/>
              <w:left w:w="0" w:type="dxa"/>
              <w:bottom w:w="40" w:type="dxa"/>
              <w:right w:w="20" w:type="dxa"/>
            </w:tcMar>
            <w:vAlign w:val="bottom"/>
          </w:tcPr>
          <w:p w14:paraId="64302E9E" w14:textId="77777777" w:rsidR="009F6D8A" w:rsidRDefault="009F6D8A">
            <w:pPr>
              <w:jc w:val="right"/>
              <w:rPr>
                <w:rFonts w:ascii="宋体"/>
              </w:rPr>
            </w:pPr>
          </w:p>
        </w:tc>
      </w:tr>
      <w:tr w:rsidR="009F6D8A" w14:paraId="64302EAC" w14:textId="77777777">
        <w:tc>
          <w:tcPr>
            <w:tcW w:w="0" w:type="auto"/>
            <w:gridSpan w:val="3"/>
            <w:shd w:val="clear" w:color="auto" w:fill="FFFFFF"/>
            <w:tcMar>
              <w:top w:w="40" w:type="dxa"/>
              <w:left w:w="245" w:type="dxa"/>
              <w:bottom w:w="40" w:type="dxa"/>
              <w:right w:w="20" w:type="dxa"/>
            </w:tcMar>
            <w:vAlign w:val="bottom"/>
          </w:tcPr>
          <w:p w14:paraId="64302EA0" w14:textId="77777777" w:rsidR="009F6D8A" w:rsidRDefault="00C50974">
            <w:pPr>
              <w:textAlignment w:val="bottom"/>
            </w:pPr>
            <w:r>
              <w:rPr>
                <w:rFonts w:ascii="Arial" w:eastAsia="宋体" w:hAnsi="Arial" w:cs="Arial"/>
                <w:color w:val="000000"/>
                <w:sz w:val="18"/>
                <w:szCs w:val="18"/>
              </w:rPr>
              <w:t>Common stock repurchased</w:t>
            </w:r>
          </w:p>
        </w:tc>
        <w:tc>
          <w:tcPr>
            <w:tcW w:w="0" w:type="auto"/>
            <w:gridSpan w:val="2"/>
            <w:shd w:val="clear" w:color="auto" w:fill="FFFFFF"/>
            <w:tcMar>
              <w:top w:w="40" w:type="dxa"/>
              <w:left w:w="20" w:type="dxa"/>
              <w:bottom w:w="40" w:type="dxa"/>
              <w:right w:w="0" w:type="dxa"/>
            </w:tcMar>
            <w:vAlign w:val="bottom"/>
          </w:tcPr>
          <w:p w14:paraId="64302EA1" w14:textId="77777777" w:rsidR="009F6D8A" w:rsidRDefault="00C50974">
            <w:pPr>
              <w:jc w:val="right"/>
              <w:textAlignment w:val="bottom"/>
            </w:pPr>
            <w:r>
              <w:rPr>
                <w:rFonts w:ascii="Arial" w:eastAsia="宋体" w:hAnsi="Arial" w:cs="Arial"/>
                <w:color w:val="000000"/>
                <w:sz w:val="18"/>
                <w:szCs w:val="18"/>
              </w:rPr>
              <w:t>(1,501)</w:t>
            </w:r>
          </w:p>
        </w:tc>
        <w:tc>
          <w:tcPr>
            <w:tcW w:w="0" w:type="auto"/>
            <w:shd w:val="clear" w:color="auto" w:fill="FFFFFF"/>
            <w:tcMar>
              <w:top w:w="40" w:type="dxa"/>
              <w:left w:w="0" w:type="dxa"/>
              <w:bottom w:w="40" w:type="dxa"/>
              <w:right w:w="20" w:type="dxa"/>
            </w:tcMar>
            <w:vAlign w:val="bottom"/>
          </w:tcPr>
          <w:p w14:paraId="64302EA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EA3"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EA4"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2EA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EA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EA7" w14:textId="77777777" w:rsidR="009F6D8A" w:rsidRDefault="00C50974">
            <w:pPr>
              <w:jc w:val="right"/>
              <w:textAlignment w:val="bottom"/>
            </w:pPr>
            <w:r>
              <w:rPr>
                <w:rFonts w:ascii="Arial" w:eastAsia="宋体" w:hAnsi="Arial" w:cs="Arial"/>
                <w:color w:val="000000"/>
                <w:sz w:val="18"/>
                <w:szCs w:val="18"/>
              </w:rPr>
              <w:t>(1,793)</w:t>
            </w:r>
          </w:p>
        </w:tc>
        <w:tc>
          <w:tcPr>
            <w:tcW w:w="0" w:type="auto"/>
            <w:shd w:val="clear" w:color="auto" w:fill="FFFFFF"/>
            <w:tcMar>
              <w:top w:w="40" w:type="dxa"/>
              <w:left w:w="0" w:type="dxa"/>
              <w:bottom w:w="40" w:type="dxa"/>
              <w:right w:w="20" w:type="dxa"/>
            </w:tcMar>
            <w:vAlign w:val="bottom"/>
          </w:tcPr>
          <w:p w14:paraId="64302EA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EA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EAA" w14:textId="77777777" w:rsidR="009F6D8A" w:rsidRDefault="00C50974">
            <w:pPr>
              <w:jc w:val="right"/>
              <w:textAlignment w:val="bottom"/>
            </w:pPr>
            <w:r>
              <w:rPr>
                <w:rFonts w:ascii="Arial" w:eastAsia="宋体" w:hAnsi="Arial" w:cs="Arial"/>
                <w:color w:val="000000"/>
                <w:sz w:val="18"/>
                <w:szCs w:val="18"/>
              </w:rPr>
              <w:t>(3,550)</w:t>
            </w:r>
          </w:p>
        </w:tc>
        <w:tc>
          <w:tcPr>
            <w:tcW w:w="0" w:type="auto"/>
            <w:shd w:val="clear" w:color="auto" w:fill="FFFFFF"/>
            <w:tcMar>
              <w:top w:w="40" w:type="dxa"/>
              <w:left w:w="0" w:type="dxa"/>
              <w:bottom w:w="40" w:type="dxa"/>
              <w:right w:w="20" w:type="dxa"/>
            </w:tcMar>
            <w:vAlign w:val="bottom"/>
          </w:tcPr>
          <w:p w14:paraId="64302EAB" w14:textId="77777777" w:rsidR="009F6D8A" w:rsidRDefault="009F6D8A">
            <w:pPr>
              <w:jc w:val="right"/>
              <w:rPr>
                <w:rFonts w:ascii="宋体"/>
              </w:rPr>
            </w:pPr>
          </w:p>
        </w:tc>
      </w:tr>
      <w:tr w:rsidR="009F6D8A" w14:paraId="64302EB9" w14:textId="77777777">
        <w:tc>
          <w:tcPr>
            <w:tcW w:w="0" w:type="auto"/>
            <w:gridSpan w:val="3"/>
            <w:shd w:val="clear" w:color="auto" w:fill="E2E2E2"/>
            <w:tcMar>
              <w:top w:w="40" w:type="dxa"/>
              <w:left w:w="740" w:type="dxa"/>
              <w:bottom w:w="40" w:type="dxa"/>
              <w:right w:w="20" w:type="dxa"/>
            </w:tcMar>
            <w:vAlign w:val="bottom"/>
          </w:tcPr>
          <w:p w14:paraId="64302EAD" w14:textId="77777777" w:rsidR="009F6D8A" w:rsidRDefault="00C50974">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EAE" w14:textId="77777777" w:rsidR="009F6D8A" w:rsidRDefault="00C50974">
            <w:pPr>
              <w:jc w:val="right"/>
              <w:textAlignment w:val="bottom"/>
            </w:pPr>
            <w:r>
              <w:rPr>
                <w:rFonts w:ascii="Arial" w:eastAsia="宋体" w:hAnsi="Arial" w:cs="Arial"/>
                <w:color w:val="000000"/>
                <w:sz w:val="18"/>
                <w:szCs w:val="18"/>
              </w:rPr>
              <w:t>(38,308)</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EA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B0"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EB1" w14:textId="77777777" w:rsidR="009F6D8A" w:rsidRDefault="00C50974">
            <w:pPr>
              <w:jc w:val="right"/>
              <w:textAlignment w:val="bottom"/>
            </w:pPr>
            <w:r>
              <w:rPr>
                <w:rFonts w:ascii="Arial" w:eastAsia="宋体" w:hAnsi="Arial" w:cs="Arial"/>
                <w:color w:val="000000"/>
                <w:sz w:val="18"/>
                <w:szCs w:val="18"/>
              </w:rPr>
              <w:t>(34,946)</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EB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B3"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EB4" w14:textId="77777777" w:rsidR="009F6D8A" w:rsidRDefault="00C50974">
            <w:pPr>
              <w:jc w:val="right"/>
              <w:textAlignment w:val="bottom"/>
            </w:pPr>
            <w:r>
              <w:rPr>
                <w:rFonts w:ascii="Arial" w:eastAsia="宋体" w:hAnsi="Arial" w:cs="Arial"/>
                <w:color w:val="000000"/>
                <w:sz w:val="18"/>
                <w:szCs w:val="18"/>
              </w:rPr>
              <w:t>(38,308)</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EB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B6"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EB7" w14:textId="77777777" w:rsidR="009F6D8A" w:rsidRDefault="00C50974">
            <w:pPr>
              <w:jc w:val="right"/>
              <w:textAlignment w:val="bottom"/>
            </w:pPr>
            <w:r>
              <w:rPr>
                <w:rFonts w:ascii="Arial" w:eastAsia="宋体" w:hAnsi="Arial" w:cs="Arial"/>
                <w:color w:val="000000"/>
                <w:sz w:val="18"/>
                <w:szCs w:val="18"/>
              </w:rPr>
              <w:t>(34,946)</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EB8" w14:textId="77777777" w:rsidR="009F6D8A" w:rsidRDefault="009F6D8A">
            <w:pPr>
              <w:jc w:val="right"/>
              <w:rPr>
                <w:rFonts w:ascii="宋体"/>
              </w:rPr>
            </w:pPr>
          </w:p>
        </w:tc>
      </w:tr>
      <w:tr w:rsidR="009F6D8A" w14:paraId="64302EC2" w14:textId="77777777">
        <w:tc>
          <w:tcPr>
            <w:tcW w:w="0" w:type="auto"/>
            <w:gridSpan w:val="3"/>
            <w:shd w:val="clear" w:color="auto" w:fill="FFFFFF"/>
            <w:tcMar>
              <w:top w:w="40" w:type="dxa"/>
              <w:left w:w="20" w:type="dxa"/>
              <w:bottom w:w="40" w:type="dxa"/>
              <w:right w:w="20" w:type="dxa"/>
            </w:tcMar>
            <w:vAlign w:val="bottom"/>
          </w:tcPr>
          <w:p w14:paraId="64302EBA" w14:textId="77777777" w:rsidR="009F6D8A" w:rsidRDefault="00C50974">
            <w:pPr>
              <w:textAlignment w:val="bottom"/>
            </w:pPr>
            <w:r>
              <w:rPr>
                <w:rFonts w:ascii="Arial" w:eastAsia="宋体" w:hAnsi="Arial" w:cs="Arial"/>
                <w:color w:val="000000"/>
                <w:sz w:val="18"/>
                <w:szCs w:val="18"/>
              </w:rPr>
              <w:t>Retained earnings: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EBB"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EBC"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EBD"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EBE"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EBF"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EC0"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2EC1" w14:textId="77777777" w:rsidR="009F6D8A" w:rsidRDefault="009F6D8A">
            <w:pPr>
              <w:rPr>
                <w:rFonts w:ascii="宋体"/>
              </w:rPr>
            </w:pPr>
          </w:p>
        </w:tc>
      </w:tr>
      <w:tr w:rsidR="009F6D8A" w14:paraId="64302ECF" w14:textId="77777777">
        <w:tc>
          <w:tcPr>
            <w:tcW w:w="0" w:type="auto"/>
            <w:gridSpan w:val="3"/>
            <w:shd w:val="clear" w:color="auto" w:fill="E2E2E2"/>
            <w:tcMar>
              <w:top w:w="40" w:type="dxa"/>
              <w:left w:w="245" w:type="dxa"/>
              <w:bottom w:w="40" w:type="dxa"/>
              <w:right w:w="20" w:type="dxa"/>
            </w:tcMar>
            <w:vAlign w:val="bottom"/>
          </w:tcPr>
          <w:p w14:paraId="64302EC3" w14:textId="77777777" w:rsidR="009F6D8A" w:rsidRDefault="00C50974">
            <w:pPr>
              <w:textAlignment w:val="bottom"/>
            </w:pPr>
            <w:r>
              <w:rPr>
                <w:rFonts w:ascii="Arial" w:eastAsia="宋体" w:hAnsi="Arial" w:cs="Arial"/>
                <w:color w:val="000000"/>
                <w:sz w:val="18"/>
                <w:szCs w:val="18"/>
              </w:rPr>
              <w:t>Balance, beginning of period</w:t>
            </w:r>
          </w:p>
        </w:tc>
        <w:tc>
          <w:tcPr>
            <w:tcW w:w="0" w:type="auto"/>
            <w:gridSpan w:val="2"/>
            <w:shd w:val="clear" w:color="auto" w:fill="E2E2E2"/>
            <w:tcMar>
              <w:top w:w="40" w:type="dxa"/>
              <w:left w:w="20" w:type="dxa"/>
              <w:bottom w:w="40" w:type="dxa"/>
              <w:right w:w="0" w:type="dxa"/>
            </w:tcMar>
            <w:vAlign w:val="bottom"/>
          </w:tcPr>
          <w:p w14:paraId="64302EC4" w14:textId="77777777" w:rsidR="009F6D8A" w:rsidRDefault="00C50974">
            <w:pPr>
              <w:jc w:val="right"/>
              <w:textAlignment w:val="bottom"/>
            </w:pPr>
            <w:r>
              <w:rPr>
                <w:rFonts w:ascii="Arial" w:eastAsia="宋体" w:hAnsi="Arial" w:cs="Arial"/>
                <w:color w:val="000000"/>
                <w:sz w:val="18"/>
                <w:szCs w:val="18"/>
              </w:rPr>
              <w:t>23,476 </w:t>
            </w:r>
          </w:p>
        </w:tc>
        <w:tc>
          <w:tcPr>
            <w:tcW w:w="0" w:type="auto"/>
            <w:shd w:val="clear" w:color="auto" w:fill="E2E2E2"/>
            <w:tcMar>
              <w:top w:w="40" w:type="dxa"/>
              <w:left w:w="0" w:type="dxa"/>
              <w:bottom w:w="40" w:type="dxa"/>
              <w:right w:w="20" w:type="dxa"/>
            </w:tcMar>
            <w:vAlign w:val="bottom"/>
          </w:tcPr>
          <w:p w14:paraId="64302EC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C6"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EC7" w14:textId="77777777" w:rsidR="009F6D8A" w:rsidRDefault="00C50974">
            <w:pPr>
              <w:jc w:val="right"/>
              <w:textAlignment w:val="bottom"/>
            </w:pPr>
            <w:r>
              <w:rPr>
                <w:rFonts w:ascii="Arial" w:eastAsia="宋体" w:hAnsi="Arial" w:cs="Arial"/>
                <w:color w:val="000000"/>
                <w:sz w:val="18"/>
                <w:szCs w:val="18"/>
              </w:rPr>
              <w:t>21,051 </w:t>
            </w:r>
          </w:p>
        </w:tc>
        <w:tc>
          <w:tcPr>
            <w:tcW w:w="0" w:type="auto"/>
            <w:shd w:val="clear" w:color="auto" w:fill="E2E2E2"/>
            <w:tcMar>
              <w:top w:w="40" w:type="dxa"/>
              <w:left w:w="0" w:type="dxa"/>
              <w:bottom w:w="40" w:type="dxa"/>
              <w:right w:w="20" w:type="dxa"/>
            </w:tcMar>
            <w:vAlign w:val="bottom"/>
          </w:tcPr>
          <w:p w14:paraId="64302EC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C9"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ECA" w14:textId="77777777" w:rsidR="009F6D8A" w:rsidRDefault="00C50974">
            <w:pPr>
              <w:jc w:val="right"/>
              <w:textAlignment w:val="bottom"/>
            </w:pPr>
            <w:r>
              <w:rPr>
                <w:rFonts w:ascii="Arial" w:eastAsia="宋体" w:hAnsi="Arial" w:cs="Arial"/>
                <w:color w:val="000000"/>
                <w:sz w:val="18"/>
                <w:szCs w:val="18"/>
              </w:rPr>
              <w:t>22,961 </w:t>
            </w:r>
          </w:p>
        </w:tc>
        <w:tc>
          <w:tcPr>
            <w:tcW w:w="0" w:type="auto"/>
            <w:shd w:val="clear" w:color="auto" w:fill="E2E2E2"/>
            <w:tcMar>
              <w:top w:w="40" w:type="dxa"/>
              <w:left w:w="0" w:type="dxa"/>
              <w:bottom w:w="40" w:type="dxa"/>
              <w:right w:w="20" w:type="dxa"/>
            </w:tcMar>
            <w:vAlign w:val="bottom"/>
          </w:tcPr>
          <w:p w14:paraId="64302EC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CC"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ECD" w14:textId="77777777" w:rsidR="009F6D8A" w:rsidRDefault="00C50974">
            <w:pPr>
              <w:jc w:val="right"/>
              <w:textAlignment w:val="bottom"/>
            </w:pPr>
            <w:r>
              <w:rPr>
                <w:rFonts w:ascii="Arial" w:eastAsia="宋体" w:hAnsi="Arial" w:cs="Arial"/>
                <w:color w:val="000000"/>
                <w:sz w:val="18"/>
                <w:szCs w:val="18"/>
              </w:rPr>
              <w:t>17,754 </w:t>
            </w:r>
          </w:p>
        </w:tc>
        <w:tc>
          <w:tcPr>
            <w:tcW w:w="0" w:type="auto"/>
            <w:shd w:val="clear" w:color="auto" w:fill="E2E2E2"/>
            <w:tcMar>
              <w:top w:w="40" w:type="dxa"/>
              <w:left w:w="0" w:type="dxa"/>
              <w:bottom w:w="40" w:type="dxa"/>
              <w:right w:w="20" w:type="dxa"/>
            </w:tcMar>
            <w:vAlign w:val="bottom"/>
          </w:tcPr>
          <w:p w14:paraId="64302ECE" w14:textId="77777777" w:rsidR="009F6D8A" w:rsidRDefault="009F6D8A">
            <w:pPr>
              <w:jc w:val="right"/>
              <w:rPr>
                <w:rFonts w:ascii="宋体"/>
              </w:rPr>
            </w:pPr>
          </w:p>
        </w:tc>
      </w:tr>
      <w:tr w:rsidR="009F6D8A" w14:paraId="64302EDC" w14:textId="77777777">
        <w:tc>
          <w:tcPr>
            <w:tcW w:w="0" w:type="auto"/>
            <w:gridSpan w:val="3"/>
            <w:shd w:val="clear" w:color="auto" w:fill="FFFFFF"/>
            <w:tcMar>
              <w:top w:w="40" w:type="dxa"/>
              <w:left w:w="245" w:type="dxa"/>
              <w:bottom w:w="40" w:type="dxa"/>
              <w:right w:w="20" w:type="dxa"/>
            </w:tcMar>
            <w:vAlign w:val="bottom"/>
          </w:tcPr>
          <w:p w14:paraId="64302ED0" w14:textId="77777777" w:rsidR="009F6D8A" w:rsidRDefault="00C50974">
            <w:pPr>
              <w:textAlignment w:val="bottom"/>
            </w:pPr>
            <w:r>
              <w:rPr>
                <w:rFonts w:ascii="Arial" w:eastAsia="宋体" w:hAnsi="Arial" w:cs="Arial"/>
                <w:color w:val="000000"/>
                <w:sz w:val="18"/>
                <w:szCs w:val="18"/>
              </w:rPr>
              <w:t>Net income</w:t>
            </w:r>
          </w:p>
        </w:tc>
        <w:tc>
          <w:tcPr>
            <w:tcW w:w="0" w:type="auto"/>
            <w:gridSpan w:val="2"/>
            <w:shd w:val="clear" w:color="auto" w:fill="FFFFFF"/>
            <w:tcMar>
              <w:top w:w="40" w:type="dxa"/>
              <w:left w:w="20" w:type="dxa"/>
              <w:bottom w:w="40" w:type="dxa"/>
              <w:right w:w="0" w:type="dxa"/>
            </w:tcMar>
            <w:vAlign w:val="bottom"/>
          </w:tcPr>
          <w:p w14:paraId="64302ED1" w14:textId="77777777" w:rsidR="009F6D8A" w:rsidRDefault="00C50974">
            <w:pPr>
              <w:jc w:val="right"/>
              <w:textAlignment w:val="bottom"/>
            </w:pPr>
            <w:r>
              <w:rPr>
                <w:rFonts w:ascii="Arial" w:eastAsia="宋体" w:hAnsi="Arial" w:cs="Arial"/>
                <w:color w:val="000000"/>
                <w:sz w:val="18"/>
                <w:szCs w:val="18"/>
              </w:rPr>
              <w:t>10,734 </w:t>
            </w:r>
          </w:p>
        </w:tc>
        <w:tc>
          <w:tcPr>
            <w:tcW w:w="0" w:type="auto"/>
            <w:shd w:val="clear" w:color="auto" w:fill="FFFFFF"/>
            <w:tcMar>
              <w:top w:w="40" w:type="dxa"/>
              <w:left w:w="0" w:type="dxa"/>
              <w:bottom w:w="40" w:type="dxa"/>
              <w:right w:w="20" w:type="dxa"/>
            </w:tcMar>
            <w:vAlign w:val="bottom"/>
          </w:tcPr>
          <w:p w14:paraId="64302ED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ED3"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ED4" w14:textId="77777777" w:rsidR="009F6D8A" w:rsidRDefault="00C50974">
            <w:pPr>
              <w:jc w:val="right"/>
              <w:textAlignment w:val="bottom"/>
            </w:pPr>
            <w:r>
              <w:rPr>
                <w:rFonts w:ascii="Arial" w:eastAsia="宋体" w:hAnsi="Arial" w:cs="Arial"/>
                <w:color w:val="000000"/>
                <w:sz w:val="18"/>
                <w:szCs w:val="18"/>
              </w:rPr>
              <w:t>746 </w:t>
            </w:r>
          </w:p>
        </w:tc>
        <w:tc>
          <w:tcPr>
            <w:tcW w:w="0" w:type="auto"/>
            <w:shd w:val="clear" w:color="auto" w:fill="FFFFFF"/>
            <w:tcMar>
              <w:top w:w="40" w:type="dxa"/>
              <w:left w:w="0" w:type="dxa"/>
              <w:bottom w:w="40" w:type="dxa"/>
              <w:right w:w="20" w:type="dxa"/>
            </w:tcMar>
            <w:vAlign w:val="bottom"/>
          </w:tcPr>
          <w:p w14:paraId="64302ED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ED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ED7" w14:textId="77777777" w:rsidR="009F6D8A" w:rsidRDefault="00C50974">
            <w:pPr>
              <w:jc w:val="right"/>
              <w:textAlignment w:val="bottom"/>
            </w:pPr>
            <w:r>
              <w:rPr>
                <w:rFonts w:ascii="Arial" w:eastAsia="宋体" w:hAnsi="Arial" w:cs="Arial"/>
                <w:color w:val="000000"/>
                <w:sz w:val="18"/>
                <w:szCs w:val="18"/>
              </w:rPr>
              <w:t>11,375 </w:t>
            </w:r>
          </w:p>
        </w:tc>
        <w:tc>
          <w:tcPr>
            <w:tcW w:w="0" w:type="auto"/>
            <w:shd w:val="clear" w:color="auto" w:fill="FFFFFF"/>
            <w:tcMar>
              <w:top w:w="40" w:type="dxa"/>
              <w:left w:w="0" w:type="dxa"/>
              <w:bottom w:w="40" w:type="dxa"/>
              <w:right w:w="20" w:type="dxa"/>
            </w:tcMar>
            <w:vAlign w:val="bottom"/>
          </w:tcPr>
          <w:p w14:paraId="64302ED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ED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EDA" w14:textId="77777777" w:rsidR="009F6D8A" w:rsidRDefault="00C50974">
            <w:pPr>
              <w:jc w:val="right"/>
              <w:textAlignment w:val="bottom"/>
            </w:pPr>
            <w:r>
              <w:rPr>
                <w:rFonts w:ascii="Arial" w:eastAsia="宋体" w:hAnsi="Arial" w:cs="Arial"/>
                <w:color w:val="000000"/>
                <w:sz w:val="18"/>
                <w:szCs w:val="18"/>
              </w:rPr>
              <w:t>4,158 </w:t>
            </w:r>
          </w:p>
        </w:tc>
        <w:tc>
          <w:tcPr>
            <w:tcW w:w="0" w:type="auto"/>
            <w:shd w:val="clear" w:color="auto" w:fill="FFFFFF"/>
            <w:tcMar>
              <w:top w:w="40" w:type="dxa"/>
              <w:left w:w="0" w:type="dxa"/>
              <w:bottom w:w="40" w:type="dxa"/>
              <w:right w:w="20" w:type="dxa"/>
            </w:tcMar>
            <w:vAlign w:val="bottom"/>
          </w:tcPr>
          <w:p w14:paraId="64302EDB" w14:textId="77777777" w:rsidR="009F6D8A" w:rsidRDefault="009F6D8A">
            <w:pPr>
              <w:jc w:val="right"/>
              <w:rPr>
                <w:rFonts w:ascii="宋体"/>
              </w:rPr>
            </w:pPr>
          </w:p>
        </w:tc>
      </w:tr>
      <w:tr w:rsidR="009F6D8A" w14:paraId="64302EE9" w14:textId="77777777">
        <w:tc>
          <w:tcPr>
            <w:tcW w:w="0" w:type="auto"/>
            <w:gridSpan w:val="3"/>
            <w:shd w:val="clear" w:color="auto" w:fill="E2E2E2"/>
            <w:tcMar>
              <w:top w:w="40" w:type="dxa"/>
              <w:left w:w="245" w:type="dxa"/>
              <w:bottom w:w="40" w:type="dxa"/>
              <w:right w:w="20" w:type="dxa"/>
            </w:tcMar>
            <w:vAlign w:val="bottom"/>
          </w:tcPr>
          <w:p w14:paraId="64302EDD" w14:textId="77777777" w:rsidR="009F6D8A" w:rsidRDefault="00C50974">
            <w:pPr>
              <w:textAlignment w:val="bottom"/>
            </w:pPr>
            <w:r>
              <w:rPr>
                <w:rFonts w:ascii="Arial" w:eastAsia="宋体" w:hAnsi="Arial" w:cs="Arial"/>
                <w:color w:val="000000"/>
                <w:sz w:val="18"/>
                <w:szCs w:val="18"/>
              </w:rPr>
              <w:t>Dividends and dividend equivalents declared</w:t>
            </w:r>
          </w:p>
        </w:tc>
        <w:tc>
          <w:tcPr>
            <w:tcW w:w="0" w:type="auto"/>
            <w:gridSpan w:val="2"/>
            <w:shd w:val="clear" w:color="auto" w:fill="E2E2E2"/>
            <w:tcMar>
              <w:top w:w="40" w:type="dxa"/>
              <w:left w:w="20" w:type="dxa"/>
              <w:bottom w:w="40" w:type="dxa"/>
              <w:right w:w="0" w:type="dxa"/>
            </w:tcMar>
            <w:vAlign w:val="bottom"/>
          </w:tcPr>
          <w:p w14:paraId="64302EDE" w14:textId="77777777" w:rsidR="009F6D8A" w:rsidRDefault="00C50974">
            <w:pPr>
              <w:jc w:val="right"/>
              <w:textAlignment w:val="bottom"/>
            </w:pPr>
            <w:r>
              <w:rPr>
                <w:rFonts w:ascii="Arial" w:eastAsia="宋体" w:hAnsi="Arial" w:cs="Arial"/>
                <w:color w:val="000000"/>
                <w:sz w:val="18"/>
                <w:szCs w:val="18"/>
              </w:rPr>
              <w:t>(124)</w:t>
            </w:r>
          </w:p>
        </w:tc>
        <w:tc>
          <w:tcPr>
            <w:tcW w:w="0" w:type="auto"/>
            <w:shd w:val="clear" w:color="auto" w:fill="E2E2E2"/>
            <w:tcMar>
              <w:top w:w="40" w:type="dxa"/>
              <w:left w:w="0" w:type="dxa"/>
              <w:bottom w:w="40" w:type="dxa"/>
              <w:right w:w="20" w:type="dxa"/>
            </w:tcMar>
            <w:vAlign w:val="bottom"/>
          </w:tcPr>
          <w:p w14:paraId="64302ED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E0"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EE1" w14:textId="77777777" w:rsidR="009F6D8A" w:rsidRDefault="00C50974">
            <w:pPr>
              <w:jc w:val="right"/>
              <w:textAlignment w:val="bottom"/>
            </w:pPr>
            <w:r>
              <w:rPr>
                <w:rFonts w:ascii="Arial" w:eastAsia="宋体" w:hAnsi="Arial" w:cs="Arial"/>
                <w:color w:val="000000"/>
                <w:sz w:val="18"/>
                <w:szCs w:val="18"/>
              </w:rPr>
              <w:t>(116)</w:t>
            </w:r>
          </w:p>
        </w:tc>
        <w:tc>
          <w:tcPr>
            <w:tcW w:w="0" w:type="auto"/>
            <w:shd w:val="clear" w:color="auto" w:fill="E2E2E2"/>
            <w:tcMar>
              <w:top w:w="40" w:type="dxa"/>
              <w:left w:w="0" w:type="dxa"/>
              <w:bottom w:w="40" w:type="dxa"/>
              <w:right w:w="20" w:type="dxa"/>
            </w:tcMar>
            <w:vAlign w:val="bottom"/>
          </w:tcPr>
          <w:p w14:paraId="64302EE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E3"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EE4" w14:textId="77777777" w:rsidR="009F6D8A" w:rsidRDefault="00C50974">
            <w:pPr>
              <w:jc w:val="right"/>
              <w:textAlignment w:val="bottom"/>
            </w:pPr>
            <w:r>
              <w:rPr>
                <w:rFonts w:ascii="Arial" w:eastAsia="宋体" w:hAnsi="Arial" w:cs="Arial"/>
                <w:color w:val="000000"/>
                <w:sz w:val="18"/>
                <w:szCs w:val="18"/>
              </w:rPr>
              <w:t>(250)</w:t>
            </w:r>
          </w:p>
        </w:tc>
        <w:tc>
          <w:tcPr>
            <w:tcW w:w="0" w:type="auto"/>
            <w:shd w:val="clear" w:color="auto" w:fill="E2E2E2"/>
            <w:tcMar>
              <w:top w:w="40" w:type="dxa"/>
              <w:left w:w="0" w:type="dxa"/>
              <w:bottom w:w="40" w:type="dxa"/>
              <w:right w:w="20" w:type="dxa"/>
            </w:tcMar>
            <w:vAlign w:val="bottom"/>
          </w:tcPr>
          <w:p w14:paraId="64302EE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EE6"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EE7" w14:textId="77777777" w:rsidR="009F6D8A" w:rsidRDefault="00C50974">
            <w:pPr>
              <w:jc w:val="right"/>
              <w:textAlignment w:val="bottom"/>
            </w:pPr>
            <w:r>
              <w:rPr>
                <w:rFonts w:ascii="Arial" w:eastAsia="宋体" w:hAnsi="Arial" w:cs="Arial"/>
                <w:color w:val="000000"/>
                <w:sz w:val="18"/>
                <w:szCs w:val="18"/>
              </w:rPr>
              <w:t>(231)</w:t>
            </w:r>
          </w:p>
        </w:tc>
        <w:tc>
          <w:tcPr>
            <w:tcW w:w="0" w:type="auto"/>
            <w:shd w:val="clear" w:color="auto" w:fill="E2E2E2"/>
            <w:tcMar>
              <w:top w:w="40" w:type="dxa"/>
              <w:left w:w="0" w:type="dxa"/>
              <w:bottom w:w="40" w:type="dxa"/>
              <w:right w:w="20" w:type="dxa"/>
            </w:tcMar>
            <w:vAlign w:val="bottom"/>
          </w:tcPr>
          <w:p w14:paraId="64302EE8" w14:textId="77777777" w:rsidR="009F6D8A" w:rsidRDefault="009F6D8A">
            <w:pPr>
              <w:jc w:val="right"/>
              <w:rPr>
                <w:rFonts w:ascii="宋体"/>
              </w:rPr>
            </w:pPr>
          </w:p>
        </w:tc>
      </w:tr>
      <w:tr w:rsidR="009F6D8A" w14:paraId="64302EF2" w14:textId="77777777">
        <w:trPr>
          <w:hidden/>
        </w:trPr>
        <w:tc>
          <w:tcPr>
            <w:tcW w:w="0" w:type="auto"/>
            <w:gridSpan w:val="3"/>
            <w:shd w:val="clear" w:color="auto" w:fill="auto"/>
            <w:vAlign w:val="bottom"/>
          </w:tcPr>
          <w:p w14:paraId="64302EEA" w14:textId="77777777" w:rsidR="009F6D8A" w:rsidRDefault="009F6D8A">
            <w:pPr>
              <w:rPr>
                <w:rFonts w:ascii="宋体"/>
                <w:vanish/>
              </w:rPr>
            </w:pPr>
          </w:p>
        </w:tc>
        <w:tc>
          <w:tcPr>
            <w:tcW w:w="0" w:type="auto"/>
            <w:gridSpan w:val="3"/>
            <w:shd w:val="clear" w:color="auto" w:fill="auto"/>
            <w:vAlign w:val="bottom"/>
          </w:tcPr>
          <w:p w14:paraId="64302EEB" w14:textId="77777777" w:rsidR="009F6D8A" w:rsidRDefault="009F6D8A">
            <w:pPr>
              <w:rPr>
                <w:rFonts w:ascii="宋体"/>
                <w:vanish/>
              </w:rPr>
            </w:pPr>
          </w:p>
        </w:tc>
        <w:tc>
          <w:tcPr>
            <w:tcW w:w="0" w:type="auto"/>
            <w:gridSpan w:val="3"/>
            <w:shd w:val="clear" w:color="auto" w:fill="auto"/>
            <w:vAlign w:val="bottom"/>
          </w:tcPr>
          <w:p w14:paraId="64302EEC" w14:textId="77777777" w:rsidR="009F6D8A" w:rsidRDefault="009F6D8A">
            <w:pPr>
              <w:rPr>
                <w:rFonts w:ascii="宋体"/>
                <w:vanish/>
              </w:rPr>
            </w:pPr>
          </w:p>
        </w:tc>
        <w:tc>
          <w:tcPr>
            <w:tcW w:w="0" w:type="auto"/>
            <w:gridSpan w:val="3"/>
            <w:shd w:val="clear" w:color="auto" w:fill="auto"/>
            <w:vAlign w:val="bottom"/>
          </w:tcPr>
          <w:p w14:paraId="64302EED" w14:textId="77777777" w:rsidR="009F6D8A" w:rsidRDefault="009F6D8A">
            <w:pPr>
              <w:rPr>
                <w:rFonts w:ascii="宋体"/>
                <w:vanish/>
              </w:rPr>
            </w:pPr>
          </w:p>
        </w:tc>
        <w:tc>
          <w:tcPr>
            <w:tcW w:w="0" w:type="auto"/>
            <w:gridSpan w:val="3"/>
            <w:shd w:val="clear" w:color="auto" w:fill="auto"/>
            <w:vAlign w:val="bottom"/>
          </w:tcPr>
          <w:p w14:paraId="64302EEE" w14:textId="77777777" w:rsidR="009F6D8A" w:rsidRDefault="009F6D8A">
            <w:pPr>
              <w:rPr>
                <w:rFonts w:ascii="宋体"/>
                <w:vanish/>
              </w:rPr>
            </w:pPr>
          </w:p>
        </w:tc>
        <w:tc>
          <w:tcPr>
            <w:tcW w:w="0" w:type="auto"/>
            <w:gridSpan w:val="3"/>
            <w:shd w:val="clear" w:color="auto" w:fill="auto"/>
            <w:vAlign w:val="bottom"/>
          </w:tcPr>
          <w:p w14:paraId="64302EEF" w14:textId="77777777" w:rsidR="009F6D8A" w:rsidRDefault="009F6D8A">
            <w:pPr>
              <w:rPr>
                <w:rFonts w:ascii="宋体"/>
                <w:vanish/>
              </w:rPr>
            </w:pPr>
          </w:p>
        </w:tc>
        <w:tc>
          <w:tcPr>
            <w:tcW w:w="0" w:type="auto"/>
            <w:gridSpan w:val="3"/>
            <w:shd w:val="clear" w:color="auto" w:fill="auto"/>
            <w:vAlign w:val="bottom"/>
          </w:tcPr>
          <w:p w14:paraId="64302EF0" w14:textId="77777777" w:rsidR="009F6D8A" w:rsidRDefault="009F6D8A">
            <w:pPr>
              <w:rPr>
                <w:rFonts w:ascii="宋体"/>
                <w:vanish/>
              </w:rPr>
            </w:pPr>
          </w:p>
        </w:tc>
        <w:tc>
          <w:tcPr>
            <w:tcW w:w="0" w:type="auto"/>
            <w:gridSpan w:val="3"/>
            <w:shd w:val="clear" w:color="auto" w:fill="auto"/>
            <w:vAlign w:val="bottom"/>
          </w:tcPr>
          <w:p w14:paraId="64302EF1" w14:textId="77777777" w:rsidR="009F6D8A" w:rsidRDefault="009F6D8A">
            <w:pPr>
              <w:rPr>
                <w:rFonts w:ascii="宋体"/>
                <w:vanish/>
              </w:rPr>
            </w:pPr>
          </w:p>
        </w:tc>
      </w:tr>
      <w:tr w:rsidR="009F6D8A" w14:paraId="64302EFB" w14:textId="77777777">
        <w:trPr>
          <w:hidden/>
        </w:trPr>
        <w:tc>
          <w:tcPr>
            <w:tcW w:w="0" w:type="auto"/>
            <w:gridSpan w:val="3"/>
            <w:shd w:val="clear" w:color="auto" w:fill="auto"/>
            <w:vAlign w:val="bottom"/>
          </w:tcPr>
          <w:p w14:paraId="64302EF3" w14:textId="77777777" w:rsidR="009F6D8A" w:rsidRDefault="009F6D8A">
            <w:pPr>
              <w:rPr>
                <w:rFonts w:ascii="宋体"/>
                <w:vanish/>
              </w:rPr>
            </w:pPr>
          </w:p>
        </w:tc>
        <w:tc>
          <w:tcPr>
            <w:tcW w:w="0" w:type="auto"/>
            <w:gridSpan w:val="3"/>
            <w:shd w:val="clear" w:color="auto" w:fill="auto"/>
            <w:vAlign w:val="bottom"/>
          </w:tcPr>
          <w:p w14:paraId="64302EF4" w14:textId="77777777" w:rsidR="009F6D8A" w:rsidRDefault="009F6D8A">
            <w:pPr>
              <w:rPr>
                <w:rFonts w:ascii="宋体"/>
                <w:vanish/>
              </w:rPr>
            </w:pPr>
          </w:p>
        </w:tc>
        <w:tc>
          <w:tcPr>
            <w:tcW w:w="0" w:type="auto"/>
            <w:gridSpan w:val="3"/>
            <w:shd w:val="clear" w:color="auto" w:fill="auto"/>
            <w:vAlign w:val="bottom"/>
          </w:tcPr>
          <w:p w14:paraId="64302EF5" w14:textId="77777777" w:rsidR="009F6D8A" w:rsidRDefault="009F6D8A">
            <w:pPr>
              <w:rPr>
                <w:rFonts w:ascii="宋体"/>
                <w:vanish/>
              </w:rPr>
            </w:pPr>
          </w:p>
        </w:tc>
        <w:tc>
          <w:tcPr>
            <w:tcW w:w="0" w:type="auto"/>
            <w:gridSpan w:val="3"/>
            <w:shd w:val="clear" w:color="auto" w:fill="auto"/>
            <w:vAlign w:val="bottom"/>
          </w:tcPr>
          <w:p w14:paraId="64302EF6" w14:textId="77777777" w:rsidR="009F6D8A" w:rsidRDefault="009F6D8A">
            <w:pPr>
              <w:rPr>
                <w:rFonts w:ascii="宋体"/>
                <w:vanish/>
              </w:rPr>
            </w:pPr>
          </w:p>
        </w:tc>
        <w:tc>
          <w:tcPr>
            <w:tcW w:w="0" w:type="auto"/>
            <w:gridSpan w:val="3"/>
            <w:shd w:val="clear" w:color="auto" w:fill="auto"/>
            <w:vAlign w:val="bottom"/>
          </w:tcPr>
          <w:p w14:paraId="64302EF7" w14:textId="77777777" w:rsidR="009F6D8A" w:rsidRDefault="009F6D8A">
            <w:pPr>
              <w:rPr>
                <w:rFonts w:ascii="宋体"/>
                <w:vanish/>
              </w:rPr>
            </w:pPr>
          </w:p>
        </w:tc>
        <w:tc>
          <w:tcPr>
            <w:tcW w:w="0" w:type="auto"/>
            <w:gridSpan w:val="3"/>
            <w:shd w:val="clear" w:color="auto" w:fill="auto"/>
            <w:vAlign w:val="bottom"/>
          </w:tcPr>
          <w:p w14:paraId="64302EF8" w14:textId="77777777" w:rsidR="009F6D8A" w:rsidRDefault="009F6D8A">
            <w:pPr>
              <w:rPr>
                <w:rFonts w:ascii="宋体"/>
                <w:vanish/>
              </w:rPr>
            </w:pPr>
          </w:p>
        </w:tc>
        <w:tc>
          <w:tcPr>
            <w:tcW w:w="0" w:type="auto"/>
            <w:gridSpan w:val="3"/>
            <w:shd w:val="clear" w:color="auto" w:fill="auto"/>
            <w:vAlign w:val="bottom"/>
          </w:tcPr>
          <w:p w14:paraId="64302EF9" w14:textId="77777777" w:rsidR="009F6D8A" w:rsidRDefault="009F6D8A">
            <w:pPr>
              <w:rPr>
                <w:rFonts w:ascii="宋体"/>
                <w:vanish/>
              </w:rPr>
            </w:pPr>
          </w:p>
        </w:tc>
        <w:tc>
          <w:tcPr>
            <w:tcW w:w="0" w:type="auto"/>
            <w:gridSpan w:val="3"/>
            <w:shd w:val="clear" w:color="auto" w:fill="auto"/>
            <w:vAlign w:val="bottom"/>
          </w:tcPr>
          <w:p w14:paraId="64302EFA" w14:textId="77777777" w:rsidR="009F6D8A" w:rsidRDefault="009F6D8A">
            <w:pPr>
              <w:rPr>
                <w:rFonts w:ascii="宋体"/>
                <w:vanish/>
              </w:rPr>
            </w:pPr>
          </w:p>
        </w:tc>
      </w:tr>
      <w:tr w:rsidR="009F6D8A" w14:paraId="64302F04" w14:textId="77777777">
        <w:trPr>
          <w:hidden/>
        </w:trPr>
        <w:tc>
          <w:tcPr>
            <w:tcW w:w="0" w:type="auto"/>
            <w:gridSpan w:val="3"/>
            <w:shd w:val="clear" w:color="auto" w:fill="auto"/>
            <w:vAlign w:val="bottom"/>
          </w:tcPr>
          <w:p w14:paraId="64302EFC" w14:textId="77777777" w:rsidR="009F6D8A" w:rsidRDefault="009F6D8A">
            <w:pPr>
              <w:rPr>
                <w:rFonts w:ascii="宋体"/>
                <w:vanish/>
              </w:rPr>
            </w:pPr>
          </w:p>
        </w:tc>
        <w:tc>
          <w:tcPr>
            <w:tcW w:w="0" w:type="auto"/>
            <w:gridSpan w:val="3"/>
            <w:shd w:val="clear" w:color="auto" w:fill="auto"/>
            <w:vAlign w:val="bottom"/>
          </w:tcPr>
          <w:p w14:paraId="64302EFD" w14:textId="77777777" w:rsidR="009F6D8A" w:rsidRDefault="009F6D8A">
            <w:pPr>
              <w:rPr>
                <w:rFonts w:ascii="宋体"/>
                <w:vanish/>
              </w:rPr>
            </w:pPr>
          </w:p>
        </w:tc>
        <w:tc>
          <w:tcPr>
            <w:tcW w:w="0" w:type="auto"/>
            <w:gridSpan w:val="3"/>
            <w:shd w:val="clear" w:color="auto" w:fill="auto"/>
            <w:vAlign w:val="bottom"/>
          </w:tcPr>
          <w:p w14:paraId="64302EFE" w14:textId="77777777" w:rsidR="009F6D8A" w:rsidRDefault="009F6D8A">
            <w:pPr>
              <w:rPr>
                <w:rFonts w:ascii="宋体"/>
                <w:vanish/>
              </w:rPr>
            </w:pPr>
          </w:p>
        </w:tc>
        <w:tc>
          <w:tcPr>
            <w:tcW w:w="0" w:type="auto"/>
            <w:gridSpan w:val="3"/>
            <w:shd w:val="clear" w:color="auto" w:fill="auto"/>
            <w:vAlign w:val="bottom"/>
          </w:tcPr>
          <w:p w14:paraId="64302EFF" w14:textId="77777777" w:rsidR="009F6D8A" w:rsidRDefault="009F6D8A">
            <w:pPr>
              <w:rPr>
                <w:rFonts w:ascii="宋体"/>
                <w:vanish/>
              </w:rPr>
            </w:pPr>
          </w:p>
        </w:tc>
        <w:tc>
          <w:tcPr>
            <w:tcW w:w="0" w:type="auto"/>
            <w:gridSpan w:val="3"/>
            <w:shd w:val="clear" w:color="auto" w:fill="auto"/>
            <w:vAlign w:val="bottom"/>
          </w:tcPr>
          <w:p w14:paraId="64302F00" w14:textId="77777777" w:rsidR="009F6D8A" w:rsidRDefault="009F6D8A">
            <w:pPr>
              <w:rPr>
                <w:rFonts w:ascii="宋体"/>
                <w:vanish/>
              </w:rPr>
            </w:pPr>
          </w:p>
        </w:tc>
        <w:tc>
          <w:tcPr>
            <w:tcW w:w="0" w:type="auto"/>
            <w:gridSpan w:val="3"/>
            <w:shd w:val="clear" w:color="auto" w:fill="auto"/>
            <w:vAlign w:val="bottom"/>
          </w:tcPr>
          <w:p w14:paraId="64302F01" w14:textId="77777777" w:rsidR="009F6D8A" w:rsidRDefault="009F6D8A">
            <w:pPr>
              <w:rPr>
                <w:rFonts w:ascii="宋体"/>
                <w:vanish/>
              </w:rPr>
            </w:pPr>
          </w:p>
        </w:tc>
        <w:tc>
          <w:tcPr>
            <w:tcW w:w="0" w:type="auto"/>
            <w:gridSpan w:val="3"/>
            <w:shd w:val="clear" w:color="auto" w:fill="auto"/>
            <w:vAlign w:val="bottom"/>
          </w:tcPr>
          <w:p w14:paraId="64302F02" w14:textId="77777777" w:rsidR="009F6D8A" w:rsidRDefault="009F6D8A">
            <w:pPr>
              <w:rPr>
                <w:rFonts w:ascii="宋体"/>
                <w:vanish/>
              </w:rPr>
            </w:pPr>
          </w:p>
        </w:tc>
        <w:tc>
          <w:tcPr>
            <w:tcW w:w="0" w:type="auto"/>
            <w:gridSpan w:val="3"/>
            <w:shd w:val="clear" w:color="auto" w:fill="auto"/>
            <w:vAlign w:val="bottom"/>
          </w:tcPr>
          <w:p w14:paraId="64302F03" w14:textId="77777777" w:rsidR="009F6D8A" w:rsidRDefault="009F6D8A">
            <w:pPr>
              <w:rPr>
                <w:rFonts w:ascii="宋体"/>
                <w:vanish/>
              </w:rPr>
            </w:pPr>
          </w:p>
        </w:tc>
      </w:tr>
      <w:tr w:rsidR="009F6D8A" w14:paraId="64302F11" w14:textId="77777777">
        <w:tc>
          <w:tcPr>
            <w:tcW w:w="0" w:type="auto"/>
            <w:gridSpan w:val="3"/>
            <w:shd w:val="clear" w:color="auto" w:fill="FFFFFF"/>
            <w:tcMar>
              <w:top w:w="40" w:type="dxa"/>
              <w:left w:w="740" w:type="dxa"/>
              <w:bottom w:w="40" w:type="dxa"/>
              <w:right w:w="20" w:type="dxa"/>
            </w:tcMar>
            <w:vAlign w:val="bottom"/>
          </w:tcPr>
          <w:p w14:paraId="64302F05" w14:textId="77777777" w:rsidR="009F6D8A" w:rsidRDefault="00C50974">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2F06" w14:textId="77777777" w:rsidR="009F6D8A" w:rsidRDefault="00C50974">
            <w:pPr>
              <w:jc w:val="right"/>
              <w:textAlignment w:val="bottom"/>
            </w:pPr>
            <w:r>
              <w:rPr>
                <w:rFonts w:ascii="Arial" w:eastAsia="宋体" w:hAnsi="Arial" w:cs="Arial"/>
                <w:color w:val="000000"/>
                <w:sz w:val="18"/>
                <w:szCs w:val="18"/>
              </w:rPr>
              <w:t>34,086 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F0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08"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2F09" w14:textId="77777777" w:rsidR="009F6D8A" w:rsidRDefault="00C50974">
            <w:pPr>
              <w:jc w:val="right"/>
              <w:textAlignment w:val="bottom"/>
            </w:pPr>
            <w:r>
              <w:rPr>
                <w:rFonts w:ascii="Arial" w:eastAsia="宋体" w:hAnsi="Arial" w:cs="Arial"/>
                <w:color w:val="000000"/>
                <w:sz w:val="18"/>
                <w:szCs w:val="18"/>
              </w:rPr>
              <w:t>21,681 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F0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0B"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2F0C" w14:textId="77777777" w:rsidR="009F6D8A" w:rsidRDefault="00C50974">
            <w:pPr>
              <w:jc w:val="right"/>
              <w:textAlignment w:val="bottom"/>
            </w:pPr>
            <w:r>
              <w:rPr>
                <w:rFonts w:ascii="Arial" w:eastAsia="宋体" w:hAnsi="Arial" w:cs="Arial"/>
                <w:color w:val="000000"/>
                <w:sz w:val="18"/>
                <w:szCs w:val="18"/>
              </w:rPr>
              <w:t>34,086 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F0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0E"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2F0F" w14:textId="77777777" w:rsidR="009F6D8A" w:rsidRDefault="00C50974">
            <w:pPr>
              <w:jc w:val="right"/>
              <w:textAlignment w:val="bottom"/>
            </w:pPr>
            <w:r>
              <w:rPr>
                <w:rFonts w:ascii="Arial" w:eastAsia="宋体" w:hAnsi="Arial" w:cs="Arial"/>
                <w:color w:val="000000"/>
                <w:sz w:val="18"/>
                <w:szCs w:val="18"/>
              </w:rPr>
              <w:t>21,681 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F10" w14:textId="77777777" w:rsidR="009F6D8A" w:rsidRDefault="009F6D8A">
            <w:pPr>
              <w:jc w:val="right"/>
              <w:rPr>
                <w:rFonts w:ascii="宋体"/>
              </w:rPr>
            </w:pPr>
          </w:p>
        </w:tc>
      </w:tr>
      <w:tr w:rsidR="009F6D8A" w14:paraId="64302F1A" w14:textId="77777777">
        <w:tc>
          <w:tcPr>
            <w:tcW w:w="0" w:type="auto"/>
            <w:gridSpan w:val="3"/>
            <w:shd w:val="clear" w:color="auto" w:fill="E2E2E2"/>
            <w:tcMar>
              <w:top w:w="40" w:type="dxa"/>
              <w:left w:w="20" w:type="dxa"/>
              <w:bottom w:w="40" w:type="dxa"/>
              <w:right w:w="20" w:type="dxa"/>
            </w:tcMar>
            <w:vAlign w:val="bottom"/>
          </w:tcPr>
          <w:p w14:paraId="64302F12" w14:textId="77777777" w:rsidR="009F6D8A" w:rsidRDefault="00C50974">
            <w:pPr>
              <w:textAlignment w:val="bottom"/>
            </w:pPr>
            <w:r>
              <w:rPr>
                <w:rFonts w:ascii="Arial" w:eastAsia="宋体" w:hAnsi="Arial" w:cs="Arial"/>
                <w:color w:val="000000"/>
                <w:sz w:val="18"/>
                <w:szCs w:val="18"/>
              </w:rPr>
              <w:t>Accumulated other comprehensive income:</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2F13"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F14"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2F15"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F16"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2F17"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F18"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2F19" w14:textId="77777777" w:rsidR="009F6D8A" w:rsidRDefault="009F6D8A">
            <w:pPr>
              <w:rPr>
                <w:rFonts w:ascii="宋体"/>
              </w:rPr>
            </w:pPr>
          </w:p>
        </w:tc>
      </w:tr>
      <w:tr w:rsidR="009F6D8A" w14:paraId="64302F27" w14:textId="77777777">
        <w:tc>
          <w:tcPr>
            <w:tcW w:w="0" w:type="auto"/>
            <w:gridSpan w:val="3"/>
            <w:shd w:val="clear" w:color="auto" w:fill="FFFFFF"/>
            <w:tcMar>
              <w:top w:w="40" w:type="dxa"/>
              <w:left w:w="245" w:type="dxa"/>
              <w:bottom w:w="40" w:type="dxa"/>
              <w:right w:w="20" w:type="dxa"/>
            </w:tcMar>
            <w:vAlign w:val="bottom"/>
          </w:tcPr>
          <w:p w14:paraId="64302F1B" w14:textId="77777777" w:rsidR="009F6D8A" w:rsidRDefault="00C50974">
            <w:pPr>
              <w:textAlignment w:val="bottom"/>
            </w:pPr>
            <w:r>
              <w:rPr>
                <w:rFonts w:ascii="Arial" w:eastAsia="宋体" w:hAnsi="Arial" w:cs="Arial"/>
                <w:color w:val="000000"/>
                <w:sz w:val="18"/>
                <w:szCs w:val="18"/>
              </w:rPr>
              <w:t>Balance, beginning of period</w:t>
            </w:r>
          </w:p>
        </w:tc>
        <w:tc>
          <w:tcPr>
            <w:tcW w:w="0" w:type="auto"/>
            <w:gridSpan w:val="2"/>
            <w:shd w:val="clear" w:color="auto" w:fill="FFFFFF"/>
            <w:tcMar>
              <w:top w:w="40" w:type="dxa"/>
              <w:left w:w="20" w:type="dxa"/>
              <w:bottom w:w="40" w:type="dxa"/>
              <w:right w:w="0" w:type="dxa"/>
            </w:tcMar>
            <w:vAlign w:val="bottom"/>
          </w:tcPr>
          <w:p w14:paraId="64302F1C" w14:textId="77777777" w:rsidR="009F6D8A" w:rsidRDefault="00C50974">
            <w:pPr>
              <w:jc w:val="right"/>
              <w:textAlignment w:val="bottom"/>
            </w:pPr>
            <w:r>
              <w:rPr>
                <w:rFonts w:ascii="Arial" w:eastAsia="宋体" w:hAnsi="Arial" w:cs="Arial"/>
                <w:color w:val="000000"/>
                <w:sz w:val="18"/>
                <w:szCs w:val="18"/>
              </w:rPr>
              <w:t>553 </w:t>
            </w:r>
          </w:p>
        </w:tc>
        <w:tc>
          <w:tcPr>
            <w:tcW w:w="0" w:type="auto"/>
            <w:shd w:val="clear" w:color="auto" w:fill="FFFFFF"/>
            <w:tcMar>
              <w:top w:w="40" w:type="dxa"/>
              <w:left w:w="0" w:type="dxa"/>
              <w:bottom w:w="40" w:type="dxa"/>
              <w:right w:w="20" w:type="dxa"/>
            </w:tcMar>
            <w:vAlign w:val="bottom"/>
          </w:tcPr>
          <w:p w14:paraId="64302F1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1E"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F1F" w14:textId="77777777" w:rsidR="009F6D8A" w:rsidRDefault="00C50974">
            <w:pPr>
              <w:jc w:val="right"/>
              <w:textAlignment w:val="bottom"/>
            </w:pPr>
            <w:r>
              <w:rPr>
                <w:rFonts w:ascii="Arial" w:eastAsia="宋体" w:hAnsi="Arial" w:cs="Arial"/>
                <w:color w:val="000000"/>
                <w:sz w:val="18"/>
                <w:szCs w:val="18"/>
              </w:rPr>
              <w:t>285 </w:t>
            </w:r>
          </w:p>
        </w:tc>
        <w:tc>
          <w:tcPr>
            <w:tcW w:w="0" w:type="auto"/>
            <w:shd w:val="clear" w:color="auto" w:fill="FFFFFF"/>
            <w:tcMar>
              <w:top w:w="40" w:type="dxa"/>
              <w:left w:w="0" w:type="dxa"/>
              <w:bottom w:w="40" w:type="dxa"/>
              <w:right w:w="20" w:type="dxa"/>
            </w:tcMar>
            <w:vAlign w:val="bottom"/>
          </w:tcPr>
          <w:p w14:paraId="64302F2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21"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F22" w14:textId="77777777" w:rsidR="009F6D8A" w:rsidRDefault="00C50974">
            <w:pPr>
              <w:jc w:val="right"/>
              <w:textAlignment w:val="bottom"/>
            </w:pPr>
            <w:r>
              <w:rPr>
                <w:rFonts w:ascii="Arial" w:eastAsia="宋体" w:hAnsi="Arial" w:cs="Arial"/>
                <w:color w:val="000000"/>
                <w:sz w:val="18"/>
                <w:szCs w:val="18"/>
              </w:rPr>
              <w:t>616 </w:t>
            </w:r>
          </w:p>
        </w:tc>
        <w:tc>
          <w:tcPr>
            <w:tcW w:w="0" w:type="auto"/>
            <w:shd w:val="clear" w:color="auto" w:fill="FFFFFF"/>
            <w:tcMar>
              <w:top w:w="40" w:type="dxa"/>
              <w:left w:w="0" w:type="dxa"/>
              <w:bottom w:w="40" w:type="dxa"/>
              <w:right w:w="20" w:type="dxa"/>
            </w:tcMar>
            <w:vAlign w:val="bottom"/>
          </w:tcPr>
          <w:p w14:paraId="64302F2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2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F25" w14:textId="77777777" w:rsidR="009F6D8A" w:rsidRDefault="00C50974">
            <w:pPr>
              <w:jc w:val="right"/>
              <w:textAlignment w:val="bottom"/>
            </w:pPr>
            <w:r>
              <w:rPr>
                <w:rFonts w:ascii="Arial" w:eastAsia="宋体" w:hAnsi="Arial" w:cs="Arial"/>
                <w:color w:val="000000"/>
                <w:sz w:val="18"/>
                <w:szCs w:val="18"/>
              </w:rPr>
              <w:t>384 </w:t>
            </w:r>
          </w:p>
        </w:tc>
        <w:tc>
          <w:tcPr>
            <w:tcW w:w="0" w:type="auto"/>
            <w:shd w:val="clear" w:color="auto" w:fill="FFFFFF"/>
            <w:tcMar>
              <w:top w:w="40" w:type="dxa"/>
              <w:left w:w="0" w:type="dxa"/>
              <w:bottom w:w="40" w:type="dxa"/>
              <w:right w:w="20" w:type="dxa"/>
            </w:tcMar>
            <w:vAlign w:val="bottom"/>
          </w:tcPr>
          <w:p w14:paraId="64302F26" w14:textId="77777777" w:rsidR="009F6D8A" w:rsidRDefault="009F6D8A">
            <w:pPr>
              <w:jc w:val="right"/>
              <w:rPr>
                <w:rFonts w:ascii="宋体"/>
              </w:rPr>
            </w:pPr>
          </w:p>
        </w:tc>
      </w:tr>
      <w:tr w:rsidR="009F6D8A" w14:paraId="64302F34" w14:textId="77777777">
        <w:tc>
          <w:tcPr>
            <w:tcW w:w="0" w:type="auto"/>
            <w:gridSpan w:val="3"/>
            <w:shd w:val="clear" w:color="auto" w:fill="E2E2E2"/>
            <w:tcMar>
              <w:top w:w="40" w:type="dxa"/>
              <w:left w:w="245" w:type="dxa"/>
              <w:bottom w:w="40" w:type="dxa"/>
              <w:right w:w="20" w:type="dxa"/>
            </w:tcMar>
            <w:vAlign w:val="bottom"/>
          </w:tcPr>
          <w:p w14:paraId="64302F28" w14:textId="77777777" w:rsidR="009F6D8A" w:rsidRDefault="00C50974">
            <w:pPr>
              <w:textAlignment w:val="bottom"/>
            </w:pPr>
            <w:r>
              <w:rPr>
                <w:rFonts w:ascii="Arial" w:eastAsia="宋体" w:hAnsi="Arial" w:cs="Arial"/>
                <w:color w:val="000000"/>
                <w:sz w:val="18"/>
                <w:szCs w:val="18"/>
              </w:rPr>
              <w:t>Foreign currency translation adjustment</w:t>
            </w:r>
          </w:p>
        </w:tc>
        <w:tc>
          <w:tcPr>
            <w:tcW w:w="0" w:type="auto"/>
            <w:gridSpan w:val="2"/>
            <w:shd w:val="clear" w:color="auto" w:fill="E2E2E2"/>
            <w:tcMar>
              <w:top w:w="40" w:type="dxa"/>
              <w:left w:w="20" w:type="dxa"/>
              <w:bottom w:w="40" w:type="dxa"/>
              <w:right w:w="0" w:type="dxa"/>
            </w:tcMar>
            <w:vAlign w:val="bottom"/>
          </w:tcPr>
          <w:p w14:paraId="64302F29" w14:textId="77777777" w:rsidR="009F6D8A" w:rsidRDefault="00C50974">
            <w:pPr>
              <w:jc w:val="right"/>
              <w:textAlignment w:val="bottom"/>
            </w:pPr>
            <w:r>
              <w:rPr>
                <w:rFonts w:ascii="Arial" w:eastAsia="宋体" w:hAnsi="Arial" w:cs="Arial"/>
                <w:color w:val="000000"/>
                <w:sz w:val="18"/>
                <w:szCs w:val="18"/>
              </w:rPr>
              <w:t>10 </w:t>
            </w:r>
          </w:p>
        </w:tc>
        <w:tc>
          <w:tcPr>
            <w:tcW w:w="0" w:type="auto"/>
            <w:shd w:val="clear" w:color="auto" w:fill="E2E2E2"/>
            <w:tcMar>
              <w:top w:w="40" w:type="dxa"/>
              <w:left w:w="0" w:type="dxa"/>
              <w:bottom w:w="40" w:type="dxa"/>
              <w:right w:w="20" w:type="dxa"/>
            </w:tcMar>
            <w:vAlign w:val="bottom"/>
          </w:tcPr>
          <w:p w14:paraId="64302F2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F2B"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F2C" w14:textId="77777777" w:rsidR="009F6D8A" w:rsidRDefault="00C50974">
            <w:pPr>
              <w:jc w:val="right"/>
              <w:textAlignment w:val="bottom"/>
            </w:pPr>
            <w:r>
              <w:rPr>
                <w:rFonts w:ascii="Arial" w:eastAsia="宋体" w:hAnsi="Arial" w:cs="Arial"/>
                <w:color w:val="000000"/>
                <w:sz w:val="18"/>
                <w:szCs w:val="18"/>
              </w:rPr>
              <w:t>49 </w:t>
            </w:r>
          </w:p>
        </w:tc>
        <w:tc>
          <w:tcPr>
            <w:tcW w:w="0" w:type="auto"/>
            <w:shd w:val="clear" w:color="auto" w:fill="E2E2E2"/>
            <w:tcMar>
              <w:top w:w="40" w:type="dxa"/>
              <w:left w:w="0" w:type="dxa"/>
              <w:bottom w:w="40" w:type="dxa"/>
              <w:right w:w="20" w:type="dxa"/>
            </w:tcMar>
            <w:vAlign w:val="bottom"/>
          </w:tcPr>
          <w:p w14:paraId="64302F2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F2E"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F2F" w14:textId="77777777" w:rsidR="009F6D8A" w:rsidRDefault="00C50974">
            <w:pPr>
              <w:jc w:val="right"/>
              <w:textAlignment w:val="bottom"/>
            </w:pPr>
            <w:r>
              <w:rPr>
                <w:rFonts w:ascii="Arial" w:eastAsia="宋体" w:hAnsi="Arial" w:cs="Arial"/>
                <w:color w:val="000000"/>
                <w:sz w:val="18"/>
                <w:szCs w:val="18"/>
              </w:rPr>
              <w:t>(107)</w:t>
            </w:r>
          </w:p>
        </w:tc>
        <w:tc>
          <w:tcPr>
            <w:tcW w:w="0" w:type="auto"/>
            <w:shd w:val="clear" w:color="auto" w:fill="E2E2E2"/>
            <w:tcMar>
              <w:top w:w="40" w:type="dxa"/>
              <w:left w:w="0" w:type="dxa"/>
              <w:bottom w:w="40" w:type="dxa"/>
              <w:right w:w="20" w:type="dxa"/>
            </w:tcMar>
            <w:vAlign w:val="bottom"/>
          </w:tcPr>
          <w:p w14:paraId="64302F30"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F31"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F32" w14:textId="77777777" w:rsidR="009F6D8A" w:rsidRDefault="00C50974">
            <w:pPr>
              <w:jc w:val="right"/>
              <w:textAlignment w:val="bottom"/>
            </w:pPr>
            <w:r>
              <w:rPr>
                <w:rFonts w:ascii="Arial" w:eastAsia="宋体" w:hAnsi="Arial" w:cs="Arial"/>
                <w:color w:val="000000"/>
                <w:sz w:val="18"/>
                <w:szCs w:val="18"/>
              </w:rPr>
              <w:t>(64)</w:t>
            </w:r>
          </w:p>
        </w:tc>
        <w:tc>
          <w:tcPr>
            <w:tcW w:w="0" w:type="auto"/>
            <w:shd w:val="clear" w:color="auto" w:fill="E2E2E2"/>
            <w:tcMar>
              <w:top w:w="40" w:type="dxa"/>
              <w:left w:w="0" w:type="dxa"/>
              <w:bottom w:w="40" w:type="dxa"/>
              <w:right w:w="20" w:type="dxa"/>
            </w:tcMar>
            <w:vAlign w:val="bottom"/>
          </w:tcPr>
          <w:p w14:paraId="64302F33" w14:textId="77777777" w:rsidR="009F6D8A" w:rsidRDefault="009F6D8A">
            <w:pPr>
              <w:jc w:val="right"/>
              <w:rPr>
                <w:rFonts w:ascii="宋体"/>
              </w:rPr>
            </w:pPr>
          </w:p>
        </w:tc>
      </w:tr>
      <w:tr w:rsidR="009F6D8A" w14:paraId="64302F41" w14:textId="77777777">
        <w:tc>
          <w:tcPr>
            <w:tcW w:w="0" w:type="auto"/>
            <w:gridSpan w:val="3"/>
            <w:shd w:val="clear" w:color="auto" w:fill="FFFFFF"/>
            <w:tcMar>
              <w:top w:w="40" w:type="dxa"/>
              <w:left w:w="245" w:type="dxa"/>
              <w:bottom w:w="40" w:type="dxa"/>
              <w:right w:w="20" w:type="dxa"/>
            </w:tcMar>
            <w:vAlign w:val="bottom"/>
          </w:tcPr>
          <w:p w14:paraId="64302F35" w14:textId="77777777" w:rsidR="009F6D8A" w:rsidRDefault="00C50974">
            <w:pPr>
              <w:textAlignment w:val="bottom"/>
            </w:pPr>
            <w:r>
              <w:rPr>
                <w:rFonts w:ascii="Arial" w:eastAsia="宋体" w:hAnsi="Arial" w:cs="Arial"/>
                <w:color w:val="000000"/>
                <w:sz w:val="18"/>
                <w:szCs w:val="18"/>
              </w:rPr>
              <w:t>Change in unrealized gains (losses) on investments</w:t>
            </w:r>
          </w:p>
        </w:tc>
        <w:tc>
          <w:tcPr>
            <w:tcW w:w="0" w:type="auto"/>
            <w:gridSpan w:val="2"/>
            <w:shd w:val="clear" w:color="auto" w:fill="FFFFFF"/>
            <w:tcMar>
              <w:top w:w="40" w:type="dxa"/>
              <w:left w:w="20" w:type="dxa"/>
              <w:bottom w:w="40" w:type="dxa"/>
              <w:right w:w="0" w:type="dxa"/>
            </w:tcMar>
            <w:vAlign w:val="bottom"/>
          </w:tcPr>
          <w:p w14:paraId="64302F36" w14:textId="77777777" w:rsidR="009F6D8A" w:rsidRDefault="00C50974">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64302F3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3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F39" w14:textId="77777777" w:rsidR="009F6D8A" w:rsidRDefault="00C50974">
            <w:pPr>
              <w:jc w:val="right"/>
              <w:textAlignment w:val="bottom"/>
            </w:pPr>
            <w:r>
              <w:rPr>
                <w:rFonts w:ascii="Arial" w:eastAsia="宋体" w:hAnsi="Arial" w:cs="Arial"/>
                <w:color w:val="000000"/>
                <w:sz w:val="18"/>
                <w:szCs w:val="18"/>
              </w:rPr>
              <w:t>32 </w:t>
            </w:r>
          </w:p>
        </w:tc>
        <w:tc>
          <w:tcPr>
            <w:tcW w:w="0" w:type="auto"/>
            <w:shd w:val="clear" w:color="auto" w:fill="FFFFFF"/>
            <w:tcMar>
              <w:top w:w="40" w:type="dxa"/>
              <w:left w:w="0" w:type="dxa"/>
              <w:bottom w:w="40" w:type="dxa"/>
              <w:right w:w="20" w:type="dxa"/>
            </w:tcMar>
            <w:vAlign w:val="bottom"/>
          </w:tcPr>
          <w:p w14:paraId="64302F3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3B"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F3C" w14:textId="77777777" w:rsidR="009F6D8A" w:rsidRDefault="00C50974">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64302F3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3E"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F3F"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4302F40" w14:textId="77777777" w:rsidR="009F6D8A" w:rsidRDefault="009F6D8A">
            <w:pPr>
              <w:jc w:val="right"/>
              <w:rPr>
                <w:rFonts w:ascii="宋体"/>
              </w:rPr>
            </w:pPr>
          </w:p>
        </w:tc>
      </w:tr>
      <w:tr w:rsidR="009F6D8A" w14:paraId="64302F4E" w14:textId="77777777">
        <w:tc>
          <w:tcPr>
            <w:tcW w:w="0" w:type="auto"/>
            <w:gridSpan w:val="3"/>
            <w:shd w:val="clear" w:color="auto" w:fill="E2E2E2"/>
            <w:tcMar>
              <w:top w:w="40" w:type="dxa"/>
              <w:left w:w="245" w:type="dxa"/>
              <w:bottom w:w="40" w:type="dxa"/>
              <w:right w:w="20" w:type="dxa"/>
            </w:tcMar>
            <w:vAlign w:val="bottom"/>
          </w:tcPr>
          <w:p w14:paraId="64302F42" w14:textId="77777777" w:rsidR="009F6D8A" w:rsidRDefault="00C50974">
            <w:pPr>
              <w:textAlignment w:val="bottom"/>
            </w:pPr>
            <w:r>
              <w:rPr>
                <w:rFonts w:ascii="Arial" w:eastAsia="宋体" w:hAnsi="Arial" w:cs="Arial"/>
                <w:color w:val="000000"/>
                <w:sz w:val="18"/>
                <w:szCs w:val="18"/>
              </w:rPr>
              <w:t>Change in unrealized gains (losses) on derivative instruments</w:t>
            </w:r>
          </w:p>
        </w:tc>
        <w:tc>
          <w:tcPr>
            <w:tcW w:w="0" w:type="auto"/>
            <w:gridSpan w:val="2"/>
            <w:shd w:val="clear" w:color="auto" w:fill="E2E2E2"/>
            <w:tcMar>
              <w:top w:w="40" w:type="dxa"/>
              <w:left w:w="20" w:type="dxa"/>
              <w:bottom w:w="40" w:type="dxa"/>
              <w:right w:w="0" w:type="dxa"/>
            </w:tcMar>
            <w:vAlign w:val="bottom"/>
          </w:tcPr>
          <w:p w14:paraId="64302F43" w14:textId="77777777" w:rsidR="009F6D8A" w:rsidRDefault="00C50974">
            <w:pPr>
              <w:jc w:val="right"/>
              <w:textAlignment w:val="bottom"/>
            </w:pPr>
            <w:r>
              <w:rPr>
                <w:rFonts w:ascii="Arial" w:eastAsia="宋体" w:hAnsi="Arial" w:cs="Arial"/>
                <w:color w:val="000000"/>
                <w:sz w:val="18"/>
                <w:szCs w:val="18"/>
              </w:rPr>
              <w:t>(4)</w:t>
            </w:r>
          </w:p>
        </w:tc>
        <w:tc>
          <w:tcPr>
            <w:tcW w:w="0" w:type="auto"/>
            <w:shd w:val="clear" w:color="auto" w:fill="E2E2E2"/>
            <w:tcMar>
              <w:top w:w="40" w:type="dxa"/>
              <w:left w:w="0" w:type="dxa"/>
              <w:bottom w:w="40" w:type="dxa"/>
              <w:right w:w="20" w:type="dxa"/>
            </w:tcMar>
            <w:vAlign w:val="bottom"/>
          </w:tcPr>
          <w:p w14:paraId="64302F44"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F45"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F46" w14:textId="77777777" w:rsidR="009F6D8A" w:rsidRDefault="00C50974">
            <w:pPr>
              <w:jc w:val="right"/>
              <w:textAlignment w:val="bottom"/>
            </w:pPr>
            <w:r>
              <w:rPr>
                <w:rFonts w:ascii="Arial" w:eastAsia="宋体" w:hAnsi="Arial" w:cs="Arial"/>
                <w:color w:val="000000"/>
                <w:sz w:val="18"/>
                <w:szCs w:val="18"/>
              </w:rPr>
              <w:t>(47)</w:t>
            </w:r>
          </w:p>
        </w:tc>
        <w:tc>
          <w:tcPr>
            <w:tcW w:w="0" w:type="auto"/>
            <w:shd w:val="clear" w:color="auto" w:fill="E2E2E2"/>
            <w:tcMar>
              <w:top w:w="40" w:type="dxa"/>
              <w:left w:w="0" w:type="dxa"/>
              <w:bottom w:w="40" w:type="dxa"/>
              <w:right w:w="20" w:type="dxa"/>
            </w:tcMar>
            <w:vAlign w:val="bottom"/>
          </w:tcPr>
          <w:p w14:paraId="64302F47"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F48"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F49" w14:textId="77777777" w:rsidR="009F6D8A" w:rsidRDefault="00C50974">
            <w:pPr>
              <w:jc w:val="right"/>
              <w:textAlignment w:val="bottom"/>
            </w:pPr>
            <w:r>
              <w:rPr>
                <w:rFonts w:ascii="Arial" w:eastAsia="宋体" w:hAnsi="Arial" w:cs="Arial"/>
                <w:color w:val="000000"/>
                <w:sz w:val="18"/>
                <w:szCs w:val="18"/>
              </w:rPr>
              <w:t>70 </w:t>
            </w:r>
          </w:p>
        </w:tc>
        <w:tc>
          <w:tcPr>
            <w:tcW w:w="0" w:type="auto"/>
            <w:shd w:val="clear" w:color="auto" w:fill="E2E2E2"/>
            <w:tcMar>
              <w:top w:w="40" w:type="dxa"/>
              <w:left w:w="0" w:type="dxa"/>
              <w:bottom w:w="40" w:type="dxa"/>
              <w:right w:w="20" w:type="dxa"/>
            </w:tcMar>
            <w:vAlign w:val="bottom"/>
          </w:tcPr>
          <w:p w14:paraId="64302F4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F4B"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2F4C"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2F4D" w14:textId="77777777" w:rsidR="009F6D8A" w:rsidRDefault="009F6D8A">
            <w:pPr>
              <w:jc w:val="right"/>
              <w:rPr>
                <w:rFonts w:ascii="宋体"/>
              </w:rPr>
            </w:pPr>
          </w:p>
        </w:tc>
      </w:tr>
      <w:tr w:rsidR="009F6D8A" w14:paraId="64302F5B" w14:textId="77777777">
        <w:tc>
          <w:tcPr>
            <w:tcW w:w="0" w:type="auto"/>
            <w:gridSpan w:val="3"/>
            <w:shd w:val="clear" w:color="auto" w:fill="FFFFFF"/>
            <w:tcMar>
              <w:top w:w="40" w:type="dxa"/>
              <w:left w:w="245" w:type="dxa"/>
              <w:bottom w:w="40" w:type="dxa"/>
              <w:right w:w="20" w:type="dxa"/>
            </w:tcMar>
            <w:vAlign w:val="bottom"/>
          </w:tcPr>
          <w:p w14:paraId="64302F4F" w14:textId="77777777" w:rsidR="009F6D8A" w:rsidRDefault="00C50974">
            <w:pPr>
              <w:textAlignment w:val="bottom"/>
            </w:pPr>
            <w:r>
              <w:rPr>
                <w:rFonts w:ascii="Arial" w:eastAsia="宋体" w:hAnsi="Arial" w:cs="Arial"/>
                <w:color w:val="000000"/>
                <w:sz w:val="18"/>
                <w:szCs w:val="18"/>
              </w:rPr>
              <w:t>Tax benefit (provision) on above items</w:t>
            </w:r>
          </w:p>
        </w:tc>
        <w:tc>
          <w:tcPr>
            <w:tcW w:w="0" w:type="auto"/>
            <w:gridSpan w:val="2"/>
            <w:shd w:val="clear" w:color="auto" w:fill="FFFFFF"/>
            <w:tcMar>
              <w:top w:w="40" w:type="dxa"/>
              <w:left w:w="20" w:type="dxa"/>
              <w:bottom w:w="40" w:type="dxa"/>
              <w:right w:w="0" w:type="dxa"/>
            </w:tcMar>
            <w:vAlign w:val="bottom"/>
          </w:tcPr>
          <w:p w14:paraId="64302F50" w14:textId="77777777" w:rsidR="009F6D8A" w:rsidRDefault="00C50974">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64302F5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5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F53" w14:textId="77777777" w:rsidR="009F6D8A" w:rsidRDefault="00C50974">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64302F5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5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F56" w14:textId="77777777" w:rsidR="009F6D8A" w:rsidRDefault="00C50974">
            <w:pPr>
              <w:jc w:val="right"/>
              <w:textAlignment w:val="bottom"/>
            </w:pPr>
            <w:r>
              <w:rPr>
                <w:rFonts w:ascii="Arial" w:eastAsia="宋体" w:hAnsi="Arial" w:cs="Arial"/>
                <w:color w:val="000000"/>
                <w:sz w:val="18"/>
                <w:szCs w:val="18"/>
              </w:rPr>
              <w:t>(15)</w:t>
            </w:r>
          </w:p>
        </w:tc>
        <w:tc>
          <w:tcPr>
            <w:tcW w:w="0" w:type="auto"/>
            <w:shd w:val="clear" w:color="auto" w:fill="FFFFFF"/>
            <w:tcMar>
              <w:top w:w="40" w:type="dxa"/>
              <w:left w:w="0" w:type="dxa"/>
              <w:bottom w:w="40" w:type="dxa"/>
              <w:right w:w="20" w:type="dxa"/>
            </w:tcMar>
            <w:vAlign w:val="bottom"/>
          </w:tcPr>
          <w:p w14:paraId="64302F5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5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F59"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2F5A" w14:textId="77777777" w:rsidR="009F6D8A" w:rsidRDefault="009F6D8A">
            <w:pPr>
              <w:jc w:val="right"/>
              <w:rPr>
                <w:rFonts w:ascii="宋体"/>
              </w:rPr>
            </w:pPr>
          </w:p>
        </w:tc>
      </w:tr>
      <w:tr w:rsidR="009F6D8A" w14:paraId="64302F64" w14:textId="77777777">
        <w:trPr>
          <w:hidden/>
        </w:trPr>
        <w:tc>
          <w:tcPr>
            <w:tcW w:w="0" w:type="auto"/>
            <w:gridSpan w:val="3"/>
            <w:shd w:val="clear" w:color="auto" w:fill="auto"/>
            <w:vAlign w:val="bottom"/>
          </w:tcPr>
          <w:p w14:paraId="64302F5C" w14:textId="77777777" w:rsidR="009F6D8A" w:rsidRDefault="009F6D8A">
            <w:pPr>
              <w:rPr>
                <w:rFonts w:ascii="宋体"/>
                <w:vanish/>
              </w:rPr>
            </w:pPr>
          </w:p>
        </w:tc>
        <w:tc>
          <w:tcPr>
            <w:tcW w:w="0" w:type="auto"/>
            <w:gridSpan w:val="3"/>
            <w:shd w:val="clear" w:color="auto" w:fill="auto"/>
            <w:vAlign w:val="bottom"/>
          </w:tcPr>
          <w:p w14:paraId="64302F5D" w14:textId="77777777" w:rsidR="009F6D8A" w:rsidRDefault="009F6D8A">
            <w:pPr>
              <w:rPr>
                <w:rFonts w:ascii="宋体"/>
                <w:vanish/>
              </w:rPr>
            </w:pPr>
          </w:p>
        </w:tc>
        <w:tc>
          <w:tcPr>
            <w:tcW w:w="0" w:type="auto"/>
            <w:gridSpan w:val="3"/>
            <w:shd w:val="clear" w:color="auto" w:fill="auto"/>
            <w:vAlign w:val="bottom"/>
          </w:tcPr>
          <w:p w14:paraId="64302F5E" w14:textId="77777777" w:rsidR="009F6D8A" w:rsidRDefault="009F6D8A">
            <w:pPr>
              <w:rPr>
                <w:rFonts w:ascii="宋体"/>
                <w:vanish/>
              </w:rPr>
            </w:pPr>
          </w:p>
        </w:tc>
        <w:tc>
          <w:tcPr>
            <w:tcW w:w="0" w:type="auto"/>
            <w:gridSpan w:val="3"/>
            <w:shd w:val="clear" w:color="auto" w:fill="auto"/>
            <w:vAlign w:val="bottom"/>
          </w:tcPr>
          <w:p w14:paraId="64302F5F" w14:textId="77777777" w:rsidR="009F6D8A" w:rsidRDefault="009F6D8A">
            <w:pPr>
              <w:rPr>
                <w:rFonts w:ascii="宋体"/>
                <w:vanish/>
              </w:rPr>
            </w:pPr>
          </w:p>
        </w:tc>
        <w:tc>
          <w:tcPr>
            <w:tcW w:w="0" w:type="auto"/>
            <w:gridSpan w:val="3"/>
            <w:shd w:val="clear" w:color="auto" w:fill="auto"/>
            <w:vAlign w:val="bottom"/>
          </w:tcPr>
          <w:p w14:paraId="64302F60" w14:textId="77777777" w:rsidR="009F6D8A" w:rsidRDefault="009F6D8A">
            <w:pPr>
              <w:rPr>
                <w:rFonts w:ascii="宋体"/>
                <w:vanish/>
              </w:rPr>
            </w:pPr>
          </w:p>
        </w:tc>
        <w:tc>
          <w:tcPr>
            <w:tcW w:w="0" w:type="auto"/>
            <w:gridSpan w:val="3"/>
            <w:shd w:val="clear" w:color="auto" w:fill="auto"/>
            <w:vAlign w:val="bottom"/>
          </w:tcPr>
          <w:p w14:paraId="64302F61" w14:textId="77777777" w:rsidR="009F6D8A" w:rsidRDefault="009F6D8A">
            <w:pPr>
              <w:rPr>
                <w:rFonts w:ascii="宋体"/>
                <w:vanish/>
              </w:rPr>
            </w:pPr>
          </w:p>
        </w:tc>
        <w:tc>
          <w:tcPr>
            <w:tcW w:w="0" w:type="auto"/>
            <w:gridSpan w:val="3"/>
            <w:shd w:val="clear" w:color="auto" w:fill="auto"/>
            <w:vAlign w:val="bottom"/>
          </w:tcPr>
          <w:p w14:paraId="64302F62" w14:textId="77777777" w:rsidR="009F6D8A" w:rsidRDefault="009F6D8A">
            <w:pPr>
              <w:rPr>
                <w:rFonts w:ascii="宋体"/>
                <w:vanish/>
              </w:rPr>
            </w:pPr>
          </w:p>
        </w:tc>
        <w:tc>
          <w:tcPr>
            <w:tcW w:w="0" w:type="auto"/>
            <w:gridSpan w:val="3"/>
            <w:shd w:val="clear" w:color="auto" w:fill="auto"/>
            <w:vAlign w:val="bottom"/>
          </w:tcPr>
          <w:p w14:paraId="64302F63" w14:textId="77777777" w:rsidR="009F6D8A" w:rsidRDefault="009F6D8A">
            <w:pPr>
              <w:rPr>
                <w:rFonts w:ascii="宋体"/>
                <w:vanish/>
              </w:rPr>
            </w:pPr>
          </w:p>
        </w:tc>
      </w:tr>
      <w:tr w:rsidR="009F6D8A" w14:paraId="64302F71" w14:textId="77777777">
        <w:tc>
          <w:tcPr>
            <w:tcW w:w="0" w:type="auto"/>
            <w:gridSpan w:val="3"/>
            <w:shd w:val="clear" w:color="auto" w:fill="E2E2E2"/>
            <w:tcMar>
              <w:top w:w="40" w:type="dxa"/>
              <w:left w:w="740" w:type="dxa"/>
              <w:bottom w:w="40" w:type="dxa"/>
              <w:right w:w="20" w:type="dxa"/>
            </w:tcMar>
            <w:vAlign w:val="bottom"/>
          </w:tcPr>
          <w:p w14:paraId="64302F65" w14:textId="77777777" w:rsidR="009F6D8A" w:rsidRDefault="00C50974">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F66" w14:textId="77777777" w:rsidR="009F6D8A" w:rsidRDefault="00C50974">
            <w:pPr>
              <w:jc w:val="right"/>
              <w:textAlignment w:val="bottom"/>
            </w:pPr>
            <w:r>
              <w:rPr>
                <w:rFonts w:ascii="Arial" w:eastAsia="宋体" w:hAnsi="Arial" w:cs="Arial"/>
                <w:color w:val="000000"/>
                <w:sz w:val="18"/>
                <w:szCs w:val="18"/>
              </w:rPr>
              <w:t>560 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F67"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F68"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F69" w14:textId="77777777" w:rsidR="009F6D8A" w:rsidRDefault="00C50974">
            <w:pPr>
              <w:jc w:val="right"/>
              <w:textAlignment w:val="bottom"/>
            </w:pPr>
            <w:r>
              <w:rPr>
                <w:rFonts w:ascii="Arial" w:eastAsia="宋体" w:hAnsi="Arial" w:cs="Arial"/>
                <w:color w:val="000000"/>
                <w:sz w:val="18"/>
                <w:szCs w:val="18"/>
              </w:rPr>
              <w:t>321 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F6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F6B"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F6C" w14:textId="77777777" w:rsidR="009F6D8A" w:rsidRDefault="00C50974">
            <w:pPr>
              <w:jc w:val="right"/>
              <w:textAlignment w:val="bottom"/>
            </w:pPr>
            <w:r>
              <w:rPr>
                <w:rFonts w:ascii="Arial" w:eastAsia="宋体" w:hAnsi="Arial" w:cs="Arial"/>
                <w:color w:val="000000"/>
                <w:sz w:val="18"/>
                <w:szCs w:val="18"/>
              </w:rPr>
              <w:t>560 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F6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2F6E"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2F6F" w14:textId="77777777" w:rsidR="009F6D8A" w:rsidRDefault="00C50974">
            <w:pPr>
              <w:jc w:val="right"/>
              <w:textAlignment w:val="bottom"/>
            </w:pPr>
            <w:r>
              <w:rPr>
                <w:rFonts w:ascii="Arial" w:eastAsia="宋体" w:hAnsi="Arial" w:cs="Arial"/>
                <w:color w:val="000000"/>
                <w:sz w:val="18"/>
                <w:szCs w:val="18"/>
              </w:rPr>
              <w:t>321 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2F70" w14:textId="77777777" w:rsidR="009F6D8A" w:rsidRDefault="009F6D8A">
            <w:pPr>
              <w:jc w:val="right"/>
              <w:rPr>
                <w:rFonts w:ascii="宋体"/>
              </w:rPr>
            </w:pPr>
          </w:p>
        </w:tc>
      </w:tr>
      <w:tr w:rsidR="009F6D8A" w14:paraId="64302F82" w14:textId="77777777">
        <w:tc>
          <w:tcPr>
            <w:tcW w:w="0" w:type="auto"/>
            <w:gridSpan w:val="3"/>
            <w:shd w:val="clear" w:color="auto" w:fill="FFFFFF"/>
            <w:tcMar>
              <w:top w:w="40" w:type="dxa"/>
              <w:left w:w="20" w:type="dxa"/>
              <w:bottom w:w="40" w:type="dxa"/>
              <w:right w:w="20" w:type="dxa"/>
            </w:tcMar>
            <w:vAlign w:val="bottom"/>
          </w:tcPr>
          <w:p w14:paraId="64302F72" w14:textId="77777777" w:rsidR="009F6D8A" w:rsidRDefault="00C50974">
            <w:pPr>
              <w:textAlignment w:val="bottom"/>
            </w:pPr>
            <w:r>
              <w:rPr>
                <w:rFonts w:ascii="Arial" w:eastAsia="宋体" w:hAnsi="Arial" w:cs="Arial"/>
                <w:color w:val="000000"/>
                <w:sz w:val="18"/>
                <w:szCs w:val="18"/>
              </w:rPr>
              <w:t>Total stockholders’ equity</w:t>
            </w:r>
          </w:p>
        </w:tc>
        <w:tc>
          <w:tcPr>
            <w:tcW w:w="0" w:type="auto"/>
            <w:tcBorders>
              <w:top w:val="single" w:sz="8" w:space="0" w:color="000000"/>
            </w:tcBorders>
            <w:shd w:val="clear" w:color="auto" w:fill="FFFFFF"/>
            <w:tcMar>
              <w:top w:w="40" w:type="dxa"/>
              <w:left w:w="20" w:type="dxa"/>
              <w:bottom w:w="40" w:type="dxa"/>
              <w:right w:w="0" w:type="dxa"/>
            </w:tcMar>
            <w:vAlign w:val="bottom"/>
          </w:tcPr>
          <w:p w14:paraId="64302F73"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2F74" w14:textId="77777777" w:rsidR="009F6D8A" w:rsidRDefault="00C50974">
            <w:pPr>
              <w:jc w:val="right"/>
              <w:textAlignment w:val="bottom"/>
            </w:pPr>
            <w:r>
              <w:rPr>
                <w:rFonts w:ascii="Arial" w:eastAsia="宋体" w:hAnsi="Arial" w:cs="Arial"/>
                <w:color w:val="000000"/>
                <w:sz w:val="18"/>
                <w:szCs w:val="18"/>
              </w:rPr>
              <w:t>13,016 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F7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76"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2F77"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2F78" w14:textId="77777777" w:rsidR="009F6D8A" w:rsidRDefault="00C50974">
            <w:pPr>
              <w:jc w:val="right"/>
              <w:textAlignment w:val="bottom"/>
            </w:pPr>
            <w:r>
              <w:rPr>
                <w:rFonts w:ascii="Arial" w:eastAsia="宋体" w:hAnsi="Arial" w:cs="Arial"/>
                <w:color w:val="000000"/>
                <w:sz w:val="18"/>
                <w:szCs w:val="18"/>
              </w:rPr>
              <w:t>2,902 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F7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7A"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2F7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2F7C" w14:textId="77777777" w:rsidR="009F6D8A" w:rsidRDefault="00C50974">
            <w:pPr>
              <w:jc w:val="right"/>
              <w:textAlignment w:val="bottom"/>
            </w:pPr>
            <w:r>
              <w:rPr>
                <w:rFonts w:ascii="Arial" w:eastAsia="宋体" w:hAnsi="Arial" w:cs="Arial"/>
                <w:color w:val="000000"/>
                <w:sz w:val="18"/>
                <w:szCs w:val="18"/>
              </w:rPr>
              <w:t>13,016 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F7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7E"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2F7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2F80" w14:textId="77777777" w:rsidR="009F6D8A" w:rsidRDefault="00C50974">
            <w:pPr>
              <w:jc w:val="right"/>
              <w:textAlignment w:val="bottom"/>
            </w:pPr>
            <w:r>
              <w:rPr>
                <w:rFonts w:ascii="Arial" w:eastAsia="宋体" w:hAnsi="Arial" w:cs="Arial"/>
                <w:color w:val="000000"/>
                <w:sz w:val="18"/>
                <w:szCs w:val="18"/>
              </w:rPr>
              <w:t>2,902 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2F81" w14:textId="77777777" w:rsidR="009F6D8A" w:rsidRDefault="009F6D8A">
            <w:pPr>
              <w:jc w:val="right"/>
              <w:rPr>
                <w:rFonts w:ascii="宋体"/>
              </w:rPr>
            </w:pPr>
          </w:p>
        </w:tc>
      </w:tr>
      <w:tr w:rsidR="009F6D8A" w14:paraId="64302F8B" w14:textId="77777777">
        <w:trPr>
          <w:trHeight w:val="300"/>
        </w:trPr>
        <w:tc>
          <w:tcPr>
            <w:tcW w:w="0" w:type="auto"/>
            <w:gridSpan w:val="3"/>
            <w:shd w:val="clear" w:color="auto" w:fill="E2E2E2"/>
            <w:tcMar>
              <w:top w:w="0" w:type="dxa"/>
              <w:left w:w="20" w:type="dxa"/>
              <w:bottom w:w="0" w:type="dxa"/>
              <w:right w:w="20" w:type="dxa"/>
            </w:tcMar>
            <w:vAlign w:val="bottom"/>
          </w:tcPr>
          <w:p w14:paraId="64302F83" w14:textId="77777777" w:rsidR="009F6D8A" w:rsidRDefault="009F6D8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2F84"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F85" w14:textId="77777777" w:rsidR="009F6D8A" w:rsidRDefault="009F6D8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2F86"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F87" w14:textId="77777777" w:rsidR="009F6D8A" w:rsidRDefault="009F6D8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2F88"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2F89" w14:textId="77777777" w:rsidR="009F6D8A" w:rsidRDefault="009F6D8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2F8A" w14:textId="77777777" w:rsidR="009F6D8A" w:rsidRDefault="009F6D8A">
            <w:pPr>
              <w:rPr>
                <w:rFonts w:ascii="宋体"/>
              </w:rPr>
            </w:pPr>
          </w:p>
        </w:tc>
      </w:tr>
      <w:tr w:rsidR="009F6D8A" w14:paraId="64302F9C" w14:textId="77777777">
        <w:tc>
          <w:tcPr>
            <w:tcW w:w="0" w:type="auto"/>
            <w:gridSpan w:val="3"/>
            <w:shd w:val="clear" w:color="auto" w:fill="FFFFFF"/>
            <w:tcMar>
              <w:top w:w="40" w:type="dxa"/>
              <w:left w:w="20" w:type="dxa"/>
              <w:bottom w:w="40" w:type="dxa"/>
              <w:right w:w="20" w:type="dxa"/>
            </w:tcMar>
            <w:vAlign w:val="bottom"/>
          </w:tcPr>
          <w:p w14:paraId="64302F8C" w14:textId="77777777" w:rsidR="009F6D8A" w:rsidRDefault="00C50974">
            <w:pPr>
              <w:textAlignment w:val="bottom"/>
            </w:pPr>
            <w:r>
              <w:rPr>
                <w:rFonts w:ascii="Arial" w:eastAsia="宋体" w:hAnsi="Arial" w:cs="Arial"/>
                <w:color w:val="000000"/>
                <w:sz w:val="18"/>
                <w:szCs w:val="18"/>
              </w:rPr>
              <w:t>Dividends and dividend equivalents declared per share or restricted stock unit</w:t>
            </w:r>
          </w:p>
        </w:tc>
        <w:tc>
          <w:tcPr>
            <w:tcW w:w="0" w:type="auto"/>
            <w:shd w:val="clear" w:color="auto" w:fill="FFFFFF"/>
            <w:tcMar>
              <w:top w:w="40" w:type="dxa"/>
              <w:left w:w="20" w:type="dxa"/>
              <w:bottom w:w="40" w:type="dxa"/>
              <w:right w:w="0" w:type="dxa"/>
            </w:tcMar>
            <w:vAlign w:val="bottom"/>
          </w:tcPr>
          <w:p w14:paraId="64302F8D"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2F8E" w14:textId="77777777" w:rsidR="009F6D8A" w:rsidRDefault="00C50974">
            <w:pPr>
              <w:jc w:val="right"/>
              <w:textAlignment w:val="bottom"/>
            </w:pPr>
            <w:r>
              <w:rPr>
                <w:rFonts w:ascii="Arial" w:eastAsia="宋体" w:hAnsi="Arial" w:cs="Arial"/>
                <w:color w:val="000000"/>
                <w:sz w:val="18"/>
                <w:szCs w:val="18"/>
              </w:rPr>
              <w:t>0.18 </w:t>
            </w:r>
          </w:p>
        </w:tc>
        <w:tc>
          <w:tcPr>
            <w:tcW w:w="0" w:type="auto"/>
            <w:shd w:val="clear" w:color="auto" w:fill="FFFFFF"/>
            <w:tcMar>
              <w:top w:w="40" w:type="dxa"/>
              <w:left w:w="0" w:type="dxa"/>
              <w:bottom w:w="40" w:type="dxa"/>
              <w:right w:w="20" w:type="dxa"/>
            </w:tcMar>
            <w:vAlign w:val="bottom"/>
          </w:tcPr>
          <w:p w14:paraId="64302F8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90"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2F91"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2F92" w14:textId="77777777" w:rsidR="009F6D8A" w:rsidRDefault="00C50974">
            <w:pPr>
              <w:jc w:val="right"/>
              <w:textAlignment w:val="bottom"/>
            </w:pPr>
            <w:r>
              <w:rPr>
                <w:rFonts w:ascii="Arial" w:eastAsia="宋体" w:hAnsi="Arial" w:cs="Arial"/>
                <w:color w:val="000000"/>
                <w:sz w:val="18"/>
                <w:szCs w:val="18"/>
              </w:rPr>
              <w:t>0.16 </w:t>
            </w:r>
          </w:p>
        </w:tc>
        <w:tc>
          <w:tcPr>
            <w:tcW w:w="0" w:type="auto"/>
            <w:shd w:val="clear" w:color="auto" w:fill="FFFFFF"/>
            <w:tcMar>
              <w:top w:w="40" w:type="dxa"/>
              <w:left w:w="0" w:type="dxa"/>
              <w:bottom w:w="40" w:type="dxa"/>
              <w:right w:w="20" w:type="dxa"/>
            </w:tcMar>
            <w:vAlign w:val="bottom"/>
          </w:tcPr>
          <w:p w14:paraId="64302F9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94"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2F95"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2F96" w14:textId="77777777" w:rsidR="009F6D8A" w:rsidRDefault="00C50974">
            <w:pPr>
              <w:jc w:val="right"/>
              <w:textAlignment w:val="bottom"/>
            </w:pPr>
            <w:r>
              <w:rPr>
                <w:rFonts w:ascii="Arial" w:eastAsia="宋体" w:hAnsi="Arial" w:cs="Arial"/>
                <w:color w:val="000000"/>
                <w:sz w:val="18"/>
                <w:szCs w:val="18"/>
              </w:rPr>
              <w:t>0.36 </w:t>
            </w:r>
          </w:p>
        </w:tc>
        <w:tc>
          <w:tcPr>
            <w:tcW w:w="0" w:type="auto"/>
            <w:shd w:val="clear" w:color="auto" w:fill="FFFFFF"/>
            <w:tcMar>
              <w:top w:w="40" w:type="dxa"/>
              <w:left w:w="0" w:type="dxa"/>
              <w:bottom w:w="40" w:type="dxa"/>
              <w:right w:w="20" w:type="dxa"/>
            </w:tcMar>
            <w:vAlign w:val="bottom"/>
          </w:tcPr>
          <w:p w14:paraId="64302F9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98"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2F99"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2F9A" w14:textId="77777777" w:rsidR="009F6D8A" w:rsidRDefault="00C50974">
            <w:pPr>
              <w:jc w:val="right"/>
              <w:textAlignment w:val="bottom"/>
            </w:pPr>
            <w:r>
              <w:rPr>
                <w:rFonts w:ascii="Arial" w:eastAsia="宋体" w:hAnsi="Arial" w:cs="Arial"/>
                <w:color w:val="000000"/>
                <w:sz w:val="18"/>
                <w:szCs w:val="18"/>
              </w:rPr>
              <w:t>0.32 </w:t>
            </w:r>
          </w:p>
        </w:tc>
        <w:tc>
          <w:tcPr>
            <w:tcW w:w="0" w:type="auto"/>
            <w:shd w:val="clear" w:color="auto" w:fill="FFFFFF"/>
            <w:tcMar>
              <w:top w:w="40" w:type="dxa"/>
              <w:left w:w="0" w:type="dxa"/>
              <w:bottom w:w="40" w:type="dxa"/>
              <w:right w:w="20" w:type="dxa"/>
            </w:tcMar>
            <w:vAlign w:val="bottom"/>
          </w:tcPr>
          <w:p w14:paraId="64302F9B" w14:textId="77777777" w:rsidR="009F6D8A" w:rsidRDefault="009F6D8A">
            <w:pPr>
              <w:jc w:val="right"/>
              <w:rPr>
                <w:rFonts w:ascii="宋体"/>
              </w:rPr>
            </w:pPr>
          </w:p>
        </w:tc>
      </w:tr>
    </w:tbl>
    <w:p w14:paraId="64302F9D" w14:textId="77777777" w:rsidR="009F6D8A" w:rsidRDefault="009F6D8A">
      <w:pPr>
        <w:jc w:val="center"/>
      </w:pPr>
    </w:p>
    <w:p w14:paraId="64302F9E" w14:textId="77777777" w:rsidR="009F6D8A" w:rsidRDefault="00C50974">
      <w:pPr>
        <w:jc w:val="center"/>
      </w:pPr>
      <w:r>
        <w:rPr>
          <w:rFonts w:ascii="Arial" w:eastAsia="宋体" w:hAnsi="Arial" w:cs="Arial"/>
          <w:color w:val="000000"/>
          <w:sz w:val="18"/>
          <w:szCs w:val="18"/>
        </w:rPr>
        <w:t xml:space="preserve">The accompanying notes are an integral part of these condensed consolidated financial statements. </w:t>
      </w:r>
    </w:p>
    <w:p w14:paraId="64302F9F" w14:textId="77777777" w:rsidR="009F6D8A" w:rsidRDefault="009F6D8A">
      <w:pPr>
        <w:jc w:val="center"/>
      </w:pPr>
    </w:p>
    <w:p w14:paraId="64302FA0" w14:textId="77777777" w:rsidR="009F6D8A" w:rsidRDefault="009F6D8A">
      <w:pPr>
        <w:jc w:val="center"/>
      </w:pPr>
    </w:p>
    <w:p w14:paraId="64302FA1" w14:textId="77777777" w:rsidR="009F6D8A" w:rsidRDefault="00C50974">
      <w:pPr>
        <w:jc w:val="center"/>
      </w:pPr>
      <w:r>
        <w:rPr>
          <w:rFonts w:ascii="Arial" w:eastAsia="宋体" w:hAnsi="Arial" w:cs="Arial"/>
          <w:color w:val="000000"/>
          <w:sz w:val="20"/>
          <w:szCs w:val="20"/>
        </w:rPr>
        <w:t>5</w:t>
      </w:r>
    </w:p>
    <w:p w14:paraId="64302FA2" w14:textId="77777777" w:rsidR="009F6D8A" w:rsidRDefault="00C50974">
      <w:r>
        <w:pict w14:anchorId="64305808">
          <v:rect id="_x0000_i1029" style="width:415.3pt;height:1.5pt" o:hralign="center" o:hrstd="t" o:hr="t" fillcolor="#a0a0a0" stroked="f"/>
        </w:pict>
      </w:r>
    </w:p>
    <w:p w14:paraId="64302FA3" w14:textId="77777777" w:rsidR="009F6D8A" w:rsidRDefault="009F6D8A"/>
    <w:p w14:paraId="64302FA4" w14:textId="77777777" w:rsidR="009F6D8A" w:rsidRDefault="00C50974">
      <w:pPr>
        <w:jc w:val="center"/>
      </w:pPr>
      <w:r>
        <w:rPr>
          <w:rFonts w:ascii="Arial" w:eastAsia="宋体" w:hAnsi="Arial" w:cs="Arial"/>
          <w:b/>
          <w:bCs/>
          <w:color w:val="000000"/>
          <w:sz w:val="20"/>
          <w:szCs w:val="20"/>
        </w:rPr>
        <w:t>eBay Inc.</w:t>
      </w:r>
    </w:p>
    <w:p w14:paraId="64302FA5" w14:textId="77777777" w:rsidR="009F6D8A" w:rsidRDefault="00C50974">
      <w:pPr>
        <w:jc w:val="center"/>
      </w:pPr>
      <w:r>
        <w:rPr>
          <w:rFonts w:ascii="Arial" w:eastAsia="宋体" w:hAnsi="Arial" w:cs="Arial"/>
          <w:b/>
          <w:bCs/>
          <w:color w:val="000000"/>
          <w:sz w:val="20"/>
          <w:szCs w:val="20"/>
        </w:rPr>
        <w:t xml:space="preserve">CONDENSED CONSOLIDATED STATEMENT OF CASH FLOWS </w:t>
      </w:r>
    </w:p>
    <w:p w14:paraId="64302FA6" w14:textId="77777777" w:rsidR="009F6D8A" w:rsidRDefault="009F6D8A">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408"/>
        <w:gridCol w:w="41"/>
        <w:gridCol w:w="121"/>
        <w:gridCol w:w="1229"/>
        <w:gridCol w:w="36"/>
        <w:gridCol w:w="36"/>
        <w:gridCol w:w="36"/>
        <w:gridCol w:w="36"/>
        <w:gridCol w:w="122"/>
        <w:gridCol w:w="1193"/>
        <w:gridCol w:w="36"/>
      </w:tblGrid>
      <w:tr w:rsidR="009F6D8A" w14:paraId="64302FB3" w14:textId="77777777">
        <w:trPr>
          <w:jc w:val="center"/>
        </w:trPr>
        <w:tc>
          <w:tcPr>
            <w:tcW w:w="50" w:type="pct"/>
            <w:shd w:val="clear" w:color="auto" w:fill="auto"/>
            <w:vAlign w:val="bottom"/>
          </w:tcPr>
          <w:p w14:paraId="64302FA7" w14:textId="77777777" w:rsidR="009F6D8A" w:rsidRDefault="009F6D8A">
            <w:pPr>
              <w:rPr>
                <w:rFonts w:ascii="宋体"/>
              </w:rPr>
            </w:pPr>
          </w:p>
        </w:tc>
        <w:tc>
          <w:tcPr>
            <w:tcW w:w="3271" w:type="pct"/>
            <w:shd w:val="clear" w:color="auto" w:fill="auto"/>
            <w:vAlign w:val="bottom"/>
          </w:tcPr>
          <w:p w14:paraId="64302FA8" w14:textId="77777777" w:rsidR="009F6D8A" w:rsidRDefault="009F6D8A">
            <w:pPr>
              <w:rPr>
                <w:rFonts w:ascii="宋体"/>
              </w:rPr>
            </w:pPr>
          </w:p>
        </w:tc>
        <w:tc>
          <w:tcPr>
            <w:tcW w:w="5" w:type="pct"/>
            <w:shd w:val="clear" w:color="auto" w:fill="auto"/>
            <w:vAlign w:val="bottom"/>
          </w:tcPr>
          <w:p w14:paraId="64302FA9" w14:textId="77777777" w:rsidR="009F6D8A" w:rsidRDefault="009F6D8A">
            <w:pPr>
              <w:rPr>
                <w:rFonts w:ascii="宋体"/>
              </w:rPr>
            </w:pPr>
          </w:p>
        </w:tc>
        <w:tc>
          <w:tcPr>
            <w:tcW w:w="50" w:type="pct"/>
            <w:shd w:val="clear" w:color="auto" w:fill="auto"/>
            <w:vAlign w:val="bottom"/>
          </w:tcPr>
          <w:p w14:paraId="64302FAA" w14:textId="77777777" w:rsidR="009F6D8A" w:rsidRDefault="009F6D8A">
            <w:pPr>
              <w:rPr>
                <w:rFonts w:ascii="宋体"/>
              </w:rPr>
            </w:pPr>
          </w:p>
        </w:tc>
        <w:tc>
          <w:tcPr>
            <w:tcW w:w="763" w:type="pct"/>
            <w:shd w:val="clear" w:color="auto" w:fill="auto"/>
            <w:vAlign w:val="bottom"/>
          </w:tcPr>
          <w:p w14:paraId="64302FAB" w14:textId="77777777" w:rsidR="009F6D8A" w:rsidRDefault="009F6D8A">
            <w:pPr>
              <w:rPr>
                <w:rFonts w:ascii="宋体"/>
              </w:rPr>
            </w:pPr>
          </w:p>
        </w:tc>
        <w:tc>
          <w:tcPr>
            <w:tcW w:w="5" w:type="pct"/>
            <w:shd w:val="clear" w:color="auto" w:fill="auto"/>
            <w:vAlign w:val="bottom"/>
          </w:tcPr>
          <w:p w14:paraId="64302FAC" w14:textId="77777777" w:rsidR="009F6D8A" w:rsidRDefault="009F6D8A">
            <w:pPr>
              <w:rPr>
                <w:rFonts w:ascii="宋体"/>
              </w:rPr>
            </w:pPr>
          </w:p>
        </w:tc>
        <w:tc>
          <w:tcPr>
            <w:tcW w:w="5" w:type="pct"/>
            <w:shd w:val="clear" w:color="auto" w:fill="auto"/>
            <w:vAlign w:val="bottom"/>
          </w:tcPr>
          <w:p w14:paraId="64302FAD" w14:textId="77777777" w:rsidR="009F6D8A" w:rsidRDefault="009F6D8A">
            <w:pPr>
              <w:rPr>
                <w:rFonts w:ascii="宋体"/>
              </w:rPr>
            </w:pPr>
          </w:p>
        </w:tc>
        <w:tc>
          <w:tcPr>
            <w:tcW w:w="26" w:type="pct"/>
            <w:shd w:val="clear" w:color="auto" w:fill="auto"/>
            <w:vAlign w:val="bottom"/>
          </w:tcPr>
          <w:p w14:paraId="64302FAE" w14:textId="77777777" w:rsidR="009F6D8A" w:rsidRDefault="009F6D8A">
            <w:pPr>
              <w:rPr>
                <w:rFonts w:ascii="宋体"/>
              </w:rPr>
            </w:pPr>
          </w:p>
        </w:tc>
        <w:tc>
          <w:tcPr>
            <w:tcW w:w="5" w:type="pct"/>
            <w:shd w:val="clear" w:color="auto" w:fill="auto"/>
            <w:vAlign w:val="bottom"/>
          </w:tcPr>
          <w:p w14:paraId="64302FAF" w14:textId="77777777" w:rsidR="009F6D8A" w:rsidRDefault="009F6D8A">
            <w:pPr>
              <w:rPr>
                <w:rFonts w:ascii="宋体"/>
              </w:rPr>
            </w:pPr>
          </w:p>
        </w:tc>
        <w:tc>
          <w:tcPr>
            <w:tcW w:w="50" w:type="pct"/>
            <w:shd w:val="clear" w:color="auto" w:fill="auto"/>
            <w:vAlign w:val="bottom"/>
          </w:tcPr>
          <w:p w14:paraId="64302FB0" w14:textId="77777777" w:rsidR="009F6D8A" w:rsidRDefault="009F6D8A">
            <w:pPr>
              <w:rPr>
                <w:rFonts w:ascii="宋体"/>
              </w:rPr>
            </w:pPr>
          </w:p>
        </w:tc>
        <w:tc>
          <w:tcPr>
            <w:tcW w:w="763" w:type="pct"/>
            <w:shd w:val="clear" w:color="auto" w:fill="auto"/>
            <w:vAlign w:val="bottom"/>
          </w:tcPr>
          <w:p w14:paraId="64302FB1" w14:textId="77777777" w:rsidR="009F6D8A" w:rsidRDefault="009F6D8A">
            <w:pPr>
              <w:rPr>
                <w:rFonts w:ascii="宋体"/>
              </w:rPr>
            </w:pPr>
          </w:p>
        </w:tc>
        <w:tc>
          <w:tcPr>
            <w:tcW w:w="5" w:type="pct"/>
            <w:shd w:val="clear" w:color="auto" w:fill="auto"/>
            <w:vAlign w:val="bottom"/>
          </w:tcPr>
          <w:p w14:paraId="64302FB2" w14:textId="77777777" w:rsidR="009F6D8A" w:rsidRDefault="009F6D8A">
            <w:pPr>
              <w:rPr>
                <w:rFonts w:ascii="宋体"/>
              </w:rPr>
            </w:pPr>
          </w:p>
        </w:tc>
      </w:tr>
      <w:tr w:rsidR="009F6D8A" w14:paraId="64302FB6" w14:textId="77777777">
        <w:trPr>
          <w:jc w:val="center"/>
        </w:trPr>
        <w:tc>
          <w:tcPr>
            <w:tcW w:w="0" w:type="auto"/>
            <w:gridSpan w:val="3"/>
            <w:shd w:val="clear" w:color="auto" w:fill="auto"/>
            <w:tcMar>
              <w:top w:w="40" w:type="dxa"/>
              <w:left w:w="20" w:type="dxa"/>
              <w:bottom w:w="40" w:type="dxa"/>
              <w:right w:w="20" w:type="dxa"/>
            </w:tcMar>
            <w:vAlign w:val="bottom"/>
          </w:tcPr>
          <w:p w14:paraId="64302FB4" w14:textId="77777777" w:rsidR="009F6D8A" w:rsidRDefault="00C50974">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64302FB5" w14:textId="77777777" w:rsidR="009F6D8A" w:rsidRDefault="00C50974">
            <w:pPr>
              <w:jc w:val="center"/>
              <w:textAlignment w:val="bottom"/>
            </w:pPr>
            <w:r>
              <w:rPr>
                <w:rFonts w:ascii="Arial" w:eastAsia="宋体" w:hAnsi="Arial" w:cs="Arial"/>
                <w:b/>
                <w:bCs/>
                <w:color w:val="000000"/>
                <w:sz w:val="18"/>
                <w:szCs w:val="18"/>
              </w:rPr>
              <w:t>Six Months Ended</w:t>
            </w:r>
            <w:r>
              <w:rPr>
                <w:rFonts w:ascii="Arial" w:eastAsia="宋体" w:hAnsi="Arial" w:cs="Arial"/>
                <w:b/>
                <w:bCs/>
                <w:color w:val="000000"/>
                <w:sz w:val="18"/>
                <w:szCs w:val="18"/>
              </w:rPr>
              <w:br/>
              <w:t>June 30,</w:t>
            </w:r>
          </w:p>
        </w:tc>
      </w:tr>
      <w:tr w:rsidR="009F6D8A" w14:paraId="64302FBB" w14:textId="77777777">
        <w:trPr>
          <w:jc w:val="center"/>
        </w:trPr>
        <w:tc>
          <w:tcPr>
            <w:tcW w:w="0" w:type="auto"/>
            <w:gridSpan w:val="3"/>
            <w:shd w:val="clear" w:color="auto" w:fill="auto"/>
            <w:tcMar>
              <w:top w:w="40" w:type="dxa"/>
              <w:left w:w="20" w:type="dxa"/>
              <w:bottom w:w="40" w:type="dxa"/>
              <w:right w:w="20" w:type="dxa"/>
            </w:tcMar>
            <w:vAlign w:val="bottom"/>
          </w:tcPr>
          <w:p w14:paraId="64302FB7" w14:textId="77777777" w:rsidR="009F6D8A" w:rsidRDefault="00C50974">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2FB8" w14:textId="77777777" w:rsidR="009F6D8A" w:rsidRDefault="00C50974">
            <w:pPr>
              <w:jc w:val="center"/>
              <w:textAlignment w:val="bottom"/>
            </w:pPr>
            <w:r>
              <w:rPr>
                <w:rFonts w:ascii="Arial" w:eastAsia="宋体" w:hAnsi="Arial" w:cs="Arial"/>
                <w:b/>
                <w:bCs/>
                <w:color w:val="000000"/>
                <w:sz w:val="18"/>
                <w:szCs w:val="18"/>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2FB9"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2FBA" w14:textId="77777777" w:rsidR="009F6D8A" w:rsidRDefault="00C50974">
            <w:pPr>
              <w:jc w:val="center"/>
              <w:textAlignment w:val="bottom"/>
            </w:pPr>
            <w:r>
              <w:rPr>
                <w:rFonts w:ascii="Arial" w:eastAsia="宋体" w:hAnsi="Arial" w:cs="Arial"/>
                <w:b/>
                <w:bCs/>
                <w:color w:val="000000"/>
                <w:sz w:val="18"/>
                <w:szCs w:val="18"/>
              </w:rPr>
              <w:t>2020</w:t>
            </w:r>
          </w:p>
        </w:tc>
      </w:tr>
      <w:tr w:rsidR="009F6D8A" w14:paraId="64302FBE" w14:textId="77777777">
        <w:trPr>
          <w:jc w:val="center"/>
        </w:trPr>
        <w:tc>
          <w:tcPr>
            <w:tcW w:w="0" w:type="auto"/>
            <w:gridSpan w:val="3"/>
            <w:shd w:val="clear" w:color="auto" w:fill="auto"/>
            <w:tcMar>
              <w:top w:w="40" w:type="dxa"/>
              <w:left w:w="20" w:type="dxa"/>
              <w:bottom w:w="40" w:type="dxa"/>
              <w:right w:w="20" w:type="dxa"/>
            </w:tcMar>
            <w:vAlign w:val="bottom"/>
          </w:tcPr>
          <w:p w14:paraId="64302FBC" w14:textId="77777777" w:rsidR="009F6D8A" w:rsidRDefault="00C50974">
            <w:pPr>
              <w:textAlignment w:val="bottom"/>
            </w:pPr>
            <w:r>
              <w:rPr>
                <w:rFonts w:ascii="Arial" w:eastAsia="宋体" w:hAnsi="Arial" w:cs="Arial"/>
                <w:b/>
                <w:bCs/>
                <w:color w:val="000000"/>
                <w:sz w:val="18"/>
                <w:szCs w:val="1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302FBD" w14:textId="77777777" w:rsidR="009F6D8A" w:rsidRDefault="00C50974">
            <w:pPr>
              <w:jc w:val="center"/>
              <w:textAlignment w:val="bottom"/>
            </w:pPr>
            <w:r>
              <w:rPr>
                <w:rFonts w:ascii="Arial" w:eastAsia="宋体" w:hAnsi="Arial" w:cs="Arial"/>
                <w:b/>
                <w:bCs/>
                <w:color w:val="000000"/>
                <w:sz w:val="16"/>
                <w:szCs w:val="16"/>
              </w:rPr>
              <w:t>(In millions)</w:t>
            </w:r>
          </w:p>
        </w:tc>
      </w:tr>
      <w:tr w:rsidR="009F6D8A" w14:paraId="64302FC1" w14:textId="77777777">
        <w:trPr>
          <w:jc w:val="center"/>
        </w:trPr>
        <w:tc>
          <w:tcPr>
            <w:tcW w:w="0" w:type="auto"/>
            <w:gridSpan w:val="3"/>
            <w:shd w:val="clear" w:color="auto" w:fill="auto"/>
            <w:tcMar>
              <w:top w:w="40" w:type="dxa"/>
              <w:left w:w="20" w:type="dxa"/>
              <w:bottom w:w="40" w:type="dxa"/>
              <w:right w:w="20" w:type="dxa"/>
            </w:tcMar>
            <w:vAlign w:val="bottom"/>
          </w:tcPr>
          <w:p w14:paraId="64302FBF" w14:textId="77777777" w:rsidR="009F6D8A" w:rsidRDefault="00C50974">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64302FC0" w14:textId="77777777" w:rsidR="009F6D8A" w:rsidRDefault="00C50974">
            <w:pPr>
              <w:jc w:val="center"/>
              <w:textAlignment w:val="bottom"/>
            </w:pPr>
            <w:r>
              <w:rPr>
                <w:rFonts w:ascii="Arial" w:eastAsia="宋体" w:hAnsi="Arial" w:cs="Arial"/>
                <w:b/>
                <w:bCs/>
                <w:color w:val="000000"/>
                <w:sz w:val="16"/>
                <w:szCs w:val="16"/>
              </w:rPr>
              <w:t>(Unaudited)</w:t>
            </w:r>
          </w:p>
        </w:tc>
      </w:tr>
      <w:tr w:rsidR="009F6D8A" w14:paraId="64302FC6" w14:textId="77777777">
        <w:trPr>
          <w:jc w:val="center"/>
        </w:trPr>
        <w:tc>
          <w:tcPr>
            <w:tcW w:w="0" w:type="auto"/>
            <w:gridSpan w:val="3"/>
            <w:shd w:val="clear" w:color="auto" w:fill="E1E1E1"/>
            <w:tcMar>
              <w:top w:w="40" w:type="dxa"/>
              <w:left w:w="20" w:type="dxa"/>
              <w:bottom w:w="40" w:type="dxa"/>
              <w:right w:w="20" w:type="dxa"/>
            </w:tcMar>
            <w:vAlign w:val="bottom"/>
          </w:tcPr>
          <w:p w14:paraId="64302FC2" w14:textId="77777777" w:rsidR="009F6D8A" w:rsidRDefault="00C50974">
            <w:pPr>
              <w:textAlignment w:val="bottom"/>
            </w:pPr>
            <w:r>
              <w:rPr>
                <w:rFonts w:ascii="Arial" w:eastAsia="宋体" w:hAnsi="Arial" w:cs="Arial"/>
                <w:color w:val="000000"/>
                <w:sz w:val="18"/>
                <w:szCs w:val="18"/>
              </w:rPr>
              <w:t>Cash flows from operating activities:</w:t>
            </w:r>
          </w:p>
        </w:tc>
        <w:tc>
          <w:tcPr>
            <w:tcW w:w="0" w:type="auto"/>
            <w:gridSpan w:val="3"/>
            <w:shd w:val="clear" w:color="auto" w:fill="E1E1E1"/>
            <w:tcMar>
              <w:top w:w="40" w:type="dxa"/>
              <w:left w:w="20" w:type="dxa"/>
              <w:bottom w:w="40" w:type="dxa"/>
              <w:right w:w="20" w:type="dxa"/>
            </w:tcMar>
            <w:vAlign w:val="bottom"/>
          </w:tcPr>
          <w:p w14:paraId="64302FC3" w14:textId="77777777" w:rsidR="009F6D8A" w:rsidRDefault="00C50974">
            <w:pPr>
              <w:textAlignment w:val="bottom"/>
            </w:pPr>
            <w:r>
              <w:rPr>
                <w:rFonts w:ascii="Arial" w:eastAsia="宋体" w:hAnsi="Arial" w:cs="Arial"/>
                <w:color w:val="000000"/>
                <w:sz w:val="18"/>
                <w:szCs w:val="18"/>
              </w:rPr>
              <w:t> </w:t>
            </w:r>
          </w:p>
        </w:tc>
        <w:tc>
          <w:tcPr>
            <w:tcW w:w="0" w:type="auto"/>
            <w:gridSpan w:val="3"/>
            <w:shd w:val="clear" w:color="auto" w:fill="E1E1E1"/>
            <w:tcMar>
              <w:top w:w="0" w:type="dxa"/>
              <w:left w:w="20" w:type="dxa"/>
              <w:bottom w:w="0" w:type="dxa"/>
              <w:right w:w="20" w:type="dxa"/>
            </w:tcMar>
            <w:vAlign w:val="bottom"/>
          </w:tcPr>
          <w:p w14:paraId="64302FC4" w14:textId="77777777" w:rsidR="009F6D8A" w:rsidRDefault="009F6D8A">
            <w:pPr>
              <w:rPr>
                <w:rFonts w:ascii="宋体"/>
              </w:rPr>
            </w:pPr>
          </w:p>
        </w:tc>
        <w:tc>
          <w:tcPr>
            <w:tcW w:w="0" w:type="auto"/>
            <w:gridSpan w:val="3"/>
            <w:shd w:val="clear" w:color="auto" w:fill="E1E1E1"/>
            <w:tcMar>
              <w:top w:w="40" w:type="dxa"/>
              <w:left w:w="20" w:type="dxa"/>
              <w:bottom w:w="40" w:type="dxa"/>
              <w:right w:w="20" w:type="dxa"/>
            </w:tcMar>
            <w:vAlign w:val="bottom"/>
          </w:tcPr>
          <w:p w14:paraId="64302FC5" w14:textId="77777777" w:rsidR="009F6D8A" w:rsidRDefault="00C50974">
            <w:pPr>
              <w:textAlignment w:val="bottom"/>
            </w:pPr>
            <w:r>
              <w:rPr>
                <w:rFonts w:ascii="Arial" w:eastAsia="宋体" w:hAnsi="Arial" w:cs="Arial"/>
                <w:color w:val="FFFFFF"/>
                <w:sz w:val="18"/>
                <w:szCs w:val="18"/>
              </w:rPr>
              <w:t> </w:t>
            </w:r>
          </w:p>
        </w:tc>
      </w:tr>
      <w:tr w:rsidR="009F6D8A" w14:paraId="64302FCF" w14:textId="77777777">
        <w:trPr>
          <w:jc w:val="center"/>
        </w:trPr>
        <w:tc>
          <w:tcPr>
            <w:tcW w:w="0" w:type="auto"/>
            <w:gridSpan w:val="3"/>
            <w:shd w:val="clear" w:color="auto" w:fill="FFFFFF"/>
            <w:tcMar>
              <w:top w:w="40" w:type="dxa"/>
              <w:left w:w="245" w:type="dxa"/>
              <w:bottom w:w="40" w:type="dxa"/>
              <w:right w:w="20" w:type="dxa"/>
            </w:tcMar>
            <w:vAlign w:val="bottom"/>
          </w:tcPr>
          <w:p w14:paraId="64302FC7" w14:textId="77777777" w:rsidR="009F6D8A" w:rsidRDefault="00C50974">
            <w:pPr>
              <w:textAlignment w:val="bottom"/>
            </w:pPr>
            <w:r>
              <w:rPr>
                <w:rFonts w:ascii="Arial" w:eastAsia="宋体" w:hAnsi="Arial" w:cs="Arial"/>
                <w:color w:val="000000"/>
                <w:sz w:val="18"/>
                <w:szCs w:val="18"/>
              </w:rPr>
              <w:t>Net income</w:t>
            </w:r>
          </w:p>
        </w:tc>
        <w:tc>
          <w:tcPr>
            <w:tcW w:w="0" w:type="auto"/>
            <w:shd w:val="clear" w:color="auto" w:fill="FFFFFF"/>
            <w:tcMar>
              <w:top w:w="40" w:type="dxa"/>
              <w:left w:w="20" w:type="dxa"/>
              <w:bottom w:w="40" w:type="dxa"/>
              <w:right w:w="0" w:type="dxa"/>
            </w:tcMar>
            <w:vAlign w:val="bottom"/>
          </w:tcPr>
          <w:p w14:paraId="64302FC8"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2FC9" w14:textId="77777777" w:rsidR="009F6D8A" w:rsidRDefault="00C50974">
            <w:pPr>
              <w:jc w:val="right"/>
              <w:textAlignment w:val="bottom"/>
            </w:pPr>
            <w:r>
              <w:rPr>
                <w:rFonts w:ascii="Arial" w:eastAsia="宋体" w:hAnsi="Arial" w:cs="Arial"/>
                <w:color w:val="000000"/>
                <w:sz w:val="18"/>
                <w:szCs w:val="18"/>
              </w:rPr>
              <w:t>11,375 </w:t>
            </w:r>
          </w:p>
        </w:tc>
        <w:tc>
          <w:tcPr>
            <w:tcW w:w="0" w:type="auto"/>
            <w:shd w:val="clear" w:color="auto" w:fill="FFFFFF"/>
            <w:tcMar>
              <w:top w:w="40" w:type="dxa"/>
              <w:left w:w="0" w:type="dxa"/>
              <w:bottom w:w="40" w:type="dxa"/>
              <w:right w:w="20" w:type="dxa"/>
            </w:tcMar>
            <w:vAlign w:val="bottom"/>
          </w:tcPr>
          <w:p w14:paraId="64302FC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CB"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2FCC"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2FCD" w14:textId="77777777" w:rsidR="009F6D8A" w:rsidRDefault="00C50974">
            <w:pPr>
              <w:jc w:val="right"/>
              <w:textAlignment w:val="bottom"/>
            </w:pPr>
            <w:r>
              <w:rPr>
                <w:rFonts w:ascii="Arial" w:eastAsia="宋体" w:hAnsi="Arial" w:cs="Arial"/>
                <w:color w:val="000000"/>
                <w:sz w:val="18"/>
                <w:szCs w:val="18"/>
              </w:rPr>
              <w:t>4,158 </w:t>
            </w:r>
          </w:p>
        </w:tc>
        <w:tc>
          <w:tcPr>
            <w:tcW w:w="0" w:type="auto"/>
            <w:shd w:val="clear" w:color="auto" w:fill="FFFFFF"/>
            <w:tcMar>
              <w:top w:w="40" w:type="dxa"/>
              <w:left w:w="0" w:type="dxa"/>
              <w:bottom w:w="40" w:type="dxa"/>
              <w:right w:w="20" w:type="dxa"/>
            </w:tcMar>
            <w:vAlign w:val="bottom"/>
          </w:tcPr>
          <w:p w14:paraId="64302FCE" w14:textId="77777777" w:rsidR="009F6D8A" w:rsidRDefault="009F6D8A">
            <w:pPr>
              <w:jc w:val="right"/>
              <w:rPr>
                <w:rFonts w:ascii="宋体"/>
              </w:rPr>
            </w:pPr>
          </w:p>
        </w:tc>
      </w:tr>
      <w:tr w:rsidR="009F6D8A" w14:paraId="64302FD6" w14:textId="77777777">
        <w:trPr>
          <w:jc w:val="center"/>
        </w:trPr>
        <w:tc>
          <w:tcPr>
            <w:tcW w:w="0" w:type="auto"/>
            <w:gridSpan w:val="3"/>
            <w:shd w:val="clear" w:color="auto" w:fill="E1E1E1"/>
            <w:tcMar>
              <w:top w:w="40" w:type="dxa"/>
              <w:left w:w="245" w:type="dxa"/>
              <w:bottom w:w="40" w:type="dxa"/>
              <w:right w:w="20" w:type="dxa"/>
            </w:tcMar>
            <w:vAlign w:val="bottom"/>
          </w:tcPr>
          <w:p w14:paraId="64302FD0" w14:textId="77777777" w:rsidR="009F6D8A" w:rsidRDefault="00C50974">
            <w:pPr>
              <w:textAlignment w:val="bottom"/>
            </w:pPr>
            <w:r>
              <w:rPr>
                <w:rFonts w:ascii="Arial" w:eastAsia="宋体" w:hAnsi="Arial" w:cs="Arial"/>
                <w:color w:val="000000"/>
                <w:sz w:val="18"/>
                <w:szCs w:val="18"/>
              </w:rPr>
              <w:t xml:space="preserve">Income from discontinued </w:t>
            </w:r>
            <w:r>
              <w:rPr>
                <w:rFonts w:ascii="Arial" w:eastAsia="宋体" w:hAnsi="Arial" w:cs="Arial"/>
                <w:color w:val="000000"/>
                <w:sz w:val="18"/>
                <w:szCs w:val="18"/>
              </w:rPr>
              <w:t>operations, net of income taxes</w:t>
            </w:r>
          </w:p>
        </w:tc>
        <w:tc>
          <w:tcPr>
            <w:tcW w:w="0" w:type="auto"/>
            <w:gridSpan w:val="2"/>
            <w:shd w:val="clear" w:color="auto" w:fill="E1E1E1"/>
            <w:tcMar>
              <w:top w:w="40" w:type="dxa"/>
              <w:left w:w="20" w:type="dxa"/>
              <w:bottom w:w="40" w:type="dxa"/>
              <w:right w:w="0" w:type="dxa"/>
            </w:tcMar>
            <w:vAlign w:val="bottom"/>
          </w:tcPr>
          <w:p w14:paraId="64302FD1" w14:textId="77777777" w:rsidR="009F6D8A" w:rsidRDefault="00C50974">
            <w:pPr>
              <w:jc w:val="right"/>
              <w:textAlignment w:val="bottom"/>
            </w:pPr>
            <w:r>
              <w:rPr>
                <w:rFonts w:ascii="Arial" w:eastAsia="宋体" w:hAnsi="Arial" w:cs="Arial"/>
                <w:color w:val="000000"/>
                <w:sz w:val="18"/>
                <w:szCs w:val="18"/>
              </w:rPr>
              <w:t>(10,513)</w:t>
            </w:r>
          </w:p>
        </w:tc>
        <w:tc>
          <w:tcPr>
            <w:tcW w:w="0" w:type="auto"/>
            <w:shd w:val="clear" w:color="auto" w:fill="E1E1E1"/>
            <w:tcMar>
              <w:top w:w="40" w:type="dxa"/>
              <w:left w:w="0" w:type="dxa"/>
              <w:bottom w:w="40" w:type="dxa"/>
              <w:right w:w="20" w:type="dxa"/>
            </w:tcMar>
            <w:vAlign w:val="bottom"/>
          </w:tcPr>
          <w:p w14:paraId="64302FD2"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2FD3"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2FD4" w14:textId="77777777" w:rsidR="009F6D8A" w:rsidRDefault="00C50974">
            <w:pPr>
              <w:jc w:val="right"/>
              <w:textAlignment w:val="bottom"/>
            </w:pPr>
            <w:r>
              <w:rPr>
                <w:rFonts w:ascii="Arial" w:eastAsia="宋体" w:hAnsi="Arial" w:cs="Arial"/>
                <w:color w:val="000000"/>
                <w:sz w:val="18"/>
                <w:szCs w:val="18"/>
              </w:rPr>
              <w:t>(3,048)</w:t>
            </w:r>
          </w:p>
        </w:tc>
        <w:tc>
          <w:tcPr>
            <w:tcW w:w="0" w:type="auto"/>
            <w:shd w:val="clear" w:color="auto" w:fill="E1E1E1"/>
            <w:tcMar>
              <w:top w:w="40" w:type="dxa"/>
              <w:left w:w="0" w:type="dxa"/>
              <w:bottom w:w="40" w:type="dxa"/>
              <w:right w:w="20" w:type="dxa"/>
            </w:tcMar>
            <w:vAlign w:val="bottom"/>
          </w:tcPr>
          <w:p w14:paraId="64302FD5" w14:textId="77777777" w:rsidR="009F6D8A" w:rsidRDefault="009F6D8A">
            <w:pPr>
              <w:jc w:val="right"/>
              <w:rPr>
                <w:rFonts w:ascii="宋体"/>
              </w:rPr>
            </w:pPr>
          </w:p>
        </w:tc>
      </w:tr>
      <w:tr w:rsidR="009F6D8A" w14:paraId="64302FDB" w14:textId="77777777">
        <w:trPr>
          <w:jc w:val="center"/>
        </w:trPr>
        <w:tc>
          <w:tcPr>
            <w:tcW w:w="0" w:type="auto"/>
            <w:gridSpan w:val="3"/>
            <w:shd w:val="clear" w:color="auto" w:fill="FFFFFF"/>
            <w:tcMar>
              <w:top w:w="40" w:type="dxa"/>
              <w:left w:w="245" w:type="dxa"/>
              <w:bottom w:w="40" w:type="dxa"/>
              <w:right w:w="20" w:type="dxa"/>
            </w:tcMar>
            <w:vAlign w:val="bottom"/>
          </w:tcPr>
          <w:p w14:paraId="64302FD7" w14:textId="77777777" w:rsidR="009F6D8A" w:rsidRDefault="00C50974">
            <w:pPr>
              <w:textAlignment w:val="bottom"/>
            </w:pPr>
            <w:r>
              <w:rPr>
                <w:rFonts w:ascii="Arial" w:eastAsia="宋体" w:hAnsi="Arial" w:cs="Arial"/>
                <w:color w:val="000000"/>
                <w:sz w:val="18"/>
                <w:szCs w:val="18"/>
              </w:rPr>
              <w:t>Adjustments:</w:t>
            </w:r>
          </w:p>
        </w:tc>
        <w:tc>
          <w:tcPr>
            <w:tcW w:w="0" w:type="auto"/>
            <w:gridSpan w:val="3"/>
            <w:shd w:val="clear" w:color="auto" w:fill="FFFFFF"/>
            <w:tcMar>
              <w:top w:w="0" w:type="dxa"/>
              <w:left w:w="20" w:type="dxa"/>
              <w:bottom w:w="0" w:type="dxa"/>
              <w:right w:w="20" w:type="dxa"/>
            </w:tcMar>
            <w:vAlign w:val="bottom"/>
          </w:tcPr>
          <w:p w14:paraId="64302FD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FD9"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2FDA" w14:textId="77777777" w:rsidR="009F6D8A" w:rsidRDefault="009F6D8A">
            <w:pPr>
              <w:rPr>
                <w:rFonts w:ascii="宋体"/>
              </w:rPr>
            </w:pPr>
          </w:p>
        </w:tc>
      </w:tr>
      <w:tr w:rsidR="009F6D8A" w14:paraId="64302FE2" w14:textId="77777777">
        <w:trPr>
          <w:jc w:val="center"/>
        </w:trPr>
        <w:tc>
          <w:tcPr>
            <w:tcW w:w="0" w:type="auto"/>
            <w:gridSpan w:val="3"/>
            <w:shd w:val="clear" w:color="auto" w:fill="E1E1E1"/>
            <w:tcMar>
              <w:top w:w="40" w:type="dxa"/>
              <w:left w:w="515" w:type="dxa"/>
              <w:bottom w:w="40" w:type="dxa"/>
              <w:right w:w="20" w:type="dxa"/>
            </w:tcMar>
            <w:vAlign w:val="bottom"/>
          </w:tcPr>
          <w:p w14:paraId="64302FDC" w14:textId="77777777" w:rsidR="009F6D8A" w:rsidRDefault="00C50974">
            <w:pPr>
              <w:textAlignment w:val="bottom"/>
            </w:pPr>
            <w:r>
              <w:rPr>
                <w:rFonts w:ascii="Arial" w:eastAsia="宋体" w:hAnsi="Arial" w:cs="Arial"/>
                <w:color w:val="000000"/>
                <w:sz w:val="18"/>
                <w:szCs w:val="18"/>
              </w:rPr>
              <w:t>Provision for transaction losses</w:t>
            </w:r>
          </w:p>
        </w:tc>
        <w:tc>
          <w:tcPr>
            <w:tcW w:w="0" w:type="auto"/>
            <w:gridSpan w:val="2"/>
            <w:shd w:val="clear" w:color="auto" w:fill="E1E1E1"/>
            <w:tcMar>
              <w:top w:w="40" w:type="dxa"/>
              <w:left w:w="20" w:type="dxa"/>
              <w:bottom w:w="40" w:type="dxa"/>
              <w:right w:w="0" w:type="dxa"/>
            </w:tcMar>
            <w:vAlign w:val="bottom"/>
          </w:tcPr>
          <w:p w14:paraId="64302FDD" w14:textId="77777777" w:rsidR="009F6D8A" w:rsidRDefault="00C50974">
            <w:pPr>
              <w:jc w:val="right"/>
              <w:textAlignment w:val="bottom"/>
            </w:pPr>
            <w:r>
              <w:rPr>
                <w:rFonts w:ascii="Arial" w:eastAsia="宋体" w:hAnsi="Arial" w:cs="Arial"/>
                <w:color w:val="000000"/>
                <w:sz w:val="18"/>
                <w:szCs w:val="18"/>
              </w:rPr>
              <w:t>191 </w:t>
            </w:r>
          </w:p>
        </w:tc>
        <w:tc>
          <w:tcPr>
            <w:tcW w:w="0" w:type="auto"/>
            <w:shd w:val="clear" w:color="auto" w:fill="E1E1E1"/>
            <w:tcMar>
              <w:top w:w="40" w:type="dxa"/>
              <w:left w:w="0" w:type="dxa"/>
              <w:bottom w:w="40" w:type="dxa"/>
              <w:right w:w="20" w:type="dxa"/>
            </w:tcMar>
            <w:vAlign w:val="bottom"/>
          </w:tcPr>
          <w:p w14:paraId="64302FDE"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2FDF"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2FE0" w14:textId="77777777" w:rsidR="009F6D8A" w:rsidRDefault="00C50974">
            <w:pPr>
              <w:jc w:val="right"/>
              <w:textAlignment w:val="bottom"/>
            </w:pPr>
            <w:r>
              <w:rPr>
                <w:rFonts w:ascii="Arial" w:eastAsia="宋体" w:hAnsi="Arial" w:cs="Arial"/>
                <w:color w:val="000000"/>
                <w:sz w:val="18"/>
                <w:szCs w:val="18"/>
              </w:rPr>
              <w:t>185 </w:t>
            </w:r>
          </w:p>
        </w:tc>
        <w:tc>
          <w:tcPr>
            <w:tcW w:w="0" w:type="auto"/>
            <w:shd w:val="clear" w:color="auto" w:fill="E1E1E1"/>
            <w:tcMar>
              <w:top w:w="40" w:type="dxa"/>
              <w:left w:w="0" w:type="dxa"/>
              <w:bottom w:w="40" w:type="dxa"/>
              <w:right w:w="20" w:type="dxa"/>
            </w:tcMar>
            <w:vAlign w:val="bottom"/>
          </w:tcPr>
          <w:p w14:paraId="64302FE1" w14:textId="77777777" w:rsidR="009F6D8A" w:rsidRDefault="009F6D8A">
            <w:pPr>
              <w:jc w:val="right"/>
              <w:rPr>
                <w:rFonts w:ascii="宋体"/>
              </w:rPr>
            </w:pPr>
          </w:p>
        </w:tc>
      </w:tr>
      <w:tr w:rsidR="009F6D8A" w14:paraId="64302FE9" w14:textId="77777777">
        <w:trPr>
          <w:jc w:val="center"/>
        </w:trPr>
        <w:tc>
          <w:tcPr>
            <w:tcW w:w="0" w:type="auto"/>
            <w:gridSpan w:val="3"/>
            <w:shd w:val="clear" w:color="auto" w:fill="FFFFFF"/>
            <w:tcMar>
              <w:top w:w="40" w:type="dxa"/>
              <w:left w:w="515" w:type="dxa"/>
              <w:bottom w:w="40" w:type="dxa"/>
              <w:right w:w="20" w:type="dxa"/>
            </w:tcMar>
            <w:vAlign w:val="bottom"/>
          </w:tcPr>
          <w:p w14:paraId="64302FE3" w14:textId="77777777" w:rsidR="009F6D8A" w:rsidRDefault="00C50974">
            <w:pPr>
              <w:textAlignment w:val="bottom"/>
            </w:pPr>
            <w:r>
              <w:rPr>
                <w:rFonts w:ascii="Arial" w:eastAsia="宋体" w:hAnsi="Arial" w:cs="Arial"/>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64302FE4" w14:textId="77777777" w:rsidR="009F6D8A" w:rsidRDefault="00C50974">
            <w:pPr>
              <w:jc w:val="right"/>
              <w:textAlignment w:val="bottom"/>
            </w:pPr>
            <w:r>
              <w:rPr>
                <w:rFonts w:ascii="Arial" w:eastAsia="宋体" w:hAnsi="Arial" w:cs="Arial"/>
                <w:color w:val="000000"/>
                <w:sz w:val="18"/>
                <w:szCs w:val="18"/>
              </w:rPr>
              <w:t>261 </w:t>
            </w:r>
          </w:p>
        </w:tc>
        <w:tc>
          <w:tcPr>
            <w:tcW w:w="0" w:type="auto"/>
            <w:shd w:val="clear" w:color="auto" w:fill="FFFFFF"/>
            <w:tcMar>
              <w:top w:w="40" w:type="dxa"/>
              <w:left w:w="0" w:type="dxa"/>
              <w:bottom w:w="40" w:type="dxa"/>
              <w:right w:w="20" w:type="dxa"/>
            </w:tcMar>
            <w:vAlign w:val="bottom"/>
          </w:tcPr>
          <w:p w14:paraId="64302FE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E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FE7" w14:textId="77777777" w:rsidR="009F6D8A" w:rsidRDefault="00C50974">
            <w:pPr>
              <w:jc w:val="right"/>
              <w:textAlignment w:val="bottom"/>
            </w:pPr>
            <w:r>
              <w:rPr>
                <w:rFonts w:ascii="Arial" w:eastAsia="宋体" w:hAnsi="Arial" w:cs="Arial"/>
                <w:color w:val="000000"/>
                <w:sz w:val="18"/>
                <w:szCs w:val="18"/>
              </w:rPr>
              <w:t>295 </w:t>
            </w:r>
          </w:p>
        </w:tc>
        <w:tc>
          <w:tcPr>
            <w:tcW w:w="0" w:type="auto"/>
            <w:shd w:val="clear" w:color="auto" w:fill="FFFFFF"/>
            <w:tcMar>
              <w:top w:w="40" w:type="dxa"/>
              <w:left w:w="0" w:type="dxa"/>
              <w:bottom w:w="40" w:type="dxa"/>
              <w:right w:w="20" w:type="dxa"/>
            </w:tcMar>
            <w:vAlign w:val="bottom"/>
          </w:tcPr>
          <w:p w14:paraId="64302FE8" w14:textId="77777777" w:rsidR="009F6D8A" w:rsidRDefault="009F6D8A">
            <w:pPr>
              <w:jc w:val="right"/>
              <w:rPr>
                <w:rFonts w:ascii="宋体"/>
              </w:rPr>
            </w:pPr>
          </w:p>
        </w:tc>
      </w:tr>
      <w:tr w:rsidR="009F6D8A" w14:paraId="64302FF0" w14:textId="77777777">
        <w:trPr>
          <w:jc w:val="center"/>
        </w:trPr>
        <w:tc>
          <w:tcPr>
            <w:tcW w:w="0" w:type="auto"/>
            <w:gridSpan w:val="3"/>
            <w:shd w:val="clear" w:color="auto" w:fill="E1E1E1"/>
            <w:tcMar>
              <w:top w:w="40" w:type="dxa"/>
              <w:left w:w="515" w:type="dxa"/>
              <w:bottom w:w="40" w:type="dxa"/>
              <w:right w:w="20" w:type="dxa"/>
            </w:tcMar>
            <w:vAlign w:val="bottom"/>
          </w:tcPr>
          <w:p w14:paraId="64302FEA" w14:textId="77777777" w:rsidR="009F6D8A" w:rsidRDefault="00C50974">
            <w:pPr>
              <w:textAlignment w:val="bottom"/>
            </w:pPr>
            <w:r>
              <w:rPr>
                <w:rFonts w:ascii="Arial" w:eastAsia="宋体" w:hAnsi="Arial" w:cs="Arial"/>
                <w:color w:val="000000"/>
                <w:sz w:val="18"/>
                <w:szCs w:val="18"/>
              </w:rPr>
              <w:t>Stock-based compensation</w:t>
            </w:r>
          </w:p>
        </w:tc>
        <w:tc>
          <w:tcPr>
            <w:tcW w:w="0" w:type="auto"/>
            <w:gridSpan w:val="2"/>
            <w:shd w:val="clear" w:color="auto" w:fill="E1E1E1"/>
            <w:tcMar>
              <w:top w:w="40" w:type="dxa"/>
              <w:left w:w="20" w:type="dxa"/>
              <w:bottom w:w="40" w:type="dxa"/>
              <w:right w:w="0" w:type="dxa"/>
            </w:tcMar>
            <w:vAlign w:val="bottom"/>
          </w:tcPr>
          <w:p w14:paraId="64302FEB" w14:textId="77777777" w:rsidR="009F6D8A" w:rsidRDefault="00C50974">
            <w:pPr>
              <w:jc w:val="right"/>
              <w:textAlignment w:val="bottom"/>
            </w:pPr>
            <w:r>
              <w:rPr>
                <w:rFonts w:ascii="Arial" w:eastAsia="宋体" w:hAnsi="Arial" w:cs="Arial"/>
                <w:color w:val="000000"/>
                <w:sz w:val="18"/>
                <w:szCs w:val="18"/>
              </w:rPr>
              <w:t>238 </w:t>
            </w:r>
          </w:p>
        </w:tc>
        <w:tc>
          <w:tcPr>
            <w:tcW w:w="0" w:type="auto"/>
            <w:shd w:val="clear" w:color="auto" w:fill="E1E1E1"/>
            <w:tcMar>
              <w:top w:w="40" w:type="dxa"/>
              <w:left w:w="0" w:type="dxa"/>
              <w:bottom w:w="40" w:type="dxa"/>
              <w:right w:w="20" w:type="dxa"/>
            </w:tcMar>
            <w:vAlign w:val="bottom"/>
          </w:tcPr>
          <w:p w14:paraId="64302FEC"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2FED"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2FEE" w14:textId="77777777" w:rsidR="009F6D8A" w:rsidRDefault="00C50974">
            <w:pPr>
              <w:jc w:val="right"/>
              <w:textAlignment w:val="bottom"/>
            </w:pPr>
            <w:r>
              <w:rPr>
                <w:rFonts w:ascii="Arial" w:eastAsia="宋体" w:hAnsi="Arial" w:cs="Arial"/>
                <w:color w:val="000000"/>
                <w:sz w:val="18"/>
                <w:szCs w:val="18"/>
              </w:rPr>
              <w:t>191 </w:t>
            </w:r>
          </w:p>
        </w:tc>
        <w:tc>
          <w:tcPr>
            <w:tcW w:w="0" w:type="auto"/>
            <w:shd w:val="clear" w:color="auto" w:fill="E1E1E1"/>
            <w:tcMar>
              <w:top w:w="40" w:type="dxa"/>
              <w:left w:w="0" w:type="dxa"/>
              <w:bottom w:w="40" w:type="dxa"/>
              <w:right w:w="20" w:type="dxa"/>
            </w:tcMar>
            <w:vAlign w:val="bottom"/>
          </w:tcPr>
          <w:p w14:paraId="64302FEF" w14:textId="77777777" w:rsidR="009F6D8A" w:rsidRDefault="009F6D8A">
            <w:pPr>
              <w:jc w:val="right"/>
              <w:rPr>
                <w:rFonts w:ascii="宋体"/>
              </w:rPr>
            </w:pPr>
          </w:p>
        </w:tc>
      </w:tr>
      <w:tr w:rsidR="009F6D8A" w14:paraId="64302FF5" w14:textId="77777777">
        <w:trPr>
          <w:jc w:val="center"/>
          <w:hidden/>
        </w:trPr>
        <w:tc>
          <w:tcPr>
            <w:tcW w:w="0" w:type="auto"/>
            <w:gridSpan w:val="3"/>
            <w:shd w:val="clear" w:color="auto" w:fill="auto"/>
            <w:vAlign w:val="bottom"/>
          </w:tcPr>
          <w:p w14:paraId="64302FF1" w14:textId="77777777" w:rsidR="009F6D8A" w:rsidRDefault="009F6D8A">
            <w:pPr>
              <w:rPr>
                <w:rFonts w:ascii="宋体"/>
                <w:vanish/>
              </w:rPr>
            </w:pPr>
          </w:p>
        </w:tc>
        <w:tc>
          <w:tcPr>
            <w:tcW w:w="0" w:type="auto"/>
            <w:gridSpan w:val="3"/>
            <w:shd w:val="clear" w:color="auto" w:fill="auto"/>
            <w:vAlign w:val="bottom"/>
          </w:tcPr>
          <w:p w14:paraId="64302FF2" w14:textId="77777777" w:rsidR="009F6D8A" w:rsidRDefault="009F6D8A">
            <w:pPr>
              <w:rPr>
                <w:rFonts w:ascii="宋体"/>
                <w:vanish/>
              </w:rPr>
            </w:pPr>
          </w:p>
        </w:tc>
        <w:tc>
          <w:tcPr>
            <w:tcW w:w="0" w:type="auto"/>
            <w:gridSpan w:val="3"/>
            <w:shd w:val="clear" w:color="auto" w:fill="auto"/>
            <w:vAlign w:val="bottom"/>
          </w:tcPr>
          <w:p w14:paraId="64302FF3" w14:textId="77777777" w:rsidR="009F6D8A" w:rsidRDefault="009F6D8A">
            <w:pPr>
              <w:rPr>
                <w:rFonts w:ascii="宋体"/>
                <w:vanish/>
              </w:rPr>
            </w:pPr>
          </w:p>
        </w:tc>
        <w:tc>
          <w:tcPr>
            <w:tcW w:w="0" w:type="auto"/>
            <w:gridSpan w:val="3"/>
            <w:shd w:val="clear" w:color="auto" w:fill="auto"/>
            <w:vAlign w:val="bottom"/>
          </w:tcPr>
          <w:p w14:paraId="64302FF4" w14:textId="77777777" w:rsidR="009F6D8A" w:rsidRDefault="009F6D8A">
            <w:pPr>
              <w:rPr>
                <w:rFonts w:ascii="宋体"/>
                <w:vanish/>
              </w:rPr>
            </w:pPr>
          </w:p>
        </w:tc>
      </w:tr>
      <w:tr w:rsidR="009F6D8A" w14:paraId="64302FFA" w14:textId="77777777">
        <w:trPr>
          <w:jc w:val="center"/>
          <w:hidden/>
        </w:trPr>
        <w:tc>
          <w:tcPr>
            <w:tcW w:w="0" w:type="auto"/>
            <w:gridSpan w:val="3"/>
            <w:shd w:val="clear" w:color="auto" w:fill="auto"/>
            <w:vAlign w:val="bottom"/>
          </w:tcPr>
          <w:p w14:paraId="64302FF6" w14:textId="77777777" w:rsidR="009F6D8A" w:rsidRDefault="009F6D8A">
            <w:pPr>
              <w:rPr>
                <w:rFonts w:ascii="宋体"/>
                <w:vanish/>
              </w:rPr>
            </w:pPr>
          </w:p>
        </w:tc>
        <w:tc>
          <w:tcPr>
            <w:tcW w:w="0" w:type="auto"/>
            <w:gridSpan w:val="3"/>
            <w:shd w:val="clear" w:color="auto" w:fill="auto"/>
            <w:vAlign w:val="bottom"/>
          </w:tcPr>
          <w:p w14:paraId="64302FF7" w14:textId="77777777" w:rsidR="009F6D8A" w:rsidRDefault="009F6D8A">
            <w:pPr>
              <w:rPr>
                <w:rFonts w:ascii="宋体"/>
                <w:vanish/>
              </w:rPr>
            </w:pPr>
          </w:p>
        </w:tc>
        <w:tc>
          <w:tcPr>
            <w:tcW w:w="0" w:type="auto"/>
            <w:gridSpan w:val="3"/>
            <w:shd w:val="clear" w:color="auto" w:fill="auto"/>
            <w:vAlign w:val="bottom"/>
          </w:tcPr>
          <w:p w14:paraId="64302FF8" w14:textId="77777777" w:rsidR="009F6D8A" w:rsidRDefault="009F6D8A">
            <w:pPr>
              <w:rPr>
                <w:rFonts w:ascii="宋体"/>
                <w:vanish/>
              </w:rPr>
            </w:pPr>
          </w:p>
        </w:tc>
        <w:tc>
          <w:tcPr>
            <w:tcW w:w="0" w:type="auto"/>
            <w:gridSpan w:val="3"/>
            <w:shd w:val="clear" w:color="auto" w:fill="auto"/>
            <w:vAlign w:val="bottom"/>
          </w:tcPr>
          <w:p w14:paraId="64302FF9" w14:textId="77777777" w:rsidR="009F6D8A" w:rsidRDefault="009F6D8A">
            <w:pPr>
              <w:rPr>
                <w:rFonts w:ascii="宋体"/>
                <w:vanish/>
              </w:rPr>
            </w:pPr>
          </w:p>
        </w:tc>
      </w:tr>
      <w:tr w:rsidR="009F6D8A" w14:paraId="64303001" w14:textId="77777777">
        <w:trPr>
          <w:jc w:val="center"/>
        </w:trPr>
        <w:tc>
          <w:tcPr>
            <w:tcW w:w="0" w:type="auto"/>
            <w:gridSpan w:val="3"/>
            <w:shd w:val="clear" w:color="auto" w:fill="FFFFFF"/>
            <w:tcMar>
              <w:top w:w="40" w:type="dxa"/>
              <w:left w:w="515" w:type="dxa"/>
              <w:bottom w:w="40" w:type="dxa"/>
              <w:right w:w="20" w:type="dxa"/>
            </w:tcMar>
            <w:vAlign w:val="bottom"/>
          </w:tcPr>
          <w:p w14:paraId="64302FFB" w14:textId="77777777" w:rsidR="009F6D8A" w:rsidRDefault="00C50974">
            <w:pPr>
              <w:textAlignment w:val="bottom"/>
            </w:pPr>
            <w:r>
              <w:rPr>
                <w:rFonts w:ascii="Arial" w:eastAsia="宋体" w:hAnsi="Arial" w:cs="Arial"/>
                <w:color w:val="000000"/>
                <w:sz w:val="18"/>
                <w:szCs w:val="18"/>
              </w:rPr>
              <w:t>(Gain) loss on investments, net</w:t>
            </w:r>
          </w:p>
        </w:tc>
        <w:tc>
          <w:tcPr>
            <w:tcW w:w="0" w:type="auto"/>
            <w:gridSpan w:val="2"/>
            <w:shd w:val="clear" w:color="auto" w:fill="FFFFFF"/>
            <w:tcMar>
              <w:top w:w="40" w:type="dxa"/>
              <w:left w:w="20" w:type="dxa"/>
              <w:bottom w:w="40" w:type="dxa"/>
              <w:right w:w="0" w:type="dxa"/>
            </w:tcMar>
            <w:vAlign w:val="bottom"/>
          </w:tcPr>
          <w:p w14:paraId="64302FFC" w14:textId="77777777" w:rsidR="009F6D8A" w:rsidRDefault="00C50974">
            <w:pPr>
              <w:jc w:val="right"/>
              <w:textAlignment w:val="bottom"/>
            </w:pPr>
            <w:r>
              <w:rPr>
                <w:rFonts w:ascii="Arial" w:eastAsia="宋体" w:hAnsi="Arial" w:cs="Arial"/>
                <w:color w:val="000000"/>
                <w:sz w:val="18"/>
                <w:szCs w:val="18"/>
              </w:rPr>
              <w:t>(44)</w:t>
            </w:r>
          </w:p>
        </w:tc>
        <w:tc>
          <w:tcPr>
            <w:tcW w:w="0" w:type="auto"/>
            <w:shd w:val="clear" w:color="auto" w:fill="FFFFFF"/>
            <w:tcMar>
              <w:top w:w="40" w:type="dxa"/>
              <w:left w:w="0" w:type="dxa"/>
              <w:bottom w:w="40" w:type="dxa"/>
              <w:right w:w="20" w:type="dxa"/>
            </w:tcMar>
            <w:vAlign w:val="bottom"/>
          </w:tcPr>
          <w:p w14:paraId="64302FF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2FFE"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2FFF" w14:textId="77777777" w:rsidR="009F6D8A" w:rsidRDefault="00C50974">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64303000" w14:textId="77777777" w:rsidR="009F6D8A" w:rsidRDefault="009F6D8A">
            <w:pPr>
              <w:jc w:val="right"/>
              <w:rPr>
                <w:rFonts w:ascii="宋体"/>
              </w:rPr>
            </w:pPr>
          </w:p>
        </w:tc>
      </w:tr>
      <w:tr w:rsidR="009F6D8A" w14:paraId="64303008" w14:textId="77777777">
        <w:trPr>
          <w:jc w:val="center"/>
        </w:trPr>
        <w:tc>
          <w:tcPr>
            <w:tcW w:w="0" w:type="auto"/>
            <w:gridSpan w:val="3"/>
            <w:shd w:val="clear" w:color="auto" w:fill="E1E1E1"/>
            <w:tcMar>
              <w:top w:w="40" w:type="dxa"/>
              <w:left w:w="515" w:type="dxa"/>
              <w:bottom w:w="40" w:type="dxa"/>
              <w:right w:w="20" w:type="dxa"/>
            </w:tcMar>
            <w:vAlign w:val="bottom"/>
          </w:tcPr>
          <w:p w14:paraId="64303002" w14:textId="77777777" w:rsidR="009F6D8A" w:rsidRDefault="00C50974">
            <w:pPr>
              <w:textAlignment w:val="bottom"/>
            </w:pPr>
            <w:r>
              <w:rPr>
                <w:rFonts w:ascii="Arial" w:eastAsia="宋体" w:hAnsi="Arial" w:cs="Arial"/>
                <w:color w:val="000000"/>
                <w:sz w:val="18"/>
                <w:szCs w:val="18"/>
              </w:rPr>
              <w:t>Deferred income taxes</w:t>
            </w:r>
          </w:p>
        </w:tc>
        <w:tc>
          <w:tcPr>
            <w:tcW w:w="0" w:type="auto"/>
            <w:gridSpan w:val="2"/>
            <w:shd w:val="clear" w:color="auto" w:fill="E1E1E1"/>
            <w:tcMar>
              <w:top w:w="40" w:type="dxa"/>
              <w:left w:w="20" w:type="dxa"/>
              <w:bottom w:w="40" w:type="dxa"/>
              <w:right w:w="0" w:type="dxa"/>
            </w:tcMar>
            <w:vAlign w:val="bottom"/>
          </w:tcPr>
          <w:p w14:paraId="64303003" w14:textId="77777777" w:rsidR="009F6D8A" w:rsidRDefault="00C50974">
            <w:pPr>
              <w:jc w:val="right"/>
              <w:textAlignment w:val="bottom"/>
            </w:pPr>
            <w:r>
              <w:rPr>
                <w:rFonts w:ascii="Arial" w:eastAsia="宋体" w:hAnsi="Arial" w:cs="Arial"/>
                <w:color w:val="000000"/>
                <w:sz w:val="18"/>
                <w:szCs w:val="18"/>
              </w:rPr>
              <w:t>106 </w:t>
            </w:r>
          </w:p>
        </w:tc>
        <w:tc>
          <w:tcPr>
            <w:tcW w:w="0" w:type="auto"/>
            <w:shd w:val="clear" w:color="auto" w:fill="E1E1E1"/>
            <w:tcMar>
              <w:top w:w="40" w:type="dxa"/>
              <w:left w:w="0" w:type="dxa"/>
              <w:bottom w:w="40" w:type="dxa"/>
              <w:right w:w="20" w:type="dxa"/>
            </w:tcMar>
            <w:vAlign w:val="bottom"/>
          </w:tcPr>
          <w:p w14:paraId="64303004"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005"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006" w14:textId="77777777" w:rsidR="009F6D8A" w:rsidRDefault="00C50974">
            <w:pPr>
              <w:jc w:val="right"/>
              <w:textAlignment w:val="bottom"/>
            </w:pPr>
            <w:r>
              <w:rPr>
                <w:rFonts w:ascii="Arial" w:eastAsia="宋体" w:hAnsi="Arial" w:cs="Arial"/>
                <w:color w:val="000000"/>
                <w:sz w:val="18"/>
                <w:szCs w:val="18"/>
              </w:rPr>
              <w:t>106 </w:t>
            </w:r>
          </w:p>
        </w:tc>
        <w:tc>
          <w:tcPr>
            <w:tcW w:w="0" w:type="auto"/>
            <w:shd w:val="clear" w:color="auto" w:fill="E1E1E1"/>
            <w:tcMar>
              <w:top w:w="40" w:type="dxa"/>
              <w:left w:w="0" w:type="dxa"/>
              <w:bottom w:w="40" w:type="dxa"/>
              <w:right w:w="20" w:type="dxa"/>
            </w:tcMar>
            <w:vAlign w:val="bottom"/>
          </w:tcPr>
          <w:p w14:paraId="64303007" w14:textId="77777777" w:rsidR="009F6D8A" w:rsidRDefault="009F6D8A">
            <w:pPr>
              <w:jc w:val="right"/>
              <w:rPr>
                <w:rFonts w:ascii="宋体"/>
              </w:rPr>
            </w:pPr>
          </w:p>
        </w:tc>
      </w:tr>
      <w:tr w:rsidR="009F6D8A" w14:paraId="6430300F" w14:textId="77777777">
        <w:trPr>
          <w:jc w:val="center"/>
        </w:trPr>
        <w:tc>
          <w:tcPr>
            <w:tcW w:w="0" w:type="auto"/>
            <w:gridSpan w:val="3"/>
            <w:shd w:val="clear" w:color="auto" w:fill="FFFFFF"/>
            <w:tcMar>
              <w:top w:w="40" w:type="dxa"/>
              <w:left w:w="515" w:type="dxa"/>
              <w:bottom w:w="40" w:type="dxa"/>
              <w:right w:w="20" w:type="dxa"/>
            </w:tcMar>
            <w:vAlign w:val="bottom"/>
          </w:tcPr>
          <w:p w14:paraId="64303009" w14:textId="77777777" w:rsidR="009F6D8A" w:rsidRDefault="00C50974">
            <w:pPr>
              <w:textAlignment w:val="bottom"/>
            </w:pPr>
            <w:r>
              <w:rPr>
                <w:rFonts w:ascii="Arial" w:eastAsia="宋体" w:hAnsi="Arial" w:cs="Arial"/>
                <w:color w:val="000000"/>
                <w:sz w:val="18"/>
                <w:szCs w:val="18"/>
              </w:rPr>
              <w:t>Change in fair value of warrant</w:t>
            </w:r>
          </w:p>
        </w:tc>
        <w:tc>
          <w:tcPr>
            <w:tcW w:w="0" w:type="auto"/>
            <w:gridSpan w:val="2"/>
            <w:shd w:val="clear" w:color="auto" w:fill="FFFFFF"/>
            <w:tcMar>
              <w:top w:w="40" w:type="dxa"/>
              <w:left w:w="20" w:type="dxa"/>
              <w:bottom w:w="40" w:type="dxa"/>
              <w:right w:w="0" w:type="dxa"/>
            </w:tcMar>
            <w:vAlign w:val="bottom"/>
          </w:tcPr>
          <w:p w14:paraId="6430300A" w14:textId="77777777" w:rsidR="009F6D8A" w:rsidRDefault="00C50974">
            <w:pPr>
              <w:jc w:val="right"/>
              <w:textAlignment w:val="bottom"/>
            </w:pPr>
            <w:r>
              <w:rPr>
                <w:rFonts w:ascii="Arial" w:eastAsia="宋体" w:hAnsi="Arial" w:cs="Arial"/>
                <w:color w:val="000000"/>
                <w:sz w:val="18"/>
                <w:szCs w:val="18"/>
              </w:rPr>
              <w:t>(72)</w:t>
            </w:r>
          </w:p>
        </w:tc>
        <w:tc>
          <w:tcPr>
            <w:tcW w:w="0" w:type="auto"/>
            <w:shd w:val="clear" w:color="auto" w:fill="FFFFFF"/>
            <w:tcMar>
              <w:top w:w="40" w:type="dxa"/>
              <w:left w:w="0" w:type="dxa"/>
              <w:bottom w:w="40" w:type="dxa"/>
              <w:right w:w="20" w:type="dxa"/>
            </w:tcMar>
            <w:vAlign w:val="bottom"/>
          </w:tcPr>
          <w:p w14:paraId="6430300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00C"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00D" w14:textId="77777777" w:rsidR="009F6D8A" w:rsidRDefault="00C50974">
            <w:pPr>
              <w:jc w:val="right"/>
              <w:textAlignment w:val="bottom"/>
            </w:pPr>
            <w:r>
              <w:rPr>
                <w:rFonts w:ascii="Arial" w:eastAsia="宋体" w:hAnsi="Arial" w:cs="Arial"/>
                <w:color w:val="000000"/>
                <w:sz w:val="18"/>
                <w:szCs w:val="18"/>
              </w:rPr>
              <w:t>(305)</w:t>
            </w:r>
          </w:p>
        </w:tc>
        <w:tc>
          <w:tcPr>
            <w:tcW w:w="0" w:type="auto"/>
            <w:shd w:val="clear" w:color="auto" w:fill="FFFFFF"/>
            <w:tcMar>
              <w:top w:w="40" w:type="dxa"/>
              <w:left w:w="0" w:type="dxa"/>
              <w:bottom w:w="40" w:type="dxa"/>
              <w:right w:w="20" w:type="dxa"/>
            </w:tcMar>
            <w:vAlign w:val="bottom"/>
          </w:tcPr>
          <w:p w14:paraId="6430300E" w14:textId="77777777" w:rsidR="009F6D8A" w:rsidRDefault="009F6D8A">
            <w:pPr>
              <w:jc w:val="right"/>
              <w:rPr>
                <w:rFonts w:ascii="宋体"/>
              </w:rPr>
            </w:pPr>
          </w:p>
        </w:tc>
      </w:tr>
      <w:tr w:rsidR="009F6D8A" w14:paraId="64303016" w14:textId="77777777">
        <w:trPr>
          <w:jc w:val="center"/>
        </w:trPr>
        <w:tc>
          <w:tcPr>
            <w:tcW w:w="0" w:type="auto"/>
            <w:gridSpan w:val="3"/>
            <w:shd w:val="clear" w:color="auto" w:fill="E1E1E1"/>
            <w:tcMar>
              <w:top w:w="40" w:type="dxa"/>
              <w:left w:w="515" w:type="dxa"/>
              <w:bottom w:w="40" w:type="dxa"/>
              <w:right w:w="20" w:type="dxa"/>
            </w:tcMar>
            <w:vAlign w:val="bottom"/>
          </w:tcPr>
          <w:p w14:paraId="64303010" w14:textId="77777777" w:rsidR="009F6D8A" w:rsidRDefault="00C50974">
            <w:pPr>
              <w:textAlignment w:val="bottom"/>
            </w:pPr>
            <w:r>
              <w:rPr>
                <w:rFonts w:ascii="Arial" w:eastAsia="宋体" w:hAnsi="Arial" w:cs="Arial"/>
                <w:color w:val="000000"/>
                <w:sz w:val="18"/>
                <w:szCs w:val="18"/>
              </w:rPr>
              <w:t>Change in fair value of equity investment in Adevinta</w:t>
            </w:r>
          </w:p>
        </w:tc>
        <w:tc>
          <w:tcPr>
            <w:tcW w:w="0" w:type="auto"/>
            <w:gridSpan w:val="2"/>
            <w:shd w:val="clear" w:color="auto" w:fill="E1E1E1"/>
            <w:tcMar>
              <w:top w:w="40" w:type="dxa"/>
              <w:left w:w="20" w:type="dxa"/>
              <w:bottom w:w="40" w:type="dxa"/>
              <w:right w:w="0" w:type="dxa"/>
            </w:tcMar>
            <w:vAlign w:val="bottom"/>
          </w:tcPr>
          <w:p w14:paraId="64303011" w14:textId="77777777" w:rsidR="009F6D8A" w:rsidRDefault="00C50974">
            <w:pPr>
              <w:jc w:val="right"/>
              <w:textAlignment w:val="bottom"/>
            </w:pPr>
            <w:r>
              <w:rPr>
                <w:rFonts w:ascii="Arial" w:eastAsia="宋体" w:hAnsi="Arial" w:cs="Arial"/>
                <w:color w:val="000000"/>
                <w:sz w:val="18"/>
                <w:szCs w:val="18"/>
              </w:rPr>
              <w:t>422 </w:t>
            </w:r>
          </w:p>
        </w:tc>
        <w:tc>
          <w:tcPr>
            <w:tcW w:w="0" w:type="auto"/>
            <w:shd w:val="clear" w:color="auto" w:fill="E1E1E1"/>
            <w:tcMar>
              <w:top w:w="40" w:type="dxa"/>
              <w:left w:w="0" w:type="dxa"/>
              <w:bottom w:w="40" w:type="dxa"/>
              <w:right w:w="20" w:type="dxa"/>
            </w:tcMar>
            <w:vAlign w:val="bottom"/>
          </w:tcPr>
          <w:p w14:paraId="64303012"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013"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014"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015" w14:textId="77777777" w:rsidR="009F6D8A" w:rsidRDefault="009F6D8A">
            <w:pPr>
              <w:jc w:val="right"/>
              <w:rPr>
                <w:rFonts w:ascii="宋体"/>
              </w:rPr>
            </w:pPr>
          </w:p>
        </w:tc>
      </w:tr>
      <w:tr w:rsidR="009F6D8A" w14:paraId="6430301D" w14:textId="77777777">
        <w:trPr>
          <w:jc w:val="center"/>
        </w:trPr>
        <w:tc>
          <w:tcPr>
            <w:tcW w:w="0" w:type="auto"/>
            <w:gridSpan w:val="3"/>
            <w:shd w:val="clear" w:color="auto" w:fill="FFFFFF"/>
            <w:tcMar>
              <w:top w:w="40" w:type="dxa"/>
              <w:left w:w="515" w:type="dxa"/>
              <w:bottom w:w="40" w:type="dxa"/>
              <w:right w:w="20" w:type="dxa"/>
            </w:tcMar>
            <w:vAlign w:val="bottom"/>
          </w:tcPr>
          <w:p w14:paraId="64303017" w14:textId="77777777" w:rsidR="009F6D8A" w:rsidRDefault="00C50974">
            <w:pPr>
              <w:textAlignment w:val="bottom"/>
            </w:pPr>
            <w:r>
              <w:rPr>
                <w:rFonts w:ascii="Arial" w:eastAsia="宋体" w:hAnsi="Arial" w:cs="Arial"/>
                <w:color w:val="000000"/>
                <w:sz w:val="18"/>
                <w:szCs w:val="18"/>
              </w:rPr>
              <w:t>(Gain) loss on extinguishment of debt</w:t>
            </w:r>
          </w:p>
        </w:tc>
        <w:tc>
          <w:tcPr>
            <w:tcW w:w="0" w:type="auto"/>
            <w:gridSpan w:val="2"/>
            <w:shd w:val="clear" w:color="auto" w:fill="FFFFFF"/>
            <w:tcMar>
              <w:top w:w="40" w:type="dxa"/>
              <w:left w:w="20" w:type="dxa"/>
              <w:bottom w:w="40" w:type="dxa"/>
              <w:right w:w="0" w:type="dxa"/>
            </w:tcMar>
            <w:vAlign w:val="bottom"/>
          </w:tcPr>
          <w:p w14:paraId="64303018" w14:textId="77777777" w:rsidR="009F6D8A" w:rsidRDefault="00C50974">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6430301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01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01B"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01C" w14:textId="77777777" w:rsidR="009F6D8A" w:rsidRDefault="009F6D8A">
            <w:pPr>
              <w:jc w:val="right"/>
              <w:rPr>
                <w:rFonts w:ascii="宋体"/>
              </w:rPr>
            </w:pPr>
          </w:p>
        </w:tc>
      </w:tr>
      <w:tr w:rsidR="009F6D8A" w14:paraId="64303022" w14:textId="77777777">
        <w:trPr>
          <w:jc w:val="center"/>
          <w:hidden/>
        </w:trPr>
        <w:tc>
          <w:tcPr>
            <w:tcW w:w="0" w:type="auto"/>
            <w:gridSpan w:val="3"/>
            <w:shd w:val="clear" w:color="auto" w:fill="auto"/>
            <w:vAlign w:val="bottom"/>
          </w:tcPr>
          <w:p w14:paraId="6430301E" w14:textId="77777777" w:rsidR="009F6D8A" w:rsidRDefault="009F6D8A">
            <w:pPr>
              <w:rPr>
                <w:rFonts w:ascii="宋体"/>
                <w:vanish/>
              </w:rPr>
            </w:pPr>
          </w:p>
        </w:tc>
        <w:tc>
          <w:tcPr>
            <w:tcW w:w="0" w:type="auto"/>
            <w:gridSpan w:val="3"/>
            <w:shd w:val="clear" w:color="auto" w:fill="auto"/>
            <w:vAlign w:val="bottom"/>
          </w:tcPr>
          <w:p w14:paraId="6430301F" w14:textId="77777777" w:rsidR="009F6D8A" w:rsidRDefault="009F6D8A">
            <w:pPr>
              <w:rPr>
                <w:rFonts w:ascii="宋体"/>
                <w:vanish/>
              </w:rPr>
            </w:pPr>
          </w:p>
        </w:tc>
        <w:tc>
          <w:tcPr>
            <w:tcW w:w="0" w:type="auto"/>
            <w:gridSpan w:val="3"/>
            <w:shd w:val="clear" w:color="auto" w:fill="auto"/>
            <w:vAlign w:val="bottom"/>
          </w:tcPr>
          <w:p w14:paraId="64303020" w14:textId="77777777" w:rsidR="009F6D8A" w:rsidRDefault="009F6D8A">
            <w:pPr>
              <w:rPr>
                <w:rFonts w:ascii="宋体"/>
                <w:vanish/>
              </w:rPr>
            </w:pPr>
          </w:p>
        </w:tc>
        <w:tc>
          <w:tcPr>
            <w:tcW w:w="0" w:type="auto"/>
            <w:gridSpan w:val="3"/>
            <w:shd w:val="clear" w:color="auto" w:fill="auto"/>
            <w:vAlign w:val="bottom"/>
          </w:tcPr>
          <w:p w14:paraId="64303021" w14:textId="77777777" w:rsidR="009F6D8A" w:rsidRDefault="009F6D8A">
            <w:pPr>
              <w:rPr>
                <w:rFonts w:ascii="宋体"/>
                <w:vanish/>
              </w:rPr>
            </w:pPr>
          </w:p>
        </w:tc>
      </w:tr>
      <w:tr w:rsidR="009F6D8A" w14:paraId="64303029" w14:textId="77777777">
        <w:trPr>
          <w:jc w:val="center"/>
        </w:trPr>
        <w:tc>
          <w:tcPr>
            <w:tcW w:w="0" w:type="auto"/>
            <w:gridSpan w:val="3"/>
            <w:shd w:val="clear" w:color="auto" w:fill="E1E1E1"/>
            <w:tcMar>
              <w:top w:w="40" w:type="dxa"/>
              <w:left w:w="515" w:type="dxa"/>
              <w:bottom w:w="40" w:type="dxa"/>
              <w:right w:w="20" w:type="dxa"/>
            </w:tcMar>
            <w:vAlign w:val="bottom"/>
          </w:tcPr>
          <w:p w14:paraId="64303023" w14:textId="77777777" w:rsidR="009F6D8A" w:rsidRDefault="00C50974">
            <w:pPr>
              <w:textAlignment w:val="bottom"/>
            </w:pPr>
            <w:r>
              <w:rPr>
                <w:rFonts w:ascii="Arial" w:eastAsia="宋体" w:hAnsi="Arial" w:cs="Arial"/>
                <w:color w:val="000000"/>
                <w:sz w:val="18"/>
                <w:szCs w:val="18"/>
              </w:rPr>
              <w:t xml:space="preserve">Changes in assets and liabilities, net of </w:t>
            </w:r>
            <w:r>
              <w:rPr>
                <w:rFonts w:ascii="Arial" w:eastAsia="宋体" w:hAnsi="Arial" w:cs="Arial"/>
                <w:color w:val="000000"/>
                <w:sz w:val="18"/>
                <w:szCs w:val="18"/>
              </w:rPr>
              <w:t>acquisition effects</w:t>
            </w:r>
          </w:p>
        </w:tc>
        <w:tc>
          <w:tcPr>
            <w:tcW w:w="0" w:type="auto"/>
            <w:gridSpan w:val="2"/>
            <w:shd w:val="clear" w:color="auto" w:fill="E1E1E1"/>
            <w:tcMar>
              <w:top w:w="40" w:type="dxa"/>
              <w:left w:w="20" w:type="dxa"/>
              <w:bottom w:w="40" w:type="dxa"/>
              <w:right w:w="0" w:type="dxa"/>
            </w:tcMar>
            <w:vAlign w:val="bottom"/>
          </w:tcPr>
          <w:p w14:paraId="64303024" w14:textId="77777777" w:rsidR="009F6D8A" w:rsidRDefault="00C50974">
            <w:pPr>
              <w:jc w:val="right"/>
              <w:textAlignment w:val="bottom"/>
            </w:pPr>
            <w:r>
              <w:rPr>
                <w:rFonts w:ascii="Arial" w:eastAsia="宋体" w:hAnsi="Arial" w:cs="Arial"/>
                <w:color w:val="000000"/>
                <w:sz w:val="18"/>
                <w:szCs w:val="18"/>
              </w:rPr>
              <w:t>(17)</w:t>
            </w:r>
          </w:p>
        </w:tc>
        <w:tc>
          <w:tcPr>
            <w:tcW w:w="0" w:type="auto"/>
            <w:shd w:val="clear" w:color="auto" w:fill="E1E1E1"/>
            <w:tcMar>
              <w:top w:w="40" w:type="dxa"/>
              <w:left w:w="0" w:type="dxa"/>
              <w:bottom w:w="40" w:type="dxa"/>
              <w:right w:w="20" w:type="dxa"/>
            </w:tcMar>
            <w:vAlign w:val="bottom"/>
          </w:tcPr>
          <w:p w14:paraId="64303025"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026"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027" w14:textId="77777777" w:rsidR="009F6D8A" w:rsidRDefault="00C50974">
            <w:pPr>
              <w:jc w:val="right"/>
              <w:textAlignment w:val="bottom"/>
            </w:pPr>
            <w:r>
              <w:rPr>
                <w:rFonts w:ascii="Arial" w:eastAsia="宋体" w:hAnsi="Arial" w:cs="Arial"/>
                <w:color w:val="000000"/>
                <w:sz w:val="18"/>
                <w:szCs w:val="18"/>
              </w:rPr>
              <w:t>(56)</w:t>
            </w:r>
          </w:p>
        </w:tc>
        <w:tc>
          <w:tcPr>
            <w:tcW w:w="0" w:type="auto"/>
            <w:shd w:val="clear" w:color="auto" w:fill="E1E1E1"/>
            <w:tcMar>
              <w:top w:w="40" w:type="dxa"/>
              <w:left w:w="0" w:type="dxa"/>
              <w:bottom w:w="40" w:type="dxa"/>
              <w:right w:w="20" w:type="dxa"/>
            </w:tcMar>
            <w:vAlign w:val="bottom"/>
          </w:tcPr>
          <w:p w14:paraId="64303028" w14:textId="77777777" w:rsidR="009F6D8A" w:rsidRDefault="009F6D8A">
            <w:pPr>
              <w:jc w:val="right"/>
              <w:rPr>
                <w:rFonts w:ascii="宋体"/>
              </w:rPr>
            </w:pPr>
          </w:p>
        </w:tc>
      </w:tr>
      <w:tr w:rsidR="009F6D8A" w14:paraId="64303030" w14:textId="77777777">
        <w:trPr>
          <w:jc w:val="center"/>
        </w:trPr>
        <w:tc>
          <w:tcPr>
            <w:tcW w:w="0" w:type="auto"/>
            <w:gridSpan w:val="3"/>
            <w:shd w:val="clear" w:color="auto" w:fill="FFFFFF"/>
            <w:tcMar>
              <w:top w:w="40" w:type="dxa"/>
              <w:left w:w="245" w:type="dxa"/>
              <w:bottom w:w="40" w:type="dxa"/>
              <w:right w:w="20" w:type="dxa"/>
            </w:tcMar>
            <w:vAlign w:val="bottom"/>
          </w:tcPr>
          <w:p w14:paraId="6430302A" w14:textId="77777777" w:rsidR="009F6D8A" w:rsidRDefault="00C50974">
            <w:pPr>
              <w:textAlignment w:val="bottom"/>
            </w:pPr>
            <w:r>
              <w:rPr>
                <w:rFonts w:ascii="Arial" w:eastAsia="宋体" w:hAnsi="Arial" w:cs="Arial"/>
                <w:color w:val="000000"/>
                <w:sz w:val="18"/>
                <w:szCs w:val="18"/>
              </w:rPr>
              <w:t>Net cash provided by continuing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02B" w14:textId="77777777" w:rsidR="009F6D8A" w:rsidRDefault="00C50974">
            <w:pPr>
              <w:jc w:val="right"/>
              <w:textAlignment w:val="bottom"/>
            </w:pPr>
            <w:r>
              <w:rPr>
                <w:rFonts w:ascii="Arial" w:eastAsia="宋体" w:hAnsi="Arial" w:cs="Arial"/>
                <w:color w:val="000000"/>
                <w:sz w:val="18"/>
                <w:szCs w:val="18"/>
              </w:rPr>
              <w:t>1,957 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02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02D"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02E" w14:textId="77777777" w:rsidR="009F6D8A" w:rsidRDefault="00C50974">
            <w:pPr>
              <w:jc w:val="right"/>
              <w:textAlignment w:val="bottom"/>
            </w:pPr>
            <w:r>
              <w:rPr>
                <w:rFonts w:ascii="Arial" w:eastAsia="宋体" w:hAnsi="Arial" w:cs="Arial"/>
                <w:color w:val="000000"/>
                <w:sz w:val="18"/>
                <w:szCs w:val="18"/>
              </w:rPr>
              <w:t>1,528 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02F" w14:textId="77777777" w:rsidR="009F6D8A" w:rsidRDefault="009F6D8A">
            <w:pPr>
              <w:jc w:val="right"/>
              <w:rPr>
                <w:rFonts w:ascii="宋体"/>
              </w:rPr>
            </w:pPr>
          </w:p>
        </w:tc>
      </w:tr>
      <w:tr w:rsidR="009F6D8A" w14:paraId="64303037" w14:textId="77777777">
        <w:trPr>
          <w:jc w:val="center"/>
        </w:trPr>
        <w:tc>
          <w:tcPr>
            <w:tcW w:w="0" w:type="auto"/>
            <w:gridSpan w:val="3"/>
            <w:shd w:val="clear" w:color="auto" w:fill="E1E1E1"/>
            <w:tcMar>
              <w:top w:w="40" w:type="dxa"/>
              <w:left w:w="245" w:type="dxa"/>
              <w:bottom w:w="40" w:type="dxa"/>
              <w:right w:w="20" w:type="dxa"/>
            </w:tcMar>
            <w:vAlign w:val="bottom"/>
          </w:tcPr>
          <w:p w14:paraId="64303031" w14:textId="77777777" w:rsidR="009F6D8A" w:rsidRDefault="00C50974">
            <w:pPr>
              <w:textAlignment w:val="bottom"/>
            </w:pPr>
            <w:r>
              <w:rPr>
                <w:rFonts w:ascii="Arial" w:eastAsia="宋体" w:hAnsi="Arial" w:cs="Arial"/>
                <w:color w:val="000000"/>
                <w:sz w:val="18"/>
                <w:szCs w:val="18"/>
              </w:rPr>
              <w:t>Net cash provided by discontinued operating activities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032" w14:textId="77777777" w:rsidR="009F6D8A" w:rsidRDefault="00C50974">
            <w:pPr>
              <w:jc w:val="right"/>
              <w:textAlignment w:val="bottom"/>
            </w:pPr>
            <w:r>
              <w:rPr>
                <w:rFonts w:ascii="Arial" w:eastAsia="宋体" w:hAnsi="Arial" w:cs="Arial"/>
                <w:color w:val="000000"/>
                <w:sz w:val="18"/>
                <w:szCs w:val="18"/>
              </w:rPr>
              <w:t>152 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033"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034"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035" w14:textId="77777777" w:rsidR="009F6D8A" w:rsidRDefault="00C50974">
            <w:pPr>
              <w:jc w:val="right"/>
              <w:textAlignment w:val="bottom"/>
            </w:pPr>
            <w:r>
              <w:rPr>
                <w:rFonts w:ascii="Arial" w:eastAsia="宋体" w:hAnsi="Arial" w:cs="Arial"/>
                <w:color w:val="000000"/>
                <w:sz w:val="18"/>
                <w:szCs w:val="18"/>
              </w:rPr>
              <w:t>28 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036" w14:textId="77777777" w:rsidR="009F6D8A" w:rsidRDefault="009F6D8A">
            <w:pPr>
              <w:jc w:val="right"/>
              <w:rPr>
                <w:rFonts w:ascii="宋体"/>
              </w:rPr>
            </w:pPr>
          </w:p>
        </w:tc>
      </w:tr>
      <w:tr w:rsidR="009F6D8A" w14:paraId="6430303E" w14:textId="77777777">
        <w:trPr>
          <w:jc w:val="center"/>
        </w:trPr>
        <w:tc>
          <w:tcPr>
            <w:tcW w:w="0" w:type="auto"/>
            <w:gridSpan w:val="3"/>
            <w:shd w:val="clear" w:color="auto" w:fill="FFFFFF"/>
            <w:tcMar>
              <w:top w:w="40" w:type="dxa"/>
              <w:left w:w="740" w:type="dxa"/>
              <w:bottom w:w="40" w:type="dxa"/>
              <w:right w:w="20" w:type="dxa"/>
            </w:tcMar>
            <w:vAlign w:val="bottom"/>
          </w:tcPr>
          <w:p w14:paraId="64303038" w14:textId="77777777" w:rsidR="009F6D8A" w:rsidRDefault="00C50974">
            <w:pPr>
              <w:textAlignment w:val="bottom"/>
            </w:pPr>
            <w:r>
              <w:rPr>
                <w:rFonts w:ascii="Arial" w:eastAsia="宋体" w:hAnsi="Arial" w:cs="Arial"/>
                <w:color w:val="000000"/>
                <w:sz w:val="18"/>
                <w:szCs w:val="18"/>
              </w:rPr>
              <w:t>Net cash provided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039" w14:textId="77777777" w:rsidR="009F6D8A" w:rsidRDefault="00C50974">
            <w:pPr>
              <w:jc w:val="right"/>
              <w:textAlignment w:val="bottom"/>
            </w:pPr>
            <w:r>
              <w:rPr>
                <w:rFonts w:ascii="Arial" w:eastAsia="宋体" w:hAnsi="Arial" w:cs="Arial"/>
                <w:color w:val="000000"/>
                <w:sz w:val="18"/>
                <w:szCs w:val="18"/>
              </w:rPr>
              <w:t>2,109 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03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03B"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03C" w14:textId="77777777" w:rsidR="009F6D8A" w:rsidRDefault="00C50974">
            <w:pPr>
              <w:jc w:val="right"/>
              <w:textAlignment w:val="bottom"/>
            </w:pPr>
            <w:r>
              <w:rPr>
                <w:rFonts w:ascii="Arial" w:eastAsia="宋体" w:hAnsi="Arial" w:cs="Arial"/>
                <w:color w:val="000000"/>
                <w:sz w:val="18"/>
                <w:szCs w:val="18"/>
              </w:rPr>
              <w:t>1,556 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03D" w14:textId="77777777" w:rsidR="009F6D8A" w:rsidRDefault="009F6D8A">
            <w:pPr>
              <w:jc w:val="right"/>
              <w:rPr>
                <w:rFonts w:ascii="宋体"/>
              </w:rPr>
            </w:pPr>
          </w:p>
        </w:tc>
      </w:tr>
      <w:tr w:rsidR="009F6D8A" w14:paraId="64303043" w14:textId="77777777">
        <w:trPr>
          <w:jc w:val="center"/>
        </w:trPr>
        <w:tc>
          <w:tcPr>
            <w:tcW w:w="0" w:type="auto"/>
            <w:gridSpan w:val="3"/>
            <w:shd w:val="clear" w:color="auto" w:fill="E1E1E1"/>
            <w:tcMar>
              <w:top w:w="40" w:type="dxa"/>
              <w:left w:w="20" w:type="dxa"/>
              <w:bottom w:w="40" w:type="dxa"/>
              <w:right w:w="20" w:type="dxa"/>
            </w:tcMar>
            <w:vAlign w:val="bottom"/>
          </w:tcPr>
          <w:p w14:paraId="6430303F" w14:textId="77777777" w:rsidR="009F6D8A" w:rsidRDefault="00C50974">
            <w:pPr>
              <w:textAlignment w:val="bottom"/>
            </w:pPr>
            <w:r>
              <w:rPr>
                <w:rFonts w:ascii="Arial" w:eastAsia="宋体" w:hAnsi="Arial" w:cs="Arial"/>
                <w:color w:val="000000"/>
                <w:sz w:val="18"/>
                <w:szCs w:val="18"/>
              </w:rPr>
              <w:t xml:space="preserve">Cash flows from </w:t>
            </w:r>
            <w:r>
              <w:rPr>
                <w:rFonts w:ascii="Arial" w:eastAsia="宋体" w:hAnsi="Arial" w:cs="Arial"/>
                <w:color w:val="000000"/>
                <w:sz w:val="18"/>
                <w:szCs w:val="18"/>
              </w:rPr>
              <w:t>investing activities:</w:t>
            </w:r>
          </w:p>
        </w:tc>
        <w:tc>
          <w:tcPr>
            <w:tcW w:w="0" w:type="auto"/>
            <w:gridSpan w:val="3"/>
            <w:tcBorders>
              <w:top w:val="single" w:sz="8" w:space="0" w:color="000000"/>
            </w:tcBorders>
            <w:shd w:val="clear" w:color="auto" w:fill="E1E1E1"/>
            <w:tcMar>
              <w:top w:w="40" w:type="dxa"/>
              <w:left w:w="20" w:type="dxa"/>
              <w:bottom w:w="40" w:type="dxa"/>
              <w:right w:w="20" w:type="dxa"/>
            </w:tcMar>
            <w:vAlign w:val="bottom"/>
          </w:tcPr>
          <w:p w14:paraId="64303040" w14:textId="77777777" w:rsidR="009F6D8A" w:rsidRDefault="00C50974">
            <w:pPr>
              <w:jc w:val="right"/>
              <w:textAlignment w:val="bottom"/>
            </w:pPr>
            <w:r>
              <w:rPr>
                <w:rFonts w:ascii="Arial" w:eastAsia="宋体" w:hAnsi="Arial" w:cs="Arial"/>
                <w:color w:val="000000"/>
                <w:sz w:val="18"/>
                <w:szCs w:val="18"/>
              </w:rPr>
              <w:t> </w:t>
            </w:r>
          </w:p>
        </w:tc>
        <w:tc>
          <w:tcPr>
            <w:tcW w:w="0" w:type="auto"/>
            <w:gridSpan w:val="3"/>
            <w:shd w:val="clear" w:color="auto" w:fill="E1E1E1"/>
            <w:tcMar>
              <w:top w:w="0" w:type="dxa"/>
              <w:left w:w="20" w:type="dxa"/>
              <w:bottom w:w="0" w:type="dxa"/>
              <w:right w:w="20" w:type="dxa"/>
            </w:tcMar>
            <w:vAlign w:val="bottom"/>
          </w:tcPr>
          <w:p w14:paraId="64303041" w14:textId="77777777" w:rsidR="009F6D8A" w:rsidRDefault="009F6D8A">
            <w:pPr>
              <w:rPr>
                <w:rFonts w:ascii="宋体"/>
              </w:rPr>
            </w:pPr>
          </w:p>
        </w:tc>
        <w:tc>
          <w:tcPr>
            <w:tcW w:w="0" w:type="auto"/>
            <w:gridSpan w:val="3"/>
            <w:tcBorders>
              <w:top w:val="single" w:sz="8" w:space="0" w:color="000000"/>
            </w:tcBorders>
            <w:shd w:val="clear" w:color="auto" w:fill="E1E1E1"/>
            <w:tcMar>
              <w:top w:w="40" w:type="dxa"/>
              <w:left w:w="20" w:type="dxa"/>
              <w:bottom w:w="40" w:type="dxa"/>
              <w:right w:w="20" w:type="dxa"/>
            </w:tcMar>
            <w:vAlign w:val="bottom"/>
          </w:tcPr>
          <w:p w14:paraId="64303042" w14:textId="77777777" w:rsidR="009F6D8A" w:rsidRDefault="00C50974">
            <w:pPr>
              <w:jc w:val="right"/>
              <w:textAlignment w:val="bottom"/>
            </w:pPr>
            <w:r>
              <w:rPr>
                <w:rFonts w:ascii="Arial" w:eastAsia="宋体" w:hAnsi="Arial" w:cs="Arial"/>
                <w:color w:val="000000"/>
                <w:sz w:val="18"/>
                <w:szCs w:val="18"/>
              </w:rPr>
              <w:t> </w:t>
            </w:r>
          </w:p>
        </w:tc>
      </w:tr>
      <w:tr w:rsidR="009F6D8A" w14:paraId="6430304A" w14:textId="77777777">
        <w:trPr>
          <w:jc w:val="center"/>
        </w:trPr>
        <w:tc>
          <w:tcPr>
            <w:tcW w:w="0" w:type="auto"/>
            <w:gridSpan w:val="3"/>
            <w:shd w:val="clear" w:color="auto" w:fill="FFFFFF"/>
            <w:tcMar>
              <w:top w:w="40" w:type="dxa"/>
              <w:left w:w="245" w:type="dxa"/>
              <w:bottom w:w="40" w:type="dxa"/>
              <w:right w:w="20" w:type="dxa"/>
            </w:tcMar>
            <w:vAlign w:val="bottom"/>
          </w:tcPr>
          <w:p w14:paraId="64303044" w14:textId="77777777" w:rsidR="009F6D8A" w:rsidRDefault="00C50974">
            <w:pPr>
              <w:textAlignment w:val="bottom"/>
            </w:pPr>
            <w:r>
              <w:rPr>
                <w:rFonts w:ascii="Arial" w:eastAsia="宋体" w:hAnsi="Arial" w:cs="Arial"/>
                <w:color w:val="000000"/>
                <w:sz w:val="18"/>
                <w:szCs w:val="18"/>
              </w:rPr>
              <w:t>Purchases of property and equipment</w:t>
            </w:r>
          </w:p>
        </w:tc>
        <w:tc>
          <w:tcPr>
            <w:tcW w:w="0" w:type="auto"/>
            <w:gridSpan w:val="2"/>
            <w:shd w:val="clear" w:color="auto" w:fill="FFFFFF"/>
            <w:tcMar>
              <w:top w:w="40" w:type="dxa"/>
              <w:left w:w="20" w:type="dxa"/>
              <w:bottom w:w="40" w:type="dxa"/>
              <w:right w:w="0" w:type="dxa"/>
            </w:tcMar>
            <w:vAlign w:val="bottom"/>
          </w:tcPr>
          <w:p w14:paraId="64303045" w14:textId="77777777" w:rsidR="009F6D8A" w:rsidRDefault="00C50974">
            <w:pPr>
              <w:jc w:val="right"/>
              <w:textAlignment w:val="bottom"/>
            </w:pPr>
            <w:r>
              <w:rPr>
                <w:rFonts w:ascii="Arial" w:eastAsia="宋体" w:hAnsi="Arial" w:cs="Arial"/>
                <w:color w:val="000000"/>
                <w:sz w:val="18"/>
                <w:szCs w:val="18"/>
              </w:rPr>
              <w:t>(182)</w:t>
            </w:r>
          </w:p>
        </w:tc>
        <w:tc>
          <w:tcPr>
            <w:tcW w:w="0" w:type="auto"/>
            <w:shd w:val="clear" w:color="auto" w:fill="FFFFFF"/>
            <w:tcMar>
              <w:top w:w="40" w:type="dxa"/>
              <w:left w:w="0" w:type="dxa"/>
              <w:bottom w:w="40" w:type="dxa"/>
              <w:right w:w="20" w:type="dxa"/>
            </w:tcMar>
            <w:vAlign w:val="bottom"/>
          </w:tcPr>
          <w:p w14:paraId="6430304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04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048" w14:textId="77777777" w:rsidR="009F6D8A" w:rsidRDefault="00C50974">
            <w:pPr>
              <w:jc w:val="right"/>
              <w:textAlignment w:val="bottom"/>
            </w:pPr>
            <w:r>
              <w:rPr>
                <w:rFonts w:ascii="Arial" w:eastAsia="宋体" w:hAnsi="Arial" w:cs="Arial"/>
                <w:color w:val="000000"/>
                <w:sz w:val="18"/>
                <w:szCs w:val="18"/>
              </w:rPr>
              <w:t>(184)</w:t>
            </w:r>
          </w:p>
        </w:tc>
        <w:tc>
          <w:tcPr>
            <w:tcW w:w="0" w:type="auto"/>
            <w:shd w:val="clear" w:color="auto" w:fill="FFFFFF"/>
            <w:tcMar>
              <w:top w:w="40" w:type="dxa"/>
              <w:left w:w="0" w:type="dxa"/>
              <w:bottom w:w="40" w:type="dxa"/>
              <w:right w:w="20" w:type="dxa"/>
            </w:tcMar>
            <w:vAlign w:val="bottom"/>
          </w:tcPr>
          <w:p w14:paraId="64303049" w14:textId="77777777" w:rsidR="009F6D8A" w:rsidRDefault="009F6D8A">
            <w:pPr>
              <w:jc w:val="right"/>
              <w:rPr>
                <w:rFonts w:ascii="宋体"/>
              </w:rPr>
            </w:pPr>
          </w:p>
        </w:tc>
      </w:tr>
      <w:tr w:rsidR="009F6D8A" w14:paraId="64303051" w14:textId="77777777">
        <w:trPr>
          <w:jc w:val="center"/>
        </w:trPr>
        <w:tc>
          <w:tcPr>
            <w:tcW w:w="0" w:type="auto"/>
            <w:gridSpan w:val="3"/>
            <w:shd w:val="clear" w:color="auto" w:fill="E1E1E1"/>
            <w:tcMar>
              <w:top w:w="40" w:type="dxa"/>
              <w:left w:w="245" w:type="dxa"/>
              <w:bottom w:w="40" w:type="dxa"/>
              <w:right w:w="20" w:type="dxa"/>
            </w:tcMar>
            <w:vAlign w:val="bottom"/>
          </w:tcPr>
          <w:p w14:paraId="6430304B" w14:textId="77777777" w:rsidR="009F6D8A" w:rsidRDefault="00C50974">
            <w:pPr>
              <w:textAlignment w:val="bottom"/>
            </w:pPr>
            <w:r>
              <w:rPr>
                <w:rFonts w:ascii="Arial" w:eastAsia="宋体" w:hAnsi="Arial" w:cs="Arial"/>
                <w:color w:val="000000"/>
                <w:sz w:val="18"/>
                <w:szCs w:val="18"/>
              </w:rPr>
              <w:t>Purchases of investments</w:t>
            </w:r>
          </w:p>
        </w:tc>
        <w:tc>
          <w:tcPr>
            <w:tcW w:w="0" w:type="auto"/>
            <w:gridSpan w:val="2"/>
            <w:shd w:val="clear" w:color="auto" w:fill="E1E1E1"/>
            <w:tcMar>
              <w:top w:w="40" w:type="dxa"/>
              <w:left w:w="20" w:type="dxa"/>
              <w:bottom w:w="40" w:type="dxa"/>
              <w:right w:w="0" w:type="dxa"/>
            </w:tcMar>
            <w:vAlign w:val="bottom"/>
          </w:tcPr>
          <w:p w14:paraId="6430304C" w14:textId="77777777" w:rsidR="009F6D8A" w:rsidRDefault="00C50974">
            <w:pPr>
              <w:jc w:val="right"/>
              <w:textAlignment w:val="bottom"/>
            </w:pPr>
            <w:r>
              <w:rPr>
                <w:rFonts w:ascii="Arial" w:eastAsia="宋体" w:hAnsi="Arial" w:cs="Arial"/>
                <w:color w:val="000000"/>
                <w:sz w:val="18"/>
                <w:szCs w:val="18"/>
              </w:rPr>
              <w:t>(9,676)</w:t>
            </w:r>
          </w:p>
        </w:tc>
        <w:tc>
          <w:tcPr>
            <w:tcW w:w="0" w:type="auto"/>
            <w:shd w:val="clear" w:color="auto" w:fill="E1E1E1"/>
            <w:tcMar>
              <w:top w:w="40" w:type="dxa"/>
              <w:left w:w="0" w:type="dxa"/>
              <w:bottom w:w="40" w:type="dxa"/>
              <w:right w:w="20" w:type="dxa"/>
            </w:tcMar>
            <w:vAlign w:val="bottom"/>
          </w:tcPr>
          <w:p w14:paraId="6430304D"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04E"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04F" w14:textId="77777777" w:rsidR="009F6D8A" w:rsidRDefault="00C50974">
            <w:pPr>
              <w:jc w:val="right"/>
              <w:textAlignment w:val="bottom"/>
            </w:pPr>
            <w:r>
              <w:rPr>
                <w:rFonts w:ascii="Arial" w:eastAsia="宋体" w:hAnsi="Arial" w:cs="Arial"/>
                <w:color w:val="000000"/>
                <w:sz w:val="18"/>
                <w:szCs w:val="18"/>
              </w:rPr>
              <w:t>(21,673)</w:t>
            </w:r>
          </w:p>
        </w:tc>
        <w:tc>
          <w:tcPr>
            <w:tcW w:w="0" w:type="auto"/>
            <w:shd w:val="clear" w:color="auto" w:fill="E1E1E1"/>
            <w:tcMar>
              <w:top w:w="40" w:type="dxa"/>
              <w:left w:w="0" w:type="dxa"/>
              <w:bottom w:w="40" w:type="dxa"/>
              <w:right w:w="20" w:type="dxa"/>
            </w:tcMar>
            <w:vAlign w:val="bottom"/>
          </w:tcPr>
          <w:p w14:paraId="64303050" w14:textId="77777777" w:rsidR="009F6D8A" w:rsidRDefault="009F6D8A">
            <w:pPr>
              <w:jc w:val="right"/>
              <w:rPr>
                <w:rFonts w:ascii="宋体"/>
              </w:rPr>
            </w:pPr>
          </w:p>
        </w:tc>
      </w:tr>
      <w:tr w:rsidR="009F6D8A" w14:paraId="64303058" w14:textId="77777777">
        <w:trPr>
          <w:jc w:val="center"/>
        </w:trPr>
        <w:tc>
          <w:tcPr>
            <w:tcW w:w="0" w:type="auto"/>
            <w:gridSpan w:val="3"/>
            <w:shd w:val="clear" w:color="auto" w:fill="FFFFFF"/>
            <w:tcMar>
              <w:top w:w="40" w:type="dxa"/>
              <w:left w:w="245" w:type="dxa"/>
              <w:bottom w:w="40" w:type="dxa"/>
              <w:right w:w="20" w:type="dxa"/>
            </w:tcMar>
            <w:vAlign w:val="bottom"/>
          </w:tcPr>
          <w:p w14:paraId="64303052" w14:textId="77777777" w:rsidR="009F6D8A" w:rsidRDefault="00C50974">
            <w:pPr>
              <w:textAlignment w:val="bottom"/>
            </w:pPr>
            <w:r>
              <w:rPr>
                <w:rFonts w:ascii="Arial" w:eastAsia="宋体" w:hAnsi="Arial" w:cs="Arial"/>
                <w:color w:val="000000"/>
                <w:sz w:val="18"/>
                <w:szCs w:val="18"/>
              </w:rPr>
              <w:t>Maturities and sales of investments</w:t>
            </w:r>
          </w:p>
        </w:tc>
        <w:tc>
          <w:tcPr>
            <w:tcW w:w="0" w:type="auto"/>
            <w:gridSpan w:val="2"/>
            <w:shd w:val="clear" w:color="auto" w:fill="FFFFFF"/>
            <w:tcMar>
              <w:top w:w="40" w:type="dxa"/>
              <w:left w:w="20" w:type="dxa"/>
              <w:bottom w:w="40" w:type="dxa"/>
              <w:right w:w="0" w:type="dxa"/>
            </w:tcMar>
            <w:vAlign w:val="bottom"/>
          </w:tcPr>
          <w:p w14:paraId="64303053" w14:textId="77777777" w:rsidR="009F6D8A" w:rsidRDefault="00C50974">
            <w:pPr>
              <w:jc w:val="right"/>
              <w:textAlignment w:val="bottom"/>
            </w:pPr>
            <w:r>
              <w:rPr>
                <w:rFonts w:ascii="Arial" w:eastAsia="宋体" w:hAnsi="Arial" w:cs="Arial"/>
                <w:color w:val="000000"/>
                <w:sz w:val="18"/>
                <w:szCs w:val="18"/>
              </w:rPr>
              <w:t>6,765 </w:t>
            </w:r>
          </w:p>
        </w:tc>
        <w:tc>
          <w:tcPr>
            <w:tcW w:w="0" w:type="auto"/>
            <w:shd w:val="clear" w:color="auto" w:fill="FFFFFF"/>
            <w:tcMar>
              <w:top w:w="40" w:type="dxa"/>
              <w:left w:w="0" w:type="dxa"/>
              <w:bottom w:w="40" w:type="dxa"/>
              <w:right w:w="20" w:type="dxa"/>
            </w:tcMar>
            <w:vAlign w:val="bottom"/>
          </w:tcPr>
          <w:p w14:paraId="6430305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05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056" w14:textId="77777777" w:rsidR="009F6D8A" w:rsidRDefault="00C50974">
            <w:pPr>
              <w:jc w:val="right"/>
              <w:textAlignment w:val="bottom"/>
            </w:pPr>
            <w:r>
              <w:rPr>
                <w:rFonts w:ascii="Arial" w:eastAsia="宋体" w:hAnsi="Arial" w:cs="Arial"/>
                <w:color w:val="000000"/>
                <w:sz w:val="18"/>
                <w:szCs w:val="18"/>
              </w:rPr>
              <w:t>19,666 </w:t>
            </w:r>
          </w:p>
        </w:tc>
        <w:tc>
          <w:tcPr>
            <w:tcW w:w="0" w:type="auto"/>
            <w:shd w:val="clear" w:color="auto" w:fill="FFFFFF"/>
            <w:tcMar>
              <w:top w:w="40" w:type="dxa"/>
              <w:left w:w="0" w:type="dxa"/>
              <w:bottom w:w="40" w:type="dxa"/>
              <w:right w:w="20" w:type="dxa"/>
            </w:tcMar>
            <w:vAlign w:val="bottom"/>
          </w:tcPr>
          <w:p w14:paraId="64303057" w14:textId="77777777" w:rsidR="009F6D8A" w:rsidRDefault="009F6D8A">
            <w:pPr>
              <w:jc w:val="right"/>
              <w:rPr>
                <w:rFonts w:ascii="宋体"/>
              </w:rPr>
            </w:pPr>
          </w:p>
        </w:tc>
      </w:tr>
      <w:tr w:rsidR="009F6D8A" w14:paraId="6430305D" w14:textId="77777777">
        <w:trPr>
          <w:jc w:val="center"/>
          <w:hidden/>
        </w:trPr>
        <w:tc>
          <w:tcPr>
            <w:tcW w:w="0" w:type="auto"/>
            <w:gridSpan w:val="3"/>
            <w:shd w:val="clear" w:color="auto" w:fill="auto"/>
            <w:vAlign w:val="bottom"/>
          </w:tcPr>
          <w:p w14:paraId="64303059" w14:textId="77777777" w:rsidR="009F6D8A" w:rsidRDefault="009F6D8A">
            <w:pPr>
              <w:rPr>
                <w:rFonts w:ascii="宋体"/>
                <w:vanish/>
              </w:rPr>
            </w:pPr>
          </w:p>
        </w:tc>
        <w:tc>
          <w:tcPr>
            <w:tcW w:w="0" w:type="auto"/>
            <w:gridSpan w:val="3"/>
            <w:shd w:val="clear" w:color="auto" w:fill="auto"/>
            <w:vAlign w:val="bottom"/>
          </w:tcPr>
          <w:p w14:paraId="6430305A" w14:textId="77777777" w:rsidR="009F6D8A" w:rsidRDefault="009F6D8A">
            <w:pPr>
              <w:rPr>
                <w:rFonts w:ascii="宋体"/>
                <w:vanish/>
              </w:rPr>
            </w:pPr>
          </w:p>
        </w:tc>
        <w:tc>
          <w:tcPr>
            <w:tcW w:w="0" w:type="auto"/>
            <w:gridSpan w:val="3"/>
            <w:shd w:val="clear" w:color="auto" w:fill="auto"/>
            <w:vAlign w:val="bottom"/>
          </w:tcPr>
          <w:p w14:paraId="6430305B" w14:textId="77777777" w:rsidR="009F6D8A" w:rsidRDefault="009F6D8A">
            <w:pPr>
              <w:rPr>
                <w:rFonts w:ascii="宋体"/>
                <w:vanish/>
              </w:rPr>
            </w:pPr>
          </w:p>
        </w:tc>
        <w:tc>
          <w:tcPr>
            <w:tcW w:w="0" w:type="auto"/>
            <w:gridSpan w:val="3"/>
            <w:shd w:val="clear" w:color="auto" w:fill="auto"/>
            <w:vAlign w:val="bottom"/>
          </w:tcPr>
          <w:p w14:paraId="6430305C" w14:textId="77777777" w:rsidR="009F6D8A" w:rsidRDefault="009F6D8A">
            <w:pPr>
              <w:rPr>
                <w:rFonts w:ascii="宋体"/>
                <w:vanish/>
              </w:rPr>
            </w:pPr>
          </w:p>
        </w:tc>
      </w:tr>
      <w:tr w:rsidR="009F6D8A" w14:paraId="64303062" w14:textId="77777777">
        <w:trPr>
          <w:jc w:val="center"/>
          <w:hidden/>
        </w:trPr>
        <w:tc>
          <w:tcPr>
            <w:tcW w:w="0" w:type="auto"/>
            <w:gridSpan w:val="3"/>
            <w:shd w:val="clear" w:color="auto" w:fill="auto"/>
            <w:vAlign w:val="bottom"/>
          </w:tcPr>
          <w:p w14:paraId="6430305E" w14:textId="77777777" w:rsidR="009F6D8A" w:rsidRDefault="009F6D8A">
            <w:pPr>
              <w:rPr>
                <w:rFonts w:ascii="宋体"/>
                <w:vanish/>
              </w:rPr>
            </w:pPr>
          </w:p>
        </w:tc>
        <w:tc>
          <w:tcPr>
            <w:tcW w:w="0" w:type="auto"/>
            <w:gridSpan w:val="3"/>
            <w:shd w:val="clear" w:color="auto" w:fill="auto"/>
            <w:vAlign w:val="bottom"/>
          </w:tcPr>
          <w:p w14:paraId="6430305F" w14:textId="77777777" w:rsidR="009F6D8A" w:rsidRDefault="009F6D8A">
            <w:pPr>
              <w:rPr>
                <w:rFonts w:ascii="宋体"/>
                <w:vanish/>
              </w:rPr>
            </w:pPr>
          </w:p>
        </w:tc>
        <w:tc>
          <w:tcPr>
            <w:tcW w:w="0" w:type="auto"/>
            <w:gridSpan w:val="3"/>
            <w:shd w:val="clear" w:color="auto" w:fill="auto"/>
            <w:vAlign w:val="bottom"/>
          </w:tcPr>
          <w:p w14:paraId="64303060" w14:textId="77777777" w:rsidR="009F6D8A" w:rsidRDefault="009F6D8A">
            <w:pPr>
              <w:rPr>
                <w:rFonts w:ascii="宋体"/>
                <w:vanish/>
              </w:rPr>
            </w:pPr>
          </w:p>
        </w:tc>
        <w:tc>
          <w:tcPr>
            <w:tcW w:w="0" w:type="auto"/>
            <w:gridSpan w:val="3"/>
            <w:shd w:val="clear" w:color="auto" w:fill="auto"/>
            <w:vAlign w:val="bottom"/>
          </w:tcPr>
          <w:p w14:paraId="64303061" w14:textId="77777777" w:rsidR="009F6D8A" w:rsidRDefault="009F6D8A">
            <w:pPr>
              <w:rPr>
                <w:rFonts w:ascii="宋体"/>
                <w:vanish/>
              </w:rPr>
            </w:pPr>
          </w:p>
        </w:tc>
      </w:tr>
      <w:tr w:rsidR="009F6D8A" w14:paraId="64303067" w14:textId="77777777">
        <w:trPr>
          <w:jc w:val="center"/>
          <w:hidden/>
        </w:trPr>
        <w:tc>
          <w:tcPr>
            <w:tcW w:w="0" w:type="auto"/>
            <w:gridSpan w:val="3"/>
            <w:shd w:val="clear" w:color="auto" w:fill="auto"/>
            <w:vAlign w:val="bottom"/>
          </w:tcPr>
          <w:p w14:paraId="64303063" w14:textId="77777777" w:rsidR="009F6D8A" w:rsidRDefault="009F6D8A">
            <w:pPr>
              <w:rPr>
                <w:rFonts w:ascii="宋体"/>
                <w:vanish/>
              </w:rPr>
            </w:pPr>
          </w:p>
        </w:tc>
        <w:tc>
          <w:tcPr>
            <w:tcW w:w="0" w:type="auto"/>
            <w:gridSpan w:val="3"/>
            <w:shd w:val="clear" w:color="auto" w:fill="auto"/>
            <w:vAlign w:val="bottom"/>
          </w:tcPr>
          <w:p w14:paraId="64303064" w14:textId="77777777" w:rsidR="009F6D8A" w:rsidRDefault="009F6D8A">
            <w:pPr>
              <w:rPr>
                <w:rFonts w:ascii="宋体"/>
                <w:vanish/>
              </w:rPr>
            </w:pPr>
          </w:p>
        </w:tc>
        <w:tc>
          <w:tcPr>
            <w:tcW w:w="0" w:type="auto"/>
            <w:gridSpan w:val="3"/>
            <w:shd w:val="clear" w:color="auto" w:fill="auto"/>
            <w:vAlign w:val="bottom"/>
          </w:tcPr>
          <w:p w14:paraId="64303065" w14:textId="77777777" w:rsidR="009F6D8A" w:rsidRDefault="009F6D8A">
            <w:pPr>
              <w:rPr>
                <w:rFonts w:ascii="宋体"/>
                <w:vanish/>
              </w:rPr>
            </w:pPr>
          </w:p>
        </w:tc>
        <w:tc>
          <w:tcPr>
            <w:tcW w:w="0" w:type="auto"/>
            <w:gridSpan w:val="3"/>
            <w:shd w:val="clear" w:color="auto" w:fill="auto"/>
            <w:vAlign w:val="bottom"/>
          </w:tcPr>
          <w:p w14:paraId="64303066" w14:textId="77777777" w:rsidR="009F6D8A" w:rsidRDefault="009F6D8A">
            <w:pPr>
              <w:rPr>
                <w:rFonts w:ascii="宋体"/>
                <w:vanish/>
              </w:rPr>
            </w:pPr>
          </w:p>
        </w:tc>
      </w:tr>
      <w:tr w:rsidR="009F6D8A" w14:paraId="6430306C" w14:textId="77777777">
        <w:trPr>
          <w:jc w:val="center"/>
          <w:hidden/>
        </w:trPr>
        <w:tc>
          <w:tcPr>
            <w:tcW w:w="0" w:type="auto"/>
            <w:gridSpan w:val="3"/>
            <w:shd w:val="clear" w:color="auto" w:fill="auto"/>
            <w:vAlign w:val="bottom"/>
          </w:tcPr>
          <w:p w14:paraId="64303068" w14:textId="77777777" w:rsidR="009F6D8A" w:rsidRDefault="009F6D8A">
            <w:pPr>
              <w:rPr>
                <w:rFonts w:ascii="宋体"/>
                <w:vanish/>
              </w:rPr>
            </w:pPr>
          </w:p>
        </w:tc>
        <w:tc>
          <w:tcPr>
            <w:tcW w:w="0" w:type="auto"/>
            <w:gridSpan w:val="3"/>
            <w:shd w:val="clear" w:color="auto" w:fill="auto"/>
            <w:vAlign w:val="bottom"/>
          </w:tcPr>
          <w:p w14:paraId="64303069" w14:textId="77777777" w:rsidR="009F6D8A" w:rsidRDefault="009F6D8A">
            <w:pPr>
              <w:rPr>
                <w:rFonts w:ascii="宋体"/>
                <w:vanish/>
              </w:rPr>
            </w:pPr>
          </w:p>
        </w:tc>
        <w:tc>
          <w:tcPr>
            <w:tcW w:w="0" w:type="auto"/>
            <w:gridSpan w:val="3"/>
            <w:shd w:val="clear" w:color="auto" w:fill="auto"/>
            <w:vAlign w:val="bottom"/>
          </w:tcPr>
          <w:p w14:paraId="6430306A" w14:textId="77777777" w:rsidR="009F6D8A" w:rsidRDefault="009F6D8A">
            <w:pPr>
              <w:rPr>
                <w:rFonts w:ascii="宋体"/>
                <w:vanish/>
              </w:rPr>
            </w:pPr>
          </w:p>
        </w:tc>
        <w:tc>
          <w:tcPr>
            <w:tcW w:w="0" w:type="auto"/>
            <w:gridSpan w:val="3"/>
            <w:shd w:val="clear" w:color="auto" w:fill="auto"/>
            <w:vAlign w:val="bottom"/>
          </w:tcPr>
          <w:p w14:paraId="6430306B" w14:textId="77777777" w:rsidR="009F6D8A" w:rsidRDefault="009F6D8A">
            <w:pPr>
              <w:rPr>
                <w:rFonts w:ascii="宋体"/>
                <w:vanish/>
              </w:rPr>
            </w:pPr>
          </w:p>
        </w:tc>
      </w:tr>
      <w:tr w:rsidR="009F6D8A" w14:paraId="64303073" w14:textId="77777777">
        <w:trPr>
          <w:jc w:val="center"/>
        </w:trPr>
        <w:tc>
          <w:tcPr>
            <w:tcW w:w="0" w:type="auto"/>
            <w:gridSpan w:val="3"/>
            <w:shd w:val="clear" w:color="auto" w:fill="E1E1E1"/>
            <w:tcMar>
              <w:top w:w="40" w:type="dxa"/>
              <w:left w:w="245" w:type="dxa"/>
              <w:bottom w:w="40" w:type="dxa"/>
              <w:right w:w="20" w:type="dxa"/>
            </w:tcMar>
            <w:vAlign w:val="bottom"/>
          </w:tcPr>
          <w:p w14:paraId="6430306D" w14:textId="77777777" w:rsidR="009F6D8A" w:rsidRDefault="00C50974">
            <w:pPr>
              <w:textAlignment w:val="bottom"/>
            </w:pPr>
            <w:r>
              <w:rPr>
                <w:rFonts w:ascii="Arial" w:eastAsia="宋体" w:hAnsi="Arial" w:cs="Arial"/>
                <w:color w:val="000000"/>
                <w:sz w:val="18"/>
                <w:szCs w:val="18"/>
              </w:rPr>
              <w:t>Other</w:t>
            </w:r>
          </w:p>
        </w:tc>
        <w:tc>
          <w:tcPr>
            <w:tcW w:w="0" w:type="auto"/>
            <w:gridSpan w:val="2"/>
            <w:shd w:val="clear" w:color="auto" w:fill="E1E1E1"/>
            <w:tcMar>
              <w:top w:w="40" w:type="dxa"/>
              <w:left w:w="20" w:type="dxa"/>
              <w:bottom w:w="40" w:type="dxa"/>
              <w:right w:w="0" w:type="dxa"/>
            </w:tcMar>
            <w:vAlign w:val="bottom"/>
          </w:tcPr>
          <w:p w14:paraId="6430306E" w14:textId="77777777" w:rsidR="009F6D8A" w:rsidRDefault="00C50974">
            <w:pPr>
              <w:jc w:val="right"/>
              <w:textAlignment w:val="bottom"/>
            </w:pPr>
            <w:r>
              <w:rPr>
                <w:rFonts w:ascii="Arial" w:eastAsia="宋体" w:hAnsi="Arial" w:cs="Arial"/>
                <w:color w:val="000000"/>
                <w:sz w:val="18"/>
                <w:szCs w:val="18"/>
              </w:rPr>
              <w:t>4 </w:t>
            </w:r>
          </w:p>
        </w:tc>
        <w:tc>
          <w:tcPr>
            <w:tcW w:w="0" w:type="auto"/>
            <w:shd w:val="clear" w:color="auto" w:fill="E1E1E1"/>
            <w:tcMar>
              <w:top w:w="40" w:type="dxa"/>
              <w:left w:w="0" w:type="dxa"/>
              <w:bottom w:w="40" w:type="dxa"/>
              <w:right w:w="20" w:type="dxa"/>
            </w:tcMar>
            <w:vAlign w:val="bottom"/>
          </w:tcPr>
          <w:p w14:paraId="6430306F"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070"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071" w14:textId="77777777" w:rsidR="009F6D8A" w:rsidRDefault="00C50974">
            <w:pPr>
              <w:jc w:val="right"/>
              <w:textAlignment w:val="bottom"/>
            </w:pPr>
            <w:r>
              <w:rPr>
                <w:rFonts w:ascii="Arial" w:eastAsia="宋体" w:hAnsi="Arial" w:cs="Arial"/>
                <w:color w:val="000000"/>
                <w:sz w:val="18"/>
                <w:szCs w:val="18"/>
              </w:rPr>
              <w:t>39 </w:t>
            </w:r>
          </w:p>
        </w:tc>
        <w:tc>
          <w:tcPr>
            <w:tcW w:w="0" w:type="auto"/>
            <w:shd w:val="clear" w:color="auto" w:fill="E1E1E1"/>
            <w:tcMar>
              <w:top w:w="40" w:type="dxa"/>
              <w:left w:w="0" w:type="dxa"/>
              <w:bottom w:w="40" w:type="dxa"/>
              <w:right w:w="20" w:type="dxa"/>
            </w:tcMar>
            <w:vAlign w:val="bottom"/>
          </w:tcPr>
          <w:p w14:paraId="64303072" w14:textId="77777777" w:rsidR="009F6D8A" w:rsidRDefault="009F6D8A">
            <w:pPr>
              <w:jc w:val="right"/>
              <w:rPr>
                <w:rFonts w:ascii="宋体"/>
              </w:rPr>
            </w:pPr>
          </w:p>
        </w:tc>
      </w:tr>
      <w:tr w:rsidR="009F6D8A" w14:paraId="6430307A" w14:textId="77777777">
        <w:trPr>
          <w:jc w:val="center"/>
        </w:trPr>
        <w:tc>
          <w:tcPr>
            <w:tcW w:w="0" w:type="auto"/>
            <w:gridSpan w:val="3"/>
            <w:shd w:val="clear" w:color="auto" w:fill="FFFFFF"/>
            <w:tcMar>
              <w:top w:w="40" w:type="dxa"/>
              <w:left w:w="245" w:type="dxa"/>
              <w:bottom w:w="40" w:type="dxa"/>
              <w:right w:w="20" w:type="dxa"/>
            </w:tcMar>
            <w:vAlign w:val="bottom"/>
          </w:tcPr>
          <w:p w14:paraId="64303074" w14:textId="77777777" w:rsidR="009F6D8A" w:rsidRDefault="00C50974">
            <w:pPr>
              <w:textAlignment w:val="bottom"/>
            </w:pPr>
            <w:r>
              <w:rPr>
                <w:rFonts w:ascii="Arial" w:eastAsia="宋体" w:hAnsi="Arial" w:cs="Arial"/>
                <w:color w:val="000000"/>
                <w:sz w:val="18"/>
                <w:szCs w:val="18"/>
              </w:rPr>
              <w:t xml:space="preserve">Net cash used in continuing </w:t>
            </w:r>
            <w:r>
              <w:rPr>
                <w:rFonts w:ascii="Arial" w:eastAsia="宋体" w:hAnsi="Arial" w:cs="Arial"/>
                <w:color w:val="000000"/>
                <w:sz w:val="18"/>
                <w:szCs w:val="18"/>
              </w:rPr>
              <w:t>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075" w14:textId="77777777" w:rsidR="009F6D8A" w:rsidRDefault="00C50974">
            <w:pPr>
              <w:jc w:val="right"/>
              <w:textAlignment w:val="bottom"/>
            </w:pPr>
            <w:r>
              <w:rPr>
                <w:rFonts w:ascii="Arial" w:eastAsia="宋体" w:hAnsi="Arial" w:cs="Arial"/>
                <w:color w:val="000000"/>
                <w:sz w:val="18"/>
                <w:szCs w:val="18"/>
              </w:rPr>
              <w:t>(3,089)</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07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077"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078" w14:textId="77777777" w:rsidR="009F6D8A" w:rsidRDefault="00C50974">
            <w:pPr>
              <w:jc w:val="right"/>
              <w:textAlignment w:val="bottom"/>
            </w:pPr>
            <w:r>
              <w:rPr>
                <w:rFonts w:ascii="Arial" w:eastAsia="宋体" w:hAnsi="Arial" w:cs="Arial"/>
                <w:color w:val="000000"/>
                <w:sz w:val="18"/>
                <w:szCs w:val="18"/>
              </w:rPr>
              <w:t>(2,152)</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079" w14:textId="77777777" w:rsidR="009F6D8A" w:rsidRDefault="009F6D8A">
            <w:pPr>
              <w:jc w:val="right"/>
              <w:rPr>
                <w:rFonts w:ascii="宋体"/>
              </w:rPr>
            </w:pPr>
          </w:p>
        </w:tc>
      </w:tr>
      <w:tr w:rsidR="009F6D8A" w14:paraId="64303081" w14:textId="77777777">
        <w:trPr>
          <w:jc w:val="center"/>
        </w:trPr>
        <w:tc>
          <w:tcPr>
            <w:tcW w:w="0" w:type="auto"/>
            <w:gridSpan w:val="3"/>
            <w:shd w:val="clear" w:color="auto" w:fill="E1E1E1"/>
            <w:tcMar>
              <w:top w:w="40" w:type="dxa"/>
              <w:left w:w="245" w:type="dxa"/>
              <w:bottom w:w="40" w:type="dxa"/>
              <w:right w:w="20" w:type="dxa"/>
            </w:tcMar>
            <w:vAlign w:val="bottom"/>
          </w:tcPr>
          <w:p w14:paraId="6430307B" w14:textId="77777777" w:rsidR="009F6D8A" w:rsidRDefault="00C50974">
            <w:pPr>
              <w:textAlignment w:val="bottom"/>
            </w:pPr>
            <w:r>
              <w:rPr>
                <w:rFonts w:ascii="Arial" w:eastAsia="宋体" w:hAnsi="Arial" w:cs="Arial"/>
                <w:color w:val="000000"/>
                <w:sz w:val="18"/>
                <w:szCs w:val="18"/>
              </w:rPr>
              <w:t>Net cash provided by discontinued investing activities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07C" w14:textId="77777777" w:rsidR="009F6D8A" w:rsidRDefault="00C50974">
            <w:pPr>
              <w:jc w:val="right"/>
              <w:textAlignment w:val="bottom"/>
            </w:pPr>
            <w:r>
              <w:rPr>
                <w:rFonts w:ascii="Arial" w:eastAsia="宋体" w:hAnsi="Arial" w:cs="Arial"/>
                <w:color w:val="000000"/>
                <w:sz w:val="18"/>
                <w:szCs w:val="18"/>
              </w:rPr>
              <w:t>2,444 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07D"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07E"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07F" w14:textId="77777777" w:rsidR="009F6D8A" w:rsidRDefault="00C50974">
            <w:pPr>
              <w:jc w:val="right"/>
              <w:textAlignment w:val="bottom"/>
            </w:pPr>
            <w:r>
              <w:rPr>
                <w:rFonts w:ascii="Arial" w:eastAsia="宋体" w:hAnsi="Arial" w:cs="Arial"/>
                <w:color w:val="000000"/>
                <w:sz w:val="18"/>
                <w:szCs w:val="18"/>
              </w:rPr>
              <w:t>4,021 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080" w14:textId="77777777" w:rsidR="009F6D8A" w:rsidRDefault="009F6D8A">
            <w:pPr>
              <w:jc w:val="right"/>
              <w:rPr>
                <w:rFonts w:ascii="宋体"/>
              </w:rPr>
            </w:pPr>
          </w:p>
        </w:tc>
      </w:tr>
      <w:tr w:rsidR="009F6D8A" w14:paraId="64303088" w14:textId="77777777">
        <w:trPr>
          <w:jc w:val="center"/>
        </w:trPr>
        <w:tc>
          <w:tcPr>
            <w:tcW w:w="0" w:type="auto"/>
            <w:gridSpan w:val="3"/>
            <w:shd w:val="clear" w:color="auto" w:fill="FFFFFF"/>
            <w:tcMar>
              <w:top w:w="40" w:type="dxa"/>
              <w:left w:w="740" w:type="dxa"/>
              <w:bottom w:w="40" w:type="dxa"/>
              <w:right w:w="20" w:type="dxa"/>
            </w:tcMar>
            <w:vAlign w:val="bottom"/>
          </w:tcPr>
          <w:p w14:paraId="64303082" w14:textId="77777777" w:rsidR="009F6D8A" w:rsidRDefault="00C50974">
            <w:pPr>
              <w:textAlignment w:val="bottom"/>
            </w:pPr>
            <w:r>
              <w:rPr>
                <w:rFonts w:ascii="Arial" w:eastAsia="宋体" w:hAnsi="Arial" w:cs="Arial"/>
                <w:color w:val="000000"/>
                <w:sz w:val="18"/>
                <w:szCs w:val="18"/>
              </w:rPr>
              <w:t>Net cash provided by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083" w14:textId="77777777" w:rsidR="009F6D8A" w:rsidRDefault="00C50974">
            <w:pPr>
              <w:jc w:val="right"/>
              <w:textAlignment w:val="bottom"/>
            </w:pPr>
            <w:r>
              <w:rPr>
                <w:rFonts w:ascii="Arial" w:eastAsia="宋体" w:hAnsi="Arial" w:cs="Arial"/>
                <w:color w:val="000000"/>
                <w:sz w:val="18"/>
                <w:szCs w:val="18"/>
              </w:rPr>
              <w:t>(645)</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08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085"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086" w14:textId="77777777" w:rsidR="009F6D8A" w:rsidRDefault="00C50974">
            <w:pPr>
              <w:jc w:val="right"/>
              <w:textAlignment w:val="bottom"/>
            </w:pPr>
            <w:r>
              <w:rPr>
                <w:rFonts w:ascii="Arial" w:eastAsia="宋体" w:hAnsi="Arial" w:cs="Arial"/>
                <w:color w:val="000000"/>
                <w:sz w:val="18"/>
                <w:szCs w:val="18"/>
              </w:rPr>
              <w:t>1,869 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087" w14:textId="77777777" w:rsidR="009F6D8A" w:rsidRDefault="009F6D8A">
            <w:pPr>
              <w:jc w:val="right"/>
              <w:rPr>
                <w:rFonts w:ascii="宋体"/>
              </w:rPr>
            </w:pPr>
          </w:p>
        </w:tc>
      </w:tr>
      <w:tr w:rsidR="009F6D8A" w14:paraId="6430308D" w14:textId="77777777">
        <w:trPr>
          <w:jc w:val="center"/>
        </w:trPr>
        <w:tc>
          <w:tcPr>
            <w:tcW w:w="0" w:type="auto"/>
            <w:gridSpan w:val="3"/>
            <w:shd w:val="clear" w:color="auto" w:fill="E1E1E1"/>
            <w:tcMar>
              <w:top w:w="40" w:type="dxa"/>
              <w:left w:w="20" w:type="dxa"/>
              <w:bottom w:w="40" w:type="dxa"/>
              <w:right w:w="20" w:type="dxa"/>
            </w:tcMar>
            <w:vAlign w:val="bottom"/>
          </w:tcPr>
          <w:p w14:paraId="64303089" w14:textId="77777777" w:rsidR="009F6D8A" w:rsidRDefault="00C50974">
            <w:pPr>
              <w:textAlignment w:val="bottom"/>
            </w:pPr>
            <w:r>
              <w:rPr>
                <w:rFonts w:ascii="Arial" w:eastAsia="宋体" w:hAnsi="Arial" w:cs="Arial"/>
                <w:color w:val="000000"/>
                <w:sz w:val="18"/>
                <w:szCs w:val="18"/>
              </w:rPr>
              <w:t>Cash flows from financing activities:</w:t>
            </w:r>
          </w:p>
        </w:tc>
        <w:tc>
          <w:tcPr>
            <w:tcW w:w="0" w:type="auto"/>
            <w:gridSpan w:val="3"/>
            <w:tcBorders>
              <w:top w:val="single" w:sz="8" w:space="0" w:color="000000"/>
            </w:tcBorders>
            <w:shd w:val="clear" w:color="auto" w:fill="E1E1E1"/>
            <w:tcMar>
              <w:top w:w="40" w:type="dxa"/>
              <w:left w:w="20" w:type="dxa"/>
              <w:bottom w:w="40" w:type="dxa"/>
              <w:right w:w="20" w:type="dxa"/>
            </w:tcMar>
            <w:vAlign w:val="bottom"/>
          </w:tcPr>
          <w:p w14:paraId="6430308A" w14:textId="77777777" w:rsidR="009F6D8A" w:rsidRDefault="00C50974">
            <w:pPr>
              <w:jc w:val="right"/>
              <w:textAlignment w:val="bottom"/>
            </w:pPr>
            <w:r>
              <w:rPr>
                <w:rFonts w:ascii="Arial" w:eastAsia="宋体" w:hAnsi="Arial" w:cs="Arial"/>
                <w:color w:val="000000"/>
                <w:sz w:val="18"/>
                <w:szCs w:val="18"/>
              </w:rPr>
              <w:t> </w:t>
            </w:r>
          </w:p>
        </w:tc>
        <w:tc>
          <w:tcPr>
            <w:tcW w:w="0" w:type="auto"/>
            <w:gridSpan w:val="3"/>
            <w:shd w:val="clear" w:color="auto" w:fill="E1E1E1"/>
            <w:tcMar>
              <w:top w:w="0" w:type="dxa"/>
              <w:left w:w="20" w:type="dxa"/>
              <w:bottom w:w="0" w:type="dxa"/>
              <w:right w:w="20" w:type="dxa"/>
            </w:tcMar>
            <w:vAlign w:val="bottom"/>
          </w:tcPr>
          <w:p w14:paraId="6430308B" w14:textId="77777777" w:rsidR="009F6D8A" w:rsidRDefault="009F6D8A">
            <w:pPr>
              <w:rPr>
                <w:rFonts w:ascii="宋体"/>
              </w:rPr>
            </w:pPr>
          </w:p>
        </w:tc>
        <w:tc>
          <w:tcPr>
            <w:tcW w:w="0" w:type="auto"/>
            <w:gridSpan w:val="3"/>
            <w:tcBorders>
              <w:top w:val="single" w:sz="8" w:space="0" w:color="000000"/>
            </w:tcBorders>
            <w:shd w:val="clear" w:color="auto" w:fill="E1E1E1"/>
            <w:tcMar>
              <w:top w:w="40" w:type="dxa"/>
              <w:left w:w="20" w:type="dxa"/>
              <w:bottom w:w="40" w:type="dxa"/>
              <w:right w:w="20" w:type="dxa"/>
            </w:tcMar>
            <w:vAlign w:val="bottom"/>
          </w:tcPr>
          <w:p w14:paraId="6430308C" w14:textId="77777777" w:rsidR="009F6D8A" w:rsidRDefault="00C50974">
            <w:pPr>
              <w:jc w:val="right"/>
              <w:textAlignment w:val="bottom"/>
            </w:pPr>
            <w:r>
              <w:rPr>
                <w:rFonts w:ascii="Arial" w:eastAsia="宋体" w:hAnsi="Arial" w:cs="Arial"/>
                <w:color w:val="000000"/>
                <w:sz w:val="18"/>
                <w:szCs w:val="18"/>
              </w:rPr>
              <w:t> </w:t>
            </w:r>
          </w:p>
        </w:tc>
      </w:tr>
      <w:tr w:rsidR="009F6D8A" w14:paraId="64303094" w14:textId="77777777">
        <w:trPr>
          <w:jc w:val="center"/>
        </w:trPr>
        <w:tc>
          <w:tcPr>
            <w:tcW w:w="0" w:type="auto"/>
            <w:gridSpan w:val="3"/>
            <w:shd w:val="clear" w:color="auto" w:fill="FFFFFF"/>
            <w:tcMar>
              <w:top w:w="40" w:type="dxa"/>
              <w:left w:w="245" w:type="dxa"/>
              <w:bottom w:w="40" w:type="dxa"/>
              <w:right w:w="20" w:type="dxa"/>
            </w:tcMar>
            <w:vAlign w:val="bottom"/>
          </w:tcPr>
          <w:p w14:paraId="6430308E" w14:textId="77777777" w:rsidR="009F6D8A" w:rsidRDefault="00C50974">
            <w:pPr>
              <w:textAlignment w:val="bottom"/>
            </w:pPr>
            <w:r>
              <w:rPr>
                <w:rFonts w:ascii="Arial" w:eastAsia="宋体" w:hAnsi="Arial" w:cs="Arial"/>
                <w:color w:val="000000"/>
                <w:sz w:val="18"/>
                <w:szCs w:val="18"/>
              </w:rPr>
              <w:t xml:space="preserve">Proceeds from </w:t>
            </w:r>
            <w:r>
              <w:rPr>
                <w:rFonts w:ascii="Arial" w:eastAsia="宋体" w:hAnsi="Arial" w:cs="Arial"/>
                <w:color w:val="000000"/>
                <w:sz w:val="18"/>
                <w:szCs w:val="18"/>
              </w:rPr>
              <w:t>issuance of common stock</w:t>
            </w:r>
          </w:p>
        </w:tc>
        <w:tc>
          <w:tcPr>
            <w:tcW w:w="0" w:type="auto"/>
            <w:gridSpan w:val="2"/>
            <w:shd w:val="clear" w:color="auto" w:fill="FFFFFF"/>
            <w:tcMar>
              <w:top w:w="40" w:type="dxa"/>
              <w:left w:w="20" w:type="dxa"/>
              <w:bottom w:w="40" w:type="dxa"/>
              <w:right w:w="0" w:type="dxa"/>
            </w:tcMar>
            <w:vAlign w:val="bottom"/>
          </w:tcPr>
          <w:p w14:paraId="6430308F" w14:textId="77777777" w:rsidR="009F6D8A" w:rsidRDefault="00C50974">
            <w:pPr>
              <w:jc w:val="right"/>
              <w:textAlignment w:val="bottom"/>
            </w:pPr>
            <w:r>
              <w:rPr>
                <w:rFonts w:ascii="Arial" w:eastAsia="宋体" w:hAnsi="Arial" w:cs="Arial"/>
                <w:color w:val="000000"/>
                <w:sz w:val="18"/>
                <w:szCs w:val="18"/>
              </w:rPr>
              <w:t>57 </w:t>
            </w:r>
          </w:p>
        </w:tc>
        <w:tc>
          <w:tcPr>
            <w:tcW w:w="0" w:type="auto"/>
            <w:shd w:val="clear" w:color="auto" w:fill="FFFFFF"/>
            <w:tcMar>
              <w:top w:w="40" w:type="dxa"/>
              <w:left w:w="0" w:type="dxa"/>
              <w:bottom w:w="40" w:type="dxa"/>
              <w:right w:w="20" w:type="dxa"/>
            </w:tcMar>
            <w:vAlign w:val="bottom"/>
          </w:tcPr>
          <w:p w14:paraId="6430309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091"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092" w14:textId="77777777" w:rsidR="009F6D8A" w:rsidRDefault="00C50974">
            <w:pPr>
              <w:jc w:val="right"/>
              <w:textAlignment w:val="bottom"/>
            </w:pPr>
            <w:r>
              <w:rPr>
                <w:rFonts w:ascii="Arial" w:eastAsia="宋体" w:hAnsi="Arial" w:cs="Arial"/>
                <w:color w:val="000000"/>
                <w:sz w:val="18"/>
                <w:szCs w:val="18"/>
              </w:rPr>
              <w:t>50 </w:t>
            </w:r>
          </w:p>
        </w:tc>
        <w:tc>
          <w:tcPr>
            <w:tcW w:w="0" w:type="auto"/>
            <w:shd w:val="clear" w:color="auto" w:fill="FFFFFF"/>
            <w:tcMar>
              <w:top w:w="40" w:type="dxa"/>
              <w:left w:w="0" w:type="dxa"/>
              <w:bottom w:w="40" w:type="dxa"/>
              <w:right w:w="20" w:type="dxa"/>
            </w:tcMar>
            <w:vAlign w:val="bottom"/>
          </w:tcPr>
          <w:p w14:paraId="64303093" w14:textId="77777777" w:rsidR="009F6D8A" w:rsidRDefault="009F6D8A">
            <w:pPr>
              <w:jc w:val="right"/>
              <w:rPr>
                <w:rFonts w:ascii="宋体"/>
              </w:rPr>
            </w:pPr>
          </w:p>
        </w:tc>
      </w:tr>
      <w:tr w:rsidR="009F6D8A" w14:paraId="6430309B" w14:textId="77777777">
        <w:trPr>
          <w:jc w:val="center"/>
        </w:trPr>
        <w:tc>
          <w:tcPr>
            <w:tcW w:w="0" w:type="auto"/>
            <w:gridSpan w:val="3"/>
            <w:shd w:val="clear" w:color="auto" w:fill="E1E1E1"/>
            <w:tcMar>
              <w:top w:w="40" w:type="dxa"/>
              <w:left w:w="245" w:type="dxa"/>
              <w:bottom w:w="40" w:type="dxa"/>
              <w:right w:w="20" w:type="dxa"/>
            </w:tcMar>
            <w:vAlign w:val="bottom"/>
          </w:tcPr>
          <w:p w14:paraId="64303095" w14:textId="77777777" w:rsidR="009F6D8A" w:rsidRDefault="00C50974">
            <w:pPr>
              <w:textAlignment w:val="bottom"/>
            </w:pPr>
            <w:r>
              <w:rPr>
                <w:rFonts w:ascii="Arial" w:eastAsia="宋体" w:hAnsi="Arial" w:cs="Arial"/>
                <w:color w:val="000000"/>
                <w:sz w:val="18"/>
                <w:szCs w:val="18"/>
              </w:rPr>
              <w:t>Repurchases of common stock</w:t>
            </w:r>
          </w:p>
        </w:tc>
        <w:tc>
          <w:tcPr>
            <w:tcW w:w="0" w:type="auto"/>
            <w:gridSpan w:val="2"/>
            <w:shd w:val="clear" w:color="auto" w:fill="E1E1E1"/>
            <w:tcMar>
              <w:top w:w="40" w:type="dxa"/>
              <w:left w:w="20" w:type="dxa"/>
              <w:bottom w:w="40" w:type="dxa"/>
              <w:right w:w="0" w:type="dxa"/>
            </w:tcMar>
            <w:vAlign w:val="bottom"/>
          </w:tcPr>
          <w:p w14:paraId="64303096" w14:textId="77777777" w:rsidR="009F6D8A" w:rsidRDefault="00C50974">
            <w:pPr>
              <w:jc w:val="right"/>
              <w:textAlignment w:val="bottom"/>
            </w:pPr>
            <w:r>
              <w:rPr>
                <w:rFonts w:ascii="Arial" w:eastAsia="宋体" w:hAnsi="Arial" w:cs="Arial"/>
                <w:color w:val="000000"/>
                <w:sz w:val="18"/>
                <w:szCs w:val="18"/>
              </w:rPr>
              <w:t>(1,733)</w:t>
            </w:r>
          </w:p>
        </w:tc>
        <w:tc>
          <w:tcPr>
            <w:tcW w:w="0" w:type="auto"/>
            <w:shd w:val="clear" w:color="auto" w:fill="E1E1E1"/>
            <w:tcMar>
              <w:top w:w="40" w:type="dxa"/>
              <w:left w:w="0" w:type="dxa"/>
              <w:bottom w:w="40" w:type="dxa"/>
              <w:right w:w="20" w:type="dxa"/>
            </w:tcMar>
            <w:vAlign w:val="bottom"/>
          </w:tcPr>
          <w:p w14:paraId="64303097"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098"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099" w14:textId="77777777" w:rsidR="009F6D8A" w:rsidRDefault="00C50974">
            <w:pPr>
              <w:jc w:val="right"/>
              <w:textAlignment w:val="bottom"/>
            </w:pPr>
            <w:r>
              <w:rPr>
                <w:rFonts w:ascii="Arial" w:eastAsia="宋体" w:hAnsi="Arial" w:cs="Arial"/>
                <w:color w:val="000000"/>
                <w:sz w:val="18"/>
                <w:szCs w:val="18"/>
              </w:rPr>
              <w:t>(4,030)</w:t>
            </w:r>
          </w:p>
        </w:tc>
        <w:tc>
          <w:tcPr>
            <w:tcW w:w="0" w:type="auto"/>
            <w:shd w:val="clear" w:color="auto" w:fill="E1E1E1"/>
            <w:tcMar>
              <w:top w:w="40" w:type="dxa"/>
              <w:left w:w="0" w:type="dxa"/>
              <w:bottom w:w="40" w:type="dxa"/>
              <w:right w:w="20" w:type="dxa"/>
            </w:tcMar>
            <w:vAlign w:val="bottom"/>
          </w:tcPr>
          <w:p w14:paraId="6430309A" w14:textId="77777777" w:rsidR="009F6D8A" w:rsidRDefault="009F6D8A">
            <w:pPr>
              <w:jc w:val="right"/>
              <w:rPr>
                <w:rFonts w:ascii="宋体"/>
              </w:rPr>
            </w:pPr>
          </w:p>
        </w:tc>
      </w:tr>
      <w:tr w:rsidR="009F6D8A" w14:paraId="643030A2" w14:textId="77777777">
        <w:trPr>
          <w:jc w:val="center"/>
        </w:trPr>
        <w:tc>
          <w:tcPr>
            <w:tcW w:w="0" w:type="auto"/>
            <w:gridSpan w:val="3"/>
            <w:shd w:val="clear" w:color="auto" w:fill="FFFFFF"/>
            <w:tcMar>
              <w:top w:w="40" w:type="dxa"/>
              <w:left w:w="245" w:type="dxa"/>
              <w:bottom w:w="40" w:type="dxa"/>
              <w:right w:w="20" w:type="dxa"/>
            </w:tcMar>
            <w:vAlign w:val="bottom"/>
          </w:tcPr>
          <w:p w14:paraId="6430309C" w14:textId="77777777" w:rsidR="009F6D8A" w:rsidRDefault="00C50974">
            <w:pPr>
              <w:textAlignment w:val="bottom"/>
            </w:pPr>
            <w:r>
              <w:rPr>
                <w:rFonts w:ascii="Arial" w:eastAsia="宋体" w:hAnsi="Arial" w:cs="Arial"/>
                <w:color w:val="000000"/>
                <w:sz w:val="18"/>
                <w:szCs w:val="18"/>
              </w:rPr>
              <w:t>Payments for taxes related to net share settlements of restricted stock units and awards</w:t>
            </w:r>
          </w:p>
        </w:tc>
        <w:tc>
          <w:tcPr>
            <w:tcW w:w="0" w:type="auto"/>
            <w:gridSpan w:val="2"/>
            <w:shd w:val="clear" w:color="auto" w:fill="FFFFFF"/>
            <w:tcMar>
              <w:top w:w="40" w:type="dxa"/>
              <w:left w:w="20" w:type="dxa"/>
              <w:bottom w:w="40" w:type="dxa"/>
              <w:right w:w="0" w:type="dxa"/>
            </w:tcMar>
            <w:vAlign w:val="bottom"/>
          </w:tcPr>
          <w:p w14:paraId="6430309D" w14:textId="77777777" w:rsidR="009F6D8A" w:rsidRDefault="00C50974">
            <w:pPr>
              <w:jc w:val="right"/>
              <w:textAlignment w:val="bottom"/>
            </w:pPr>
            <w:r>
              <w:rPr>
                <w:rFonts w:ascii="Arial" w:eastAsia="宋体" w:hAnsi="Arial" w:cs="Arial"/>
                <w:color w:val="000000"/>
                <w:sz w:val="18"/>
                <w:szCs w:val="18"/>
              </w:rPr>
              <w:t>(128)</w:t>
            </w:r>
          </w:p>
        </w:tc>
        <w:tc>
          <w:tcPr>
            <w:tcW w:w="0" w:type="auto"/>
            <w:shd w:val="clear" w:color="auto" w:fill="FFFFFF"/>
            <w:tcMar>
              <w:top w:w="40" w:type="dxa"/>
              <w:left w:w="0" w:type="dxa"/>
              <w:bottom w:w="40" w:type="dxa"/>
              <w:right w:w="20" w:type="dxa"/>
            </w:tcMar>
            <w:vAlign w:val="bottom"/>
          </w:tcPr>
          <w:p w14:paraId="6430309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09F"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0A0" w14:textId="77777777" w:rsidR="009F6D8A" w:rsidRDefault="00C50974">
            <w:pPr>
              <w:jc w:val="right"/>
              <w:textAlignment w:val="bottom"/>
            </w:pPr>
            <w:r>
              <w:rPr>
                <w:rFonts w:ascii="Arial" w:eastAsia="宋体" w:hAnsi="Arial" w:cs="Arial"/>
                <w:color w:val="000000"/>
                <w:sz w:val="18"/>
                <w:szCs w:val="18"/>
              </w:rPr>
              <w:t>(83)</w:t>
            </w:r>
          </w:p>
        </w:tc>
        <w:tc>
          <w:tcPr>
            <w:tcW w:w="0" w:type="auto"/>
            <w:shd w:val="clear" w:color="auto" w:fill="FFFFFF"/>
            <w:tcMar>
              <w:top w:w="40" w:type="dxa"/>
              <w:left w:w="0" w:type="dxa"/>
              <w:bottom w:w="40" w:type="dxa"/>
              <w:right w:w="20" w:type="dxa"/>
            </w:tcMar>
            <w:vAlign w:val="bottom"/>
          </w:tcPr>
          <w:p w14:paraId="643030A1" w14:textId="77777777" w:rsidR="009F6D8A" w:rsidRDefault="009F6D8A">
            <w:pPr>
              <w:jc w:val="right"/>
              <w:rPr>
                <w:rFonts w:ascii="宋体"/>
              </w:rPr>
            </w:pPr>
          </w:p>
        </w:tc>
      </w:tr>
      <w:tr w:rsidR="009F6D8A" w14:paraId="643030A9" w14:textId="77777777">
        <w:trPr>
          <w:jc w:val="center"/>
        </w:trPr>
        <w:tc>
          <w:tcPr>
            <w:tcW w:w="0" w:type="auto"/>
            <w:gridSpan w:val="3"/>
            <w:shd w:val="clear" w:color="auto" w:fill="E1E1E1"/>
            <w:tcMar>
              <w:top w:w="40" w:type="dxa"/>
              <w:left w:w="245" w:type="dxa"/>
              <w:bottom w:w="40" w:type="dxa"/>
              <w:right w:w="20" w:type="dxa"/>
            </w:tcMar>
            <w:vAlign w:val="bottom"/>
          </w:tcPr>
          <w:p w14:paraId="643030A3" w14:textId="77777777" w:rsidR="009F6D8A" w:rsidRDefault="00C50974">
            <w:pPr>
              <w:textAlignment w:val="bottom"/>
            </w:pPr>
            <w:r>
              <w:rPr>
                <w:rFonts w:ascii="Arial" w:eastAsia="宋体" w:hAnsi="Arial" w:cs="Arial"/>
                <w:color w:val="000000"/>
                <w:sz w:val="18"/>
                <w:szCs w:val="18"/>
              </w:rPr>
              <w:t>Payments for dividends</w:t>
            </w:r>
          </w:p>
        </w:tc>
        <w:tc>
          <w:tcPr>
            <w:tcW w:w="0" w:type="auto"/>
            <w:gridSpan w:val="2"/>
            <w:shd w:val="clear" w:color="auto" w:fill="E1E1E1"/>
            <w:tcMar>
              <w:top w:w="40" w:type="dxa"/>
              <w:left w:w="20" w:type="dxa"/>
              <w:bottom w:w="40" w:type="dxa"/>
              <w:right w:w="0" w:type="dxa"/>
            </w:tcMar>
            <w:vAlign w:val="bottom"/>
          </w:tcPr>
          <w:p w14:paraId="643030A4" w14:textId="77777777" w:rsidR="009F6D8A" w:rsidRDefault="00C50974">
            <w:pPr>
              <w:jc w:val="right"/>
              <w:textAlignment w:val="bottom"/>
            </w:pPr>
            <w:r>
              <w:rPr>
                <w:rFonts w:ascii="Arial" w:eastAsia="宋体" w:hAnsi="Arial" w:cs="Arial"/>
                <w:color w:val="000000"/>
                <w:sz w:val="18"/>
                <w:szCs w:val="18"/>
              </w:rPr>
              <w:t>(243)</w:t>
            </w:r>
          </w:p>
        </w:tc>
        <w:tc>
          <w:tcPr>
            <w:tcW w:w="0" w:type="auto"/>
            <w:shd w:val="clear" w:color="auto" w:fill="E1E1E1"/>
            <w:tcMar>
              <w:top w:w="40" w:type="dxa"/>
              <w:left w:w="0" w:type="dxa"/>
              <w:bottom w:w="40" w:type="dxa"/>
              <w:right w:w="20" w:type="dxa"/>
            </w:tcMar>
            <w:vAlign w:val="bottom"/>
          </w:tcPr>
          <w:p w14:paraId="643030A5"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0A6"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0A7" w14:textId="77777777" w:rsidR="009F6D8A" w:rsidRDefault="00C50974">
            <w:pPr>
              <w:jc w:val="right"/>
              <w:textAlignment w:val="bottom"/>
            </w:pPr>
            <w:r>
              <w:rPr>
                <w:rFonts w:ascii="Arial" w:eastAsia="宋体" w:hAnsi="Arial" w:cs="Arial"/>
                <w:color w:val="000000"/>
                <w:sz w:val="18"/>
                <w:szCs w:val="18"/>
              </w:rPr>
              <w:t>(226)</w:t>
            </w:r>
          </w:p>
        </w:tc>
        <w:tc>
          <w:tcPr>
            <w:tcW w:w="0" w:type="auto"/>
            <w:shd w:val="clear" w:color="auto" w:fill="E1E1E1"/>
            <w:tcMar>
              <w:top w:w="40" w:type="dxa"/>
              <w:left w:w="0" w:type="dxa"/>
              <w:bottom w:w="40" w:type="dxa"/>
              <w:right w:w="20" w:type="dxa"/>
            </w:tcMar>
            <w:vAlign w:val="bottom"/>
          </w:tcPr>
          <w:p w14:paraId="643030A8" w14:textId="77777777" w:rsidR="009F6D8A" w:rsidRDefault="009F6D8A">
            <w:pPr>
              <w:jc w:val="right"/>
              <w:rPr>
                <w:rFonts w:ascii="宋体"/>
              </w:rPr>
            </w:pPr>
          </w:p>
        </w:tc>
      </w:tr>
      <w:tr w:rsidR="009F6D8A" w14:paraId="643030B0" w14:textId="77777777">
        <w:trPr>
          <w:jc w:val="center"/>
        </w:trPr>
        <w:tc>
          <w:tcPr>
            <w:tcW w:w="0" w:type="auto"/>
            <w:gridSpan w:val="3"/>
            <w:shd w:val="clear" w:color="auto" w:fill="FFFFFF"/>
            <w:tcMar>
              <w:top w:w="40" w:type="dxa"/>
              <w:left w:w="245" w:type="dxa"/>
              <w:bottom w:w="40" w:type="dxa"/>
              <w:right w:w="20" w:type="dxa"/>
            </w:tcMar>
            <w:vAlign w:val="bottom"/>
          </w:tcPr>
          <w:p w14:paraId="643030AA" w14:textId="77777777" w:rsidR="009F6D8A" w:rsidRDefault="00C50974">
            <w:pPr>
              <w:textAlignment w:val="bottom"/>
            </w:pPr>
            <w:r>
              <w:rPr>
                <w:rFonts w:ascii="Arial" w:eastAsia="宋体" w:hAnsi="Arial" w:cs="Arial"/>
                <w:color w:val="000000"/>
                <w:sz w:val="18"/>
                <w:szCs w:val="18"/>
              </w:rPr>
              <w:t xml:space="preserve">Proceeds from </w:t>
            </w:r>
            <w:r>
              <w:rPr>
                <w:rFonts w:ascii="Arial" w:eastAsia="宋体" w:hAnsi="Arial" w:cs="Arial"/>
                <w:color w:val="000000"/>
                <w:sz w:val="18"/>
                <w:szCs w:val="18"/>
              </w:rPr>
              <w:t>issuance of long-term debt, net</w:t>
            </w:r>
          </w:p>
        </w:tc>
        <w:tc>
          <w:tcPr>
            <w:tcW w:w="0" w:type="auto"/>
            <w:gridSpan w:val="2"/>
            <w:shd w:val="clear" w:color="auto" w:fill="FFFFFF"/>
            <w:tcMar>
              <w:top w:w="40" w:type="dxa"/>
              <w:left w:w="20" w:type="dxa"/>
              <w:bottom w:w="40" w:type="dxa"/>
              <w:right w:w="0" w:type="dxa"/>
            </w:tcMar>
            <w:vAlign w:val="bottom"/>
          </w:tcPr>
          <w:p w14:paraId="643030AB" w14:textId="77777777" w:rsidR="009F6D8A" w:rsidRDefault="00C50974">
            <w:pPr>
              <w:jc w:val="right"/>
              <w:textAlignment w:val="bottom"/>
            </w:pPr>
            <w:r>
              <w:rPr>
                <w:rFonts w:ascii="Arial" w:eastAsia="宋体" w:hAnsi="Arial" w:cs="Arial"/>
                <w:color w:val="000000"/>
                <w:sz w:val="18"/>
                <w:szCs w:val="18"/>
              </w:rPr>
              <w:t>2,482 </w:t>
            </w:r>
          </w:p>
        </w:tc>
        <w:tc>
          <w:tcPr>
            <w:tcW w:w="0" w:type="auto"/>
            <w:shd w:val="clear" w:color="auto" w:fill="FFFFFF"/>
            <w:tcMar>
              <w:top w:w="40" w:type="dxa"/>
              <w:left w:w="0" w:type="dxa"/>
              <w:bottom w:w="40" w:type="dxa"/>
              <w:right w:w="20" w:type="dxa"/>
            </w:tcMar>
            <w:vAlign w:val="bottom"/>
          </w:tcPr>
          <w:p w14:paraId="643030A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0A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0AE" w14:textId="77777777" w:rsidR="009F6D8A" w:rsidRDefault="00C50974">
            <w:pPr>
              <w:jc w:val="right"/>
              <w:textAlignment w:val="bottom"/>
            </w:pPr>
            <w:r>
              <w:rPr>
                <w:rFonts w:ascii="Arial" w:eastAsia="宋体" w:hAnsi="Arial" w:cs="Arial"/>
                <w:color w:val="000000"/>
                <w:sz w:val="18"/>
                <w:szCs w:val="18"/>
              </w:rPr>
              <w:t>1,765 </w:t>
            </w:r>
          </w:p>
        </w:tc>
        <w:tc>
          <w:tcPr>
            <w:tcW w:w="0" w:type="auto"/>
            <w:shd w:val="clear" w:color="auto" w:fill="FFFFFF"/>
            <w:tcMar>
              <w:top w:w="40" w:type="dxa"/>
              <w:left w:w="0" w:type="dxa"/>
              <w:bottom w:w="40" w:type="dxa"/>
              <w:right w:w="20" w:type="dxa"/>
            </w:tcMar>
            <w:vAlign w:val="bottom"/>
          </w:tcPr>
          <w:p w14:paraId="643030AF" w14:textId="77777777" w:rsidR="009F6D8A" w:rsidRDefault="009F6D8A">
            <w:pPr>
              <w:jc w:val="right"/>
              <w:rPr>
                <w:rFonts w:ascii="宋体"/>
              </w:rPr>
            </w:pPr>
          </w:p>
        </w:tc>
      </w:tr>
      <w:tr w:rsidR="009F6D8A" w14:paraId="643030B7" w14:textId="77777777">
        <w:trPr>
          <w:jc w:val="center"/>
        </w:trPr>
        <w:tc>
          <w:tcPr>
            <w:tcW w:w="0" w:type="auto"/>
            <w:gridSpan w:val="3"/>
            <w:shd w:val="clear" w:color="auto" w:fill="E1E1E1"/>
            <w:tcMar>
              <w:top w:w="40" w:type="dxa"/>
              <w:left w:w="245" w:type="dxa"/>
              <w:bottom w:w="40" w:type="dxa"/>
              <w:right w:w="20" w:type="dxa"/>
            </w:tcMar>
            <w:vAlign w:val="bottom"/>
          </w:tcPr>
          <w:p w14:paraId="643030B1" w14:textId="77777777" w:rsidR="009F6D8A" w:rsidRDefault="00C50974">
            <w:pPr>
              <w:textAlignment w:val="bottom"/>
            </w:pPr>
            <w:r>
              <w:rPr>
                <w:rFonts w:ascii="Arial" w:eastAsia="宋体" w:hAnsi="Arial" w:cs="Arial"/>
                <w:color w:val="000000"/>
                <w:sz w:val="18"/>
                <w:szCs w:val="18"/>
              </w:rPr>
              <w:t>Repayment of debt</w:t>
            </w:r>
          </w:p>
        </w:tc>
        <w:tc>
          <w:tcPr>
            <w:tcW w:w="0" w:type="auto"/>
            <w:gridSpan w:val="2"/>
            <w:shd w:val="clear" w:color="auto" w:fill="E1E1E1"/>
            <w:tcMar>
              <w:top w:w="40" w:type="dxa"/>
              <w:left w:w="20" w:type="dxa"/>
              <w:bottom w:w="40" w:type="dxa"/>
              <w:right w:w="0" w:type="dxa"/>
            </w:tcMar>
            <w:vAlign w:val="bottom"/>
          </w:tcPr>
          <w:p w14:paraId="643030B2" w14:textId="77777777" w:rsidR="009F6D8A" w:rsidRDefault="00C50974">
            <w:pPr>
              <w:jc w:val="right"/>
              <w:textAlignment w:val="bottom"/>
            </w:pPr>
            <w:r>
              <w:rPr>
                <w:rFonts w:ascii="Arial" w:eastAsia="宋体" w:hAnsi="Arial" w:cs="Arial"/>
                <w:color w:val="000000"/>
                <w:sz w:val="18"/>
                <w:szCs w:val="18"/>
              </w:rPr>
              <w:t>(1,156)</w:t>
            </w:r>
          </w:p>
        </w:tc>
        <w:tc>
          <w:tcPr>
            <w:tcW w:w="0" w:type="auto"/>
            <w:shd w:val="clear" w:color="auto" w:fill="E1E1E1"/>
            <w:tcMar>
              <w:top w:w="40" w:type="dxa"/>
              <w:left w:w="0" w:type="dxa"/>
              <w:bottom w:w="40" w:type="dxa"/>
              <w:right w:w="20" w:type="dxa"/>
            </w:tcMar>
            <w:vAlign w:val="bottom"/>
          </w:tcPr>
          <w:p w14:paraId="643030B3"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0B4"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0B5" w14:textId="77777777" w:rsidR="009F6D8A" w:rsidRDefault="00C50974">
            <w:pPr>
              <w:jc w:val="right"/>
              <w:textAlignment w:val="bottom"/>
            </w:pPr>
            <w:r>
              <w:rPr>
                <w:rFonts w:ascii="Arial" w:eastAsia="宋体" w:hAnsi="Arial" w:cs="Arial"/>
                <w:color w:val="000000"/>
                <w:sz w:val="18"/>
                <w:szCs w:val="18"/>
              </w:rPr>
              <w:t>(839)</w:t>
            </w:r>
          </w:p>
        </w:tc>
        <w:tc>
          <w:tcPr>
            <w:tcW w:w="0" w:type="auto"/>
            <w:shd w:val="clear" w:color="auto" w:fill="E1E1E1"/>
            <w:tcMar>
              <w:top w:w="40" w:type="dxa"/>
              <w:left w:w="0" w:type="dxa"/>
              <w:bottom w:w="40" w:type="dxa"/>
              <w:right w:w="20" w:type="dxa"/>
            </w:tcMar>
            <w:vAlign w:val="bottom"/>
          </w:tcPr>
          <w:p w14:paraId="643030B6" w14:textId="77777777" w:rsidR="009F6D8A" w:rsidRDefault="009F6D8A">
            <w:pPr>
              <w:jc w:val="right"/>
              <w:rPr>
                <w:rFonts w:ascii="宋体"/>
              </w:rPr>
            </w:pPr>
          </w:p>
        </w:tc>
      </w:tr>
      <w:tr w:rsidR="009F6D8A" w14:paraId="643030BC" w14:textId="77777777">
        <w:trPr>
          <w:jc w:val="center"/>
          <w:hidden/>
        </w:trPr>
        <w:tc>
          <w:tcPr>
            <w:tcW w:w="0" w:type="auto"/>
            <w:gridSpan w:val="3"/>
            <w:shd w:val="clear" w:color="auto" w:fill="auto"/>
            <w:vAlign w:val="bottom"/>
          </w:tcPr>
          <w:p w14:paraId="643030B8" w14:textId="77777777" w:rsidR="009F6D8A" w:rsidRDefault="009F6D8A">
            <w:pPr>
              <w:rPr>
                <w:rFonts w:ascii="宋体"/>
                <w:vanish/>
              </w:rPr>
            </w:pPr>
          </w:p>
        </w:tc>
        <w:tc>
          <w:tcPr>
            <w:tcW w:w="0" w:type="auto"/>
            <w:gridSpan w:val="3"/>
            <w:shd w:val="clear" w:color="auto" w:fill="auto"/>
            <w:vAlign w:val="bottom"/>
          </w:tcPr>
          <w:p w14:paraId="643030B9" w14:textId="77777777" w:rsidR="009F6D8A" w:rsidRDefault="009F6D8A">
            <w:pPr>
              <w:rPr>
                <w:rFonts w:ascii="宋体"/>
                <w:vanish/>
              </w:rPr>
            </w:pPr>
          </w:p>
        </w:tc>
        <w:tc>
          <w:tcPr>
            <w:tcW w:w="0" w:type="auto"/>
            <w:gridSpan w:val="3"/>
            <w:shd w:val="clear" w:color="auto" w:fill="auto"/>
            <w:vAlign w:val="bottom"/>
          </w:tcPr>
          <w:p w14:paraId="643030BA" w14:textId="77777777" w:rsidR="009F6D8A" w:rsidRDefault="009F6D8A">
            <w:pPr>
              <w:rPr>
                <w:rFonts w:ascii="宋体"/>
                <w:vanish/>
              </w:rPr>
            </w:pPr>
          </w:p>
        </w:tc>
        <w:tc>
          <w:tcPr>
            <w:tcW w:w="0" w:type="auto"/>
            <w:gridSpan w:val="3"/>
            <w:shd w:val="clear" w:color="auto" w:fill="auto"/>
            <w:vAlign w:val="bottom"/>
          </w:tcPr>
          <w:p w14:paraId="643030BB" w14:textId="77777777" w:rsidR="009F6D8A" w:rsidRDefault="009F6D8A">
            <w:pPr>
              <w:rPr>
                <w:rFonts w:ascii="宋体"/>
                <w:vanish/>
              </w:rPr>
            </w:pPr>
          </w:p>
        </w:tc>
      </w:tr>
      <w:tr w:rsidR="009F6D8A" w14:paraId="643030C1" w14:textId="77777777">
        <w:trPr>
          <w:jc w:val="center"/>
          <w:hidden/>
        </w:trPr>
        <w:tc>
          <w:tcPr>
            <w:tcW w:w="0" w:type="auto"/>
            <w:gridSpan w:val="3"/>
            <w:shd w:val="clear" w:color="auto" w:fill="auto"/>
            <w:vAlign w:val="bottom"/>
          </w:tcPr>
          <w:p w14:paraId="643030BD" w14:textId="77777777" w:rsidR="009F6D8A" w:rsidRDefault="009F6D8A">
            <w:pPr>
              <w:rPr>
                <w:rFonts w:ascii="宋体"/>
                <w:vanish/>
              </w:rPr>
            </w:pPr>
          </w:p>
        </w:tc>
        <w:tc>
          <w:tcPr>
            <w:tcW w:w="0" w:type="auto"/>
            <w:gridSpan w:val="3"/>
            <w:shd w:val="clear" w:color="auto" w:fill="auto"/>
            <w:vAlign w:val="bottom"/>
          </w:tcPr>
          <w:p w14:paraId="643030BE" w14:textId="77777777" w:rsidR="009F6D8A" w:rsidRDefault="009F6D8A">
            <w:pPr>
              <w:rPr>
                <w:rFonts w:ascii="宋体"/>
                <w:vanish/>
              </w:rPr>
            </w:pPr>
          </w:p>
        </w:tc>
        <w:tc>
          <w:tcPr>
            <w:tcW w:w="0" w:type="auto"/>
            <w:gridSpan w:val="3"/>
            <w:shd w:val="clear" w:color="auto" w:fill="auto"/>
            <w:vAlign w:val="bottom"/>
          </w:tcPr>
          <w:p w14:paraId="643030BF" w14:textId="77777777" w:rsidR="009F6D8A" w:rsidRDefault="009F6D8A">
            <w:pPr>
              <w:rPr>
                <w:rFonts w:ascii="宋体"/>
                <w:vanish/>
              </w:rPr>
            </w:pPr>
          </w:p>
        </w:tc>
        <w:tc>
          <w:tcPr>
            <w:tcW w:w="0" w:type="auto"/>
            <w:gridSpan w:val="3"/>
            <w:shd w:val="clear" w:color="auto" w:fill="auto"/>
            <w:vAlign w:val="bottom"/>
          </w:tcPr>
          <w:p w14:paraId="643030C0" w14:textId="77777777" w:rsidR="009F6D8A" w:rsidRDefault="009F6D8A">
            <w:pPr>
              <w:rPr>
                <w:rFonts w:ascii="宋体"/>
                <w:vanish/>
              </w:rPr>
            </w:pPr>
          </w:p>
        </w:tc>
      </w:tr>
      <w:tr w:rsidR="009F6D8A" w14:paraId="643030C8" w14:textId="77777777">
        <w:trPr>
          <w:jc w:val="center"/>
        </w:trPr>
        <w:tc>
          <w:tcPr>
            <w:tcW w:w="0" w:type="auto"/>
            <w:gridSpan w:val="3"/>
            <w:shd w:val="clear" w:color="auto" w:fill="FFFFFF"/>
            <w:tcMar>
              <w:top w:w="40" w:type="dxa"/>
              <w:left w:w="245" w:type="dxa"/>
              <w:bottom w:w="40" w:type="dxa"/>
              <w:right w:w="20" w:type="dxa"/>
            </w:tcMar>
            <w:vAlign w:val="bottom"/>
          </w:tcPr>
          <w:p w14:paraId="643030C2" w14:textId="77777777" w:rsidR="009F6D8A" w:rsidRDefault="00C50974">
            <w:pPr>
              <w:textAlignment w:val="bottom"/>
            </w:pPr>
            <w:r>
              <w:rPr>
                <w:rFonts w:ascii="Arial" w:eastAsia="宋体" w:hAnsi="Arial" w:cs="Arial"/>
                <w:color w:val="000000"/>
                <w:sz w:val="18"/>
                <w:szCs w:val="18"/>
              </w:rPr>
              <w:t>Net funds receivable and payable activity</w:t>
            </w:r>
          </w:p>
        </w:tc>
        <w:tc>
          <w:tcPr>
            <w:tcW w:w="0" w:type="auto"/>
            <w:gridSpan w:val="2"/>
            <w:shd w:val="clear" w:color="auto" w:fill="FFFFFF"/>
            <w:tcMar>
              <w:top w:w="40" w:type="dxa"/>
              <w:left w:w="20" w:type="dxa"/>
              <w:bottom w:w="40" w:type="dxa"/>
              <w:right w:w="0" w:type="dxa"/>
            </w:tcMar>
            <w:vAlign w:val="bottom"/>
          </w:tcPr>
          <w:p w14:paraId="643030C3" w14:textId="77777777" w:rsidR="009F6D8A" w:rsidRDefault="00C50974">
            <w:pPr>
              <w:jc w:val="right"/>
              <w:textAlignment w:val="bottom"/>
            </w:pPr>
            <w:r>
              <w:rPr>
                <w:rFonts w:ascii="Arial" w:eastAsia="宋体" w:hAnsi="Arial" w:cs="Arial"/>
                <w:color w:val="000000"/>
                <w:sz w:val="18"/>
                <w:szCs w:val="18"/>
              </w:rPr>
              <w:t>30 </w:t>
            </w:r>
          </w:p>
        </w:tc>
        <w:tc>
          <w:tcPr>
            <w:tcW w:w="0" w:type="auto"/>
            <w:shd w:val="clear" w:color="auto" w:fill="FFFFFF"/>
            <w:tcMar>
              <w:top w:w="40" w:type="dxa"/>
              <w:left w:w="0" w:type="dxa"/>
              <w:bottom w:w="40" w:type="dxa"/>
              <w:right w:w="20" w:type="dxa"/>
            </w:tcMar>
            <w:vAlign w:val="bottom"/>
          </w:tcPr>
          <w:p w14:paraId="643030C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0C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0C6"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0C7" w14:textId="77777777" w:rsidR="009F6D8A" w:rsidRDefault="009F6D8A">
            <w:pPr>
              <w:jc w:val="right"/>
              <w:rPr>
                <w:rFonts w:ascii="宋体"/>
              </w:rPr>
            </w:pPr>
          </w:p>
        </w:tc>
      </w:tr>
      <w:tr w:rsidR="009F6D8A" w14:paraId="643030CF" w14:textId="77777777">
        <w:trPr>
          <w:jc w:val="center"/>
        </w:trPr>
        <w:tc>
          <w:tcPr>
            <w:tcW w:w="0" w:type="auto"/>
            <w:gridSpan w:val="3"/>
            <w:shd w:val="clear" w:color="auto" w:fill="E1E1E1"/>
            <w:tcMar>
              <w:top w:w="40" w:type="dxa"/>
              <w:left w:w="245" w:type="dxa"/>
              <w:bottom w:w="40" w:type="dxa"/>
              <w:right w:w="20" w:type="dxa"/>
            </w:tcMar>
            <w:vAlign w:val="bottom"/>
          </w:tcPr>
          <w:p w14:paraId="643030C9" w14:textId="77777777" w:rsidR="009F6D8A" w:rsidRDefault="00C50974">
            <w:pPr>
              <w:textAlignment w:val="bottom"/>
            </w:pPr>
            <w:r>
              <w:rPr>
                <w:rFonts w:ascii="Arial" w:eastAsia="宋体" w:hAnsi="Arial" w:cs="Arial"/>
                <w:color w:val="000000"/>
                <w:sz w:val="18"/>
                <w:szCs w:val="18"/>
              </w:rPr>
              <w:t>Other</w:t>
            </w:r>
          </w:p>
        </w:tc>
        <w:tc>
          <w:tcPr>
            <w:tcW w:w="0" w:type="auto"/>
            <w:gridSpan w:val="2"/>
            <w:shd w:val="clear" w:color="auto" w:fill="E1E1E1"/>
            <w:tcMar>
              <w:top w:w="40" w:type="dxa"/>
              <w:left w:w="20" w:type="dxa"/>
              <w:bottom w:w="40" w:type="dxa"/>
              <w:right w:w="0" w:type="dxa"/>
            </w:tcMar>
            <w:vAlign w:val="bottom"/>
          </w:tcPr>
          <w:p w14:paraId="643030CA" w14:textId="77777777" w:rsidR="009F6D8A" w:rsidRDefault="00C50974">
            <w:pPr>
              <w:jc w:val="right"/>
              <w:textAlignment w:val="bottom"/>
            </w:pPr>
            <w:r>
              <w:rPr>
                <w:rFonts w:ascii="Arial" w:eastAsia="宋体" w:hAnsi="Arial" w:cs="Arial"/>
                <w:color w:val="000000"/>
                <w:sz w:val="18"/>
                <w:szCs w:val="18"/>
              </w:rPr>
              <w:t>6 </w:t>
            </w:r>
          </w:p>
        </w:tc>
        <w:tc>
          <w:tcPr>
            <w:tcW w:w="0" w:type="auto"/>
            <w:shd w:val="clear" w:color="auto" w:fill="E1E1E1"/>
            <w:tcMar>
              <w:top w:w="40" w:type="dxa"/>
              <w:left w:w="0" w:type="dxa"/>
              <w:bottom w:w="40" w:type="dxa"/>
              <w:right w:w="20" w:type="dxa"/>
            </w:tcMar>
            <w:vAlign w:val="bottom"/>
          </w:tcPr>
          <w:p w14:paraId="643030CB"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0CC"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0CD"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0CE" w14:textId="77777777" w:rsidR="009F6D8A" w:rsidRDefault="009F6D8A">
            <w:pPr>
              <w:jc w:val="right"/>
              <w:rPr>
                <w:rFonts w:ascii="宋体"/>
              </w:rPr>
            </w:pPr>
          </w:p>
        </w:tc>
      </w:tr>
      <w:tr w:rsidR="009F6D8A" w14:paraId="643030D6" w14:textId="77777777">
        <w:trPr>
          <w:jc w:val="center"/>
        </w:trPr>
        <w:tc>
          <w:tcPr>
            <w:tcW w:w="0" w:type="auto"/>
            <w:gridSpan w:val="3"/>
            <w:shd w:val="clear" w:color="auto" w:fill="FFFFFF"/>
            <w:tcMar>
              <w:top w:w="40" w:type="dxa"/>
              <w:left w:w="20" w:type="dxa"/>
              <w:bottom w:w="40" w:type="dxa"/>
              <w:right w:w="20" w:type="dxa"/>
            </w:tcMar>
            <w:vAlign w:val="bottom"/>
          </w:tcPr>
          <w:p w14:paraId="643030D0" w14:textId="77777777" w:rsidR="009F6D8A" w:rsidRDefault="00C50974">
            <w:pPr>
              <w:textAlignment w:val="bottom"/>
            </w:pPr>
            <w:r>
              <w:rPr>
                <w:rFonts w:ascii="Arial" w:eastAsia="宋体" w:hAnsi="Arial" w:cs="Arial"/>
                <w:color w:val="000000"/>
                <w:sz w:val="18"/>
                <w:szCs w:val="18"/>
              </w:rPr>
              <w:t>Net cash used in continuing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0D1" w14:textId="77777777" w:rsidR="009F6D8A" w:rsidRDefault="00C50974">
            <w:pPr>
              <w:jc w:val="right"/>
              <w:textAlignment w:val="bottom"/>
            </w:pPr>
            <w:r>
              <w:rPr>
                <w:rFonts w:ascii="Arial" w:eastAsia="宋体" w:hAnsi="Arial" w:cs="Arial"/>
                <w:color w:val="000000"/>
                <w:sz w:val="18"/>
                <w:szCs w:val="18"/>
              </w:rPr>
              <w:t>(685)</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0D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0D3"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0D4" w14:textId="77777777" w:rsidR="009F6D8A" w:rsidRDefault="00C50974">
            <w:pPr>
              <w:jc w:val="right"/>
              <w:textAlignment w:val="bottom"/>
            </w:pPr>
            <w:r>
              <w:rPr>
                <w:rFonts w:ascii="Arial" w:eastAsia="宋体" w:hAnsi="Arial" w:cs="Arial"/>
                <w:color w:val="000000"/>
                <w:sz w:val="18"/>
                <w:szCs w:val="18"/>
              </w:rPr>
              <w:t>(3,363)</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0D5" w14:textId="77777777" w:rsidR="009F6D8A" w:rsidRDefault="009F6D8A">
            <w:pPr>
              <w:jc w:val="right"/>
              <w:rPr>
                <w:rFonts w:ascii="宋体"/>
              </w:rPr>
            </w:pPr>
          </w:p>
        </w:tc>
      </w:tr>
      <w:tr w:rsidR="009F6D8A" w14:paraId="643030DD" w14:textId="77777777">
        <w:trPr>
          <w:jc w:val="center"/>
        </w:trPr>
        <w:tc>
          <w:tcPr>
            <w:tcW w:w="0" w:type="auto"/>
            <w:gridSpan w:val="3"/>
            <w:shd w:val="clear" w:color="auto" w:fill="E1E1E1"/>
            <w:tcMar>
              <w:top w:w="40" w:type="dxa"/>
              <w:left w:w="20" w:type="dxa"/>
              <w:bottom w:w="40" w:type="dxa"/>
              <w:right w:w="20" w:type="dxa"/>
            </w:tcMar>
            <w:vAlign w:val="bottom"/>
          </w:tcPr>
          <w:p w14:paraId="643030D7" w14:textId="77777777" w:rsidR="009F6D8A" w:rsidRDefault="00C50974">
            <w:pPr>
              <w:textAlignment w:val="bottom"/>
            </w:pPr>
            <w:r>
              <w:rPr>
                <w:rFonts w:ascii="Arial" w:eastAsia="宋体" w:hAnsi="Arial" w:cs="Arial"/>
                <w:color w:val="000000"/>
                <w:sz w:val="18"/>
                <w:szCs w:val="18"/>
              </w:rPr>
              <w:t xml:space="preserve">Net cash used in </w:t>
            </w:r>
            <w:r>
              <w:rPr>
                <w:rFonts w:ascii="Arial" w:eastAsia="宋体" w:hAnsi="Arial" w:cs="Arial"/>
                <w:color w:val="000000"/>
                <w:sz w:val="18"/>
                <w:szCs w:val="18"/>
              </w:rPr>
              <w:t>discontinued financing activities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0D8" w14:textId="77777777" w:rsidR="009F6D8A" w:rsidRDefault="00C50974">
            <w:pPr>
              <w:jc w:val="right"/>
              <w:textAlignment w:val="bottom"/>
            </w:pPr>
            <w:r>
              <w:rPr>
                <w:rFonts w:ascii="Arial" w:eastAsia="宋体" w:hAnsi="Arial" w:cs="Arial"/>
                <w:color w:val="000000"/>
                <w:sz w:val="18"/>
                <w:szCs w:val="18"/>
              </w:rPr>
              <w:t>(62)</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0D9"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0DA"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0DB" w14:textId="77777777" w:rsidR="009F6D8A" w:rsidRDefault="00C50974">
            <w:pPr>
              <w:jc w:val="right"/>
              <w:textAlignment w:val="bottom"/>
            </w:pPr>
            <w:r>
              <w:rPr>
                <w:rFonts w:ascii="Arial" w:eastAsia="宋体" w:hAnsi="Arial" w:cs="Arial"/>
                <w:color w:val="000000"/>
                <w:sz w:val="18"/>
                <w:szCs w:val="18"/>
              </w:rPr>
              <w:t>(7)</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0DC" w14:textId="77777777" w:rsidR="009F6D8A" w:rsidRDefault="009F6D8A">
            <w:pPr>
              <w:jc w:val="right"/>
              <w:rPr>
                <w:rFonts w:ascii="宋体"/>
              </w:rPr>
            </w:pPr>
          </w:p>
        </w:tc>
      </w:tr>
      <w:tr w:rsidR="009F6D8A" w14:paraId="643030E4" w14:textId="77777777">
        <w:trPr>
          <w:jc w:val="center"/>
        </w:trPr>
        <w:tc>
          <w:tcPr>
            <w:tcW w:w="0" w:type="auto"/>
            <w:gridSpan w:val="3"/>
            <w:shd w:val="clear" w:color="auto" w:fill="FFFFFF"/>
            <w:tcMar>
              <w:top w:w="40" w:type="dxa"/>
              <w:left w:w="755" w:type="dxa"/>
              <w:bottom w:w="40" w:type="dxa"/>
              <w:right w:w="20" w:type="dxa"/>
            </w:tcMar>
            <w:vAlign w:val="bottom"/>
          </w:tcPr>
          <w:p w14:paraId="643030DE" w14:textId="77777777" w:rsidR="009F6D8A" w:rsidRDefault="00C50974">
            <w:pPr>
              <w:textAlignment w:val="bottom"/>
            </w:pPr>
            <w:r>
              <w:rPr>
                <w:rFonts w:ascii="Arial" w:eastAsia="宋体" w:hAnsi="Arial" w:cs="Arial"/>
                <w:color w:val="000000"/>
                <w:sz w:val="18"/>
                <w:szCs w:val="18"/>
              </w:rPr>
              <w:t>Net cash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0DF" w14:textId="77777777" w:rsidR="009F6D8A" w:rsidRDefault="00C50974">
            <w:pPr>
              <w:jc w:val="right"/>
              <w:textAlignment w:val="bottom"/>
            </w:pPr>
            <w:r>
              <w:rPr>
                <w:rFonts w:ascii="Arial" w:eastAsia="宋体" w:hAnsi="Arial" w:cs="Arial"/>
                <w:color w:val="000000"/>
                <w:sz w:val="18"/>
                <w:szCs w:val="18"/>
              </w:rPr>
              <w:t>(747)</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0E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0E1"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0E2" w14:textId="77777777" w:rsidR="009F6D8A" w:rsidRDefault="00C50974">
            <w:pPr>
              <w:jc w:val="right"/>
              <w:textAlignment w:val="bottom"/>
            </w:pPr>
            <w:r>
              <w:rPr>
                <w:rFonts w:ascii="Arial" w:eastAsia="宋体" w:hAnsi="Arial" w:cs="Arial"/>
                <w:color w:val="000000"/>
                <w:sz w:val="18"/>
                <w:szCs w:val="18"/>
              </w:rPr>
              <w:t>(3,370)</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0E3" w14:textId="77777777" w:rsidR="009F6D8A" w:rsidRDefault="009F6D8A">
            <w:pPr>
              <w:jc w:val="right"/>
              <w:rPr>
                <w:rFonts w:ascii="宋体"/>
              </w:rPr>
            </w:pPr>
          </w:p>
        </w:tc>
      </w:tr>
      <w:tr w:rsidR="009F6D8A" w14:paraId="643030EB" w14:textId="77777777">
        <w:trPr>
          <w:jc w:val="center"/>
        </w:trPr>
        <w:tc>
          <w:tcPr>
            <w:tcW w:w="0" w:type="auto"/>
            <w:gridSpan w:val="3"/>
            <w:shd w:val="clear" w:color="auto" w:fill="E1E1E1"/>
            <w:tcMar>
              <w:top w:w="40" w:type="dxa"/>
              <w:left w:w="20" w:type="dxa"/>
              <w:bottom w:w="40" w:type="dxa"/>
              <w:right w:w="20" w:type="dxa"/>
            </w:tcMar>
            <w:vAlign w:val="bottom"/>
          </w:tcPr>
          <w:p w14:paraId="643030E5" w14:textId="77777777" w:rsidR="009F6D8A" w:rsidRDefault="00C50974">
            <w:pPr>
              <w:textAlignment w:val="bottom"/>
            </w:pPr>
            <w:r>
              <w:rPr>
                <w:rFonts w:ascii="Arial" w:eastAsia="宋体" w:hAnsi="Arial" w:cs="Arial"/>
                <w:color w:val="000000"/>
                <w:sz w:val="18"/>
                <w:szCs w:val="18"/>
              </w:rPr>
              <w:t>Effect of exchange rate changes on cash, cash equivalents and restricted cash</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0E6" w14:textId="77777777" w:rsidR="009F6D8A" w:rsidRDefault="00C50974">
            <w:pPr>
              <w:jc w:val="right"/>
              <w:textAlignment w:val="bottom"/>
            </w:pPr>
            <w:r>
              <w:rPr>
                <w:rFonts w:ascii="Arial" w:eastAsia="宋体" w:hAnsi="Arial" w:cs="Arial"/>
                <w:color w:val="000000"/>
                <w:sz w:val="18"/>
                <w:szCs w:val="18"/>
              </w:rPr>
              <w:t>(5)</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0E7"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0E8"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0E9" w14:textId="77777777" w:rsidR="009F6D8A" w:rsidRDefault="00C50974">
            <w:pPr>
              <w:jc w:val="right"/>
              <w:textAlignment w:val="bottom"/>
            </w:pPr>
            <w:r>
              <w:rPr>
                <w:rFonts w:ascii="Arial" w:eastAsia="宋体" w:hAnsi="Arial" w:cs="Arial"/>
                <w:color w:val="000000"/>
                <w:sz w:val="18"/>
                <w:szCs w:val="18"/>
              </w:rPr>
              <w:t>(26)</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0EA" w14:textId="77777777" w:rsidR="009F6D8A" w:rsidRDefault="009F6D8A">
            <w:pPr>
              <w:jc w:val="right"/>
              <w:rPr>
                <w:rFonts w:ascii="宋体"/>
              </w:rPr>
            </w:pPr>
          </w:p>
        </w:tc>
      </w:tr>
      <w:tr w:rsidR="009F6D8A" w14:paraId="643030F2" w14:textId="77777777">
        <w:trPr>
          <w:jc w:val="center"/>
        </w:trPr>
        <w:tc>
          <w:tcPr>
            <w:tcW w:w="0" w:type="auto"/>
            <w:gridSpan w:val="3"/>
            <w:shd w:val="clear" w:color="auto" w:fill="FFFFFF"/>
            <w:tcMar>
              <w:top w:w="40" w:type="dxa"/>
              <w:left w:w="20" w:type="dxa"/>
              <w:bottom w:w="40" w:type="dxa"/>
              <w:right w:w="20" w:type="dxa"/>
            </w:tcMar>
            <w:vAlign w:val="bottom"/>
          </w:tcPr>
          <w:p w14:paraId="643030EC" w14:textId="77777777" w:rsidR="009F6D8A" w:rsidRDefault="00C50974">
            <w:pPr>
              <w:textAlignment w:val="bottom"/>
            </w:pPr>
            <w:r>
              <w:rPr>
                <w:rFonts w:ascii="Arial" w:eastAsia="宋体" w:hAnsi="Arial" w:cs="Arial"/>
                <w:color w:val="000000"/>
                <w:sz w:val="18"/>
                <w:szCs w:val="18"/>
              </w:rPr>
              <w:t xml:space="preserve">Net increase in cash, cash equivalents and </w:t>
            </w:r>
            <w:r>
              <w:rPr>
                <w:rFonts w:ascii="Arial" w:eastAsia="宋体" w:hAnsi="Arial" w:cs="Arial"/>
                <w:color w:val="000000"/>
                <w:sz w:val="18"/>
                <w:szCs w:val="18"/>
              </w:rPr>
              <w:t>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0ED" w14:textId="77777777" w:rsidR="009F6D8A" w:rsidRDefault="00C50974">
            <w:pPr>
              <w:jc w:val="right"/>
              <w:textAlignment w:val="bottom"/>
            </w:pPr>
            <w:r>
              <w:rPr>
                <w:rFonts w:ascii="Arial" w:eastAsia="宋体" w:hAnsi="Arial" w:cs="Arial"/>
                <w:color w:val="000000"/>
                <w:sz w:val="18"/>
                <w:szCs w:val="18"/>
              </w:rPr>
              <w:t>712 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0E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0EF"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0F0" w14:textId="77777777" w:rsidR="009F6D8A" w:rsidRDefault="00C50974">
            <w:pPr>
              <w:jc w:val="right"/>
              <w:textAlignment w:val="bottom"/>
            </w:pPr>
            <w:r>
              <w:rPr>
                <w:rFonts w:ascii="Arial" w:eastAsia="宋体" w:hAnsi="Arial" w:cs="Arial"/>
                <w:color w:val="000000"/>
                <w:sz w:val="18"/>
                <w:szCs w:val="18"/>
              </w:rPr>
              <w:t>29 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0F1" w14:textId="77777777" w:rsidR="009F6D8A" w:rsidRDefault="009F6D8A">
            <w:pPr>
              <w:jc w:val="right"/>
              <w:rPr>
                <w:rFonts w:ascii="宋体"/>
              </w:rPr>
            </w:pPr>
          </w:p>
        </w:tc>
      </w:tr>
      <w:tr w:rsidR="009F6D8A" w14:paraId="643030F9" w14:textId="77777777">
        <w:trPr>
          <w:jc w:val="center"/>
        </w:trPr>
        <w:tc>
          <w:tcPr>
            <w:tcW w:w="0" w:type="auto"/>
            <w:gridSpan w:val="3"/>
            <w:shd w:val="clear" w:color="auto" w:fill="E1E1E1"/>
            <w:tcMar>
              <w:top w:w="40" w:type="dxa"/>
              <w:left w:w="20" w:type="dxa"/>
              <w:bottom w:w="40" w:type="dxa"/>
              <w:right w:w="20" w:type="dxa"/>
            </w:tcMar>
            <w:vAlign w:val="bottom"/>
          </w:tcPr>
          <w:p w14:paraId="643030F3" w14:textId="77777777" w:rsidR="009F6D8A" w:rsidRDefault="00C50974">
            <w:pPr>
              <w:textAlignment w:val="bottom"/>
            </w:pPr>
            <w:r>
              <w:rPr>
                <w:rFonts w:ascii="Arial" w:eastAsia="宋体" w:hAnsi="Arial" w:cs="Arial"/>
                <w:color w:val="000000"/>
                <w:sz w:val="18"/>
                <w:szCs w:val="18"/>
              </w:rPr>
              <w:t>Cash, cash equivalents and restricted cash at beginning of period</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0F4" w14:textId="77777777" w:rsidR="009F6D8A" w:rsidRDefault="00C50974">
            <w:pPr>
              <w:jc w:val="right"/>
              <w:textAlignment w:val="bottom"/>
            </w:pPr>
            <w:r>
              <w:rPr>
                <w:rFonts w:ascii="Arial" w:eastAsia="宋体" w:hAnsi="Arial" w:cs="Arial"/>
                <w:color w:val="000000"/>
                <w:sz w:val="18"/>
                <w:szCs w:val="18"/>
              </w:rPr>
              <w:t>1,594 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0F5"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0F6"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0F7" w14:textId="77777777" w:rsidR="009F6D8A" w:rsidRDefault="00C50974">
            <w:pPr>
              <w:jc w:val="right"/>
              <w:textAlignment w:val="bottom"/>
            </w:pPr>
            <w:r>
              <w:rPr>
                <w:rFonts w:ascii="Arial" w:eastAsia="宋体" w:hAnsi="Arial" w:cs="Arial"/>
                <w:color w:val="000000"/>
                <w:sz w:val="18"/>
                <w:szCs w:val="18"/>
              </w:rPr>
              <w:t>996 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0F8" w14:textId="77777777" w:rsidR="009F6D8A" w:rsidRDefault="009F6D8A">
            <w:pPr>
              <w:jc w:val="right"/>
              <w:rPr>
                <w:rFonts w:ascii="宋体"/>
              </w:rPr>
            </w:pPr>
          </w:p>
        </w:tc>
      </w:tr>
      <w:tr w:rsidR="009F6D8A" w14:paraId="64303102" w14:textId="77777777">
        <w:trPr>
          <w:jc w:val="center"/>
        </w:trPr>
        <w:tc>
          <w:tcPr>
            <w:tcW w:w="0" w:type="auto"/>
            <w:gridSpan w:val="3"/>
            <w:shd w:val="clear" w:color="auto" w:fill="FFFFFF"/>
            <w:tcMar>
              <w:top w:w="40" w:type="dxa"/>
              <w:left w:w="20" w:type="dxa"/>
              <w:bottom w:w="40" w:type="dxa"/>
              <w:right w:w="20" w:type="dxa"/>
            </w:tcMar>
            <w:vAlign w:val="bottom"/>
          </w:tcPr>
          <w:p w14:paraId="643030FA" w14:textId="77777777" w:rsidR="009F6D8A" w:rsidRDefault="00C50974">
            <w:pPr>
              <w:textAlignment w:val="bottom"/>
            </w:pPr>
            <w:r>
              <w:rPr>
                <w:rFonts w:ascii="Arial" w:eastAsia="宋体" w:hAnsi="Arial" w:cs="Arial"/>
                <w:color w:val="000000"/>
                <w:sz w:val="18"/>
                <w:szCs w:val="18"/>
              </w:rPr>
              <w:t>Cash, cash equivalents and restricted cash at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643030F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0FC" w14:textId="77777777" w:rsidR="009F6D8A" w:rsidRDefault="00C50974">
            <w:pPr>
              <w:jc w:val="right"/>
              <w:textAlignment w:val="bottom"/>
            </w:pPr>
            <w:r>
              <w:rPr>
                <w:rFonts w:ascii="Arial" w:eastAsia="宋体" w:hAnsi="Arial" w:cs="Arial"/>
                <w:color w:val="000000"/>
                <w:sz w:val="18"/>
                <w:szCs w:val="18"/>
              </w:rPr>
              <w:t>2,306 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0F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0FE"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30F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100" w14:textId="77777777" w:rsidR="009F6D8A" w:rsidRDefault="00C50974">
            <w:pPr>
              <w:jc w:val="right"/>
              <w:textAlignment w:val="bottom"/>
            </w:pPr>
            <w:r>
              <w:rPr>
                <w:rFonts w:ascii="Arial" w:eastAsia="宋体" w:hAnsi="Arial" w:cs="Arial"/>
                <w:color w:val="000000"/>
                <w:sz w:val="18"/>
                <w:szCs w:val="18"/>
              </w:rPr>
              <w:t>1,025 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101" w14:textId="77777777" w:rsidR="009F6D8A" w:rsidRDefault="009F6D8A">
            <w:pPr>
              <w:jc w:val="right"/>
              <w:rPr>
                <w:rFonts w:ascii="宋体"/>
              </w:rPr>
            </w:pPr>
          </w:p>
        </w:tc>
      </w:tr>
      <w:tr w:rsidR="009F6D8A" w14:paraId="64303109" w14:textId="77777777">
        <w:trPr>
          <w:jc w:val="center"/>
        </w:trPr>
        <w:tc>
          <w:tcPr>
            <w:tcW w:w="0" w:type="auto"/>
            <w:gridSpan w:val="3"/>
            <w:shd w:val="clear" w:color="auto" w:fill="E1E1E1"/>
            <w:tcMar>
              <w:top w:w="40" w:type="dxa"/>
              <w:left w:w="245" w:type="dxa"/>
              <w:bottom w:w="40" w:type="dxa"/>
              <w:right w:w="20" w:type="dxa"/>
            </w:tcMar>
            <w:vAlign w:val="bottom"/>
          </w:tcPr>
          <w:p w14:paraId="64303103" w14:textId="77777777" w:rsidR="009F6D8A" w:rsidRDefault="00C50974">
            <w:pPr>
              <w:textAlignment w:val="bottom"/>
            </w:pPr>
            <w:r>
              <w:rPr>
                <w:rFonts w:ascii="Arial" w:eastAsia="宋体" w:hAnsi="Arial" w:cs="Arial"/>
                <w:color w:val="000000"/>
                <w:sz w:val="18"/>
                <w:szCs w:val="18"/>
              </w:rPr>
              <w:t xml:space="preserve">Less: Cash, cash equivalents and restricted cash of held for </w:t>
            </w:r>
            <w:r>
              <w:rPr>
                <w:rFonts w:ascii="Arial" w:eastAsia="宋体" w:hAnsi="Arial" w:cs="Arial"/>
                <w:color w:val="000000"/>
                <w:sz w:val="18"/>
                <w:szCs w:val="18"/>
              </w:rPr>
              <w:t>sale business</w:t>
            </w:r>
          </w:p>
        </w:tc>
        <w:tc>
          <w:tcPr>
            <w:tcW w:w="0" w:type="auto"/>
            <w:gridSpan w:val="2"/>
            <w:tcBorders>
              <w:top w:val="double" w:sz="6" w:space="0" w:color="000000"/>
            </w:tcBorders>
            <w:shd w:val="clear" w:color="auto" w:fill="E1E1E1"/>
            <w:tcMar>
              <w:top w:w="40" w:type="dxa"/>
              <w:left w:w="20" w:type="dxa"/>
              <w:bottom w:w="40" w:type="dxa"/>
              <w:right w:w="0" w:type="dxa"/>
            </w:tcMar>
            <w:vAlign w:val="bottom"/>
          </w:tcPr>
          <w:p w14:paraId="64303104" w14:textId="77777777" w:rsidR="009F6D8A" w:rsidRDefault="00C50974">
            <w:pPr>
              <w:jc w:val="right"/>
              <w:textAlignment w:val="bottom"/>
            </w:pPr>
            <w:r>
              <w:rPr>
                <w:rFonts w:ascii="Arial" w:eastAsia="宋体" w:hAnsi="Arial" w:cs="Arial"/>
                <w:color w:val="000000"/>
                <w:sz w:val="18"/>
                <w:szCs w:val="18"/>
              </w:rPr>
              <w:t>162 </w:t>
            </w:r>
          </w:p>
        </w:tc>
        <w:tc>
          <w:tcPr>
            <w:tcW w:w="0" w:type="auto"/>
            <w:tcBorders>
              <w:top w:val="double" w:sz="6" w:space="0" w:color="000000"/>
            </w:tcBorders>
            <w:shd w:val="clear" w:color="auto" w:fill="E1E1E1"/>
            <w:tcMar>
              <w:top w:w="40" w:type="dxa"/>
              <w:left w:w="0" w:type="dxa"/>
              <w:bottom w:w="40" w:type="dxa"/>
              <w:right w:w="20" w:type="dxa"/>
            </w:tcMar>
            <w:vAlign w:val="bottom"/>
          </w:tcPr>
          <w:p w14:paraId="64303105"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106" w14:textId="77777777" w:rsidR="009F6D8A" w:rsidRDefault="009F6D8A">
            <w:pPr>
              <w:rPr>
                <w:rFonts w:ascii="宋体"/>
              </w:rPr>
            </w:pPr>
          </w:p>
        </w:tc>
        <w:tc>
          <w:tcPr>
            <w:tcW w:w="0" w:type="auto"/>
            <w:gridSpan w:val="2"/>
            <w:tcBorders>
              <w:top w:val="double" w:sz="6" w:space="0" w:color="000000"/>
            </w:tcBorders>
            <w:shd w:val="clear" w:color="auto" w:fill="E1E1E1"/>
            <w:tcMar>
              <w:top w:w="40" w:type="dxa"/>
              <w:left w:w="20" w:type="dxa"/>
              <w:bottom w:w="40" w:type="dxa"/>
              <w:right w:w="0" w:type="dxa"/>
            </w:tcMar>
            <w:vAlign w:val="bottom"/>
          </w:tcPr>
          <w:p w14:paraId="64303107" w14:textId="77777777" w:rsidR="009F6D8A" w:rsidRDefault="00C50974">
            <w:pPr>
              <w:jc w:val="right"/>
              <w:textAlignment w:val="bottom"/>
            </w:pPr>
            <w:r>
              <w:rPr>
                <w:rFonts w:ascii="Arial" w:eastAsia="宋体" w:hAnsi="Arial" w:cs="Arial"/>
                <w:color w:val="000000"/>
                <w:sz w:val="18"/>
                <w:szCs w:val="18"/>
              </w:rPr>
              <w:t>158 </w:t>
            </w:r>
          </w:p>
        </w:tc>
        <w:tc>
          <w:tcPr>
            <w:tcW w:w="0" w:type="auto"/>
            <w:tcBorders>
              <w:top w:val="double" w:sz="6" w:space="0" w:color="000000"/>
            </w:tcBorders>
            <w:shd w:val="clear" w:color="auto" w:fill="E1E1E1"/>
            <w:tcMar>
              <w:top w:w="40" w:type="dxa"/>
              <w:left w:w="0" w:type="dxa"/>
              <w:bottom w:w="40" w:type="dxa"/>
              <w:right w:w="20" w:type="dxa"/>
            </w:tcMar>
            <w:vAlign w:val="bottom"/>
          </w:tcPr>
          <w:p w14:paraId="64303108" w14:textId="77777777" w:rsidR="009F6D8A" w:rsidRDefault="009F6D8A">
            <w:pPr>
              <w:jc w:val="right"/>
              <w:rPr>
                <w:rFonts w:ascii="宋体"/>
              </w:rPr>
            </w:pPr>
          </w:p>
        </w:tc>
      </w:tr>
      <w:tr w:rsidR="009F6D8A" w14:paraId="64303110" w14:textId="77777777">
        <w:trPr>
          <w:jc w:val="center"/>
        </w:trPr>
        <w:tc>
          <w:tcPr>
            <w:tcW w:w="0" w:type="auto"/>
            <w:gridSpan w:val="3"/>
            <w:shd w:val="clear" w:color="auto" w:fill="FFFFFF"/>
            <w:tcMar>
              <w:top w:w="40" w:type="dxa"/>
              <w:left w:w="245" w:type="dxa"/>
              <w:bottom w:w="40" w:type="dxa"/>
              <w:right w:w="20" w:type="dxa"/>
            </w:tcMar>
            <w:vAlign w:val="bottom"/>
          </w:tcPr>
          <w:p w14:paraId="6430310A" w14:textId="77777777" w:rsidR="009F6D8A" w:rsidRDefault="00C50974">
            <w:pPr>
              <w:textAlignment w:val="bottom"/>
            </w:pPr>
            <w:r>
              <w:rPr>
                <w:rFonts w:ascii="Arial" w:eastAsia="宋体" w:hAnsi="Arial" w:cs="Arial"/>
                <w:color w:val="000000"/>
                <w:sz w:val="18"/>
                <w:szCs w:val="18"/>
              </w:rPr>
              <w:t>Less: Cash, cash equivalents and restricted cash of discontinued operations</w:t>
            </w:r>
          </w:p>
        </w:tc>
        <w:tc>
          <w:tcPr>
            <w:tcW w:w="0" w:type="auto"/>
            <w:gridSpan w:val="2"/>
            <w:shd w:val="clear" w:color="auto" w:fill="FFFFFF"/>
            <w:tcMar>
              <w:top w:w="40" w:type="dxa"/>
              <w:left w:w="20" w:type="dxa"/>
              <w:bottom w:w="40" w:type="dxa"/>
              <w:right w:w="0" w:type="dxa"/>
            </w:tcMar>
            <w:vAlign w:val="bottom"/>
          </w:tcPr>
          <w:p w14:paraId="6430310B"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10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10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10E" w14:textId="77777777" w:rsidR="009F6D8A" w:rsidRDefault="00C50974">
            <w:pPr>
              <w:jc w:val="right"/>
              <w:textAlignment w:val="bottom"/>
            </w:pPr>
            <w:r>
              <w:rPr>
                <w:rFonts w:ascii="Arial" w:eastAsia="宋体" w:hAnsi="Arial" w:cs="Arial"/>
                <w:color w:val="000000"/>
                <w:sz w:val="18"/>
                <w:szCs w:val="18"/>
              </w:rPr>
              <w:t>18 </w:t>
            </w:r>
          </w:p>
        </w:tc>
        <w:tc>
          <w:tcPr>
            <w:tcW w:w="0" w:type="auto"/>
            <w:shd w:val="clear" w:color="auto" w:fill="FFFFFF"/>
            <w:tcMar>
              <w:top w:w="40" w:type="dxa"/>
              <w:left w:w="0" w:type="dxa"/>
              <w:bottom w:w="40" w:type="dxa"/>
              <w:right w:w="20" w:type="dxa"/>
            </w:tcMar>
            <w:vAlign w:val="bottom"/>
          </w:tcPr>
          <w:p w14:paraId="6430310F" w14:textId="77777777" w:rsidR="009F6D8A" w:rsidRDefault="009F6D8A">
            <w:pPr>
              <w:jc w:val="right"/>
              <w:rPr>
                <w:rFonts w:ascii="宋体"/>
              </w:rPr>
            </w:pPr>
          </w:p>
        </w:tc>
      </w:tr>
      <w:tr w:rsidR="009F6D8A" w14:paraId="64303119" w14:textId="77777777">
        <w:trPr>
          <w:jc w:val="center"/>
        </w:trPr>
        <w:tc>
          <w:tcPr>
            <w:tcW w:w="0" w:type="auto"/>
            <w:gridSpan w:val="3"/>
            <w:shd w:val="clear" w:color="auto" w:fill="E1E1E1"/>
            <w:tcMar>
              <w:top w:w="40" w:type="dxa"/>
              <w:left w:w="20" w:type="dxa"/>
              <w:bottom w:w="40" w:type="dxa"/>
              <w:right w:w="20" w:type="dxa"/>
            </w:tcMar>
            <w:vAlign w:val="bottom"/>
          </w:tcPr>
          <w:p w14:paraId="64303111" w14:textId="77777777" w:rsidR="009F6D8A" w:rsidRDefault="00C50974">
            <w:pPr>
              <w:textAlignment w:val="bottom"/>
            </w:pPr>
            <w:r>
              <w:rPr>
                <w:rFonts w:ascii="Arial" w:eastAsia="宋体" w:hAnsi="Arial" w:cs="Arial"/>
                <w:color w:val="000000"/>
                <w:sz w:val="18"/>
                <w:szCs w:val="18"/>
              </w:rPr>
              <w:t>Cash, cash equivalents and restricted cash of continuing operations at end of period</w:t>
            </w:r>
          </w:p>
        </w:tc>
        <w:tc>
          <w:tcPr>
            <w:tcW w:w="0" w:type="auto"/>
            <w:tcBorders>
              <w:top w:val="single" w:sz="8" w:space="0" w:color="000000"/>
            </w:tcBorders>
            <w:shd w:val="clear" w:color="auto" w:fill="E1E1E1"/>
            <w:tcMar>
              <w:top w:w="40" w:type="dxa"/>
              <w:left w:w="20" w:type="dxa"/>
              <w:bottom w:w="40" w:type="dxa"/>
              <w:right w:w="0" w:type="dxa"/>
            </w:tcMar>
            <w:vAlign w:val="bottom"/>
          </w:tcPr>
          <w:p w14:paraId="64303112"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113" w14:textId="77777777" w:rsidR="009F6D8A" w:rsidRDefault="00C50974">
            <w:pPr>
              <w:jc w:val="right"/>
              <w:textAlignment w:val="bottom"/>
            </w:pPr>
            <w:r>
              <w:rPr>
                <w:rFonts w:ascii="Arial" w:eastAsia="宋体" w:hAnsi="Arial" w:cs="Arial"/>
                <w:color w:val="000000"/>
                <w:sz w:val="18"/>
                <w:szCs w:val="18"/>
              </w:rPr>
              <w:t>2,144 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114"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115"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116"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117" w14:textId="77777777" w:rsidR="009F6D8A" w:rsidRDefault="00C50974">
            <w:pPr>
              <w:jc w:val="right"/>
              <w:textAlignment w:val="bottom"/>
            </w:pPr>
            <w:r>
              <w:rPr>
                <w:rFonts w:ascii="Arial" w:eastAsia="宋体" w:hAnsi="Arial" w:cs="Arial"/>
                <w:color w:val="000000"/>
                <w:sz w:val="18"/>
                <w:szCs w:val="18"/>
              </w:rPr>
              <w:t>849 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118" w14:textId="77777777" w:rsidR="009F6D8A" w:rsidRDefault="009F6D8A">
            <w:pPr>
              <w:jc w:val="right"/>
              <w:rPr>
                <w:rFonts w:ascii="宋体"/>
              </w:rPr>
            </w:pPr>
          </w:p>
        </w:tc>
      </w:tr>
      <w:tr w:rsidR="009F6D8A" w14:paraId="6430311E" w14:textId="77777777">
        <w:trPr>
          <w:trHeight w:val="240"/>
          <w:jc w:val="center"/>
        </w:trPr>
        <w:tc>
          <w:tcPr>
            <w:tcW w:w="0" w:type="auto"/>
            <w:gridSpan w:val="3"/>
            <w:shd w:val="clear" w:color="auto" w:fill="FFFFFF"/>
            <w:tcMar>
              <w:top w:w="0" w:type="dxa"/>
              <w:left w:w="20" w:type="dxa"/>
              <w:bottom w:w="0" w:type="dxa"/>
              <w:right w:w="20" w:type="dxa"/>
            </w:tcMar>
            <w:vAlign w:val="bottom"/>
          </w:tcPr>
          <w:p w14:paraId="6430311A"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11B"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11C"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11D" w14:textId="77777777" w:rsidR="009F6D8A" w:rsidRDefault="009F6D8A">
            <w:pPr>
              <w:rPr>
                <w:rFonts w:ascii="宋体"/>
              </w:rPr>
            </w:pPr>
          </w:p>
        </w:tc>
      </w:tr>
    </w:tbl>
    <w:p w14:paraId="6430311F" w14:textId="77777777" w:rsidR="009F6D8A" w:rsidRDefault="009F6D8A">
      <w:pPr>
        <w:jc w:val="center"/>
      </w:pPr>
    </w:p>
    <w:p w14:paraId="64303120" w14:textId="77777777" w:rsidR="009F6D8A" w:rsidRDefault="00C50974">
      <w:pPr>
        <w:jc w:val="center"/>
      </w:pPr>
      <w:r>
        <w:rPr>
          <w:rFonts w:ascii="Arial" w:eastAsia="宋体" w:hAnsi="Arial" w:cs="Arial"/>
          <w:color w:val="000000"/>
          <w:sz w:val="20"/>
          <w:szCs w:val="20"/>
        </w:rPr>
        <w:t>6</w:t>
      </w:r>
    </w:p>
    <w:p w14:paraId="64303121" w14:textId="77777777" w:rsidR="009F6D8A" w:rsidRDefault="00C50974">
      <w:r>
        <w:pict w14:anchorId="64305809">
          <v:rect id="_x0000_i1030" style="width:415.3pt;height:1.5pt" o:hralign="center" o:hrstd="t" o:hr="t" fillcolor="#a0a0a0" stroked="f"/>
        </w:pict>
      </w:r>
    </w:p>
    <w:p w14:paraId="64303122" w14:textId="77777777" w:rsidR="009F6D8A" w:rsidRDefault="009F6D8A"/>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412"/>
        <w:gridCol w:w="37"/>
        <w:gridCol w:w="121"/>
        <w:gridCol w:w="1230"/>
        <w:gridCol w:w="36"/>
        <w:gridCol w:w="36"/>
        <w:gridCol w:w="36"/>
        <w:gridCol w:w="36"/>
        <w:gridCol w:w="121"/>
        <w:gridCol w:w="1195"/>
        <w:gridCol w:w="36"/>
      </w:tblGrid>
      <w:tr w:rsidR="009F6D8A" w14:paraId="6430312F" w14:textId="77777777">
        <w:trPr>
          <w:jc w:val="center"/>
        </w:trPr>
        <w:tc>
          <w:tcPr>
            <w:tcW w:w="50" w:type="pct"/>
            <w:shd w:val="clear" w:color="auto" w:fill="auto"/>
            <w:vAlign w:val="bottom"/>
          </w:tcPr>
          <w:p w14:paraId="64303123" w14:textId="77777777" w:rsidR="009F6D8A" w:rsidRDefault="009F6D8A">
            <w:pPr>
              <w:rPr>
                <w:rFonts w:ascii="宋体"/>
              </w:rPr>
            </w:pPr>
          </w:p>
        </w:tc>
        <w:tc>
          <w:tcPr>
            <w:tcW w:w="3271" w:type="pct"/>
            <w:shd w:val="clear" w:color="auto" w:fill="auto"/>
            <w:vAlign w:val="bottom"/>
          </w:tcPr>
          <w:p w14:paraId="64303124" w14:textId="77777777" w:rsidR="009F6D8A" w:rsidRDefault="009F6D8A">
            <w:pPr>
              <w:rPr>
                <w:rFonts w:ascii="宋体"/>
              </w:rPr>
            </w:pPr>
          </w:p>
        </w:tc>
        <w:tc>
          <w:tcPr>
            <w:tcW w:w="5" w:type="pct"/>
            <w:shd w:val="clear" w:color="auto" w:fill="auto"/>
            <w:vAlign w:val="bottom"/>
          </w:tcPr>
          <w:p w14:paraId="64303125" w14:textId="77777777" w:rsidR="009F6D8A" w:rsidRDefault="009F6D8A">
            <w:pPr>
              <w:rPr>
                <w:rFonts w:ascii="宋体"/>
              </w:rPr>
            </w:pPr>
          </w:p>
        </w:tc>
        <w:tc>
          <w:tcPr>
            <w:tcW w:w="50" w:type="pct"/>
            <w:shd w:val="clear" w:color="auto" w:fill="auto"/>
            <w:vAlign w:val="bottom"/>
          </w:tcPr>
          <w:p w14:paraId="64303126" w14:textId="77777777" w:rsidR="009F6D8A" w:rsidRDefault="009F6D8A">
            <w:pPr>
              <w:rPr>
                <w:rFonts w:ascii="宋体"/>
              </w:rPr>
            </w:pPr>
          </w:p>
        </w:tc>
        <w:tc>
          <w:tcPr>
            <w:tcW w:w="763" w:type="pct"/>
            <w:shd w:val="clear" w:color="auto" w:fill="auto"/>
            <w:vAlign w:val="bottom"/>
          </w:tcPr>
          <w:p w14:paraId="64303127" w14:textId="77777777" w:rsidR="009F6D8A" w:rsidRDefault="009F6D8A">
            <w:pPr>
              <w:rPr>
                <w:rFonts w:ascii="宋体"/>
              </w:rPr>
            </w:pPr>
          </w:p>
        </w:tc>
        <w:tc>
          <w:tcPr>
            <w:tcW w:w="5" w:type="pct"/>
            <w:shd w:val="clear" w:color="auto" w:fill="auto"/>
            <w:vAlign w:val="bottom"/>
          </w:tcPr>
          <w:p w14:paraId="64303128" w14:textId="77777777" w:rsidR="009F6D8A" w:rsidRDefault="009F6D8A">
            <w:pPr>
              <w:rPr>
                <w:rFonts w:ascii="宋体"/>
              </w:rPr>
            </w:pPr>
          </w:p>
        </w:tc>
        <w:tc>
          <w:tcPr>
            <w:tcW w:w="5" w:type="pct"/>
            <w:shd w:val="clear" w:color="auto" w:fill="auto"/>
            <w:vAlign w:val="bottom"/>
          </w:tcPr>
          <w:p w14:paraId="64303129" w14:textId="77777777" w:rsidR="009F6D8A" w:rsidRDefault="009F6D8A">
            <w:pPr>
              <w:rPr>
                <w:rFonts w:ascii="宋体"/>
              </w:rPr>
            </w:pPr>
          </w:p>
        </w:tc>
        <w:tc>
          <w:tcPr>
            <w:tcW w:w="26" w:type="pct"/>
            <w:shd w:val="clear" w:color="auto" w:fill="auto"/>
            <w:vAlign w:val="bottom"/>
          </w:tcPr>
          <w:p w14:paraId="6430312A" w14:textId="77777777" w:rsidR="009F6D8A" w:rsidRDefault="009F6D8A">
            <w:pPr>
              <w:rPr>
                <w:rFonts w:ascii="宋体"/>
              </w:rPr>
            </w:pPr>
          </w:p>
        </w:tc>
        <w:tc>
          <w:tcPr>
            <w:tcW w:w="5" w:type="pct"/>
            <w:shd w:val="clear" w:color="auto" w:fill="auto"/>
            <w:vAlign w:val="bottom"/>
          </w:tcPr>
          <w:p w14:paraId="6430312B" w14:textId="77777777" w:rsidR="009F6D8A" w:rsidRDefault="009F6D8A">
            <w:pPr>
              <w:rPr>
                <w:rFonts w:ascii="宋体"/>
              </w:rPr>
            </w:pPr>
          </w:p>
        </w:tc>
        <w:tc>
          <w:tcPr>
            <w:tcW w:w="50" w:type="pct"/>
            <w:shd w:val="clear" w:color="auto" w:fill="auto"/>
            <w:vAlign w:val="bottom"/>
          </w:tcPr>
          <w:p w14:paraId="6430312C" w14:textId="77777777" w:rsidR="009F6D8A" w:rsidRDefault="009F6D8A">
            <w:pPr>
              <w:rPr>
                <w:rFonts w:ascii="宋体"/>
              </w:rPr>
            </w:pPr>
          </w:p>
        </w:tc>
        <w:tc>
          <w:tcPr>
            <w:tcW w:w="763" w:type="pct"/>
            <w:shd w:val="clear" w:color="auto" w:fill="auto"/>
            <w:vAlign w:val="bottom"/>
          </w:tcPr>
          <w:p w14:paraId="6430312D" w14:textId="77777777" w:rsidR="009F6D8A" w:rsidRDefault="009F6D8A">
            <w:pPr>
              <w:rPr>
                <w:rFonts w:ascii="宋体"/>
              </w:rPr>
            </w:pPr>
          </w:p>
        </w:tc>
        <w:tc>
          <w:tcPr>
            <w:tcW w:w="5" w:type="pct"/>
            <w:shd w:val="clear" w:color="auto" w:fill="auto"/>
            <w:vAlign w:val="bottom"/>
          </w:tcPr>
          <w:p w14:paraId="6430312E" w14:textId="77777777" w:rsidR="009F6D8A" w:rsidRDefault="009F6D8A">
            <w:pPr>
              <w:rPr>
                <w:rFonts w:ascii="宋体"/>
              </w:rPr>
            </w:pPr>
          </w:p>
        </w:tc>
      </w:tr>
      <w:tr w:rsidR="009F6D8A" w14:paraId="64303134" w14:textId="77777777">
        <w:trPr>
          <w:jc w:val="center"/>
        </w:trPr>
        <w:tc>
          <w:tcPr>
            <w:tcW w:w="0" w:type="auto"/>
            <w:gridSpan w:val="3"/>
            <w:shd w:val="clear" w:color="auto" w:fill="E1E1E1"/>
            <w:tcMar>
              <w:top w:w="40" w:type="dxa"/>
              <w:left w:w="20" w:type="dxa"/>
              <w:bottom w:w="40" w:type="dxa"/>
              <w:right w:w="20" w:type="dxa"/>
            </w:tcMar>
            <w:vAlign w:val="bottom"/>
          </w:tcPr>
          <w:p w14:paraId="64303130" w14:textId="77777777" w:rsidR="009F6D8A" w:rsidRDefault="00C50974">
            <w:pPr>
              <w:textAlignment w:val="bottom"/>
            </w:pPr>
            <w:r>
              <w:rPr>
                <w:rFonts w:ascii="Arial" w:eastAsia="宋体" w:hAnsi="Arial" w:cs="Arial"/>
                <w:color w:val="000000"/>
                <w:sz w:val="18"/>
                <w:szCs w:val="18"/>
              </w:rPr>
              <w:t>Supplemental cash flow disclosures:</w:t>
            </w:r>
          </w:p>
        </w:tc>
        <w:tc>
          <w:tcPr>
            <w:tcW w:w="0" w:type="auto"/>
            <w:gridSpan w:val="3"/>
            <w:shd w:val="clear" w:color="auto" w:fill="E1E1E1"/>
            <w:tcMar>
              <w:top w:w="0" w:type="dxa"/>
              <w:left w:w="20" w:type="dxa"/>
              <w:bottom w:w="0" w:type="dxa"/>
              <w:right w:w="20" w:type="dxa"/>
            </w:tcMar>
            <w:vAlign w:val="bottom"/>
          </w:tcPr>
          <w:p w14:paraId="64303131"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3132"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3133" w14:textId="77777777" w:rsidR="009F6D8A" w:rsidRDefault="009F6D8A">
            <w:pPr>
              <w:rPr>
                <w:rFonts w:ascii="宋体"/>
              </w:rPr>
            </w:pPr>
          </w:p>
        </w:tc>
      </w:tr>
      <w:tr w:rsidR="009F6D8A" w14:paraId="64303139" w14:textId="77777777">
        <w:trPr>
          <w:jc w:val="center"/>
        </w:trPr>
        <w:tc>
          <w:tcPr>
            <w:tcW w:w="0" w:type="auto"/>
            <w:gridSpan w:val="3"/>
            <w:shd w:val="clear" w:color="auto" w:fill="FFFFFF"/>
            <w:tcMar>
              <w:top w:w="40" w:type="dxa"/>
              <w:left w:w="245" w:type="dxa"/>
              <w:bottom w:w="40" w:type="dxa"/>
              <w:right w:w="20" w:type="dxa"/>
            </w:tcMar>
            <w:vAlign w:val="bottom"/>
          </w:tcPr>
          <w:p w14:paraId="64303135" w14:textId="77777777" w:rsidR="009F6D8A" w:rsidRDefault="00C50974">
            <w:pPr>
              <w:textAlignment w:val="bottom"/>
            </w:pPr>
            <w:r>
              <w:rPr>
                <w:rFonts w:ascii="Arial" w:eastAsia="宋体" w:hAnsi="Arial" w:cs="Arial"/>
                <w:color w:val="000000"/>
                <w:sz w:val="18"/>
                <w:szCs w:val="18"/>
              </w:rPr>
              <w:t>Cash paid for:</w:t>
            </w:r>
          </w:p>
        </w:tc>
        <w:tc>
          <w:tcPr>
            <w:tcW w:w="0" w:type="auto"/>
            <w:gridSpan w:val="3"/>
            <w:shd w:val="clear" w:color="auto" w:fill="FFFFFF"/>
            <w:tcMar>
              <w:top w:w="0" w:type="dxa"/>
              <w:left w:w="20" w:type="dxa"/>
              <w:bottom w:w="0" w:type="dxa"/>
              <w:right w:w="20" w:type="dxa"/>
            </w:tcMar>
            <w:vAlign w:val="bottom"/>
          </w:tcPr>
          <w:p w14:paraId="64303136"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137"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138" w14:textId="77777777" w:rsidR="009F6D8A" w:rsidRDefault="009F6D8A">
            <w:pPr>
              <w:rPr>
                <w:rFonts w:ascii="宋体"/>
              </w:rPr>
            </w:pPr>
          </w:p>
        </w:tc>
      </w:tr>
      <w:tr w:rsidR="009F6D8A" w14:paraId="64303142" w14:textId="77777777">
        <w:trPr>
          <w:jc w:val="center"/>
        </w:trPr>
        <w:tc>
          <w:tcPr>
            <w:tcW w:w="0" w:type="auto"/>
            <w:gridSpan w:val="3"/>
            <w:shd w:val="clear" w:color="auto" w:fill="E1E1E1"/>
            <w:tcMar>
              <w:top w:w="40" w:type="dxa"/>
              <w:left w:w="515" w:type="dxa"/>
              <w:bottom w:w="40" w:type="dxa"/>
              <w:right w:w="20" w:type="dxa"/>
            </w:tcMar>
            <w:vAlign w:val="bottom"/>
          </w:tcPr>
          <w:p w14:paraId="6430313A" w14:textId="77777777" w:rsidR="009F6D8A" w:rsidRDefault="00C50974">
            <w:pPr>
              <w:textAlignment w:val="bottom"/>
            </w:pPr>
            <w:r>
              <w:rPr>
                <w:rFonts w:ascii="Arial" w:eastAsia="宋体" w:hAnsi="Arial" w:cs="Arial"/>
                <w:color w:val="000000"/>
                <w:sz w:val="18"/>
                <w:szCs w:val="18"/>
              </w:rPr>
              <w:t>Interest</w:t>
            </w:r>
          </w:p>
        </w:tc>
        <w:tc>
          <w:tcPr>
            <w:tcW w:w="0" w:type="auto"/>
            <w:shd w:val="clear" w:color="auto" w:fill="E1E1E1"/>
            <w:tcMar>
              <w:top w:w="40" w:type="dxa"/>
              <w:left w:w="20" w:type="dxa"/>
              <w:bottom w:w="40" w:type="dxa"/>
              <w:right w:w="0" w:type="dxa"/>
            </w:tcMar>
            <w:vAlign w:val="bottom"/>
          </w:tcPr>
          <w:p w14:paraId="6430313B"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430313C" w14:textId="77777777" w:rsidR="009F6D8A" w:rsidRDefault="00C50974">
            <w:pPr>
              <w:jc w:val="right"/>
              <w:textAlignment w:val="bottom"/>
            </w:pPr>
            <w:r>
              <w:rPr>
                <w:rFonts w:ascii="Arial" w:eastAsia="宋体" w:hAnsi="Arial" w:cs="Arial"/>
                <w:color w:val="000000"/>
                <w:sz w:val="18"/>
                <w:szCs w:val="18"/>
              </w:rPr>
              <w:t>121 </w:t>
            </w:r>
          </w:p>
        </w:tc>
        <w:tc>
          <w:tcPr>
            <w:tcW w:w="0" w:type="auto"/>
            <w:shd w:val="clear" w:color="auto" w:fill="E1E1E1"/>
            <w:tcMar>
              <w:top w:w="40" w:type="dxa"/>
              <w:left w:w="0" w:type="dxa"/>
              <w:bottom w:w="40" w:type="dxa"/>
              <w:right w:w="20" w:type="dxa"/>
            </w:tcMar>
            <w:vAlign w:val="bottom"/>
          </w:tcPr>
          <w:p w14:paraId="6430313D"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13E"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313F"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4303140" w14:textId="77777777" w:rsidR="009F6D8A" w:rsidRDefault="00C50974">
            <w:pPr>
              <w:jc w:val="right"/>
              <w:textAlignment w:val="bottom"/>
            </w:pPr>
            <w:r>
              <w:rPr>
                <w:rFonts w:ascii="Arial" w:eastAsia="宋体" w:hAnsi="Arial" w:cs="Arial"/>
                <w:color w:val="000000"/>
                <w:sz w:val="18"/>
                <w:szCs w:val="18"/>
              </w:rPr>
              <w:t>138 </w:t>
            </w:r>
          </w:p>
        </w:tc>
        <w:tc>
          <w:tcPr>
            <w:tcW w:w="0" w:type="auto"/>
            <w:shd w:val="clear" w:color="auto" w:fill="E1E1E1"/>
            <w:tcMar>
              <w:top w:w="40" w:type="dxa"/>
              <w:left w:w="0" w:type="dxa"/>
              <w:bottom w:w="40" w:type="dxa"/>
              <w:right w:w="20" w:type="dxa"/>
            </w:tcMar>
            <w:vAlign w:val="bottom"/>
          </w:tcPr>
          <w:p w14:paraId="64303141" w14:textId="77777777" w:rsidR="009F6D8A" w:rsidRDefault="009F6D8A">
            <w:pPr>
              <w:jc w:val="right"/>
              <w:rPr>
                <w:rFonts w:ascii="宋体"/>
              </w:rPr>
            </w:pPr>
          </w:p>
        </w:tc>
      </w:tr>
      <w:tr w:rsidR="009F6D8A" w14:paraId="64303147" w14:textId="77777777">
        <w:trPr>
          <w:jc w:val="center"/>
          <w:hidden/>
        </w:trPr>
        <w:tc>
          <w:tcPr>
            <w:tcW w:w="0" w:type="auto"/>
            <w:gridSpan w:val="3"/>
            <w:shd w:val="clear" w:color="auto" w:fill="auto"/>
            <w:vAlign w:val="bottom"/>
          </w:tcPr>
          <w:p w14:paraId="64303143" w14:textId="77777777" w:rsidR="009F6D8A" w:rsidRDefault="009F6D8A">
            <w:pPr>
              <w:rPr>
                <w:rFonts w:ascii="宋体"/>
                <w:vanish/>
              </w:rPr>
            </w:pPr>
          </w:p>
        </w:tc>
        <w:tc>
          <w:tcPr>
            <w:tcW w:w="0" w:type="auto"/>
            <w:gridSpan w:val="3"/>
            <w:shd w:val="clear" w:color="auto" w:fill="auto"/>
            <w:vAlign w:val="bottom"/>
          </w:tcPr>
          <w:p w14:paraId="64303144" w14:textId="77777777" w:rsidR="009F6D8A" w:rsidRDefault="009F6D8A">
            <w:pPr>
              <w:rPr>
                <w:rFonts w:ascii="宋体"/>
                <w:vanish/>
              </w:rPr>
            </w:pPr>
          </w:p>
        </w:tc>
        <w:tc>
          <w:tcPr>
            <w:tcW w:w="0" w:type="auto"/>
            <w:gridSpan w:val="3"/>
            <w:shd w:val="clear" w:color="auto" w:fill="auto"/>
            <w:vAlign w:val="bottom"/>
          </w:tcPr>
          <w:p w14:paraId="64303145" w14:textId="77777777" w:rsidR="009F6D8A" w:rsidRDefault="009F6D8A">
            <w:pPr>
              <w:rPr>
                <w:rFonts w:ascii="宋体"/>
                <w:vanish/>
              </w:rPr>
            </w:pPr>
          </w:p>
        </w:tc>
        <w:tc>
          <w:tcPr>
            <w:tcW w:w="0" w:type="auto"/>
            <w:gridSpan w:val="3"/>
            <w:shd w:val="clear" w:color="auto" w:fill="auto"/>
            <w:vAlign w:val="bottom"/>
          </w:tcPr>
          <w:p w14:paraId="64303146" w14:textId="77777777" w:rsidR="009F6D8A" w:rsidRDefault="009F6D8A">
            <w:pPr>
              <w:rPr>
                <w:rFonts w:ascii="宋体"/>
                <w:vanish/>
              </w:rPr>
            </w:pPr>
          </w:p>
        </w:tc>
      </w:tr>
      <w:tr w:rsidR="009F6D8A" w14:paraId="64303150" w14:textId="77777777">
        <w:trPr>
          <w:jc w:val="center"/>
        </w:trPr>
        <w:tc>
          <w:tcPr>
            <w:tcW w:w="0" w:type="auto"/>
            <w:gridSpan w:val="3"/>
            <w:shd w:val="clear" w:color="auto" w:fill="FFFFFF"/>
            <w:tcMar>
              <w:top w:w="40" w:type="dxa"/>
              <w:left w:w="515" w:type="dxa"/>
              <w:bottom w:w="40" w:type="dxa"/>
              <w:right w:w="20" w:type="dxa"/>
            </w:tcMar>
            <w:vAlign w:val="bottom"/>
          </w:tcPr>
          <w:p w14:paraId="64303148" w14:textId="77777777" w:rsidR="009F6D8A" w:rsidRDefault="00C50974">
            <w:pPr>
              <w:textAlignment w:val="bottom"/>
            </w:pPr>
            <w:r>
              <w:rPr>
                <w:rFonts w:ascii="Arial" w:eastAsia="宋体" w:hAnsi="Arial" w:cs="Arial"/>
                <w:color w:val="000000"/>
                <w:sz w:val="18"/>
                <w:szCs w:val="18"/>
              </w:rPr>
              <w:t>Income taxes</w:t>
            </w:r>
          </w:p>
        </w:tc>
        <w:tc>
          <w:tcPr>
            <w:tcW w:w="0" w:type="auto"/>
            <w:shd w:val="clear" w:color="auto" w:fill="FFFFFF"/>
            <w:tcMar>
              <w:top w:w="40" w:type="dxa"/>
              <w:left w:w="20" w:type="dxa"/>
              <w:bottom w:w="40" w:type="dxa"/>
              <w:right w:w="0" w:type="dxa"/>
            </w:tcMar>
            <w:vAlign w:val="bottom"/>
          </w:tcPr>
          <w:p w14:paraId="64303149"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14A" w14:textId="77777777" w:rsidR="009F6D8A" w:rsidRDefault="00C50974">
            <w:pPr>
              <w:jc w:val="right"/>
              <w:textAlignment w:val="bottom"/>
            </w:pPr>
            <w:r>
              <w:rPr>
                <w:rFonts w:ascii="Arial" w:eastAsia="宋体" w:hAnsi="Arial" w:cs="Arial"/>
                <w:color w:val="000000"/>
                <w:sz w:val="18"/>
                <w:szCs w:val="18"/>
              </w:rPr>
              <w:t>313 </w:t>
            </w:r>
          </w:p>
        </w:tc>
        <w:tc>
          <w:tcPr>
            <w:tcW w:w="0" w:type="auto"/>
            <w:shd w:val="clear" w:color="auto" w:fill="FFFFFF"/>
            <w:tcMar>
              <w:top w:w="40" w:type="dxa"/>
              <w:left w:w="0" w:type="dxa"/>
              <w:bottom w:w="40" w:type="dxa"/>
              <w:right w:w="20" w:type="dxa"/>
            </w:tcMar>
            <w:vAlign w:val="bottom"/>
          </w:tcPr>
          <w:p w14:paraId="6430314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14C"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14D"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14E" w14:textId="77777777" w:rsidR="009F6D8A" w:rsidRDefault="00C50974">
            <w:pPr>
              <w:jc w:val="right"/>
              <w:textAlignment w:val="bottom"/>
            </w:pPr>
            <w:r>
              <w:rPr>
                <w:rFonts w:ascii="Arial" w:eastAsia="宋体" w:hAnsi="Arial" w:cs="Arial"/>
                <w:color w:val="000000"/>
                <w:sz w:val="18"/>
                <w:szCs w:val="18"/>
              </w:rPr>
              <w:t>56 </w:t>
            </w:r>
          </w:p>
        </w:tc>
        <w:tc>
          <w:tcPr>
            <w:tcW w:w="0" w:type="auto"/>
            <w:shd w:val="clear" w:color="auto" w:fill="FFFFFF"/>
            <w:tcMar>
              <w:top w:w="40" w:type="dxa"/>
              <w:left w:w="0" w:type="dxa"/>
              <w:bottom w:w="40" w:type="dxa"/>
              <w:right w:w="20" w:type="dxa"/>
            </w:tcMar>
            <w:vAlign w:val="bottom"/>
          </w:tcPr>
          <w:p w14:paraId="6430314F" w14:textId="77777777" w:rsidR="009F6D8A" w:rsidRDefault="009F6D8A">
            <w:pPr>
              <w:jc w:val="right"/>
              <w:rPr>
                <w:rFonts w:ascii="宋体"/>
              </w:rPr>
            </w:pPr>
          </w:p>
        </w:tc>
      </w:tr>
      <w:tr w:rsidR="009F6D8A" w14:paraId="64303155" w14:textId="77777777">
        <w:trPr>
          <w:jc w:val="center"/>
        </w:trPr>
        <w:tc>
          <w:tcPr>
            <w:tcW w:w="0" w:type="auto"/>
            <w:gridSpan w:val="3"/>
            <w:shd w:val="clear" w:color="auto" w:fill="E1E1E1"/>
            <w:tcMar>
              <w:top w:w="40" w:type="dxa"/>
              <w:left w:w="275" w:type="dxa"/>
              <w:bottom w:w="40" w:type="dxa"/>
              <w:right w:w="20" w:type="dxa"/>
            </w:tcMar>
            <w:vAlign w:val="bottom"/>
          </w:tcPr>
          <w:p w14:paraId="64303151" w14:textId="77777777" w:rsidR="009F6D8A" w:rsidRDefault="00C50974">
            <w:pPr>
              <w:textAlignment w:val="bottom"/>
            </w:pPr>
            <w:r>
              <w:rPr>
                <w:rFonts w:ascii="Arial" w:eastAsia="宋体" w:hAnsi="Arial" w:cs="Arial"/>
                <w:color w:val="000000"/>
                <w:sz w:val="18"/>
                <w:szCs w:val="18"/>
              </w:rPr>
              <w:t>Non-cash investing activities:</w:t>
            </w:r>
          </w:p>
        </w:tc>
        <w:tc>
          <w:tcPr>
            <w:tcW w:w="0" w:type="auto"/>
            <w:gridSpan w:val="3"/>
            <w:shd w:val="clear" w:color="auto" w:fill="E1E1E1"/>
            <w:tcMar>
              <w:top w:w="0" w:type="dxa"/>
              <w:left w:w="20" w:type="dxa"/>
              <w:bottom w:w="0" w:type="dxa"/>
              <w:right w:w="20" w:type="dxa"/>
            </w:tcMar>
            <w:vAlign w:val="bottom"/>
          </w:tcPr>
          <w:p w14:paraId="64303152"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3153"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3154" w14:textId="77777777" w:rsidR="009F6D8A" w:rsidRDefault="009F6D8A">
            <w:pPr>
              <w:rPr>
                <w:rFonts w:ascii="宋体"/>
              </w:rPr>
            </w:pPr>
          </w:p>
        </w:tc>
      </w:tr>
      <w:tr w:rsidR="009F6D8A" w14:paraId="6430315E" w14:textId="77777777">
        <w:trPr>
          <w:jc w:val="center"/>
        </w:trPr>
        <w:tc>
          <w:tcPr>
            <w:tcW w:w="0" w:type="auto"/>
            <w:gridSpan w:val="3"/>
            <w:shd w:val="clear" w:color="auto" w:fill="FFFFFF"/>
            <w:tcMar>
              <w:top w:w="40" w:type="dxa"/>
              <w:left w:w="515" w:type="dxa"/>
              <w:bottom w:w="40" w:type="dxa"/>
              <w:right w:w="20" w:type="dxa"/>
            </w:tcMar>
            <w:vAlign w:val="bottom"/>
          </w:tcPr>
          <w:p w14:paraId="64303156" w14:textId="77777777" w:rsidR="009F6D8A" w:rsidRDefault="00C50974">
            <w:pPr>
              <w:textAlignment w:val="bottom"/>
            </w:pPr>
            <w:r>
              <w:rPr>
                <w:rFonts w:ascii="Arial" w:eastAsia="宋体" w:hAnsi="Arial" w:cs="Arial"/>
                <w:color w:val="000000"/>
                <w:sz w:val="18"/>
                <w:szCs w:val="18"/>
              </w:rPr>
              <w:t>Equity investment in Adevinta</w:t>
            </w:r>
          </w:p>
        </w:tc>
        <w:tc>
          <w:tcPr>
            <w:tcW w:w="0" w:type="auto"/>
            <w:shd w:val="clear" w:color="auto" w:fill="FFFFFF"/>
            <w:tcMar>
              <w:top w:w="40" w:type="dxa"/>
              <w:left w:w="20" w:type="dxa"/>
              <w:bottom w:w="40" w:type="dxa"/>
              <w:right w:w="0" w:type="dxa"/>
            </w:tcMar>
            <w:vAlign w:val="bottom"/>
          </w:tcPr>
          <w:p w14:paraId="64303157"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158" w14:textId="77777777" w:rsidR="009F6D8A" w:rsidRDefault="00C50974">
            <w:pPr>
              <w:jc w:val="right"/>
              <w:textAlignment w:val="bottom"/>
            </w:pPr>
            <w:r>
              <w:rPr>
                <w:rFonts w:ascii="Arial" w:eastAsia="宋体" w:hAnsi="Arial" w:cs="Arial"/>
                <w:color w:val="000000"/>
                <w:sz w:val="18"/>
                <w:szCs w:val="18"/>
              </w:rPr>
              <w:t>10,776 </w:t>
            </w:r>
          </w:p>
        </w:tc>
        <w:tc>
          <w:tcPr>
            <w:tcW w:w="0" w:type="auto"/>
            <w:shd w:val="clear" w:color="auto" w:fill="FFFFFF"/>
            <w:tcMar>
              <w:top w:w="40" w:type="dxa"/>
              <w:left w:w="0" w:type="dxa"/>
              <w:bottom w:w="40" w:type="dxa"/>
              <w:right w:w="20" w:type="dxa"/>
            </w:tcMar>
            <w:vAlign w:val="bottom"/>
          </w:tcPr>
          <w:p w14:paraId="6430315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15A"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15B"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15C"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15D" w14:textId="77777777" w:rsidR="009F6D8A" w:rsidRDefault="009F6D8A">
            <w:pPr>
              <w:jc w:val="right"/>
              <w:rPr>
                <w:rFonts w:ascii="宋体"/>
              </w:rPr>
            </w:pPr>
          </w:p>
        </w:tc>
      </w:tr>
      <w:tr w:rsidR="009F6D8A" w14:paraId="64303163" w14:textId="77777777">
        <w:trPr>
          <w:jc w:val="center"/>
          <w:hidden/>
        </w:trPr>
        <w:tc>
          <w:tcPr>
            <w:tcW w:w="0" w:type="auto"/>
            <w:gridSpan w:val="3"/>
            <w:shd w:val="clear" w:color="auto" w:fill="auto"/>
            <w:vAlign w:val="bottom"/>
          </w:tcPr>
          <w:p w14:paraId="6430315F" w14:textId="77777777" w:rsidR="009F6D8A" w:rsidRDefault="009F6D8A">
            <w:pPr>
              <w:rPr>
                <w:rFonts w:ascii="宋体"/>
                <w:vanish/>
              </w:rPr>
            </w:pPr>
          </w:p>
        </w:tc>
        <w:tc>
          <w:tcPr>
            <w:tcW w:w="0" w:type="auto"/>
            <w:gridSpan w:val="3"/>
            <w:shd w:val="clear" w:color="auto" w:fill="auto"/>
            <w:vAlign w:val="bottom"/>
          </w:tcPr>
          <w:p w14:paraId="64303160" w14:textId="77777777" w:rsidR="009F6D8A" w:rsidRDefault="009F6D8A">
            <w:pPr>
              <w:rPr>
                <w:rFonts w:ascii="宋体"/>
                <w:vanish/>
              </w:rPr>
            </w:pPr>
          </w:p>
        </w:tc>
        <w:tc>
          <w:tcPr>
            <w:tcW w:w="0" w:type="auto"/>
            <w:gridSpan w:val="3"/>
            <w:shd w:val="clear" w:color="auto" w:fill="auto"/>
            <w:vAlign w:val="bottom"/>
          </w:tcPr>
          <w:p w14:paraId="64303161" w14:textId="77777777" w:rsidR="009F6D8A" w:rsidRDefault="009F6D8A">
            <w:pPr>
              <w:rPr>
                <w:rFonts w:ascii="宋体"/>
                <w:vanish/>
              </w:rPr>
            </w:pPr>
          </w:p>
        </w:tc>
        <w:tc>
          <w:tcPr>
            <w:tcW w:w="0" w:type="auto"/>
            <w:gridSpan w:val="3"/>
            <w:shd w:val="clear" w:color="auto" w:fill="auto"/>
            <w:vAlign w:val="bottom"/>
          </w:tcPr>
          <w:p w14:paraId="64303162" w14:textId="77777777" w:rsidR="009F6D8A" w:rsidRDefault="009F6D8A">
            <w:pPr>
              <w:rPr>
                <w:rFonts w:ascii="宋体"/>
                <w:vanish/>
              </w:rPr>
            </w:pPr>
          </w:p>
        </w:tc>
      </w:tr>
    </w:tbl>
    <w:p w14:paraId="64303164" w14:textId="77777777" w:rsidR="009F6D8A" w:rsidRDefault="009F6D8A">
      <w:pPr>
        <w:jc w:val="center"/>
      </w:pPr>
    </w:p>
    <w:p w14:paraId="64303165" w14:textId="77777777" w:rsidR="009F6D8A" w:rsidRDefault="00C50974">
      <w:pPr>
        <w:jc w:val="center"/>
      </w:pPr>
      <w:r>
        <w:rPr>
          <w:rFonts w:ascii="Arial" w:eastAsia="宋体" w:hAnsi="Arial" w:cs="Arial"/>
          <w:color w:val="000000"/>
          <w:sz w:val="18"/>
          <w:szCs w:val="18"/>
        </w:rPr>
        <w:t xml:space="preserve">The accompanying notes are an </w:t>
      </w:r>
      <w:r>
        <w:rPr>
          <w:rFonts w:ascii="Arial" w:eastAsia="宋体" w:hAnsi="Arial" w:cs="Arial"/>
          <w:color w:val="000000"/>
          <w:sz w:val="18"/>
          <w:szCs w:val="18"/>
        </w:rPr>
        <w:t>integral part of these condensed consolidated financial statements.</w:t>
      </w:r>
    </w:p>
    <w:p w14:paraId="64303166" w14:textId="77777777" w:rsidR="009F6D8A" w:rsidRDefault="009F6D8A">
      <w:pPr>
        <w:jc w:val="center"/>
      </w:pPr>
    </w:p>
    <w:p w14:paraId="64303167" w14:textId="77777777" w:rsidR="009F6D8A" w:rsidRDefault="00C50974">
      <w:pPr>
        <w:jc w:val="center"/>
      </w:pPr>
      <w:r>
        <w:rPr>
          <w:rFonts w:ascii="Arial" w:eastAsia="宋体" w:hAnsi="Arial" w:cs="Arial"/>
          <w:color w:val="000000"/>
          <w:sz w:val="20"/>
          <w:szCs w:val="20"/>
        </w:rPr>
        <w:t>7</w:t>
      </w:r>
    </w:p>
    <w:p w14:paraId="64303168" w14:textId="77777777" w:rsidR="009F6D8A" w:rsidRDefault="00C50974">
      <w:r>
        <w:pict w14:anchorId="6430580A">
          <v:rect id="_x0000_i1031" style="width:415.3pt;height:1.5pt" o:hralign="center" o:hrstd="t" o:hr="t" fillcolor="#a0a0a0" stroked="f"/>
        </w:pict>
      </w:r>
    </w:p>
    <w:p w14:paraId="64303169" w14:textId="77777777" w:rsidR="009F6D8A" w:rsidRDefault="009F6D8A"/>
    <w:p w14:paraId="6430316A" w14:textId="77777777" w:rsidR="009F6D8A" w:rsidRDefault="00C50974">
      <w:pPr>
        <w:jc w:val="center"/>
      </w:pPr>
      <w:r>
        <w:rPr>
          <w:rFonts w:ascii="Arial" w:eastAsia="宋体" w:hAnsi="Arial" w:cs="Arial"/>
          <w:b/>
          <w:bCs/>
          <w:color w:val="000000"/>
          <w:sz w:val="20"/>
          <w:szCs w:val="20"/>
        </w:rPr>
        <w:t xml:space="preserve">eBay Inc. </w:t>
      </w:r>
    </w:p>
    <w:p w14:paraId="6430316B" w14:textId="77777777" w:rsidR="009F6D8A" w:rsidRDefault="00C50974">
      <w:pPr>
        <w:spacing w:before="80"/>
        <w:jc w:val="center"/>
      </w:pPr>
      <w:r>
        <w:rPr>
          <w:rFonts w:ascii="Arial" w:eastAsia="宋体" w:hAnsi="Arial" w:cs="Arial"/>
          <w:b/>
          <w:bCs/>
          <w:color w:val="000000"/>
          <w:sz w:val="20"/>
          <w:szCs w:val="20"/>
        </w:rPr>
        <w:t xml:space="preserve">NOTES TO CONDENSED CONSOLIDATED FINANCIAL STATEMENTS </w:t>
      </w:r>
    </w:p>
    <w:p w14:paraId="6430316C" w14:textId="77777777" w:rsidR="009F6D8A" w:rsidRDefault="00C50974">
      <w:pPr>
        <w:jc w:val="center"/>
      </w:pPr>
      <w:r>
        <w:rPr>
          <w:rFonts w:ascii="Arial" w:eastAsia="宋体" w:hAnsi="Arial" w:cs="Arial"/>
          <w:b/>
          <w:bCs/>
          <w:color w:val="000000"/>
          <w:sz w:val="20"/>
          <w:szCs w:val="20"/>
        </w:rPr>
        <w:t>(Unaudited)</w:t>
      </w:r>
    </w:p>
    <w:p w14:paraId="6430316D" w14:textId="77777777" w:rsidR="009F6D8A" w:rsidRDefault="00C50974">
      <w:pPr>
        <w:jc w:val="both"/>
      </w:pPr>
      <w:r>
        <w:rPr>
          <w:rFonts w:ascii="Arial" w:eastAsia="宋体" w:hAnsi="Arial" w:cs="Arial"/>
          <w:b/>
          <w:bCs/>
          <w:color w:val="000000"/>
          <w:sz w:val="20"/>
          <w:szCs w:val="20"/>
        </w:rPr>
        <w:t xml:space="preserve">Note 1 — The Company and Summary of Significant Accounting Policies </w:t>
      </w:r>
    </w:p>
    <w:p w14:paraId="6430316E" w14:textId="77777777" w:rsidR="009F6D8A" w:rsidRDefault="009F6D8A">
      <w:pPr>
        <w:jc w:val="both"/>
      </w:pPr>
    </w:p>
    <w:p w14:paraId="6430316F" w14:textId="77777777" w:rsidR="009F6D8A" w:rsidRDefault="00C50974">
      <w:pPr>
        <w:ind w:firstLine="270"/>
        <w:jc w:val="both"/>
      </w:pPr>
      <w:r>
        <w:rPr>
          <w:rFonts w:ascii="Arial" w:eastAsia="宋体" w:hAnsi="Arial" w:cs="Arial"/>
          <w:b/>
          <w:bCs/>
          <w:i/>
          <w:iCs/>
          <w:color w:val="000000"/>
          <w:sz w:val="20"/>
          <w:szCs w:val="20"/>
        </w:rPr>
        <w:t xml:space="preserve">The Company </w:t>
      </w:r>
    </w:p>
    <w:p w14:paraId="64303170" w14:textId="77777777" w:rsidR="009F6D8A" w:rsidRDefault="009F6D8A">
      <w:pPr>
        <w:jc w:val="both"/>
      </w:pPr>
    </w:p>
    <w:p w14:paraId="64303171" w14:textId="77777777" w:rsidR="009F6D8A" w:rsidRDefault="00C50974">
      <w:pPr>
        <w:ind w:firstLine="540"/>
        <w:jc w:val="both"/>
      </w:pPr>
      <w:r>
        <w:rPr>
          <w:rFonts w:ascii="Arial" w:eastAsia="宋体" w:hAnsi="Arial" w:cs="Arial"/>
          <w:color w:val="000000"/>
          <w:sz w:val="20"/>
          <w:szCs w:val="20"/>
        </w:rPr>
        <w:t>eBay Inc. is a global</w:t>
      </w:r>
      <w:r>
        <w:rPr>
          <w:rFonts w:ascii="Arial" w:eastAsia="宋体" w:hAnsi="Arial" w:cs="Arial"/>
          <w:color w:val="000000"/>
          <w:sz w:val="20"/>
          <w:szCs w:val="20"/>
        </w:rPr>
        <w:t xml:space="preserve"> commerce leader, which includes our Marketplace platforms. Founded in 1995 in San Jose, California, eBay is one of the world’s largest and most vibrant marketplaces for discovering great value and unique selection. Collectively, we connect millions of buy</w:t>
      </w:r>
      <w:r>
        <w:rPr>
          <w:rFonts w:ascii="Arial" w:eastAsia="宋体" w:hAnsi="Arial" w:cs="Arial"/>
          <w:color w:val="000000"/>
          <w:sz w:val="20"/>
          <w:szCs w:val="20"/>
        </w:rPr>
        <w:t>ers and sellers around the world, empowering people and creating opportunity for all through our technology. Our technologies and services are designed to give buyers choice and a breadth of relevant inventory and to enable sellers worldwide to organize an</w:t>
      </w:r>
      <w:r>
        <w:rPr>
          <w:rFonts w:ascii="Arial" w:eastAsia="宋体" w:hAnsi="Arial" w:cs="Arial"/>
          <w:color w:val="000000"/>
          <w:sz w:val="20"/>
          <w:szCs w:val="20"/>
        </w:rPr>
        <w:t>d offer their inventory for sale, virtually anytime and anywhere. </w:t>
      </w:r>
    </w:p>
    <w:p w14:paraId="64303172" w14:textId="77777777" w:rsidR="009F6D8A" w:rsidRDefault="009F6D8A">
      <w:pPr>
        <w:ind w:firstLine="540"/>
        <w:jc w:val="both"/>
      </w:pPr>
    </w:p>
    <w:p w14:paraId="64303173" w14:textId="77777777" w:rsidR="009F6D8A" w:rsidRDefault="00C50974">
      <w:pPr>
        <w:ind w:firstLine="540"/>
        <w:jc w:val="both"/>
      </w:pPr>
      <w:r>
        <w:rPr>
          <w:rFonts w:ascii="Arial" w:eastAsia="宋体" w:hAnsi="Arial" w:cs="Arial"/>
          <w:color w:val="000000"/>
          <w:sz w:val="20"/>
          <w:szCs w:val="20"/>
        </w:rPr>
        <w:t>When we refer to “we,” “our,” “us,” the “Company” or “eBay” in this Quarterly Report on Form 10-Q, we mean the current Delaware corporation (eBay Inc.) and its consolidated subsidiaries, u</w:t>
      </w:r>
      <w:r>
        <w:rPr>
          <w:rFonts w:ascii="Arial" w:eastAsia="宋体" w:hAnsi="Arial" w:cs="Arial"/>
          <w:color w:val="000000"/>
          <w:sz w:val="20"/>
          <w:szCs w:val="20"/>
        </w:rPr>
        <w:t>nless otherwise expressly stated or the context otherwise requires.</w:t>
      </w:r>
    </w:p>
    <w:p w14:paraId="64303174" w14:textId="77777777" w:rsidR="009F6D8A" w:rsidRDefault="009F6D8A">
      <w:pPr>
        <w:ind w:firstLine="540"/>
        <w:jc w:val="both"/>
      </w:pPr>
    </w:p>
    <w:p w14:paraId="64303175" w14:textId="77777777" w:rsidR="009F6D8A" w:rsidRDefault="00C50974">
      <w:pPr>
        <w:ind w:firstLine="540"/>
        <w:jc w:val="both"/>
      </w:pPr>
      <w:r>
        <w:rPr>
          <w:rFonts w:ascii="Arial" w:eastAsia="宋体" w:hAnsi="Arial" w:cs="Arial"/>
          <w:color w:val="000000"/>
          <w:sz w:val="20"/>
          <w:szCs w:val="20"/>
        </w:rPr>
        <w:t>On June 24, 2021, we completed the previously announced transfer of our Classifieds business to Adevinta ASA (“Adevinta”) for $2.5 billion in cash, subject to certain adjustments, and approximately 540 million shares in Adevinta which represent an equity i</w:t>
      </w:r>
      <w:r>
        <w:rPr>
          <w:rFonts w:ascii="Arial" w:eastAsia="宋体" w:hAnsi="Arial" w:cs="Arial"/>
          <w:color w:val="000000"/>
          <w:sz w:val="20"/>
          <w:szCs w:val="20"/>
        </w:rPr>
        <w:t>nterest of 44%, comprised of approximately 33% of voting shares and 11% of non-voting shares. Together, the total consideration received under the definitive agreement was valued at approximately $13.3 billion, based on the closing trading price of Adevint</w:t>
      </w:r>
      <w:r>
        <w:rPr>
          <w:rFonts w:ascii="Arial" w:eastAsia="宋体" w:hAnsi="Arial" w:cs="Arial"/>
          <w:color w:val="000000"/>
          <w:sz w:val="20"/>
          <w:szCs w:val="20"/>
        </w:rPr>
        <w:t>a’s outstanding shares on the Oslo Stock Exchange on June 24, 2021. The equity interest received is accounted for under the fair value option. We have classified the related assets and liabilities associated with our Classifieds business as discontinued op</w:t>
      </w:r>
      <w:r>
        <w:rPr>
          <w:rFonts w:ascii="Arial" w:eastAsia="宋体" w:hAnsi="Arial" w:cs="Arial"/>
          <w:color w:val="000000"/>
          <w:sz w:val="20"/>
          <w:szCs w:val="20"/>
        </w:rPr>
        <w:t xml:space="preserve">erations in our condensed consolidated balance sheet. The results of our Classifieds business have been presented as discontinued operations in our condensed consolidated statement of income for all periods presented as the transfer represents a strategic </w:t>
      </w:r>
      <w:r>
        <w:rPr>
          <w:rFonts w:ascii="Arial" w:eastAsia="宋体" w:hAnsi="Arial" w:cs="Arial"/>
          <w:color w:val="000000"/>
          <w:sz w:val="20"/>
          <w:szCs w:val="20"/>
        </w:rPr>
        <w:t xml:space="preserve">shift in our business that has a major effect on our operations and financial results. See “Note 3 – Discontinued Operations” for additional information. </w:t>
      </w:r>
    </w:p>
    <w:p w14:paraId="64303176" w14:textId="77777777" w:rsidR="009F6D8A" w:rsidRDefault="00C50974">
      <w:pPr>
        <w:spacing w:before="240"/>
        <w:ind w:firstLine="540"/>
        <w:jc w:val="both"/>
      </w:pPr>
      <w:r>
        <w:rPr>
          <w:rFonts w:ascii="Arial" w:eastAsia="宋体" w:hAnsi="Arial" w:cs="Arial"/>
          <w:color w:val="000000"/>
          <w:sz w:val="20"/>
          <w:szCs w:val="20"/>
        </w:rPr>
        <w:t>On June 30, 2021, we entered into a securities purchase agreement with E-mart Inc. and one of its who</w:t>
      </w:r>
      <w:r>
        <w:rPr>
          <w:rFonts w:ascii="Arial" w:eastAsia="宋体" w:hAnsi="Arial" w:cs="Arial"/>
          <w:color w:val="000000"/>
          <w:sz w:val="20"/>
          <w:szCs w:val="20"/>
        </w:rPr>
        <w:t>lly owned subsidiaries (together, “Emart”), to sell 80.01% of the outstanding equity interests of eBay Korea LLC, a limited liability company incorporated under the laws of Korea and a wholly owned subsidiary of eBay KTA (“eBay Korea”), pursuant to the ter</w:t>
      </w:r>
      <w:r>
        <w:rPr>
          <w:rFonts w:ascii="Arial" w:eastAsia="宋体" w:hAnsi="Arial" w:cs="Arial"/>
          <w:color w:val="000000"/>
          <w:sz w:val="20"/>
          <w:szCs w:val="20"/>
        </w:rPr>
        <w:t>ms and conditions of the securities purchase agreement, in exchange for KRW 3.44 trillion, or approximately $3.0 billion as of the agreement date, subject to certain adjustments specified for indebtedness, cash, working capital, transaction expenses and ce</w:t>
      </w:r>
      <w:r>
        <w:rPr>
          <w:rFonts w:ascii="Arial" w:eastAsia="宋体" w:hAnsi="Arial" w:cs="Arial"/>
          <w:color w:val="000000"/>
          <w:sz w:val="20"/>
          <w:szCs w:val="20"/>
        </w:rPr>
        <w:t xml:space="preserve">rtain taxes. We will retain 19.99% of the outstanding equity interests of eBay Korea. The transaction is expected to close within one year, subject to certain conditions, including receipt of regulatory approvals. As of the second quarter of 2021, we have </w:t>
      </w:r>
      <w:r>
        <w:rPr>
          <w:rFonts w:ascii="Arial" w:eastAsia="宋体" w:hAnsi="Arial" w:cs="Arial"/>
          <w:color w:val="000000"/>
          <w:sz w:val="20"/>
          <w:szCs w:val="20"/>
        </w:rPr>
        <w:t>classified the related assets and liabilities associated with our eBay Korea business as held for sale in our condensed consolidated balance sheet. The results of our eBay Korea business have been presented as discontinued operations in our condensed conso</w:t>
      </w:r>
      <w:r>
        <w:rPr>
          <w:rFonts w:ascii="Arial" w:eastAsia="宋体" w:hAnsi="Arial" w:cs="Arial"/>
          <w:color w:val="000000"/>
          <w:sz w:val="20"/>
          <w:szCs w:val="20"/>
        </w:rPr>
        <w:t xml:space="preserve">lidated statement of income for all periods presented as the transfer represents a strategic shift in our business that has a major effect on our operations and financial results. See “Note 3 – Discontinued Operations” for additional information. </w:t>
      </w:r>
    </w:p>
    <w:p w14:paraId="64303177" w14:textId="77777777" w:rsidR="009F6D8A" w:rsidRDefault="00C50974">
      <w:pPr>
        <w:spacing w:before="240"/>
        <w:ind w:firstLine="540"/>
        <w:jc w:val="both"/>
      </w:pPr>
      <w:r>
        <w:rPr>
          <w:rFonts w:ascii="Arial" w:eastAsia="宋体" w:hAnsi="Arial" w:cs="Arial"/>
          <w:color w:val="000000"/>
          <w:sz w:val="20"/>
          <w:szCs w:val="20"/>
        </w:rPr>
        <w:t xml:space="preserve">On July </w:t>
      </w:r>
      <w:r>
        <w:rPr>
          <w:rFonts w:ascii="Arial" w:eastAsia="宋体" w:hAnsi="Arial" w:cs="Arial"/>
          <w:color w:val="000000"/>
          <w:sz w:val="20"/>
          <w:szCs w:val="20"/>
        </w:rPr>
        <w:t>14, 2021, we entered into a share purchase agreement with Astinlux Finco S.à r.l. (“Permira”) to sell approximately 125 million of our voting shares in Adevinta for total consideration of $2.25 billion. The price represents an approximate 7% discount to th</w:t>
      </w:r>
      <w:r>
        <w:rPr>
          <w:rFonts w:ascii="Arial" w:eastAsia="宋体" w:hAnsi="Arial" w:cs="Arial"/>
          <w:color w:val="000000"/>
          <w:sz w:val="20"/>
          <w:szCs w:val="20"/>
        </w:rPr>
        <w:t>e 10-day volume weighted average price (“VWAP”) of Adevinta shares as of July 12, 2021 and a 5% discount to the 30-day VWAP as of July 12, 2021. In addition, we granted Permira an option, exercisable within 30 days after the date of the purchase agreement,</w:t>
      </w:r>
      <w:r>
        <w:rPr>
          <w:rFonts w:ascii="Arial" w:eastAsia="宋体" w:hAnsi="Arial" w:cs="Arial"/>
          <w:color w:val="000000"/>
          <w:sz w:val="20"/>
          <w:szCs w:val="20"/>
        </w:rPr>
        <w:t xml:space="preserve"> to purchase approximately 10 million additional voting shares for $180 million in consideration. On July 29, 2021, Permira exercised the option. At the close of both transactions, our ownership in Adevinta will be reduced to 33%. The transactions are expe</w:t>
      </w:r>
      <w:r>
        <w:rPr>
          <w:rFonts w:ascii="Arial" w:eastAsia="宋体" w:hAnsi="Arial" w:cs="Arial"/>
          <w:color w:val="000000"/>
          <w:sz w:val="20"/>
          <w:szCs w:val="20"/>
        </w:rPr>
        <w:t>cted to close in the fourth quarter of 2021, subject to the receipt of required regulatory approvals.</w:t>
      </w:r>
    </w:p>
    <w:p w14:paraId="64303178" w14:textId="77777777" w:rsidR="009F6D8A" w:rsidRDefault="009F6D8A">
      <w:pPr>
        <w:jc w:val="center"/>
      </w:pPr>
    </w:p>
    <w:p w14:paraId="64303179" w14:textId="77777777" w:rsidR="009F6D8A" w:rsidRDefault="00C50974">
      <w:pPr>
        <w:jc w:val="center"/>
      </w:pPr>
      <w:r>
        <w:rPr>
          <w:rFonts w:ascii="Arial" w:eastAsia="宋体" w:hAnsi="Arial" w:cs="Arial"/>
          <w:color w:val="000000"/>
          <w:sz w:val="20"/>
          <w:szCs w:val="20"/>
        </w:rPr>
        <w:t>8</w:t>
      </w:r>
    </w:p>
    <w:p w14:paraId="6430317A" w14:textId="77777777" w:rsidR="009F6D8A" w:rsidRDefault="00C50974">
      <w:r>
        <w:pict w14:anchorId="6430580B">
          <v:rect id="_x0000_i1032" style="width:415.3pt;height:1.5pt" o:hralign="center" o:hrstd="t" o:hr="t" fillcolor="#a0a0a0" stroked="f"/>
        </w:pict>
      </w:r>
    </w:p>
    <w:p w14:paraId="6430317B" w14:textId="77777777" w:rsidR="009F6D8A" w:rsidRDefault="009F6D8A">
      <w:pPr>
        <w:jc w:val="center"/>
      </w:pPr>
    </w:p>
    <w:p w14:paraId="6430317C" w14:textId="77777777" w:rsidR="009F6D8A" w:rsidRDefault="00C50974">
      <w:pPr>
        <w:jc w:val="center"/>
      </w:pPr>
      <w:r>
        <w:rPr>
          <w:rFonts w:ascii="Arial" w:eastAsia="宋体" w:hAnsi="Arial" w:cs="Arial"/>
          <w:b/>
          <w:bCs/>
          <w:color w:val="000000"/>
          <w:sz w:val="20"/>
          <w:szCs w:val="20"/>
        </w:rPr>
        <w:t>eBay Inc.</w:t>
      </w:r>
    </w:p>
    <w:p w14:paraId="6430317D"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317E" w14:textId="77777777" w:rsidR="009F6D8A" w:rsidRDefault="009F6D8A">
      <w:pPr>
        <w:ind w:firstLine="540"/>
        <w:jc w:val="both"/>
      </w:pPr>
    </w:p>
    <w:p w14:paraId="6430317F" w14:textId="77777777" w:rsidR="009F6D8A" w:rsidRDefault="00C50974">
      <w:pPr>
        <w:ind w:firstLine="270"/>
        <w:jc w:val="both"/>
      </w:pPr>
      <w:r>
        <w:rPr>
          <w:rFonts w:ascii="Arial" w:eastAsia="宋体" w:hAnsi="Arial" w:cs="Arial"/>
          <w:b/>
          <w:bCs/>
          <w:i/>
          <w:iCs/>
          <w:color w:val="000000"/>
          <w:sz w:val="20"/>
          <w:szCs w:val="20"/>
        </w:rPr>
        <w:t xml:space="preserve">Use of Estimates </w:t>
      </w:r>
    </w:p>
    <w:p w14:paraId="64303180" w14:textId="77777777" w:rsidR="009F6D8A" w:rsidRDefault="009F6D8A">
      <w:pPr>
        <w:jc w:val="both"/>
      </w:pPr>
    </w:p>
    <w:p w14:paraId="64303181" w14:textId="77777777" w:rsidR="009F6D8A" w:rsidRDefault="00C50974">
      <w:pPr>
        <w:ind w:firstLine="540"/>
        <w:jc w:val="both"/>
      </w:pPr>
      <w:r>
        <w:rPr>
          <w:rFonts w:ascii="Arial" w:eastAsia="宋体" w:hAnsi="Arial" w:cs="Arial"/>
          <w:color w:val="000000"/>
          <w:sz w:val="20"/>
          <w:szCs w:val="20"/>
        </w:rPr>
        <w:t>The preparation of condensed consolidated financial statements in conformity with U.S. generally accepted accounting principles (“GAAP”) requires management to make estimates and assumptions that affect the reported amounts of assets and liabilities and di</w:t>
      </w:r>
      <w:r>
        <w:rPr>
          <w:rFonts w:ascii="Arial" w:eastAsia="宋体" w:hAnsi="Arial" w:cs="Arial"/>
          <w:color w:val="000000"/>
          <w:sz w:val="20"/>
          <w:szCs w:val="20"/>
        </w:rPr>
        <w:t>sclosure of contingent assets and liabilities at the date of the condensed consolidated financial statements and the reported amounts of revenues and expenses during the reporting period. On an ongoing basis, we evaluate our estimates, including those rela</w:t>
      </w:r>
      <w:r>
        <w:rPr>
          <w:rFonts w:ascii="Arial" w:eastAsia="宋体" w:hAnsi="Arial" w:cs="Arial"/>
          <w:color w:val="000000"/>
          <w:sz w:val="20"/>
          <w:szCs w:val="20"/>
        </w:rPr>
        <w:t>ted to provisions for transaction losses, legal contingencies, income taxes, revenue recognition, stock-based compensation, investments, goodwill and the recoverability of intangible assets. We base our estimates on historical experience and on various oth</w:t>
      </w:r>
      <w:r>
        <w:rPr>
          <w:rFonts w:ascii="Arial" w:eastAsia="宋体" w:hAnsi="Arial" w:cs="Arial"/>
          <w:color w:val="000000"/>
          <w:sz w:val="20"/>
          <w:szCs w:val="20"/>
        </w:rPr>
        <w:t xml:space="preserve">er assumptions that we believe to be reasonable under the circumstances. Actual results could differ from those estimates. </w:t>
      </w:r>
    </w:p>
    <w:p w14:paraId="64303182" w14:textId="77777777" w:rsidR="009F6D8A" w:rsidRDefault="009F6D8A">
      <w:pPr>
        <w:jc w:val="both"/>
      </w:pPr>
    </w:p>
    <w:p w14:paraId="64303183" w14:textId="77777777" w:rsidR="009F6D8A" w:rsidRDefault="00C50974">
      <w:pPr>
        <w:ind w:firstLine="270"/>
        <w:jc w:val="both"/>
      </w:pPr>
      <w:r>
        <w:rPr>
          <w:rFonts w:ascii="Arial" w:eastAsia="宋体" w:hAnsi="Arial" w:cs="Arial"/>
          <w:b/>
          <w:bCs/>
          <w:i/>
          <w:iCs/>
          <w:color w:val="000000"/>
          <w:sz w:val="20"/>
          <w:szCs w:val="20"/>
        </w:rPr>
        <w:t xml:space="preserve">Principles of Consolidation and Basis of Presentation </w:t>
      </w:r>
    </w:p>
    <w:p w14:paraId="64303184" w14:textId="77777777" w:rsidR="009F6D8A" w:rsidRDefault="009F6D8A">
      <w:pPr>
        <w:jc w:val="both"/>
      </w:pPr>
    </w:p>
    <w:p w14:paraId="64303185" w14:textId="77777777" w:rsidR="009F6D8A" w:rsidRDefault="00C50974">
      <w:pPr>
        <w:ind w:firstLine="540"/>
        <w:jc w:val="both"/>
      </w:pPr>
      <w:r>
        <w:rPr>
          <w:rFonts w:ascii="Arial" w:eastAsia="宋体" w:hAnsi="Arial" w:cs="Arial"/>
          <w:color w:val="000000"/>
          <w:sz w:val="20"/>
          <w:szCs w:val="20"/>
        </w:rPr>
        <w:t>The accompanying condensed financial statements are consolidated and includ</w:t>
      </w:r>
      <w:r>
        <w:rPr>
          <w:rFonts w:ascii="Arial" w:eastAsia="宋体" w:hAnsi="Arial" w:cs="Arial"/>
          <w:color w:val="000000"/>
          <w:sz w:val="20"/>
          <w:szCs w:val="20"/>
        </w:rPr>
        <w:t>e the financial statements of eBay Inc., our wholly and majority-owned subsidiaries and variable interest entities (“VIE”) where we are the primary beneficiary. All intercompany balances and transactions have been eliminated in consolidation. Minority inte</w:t>
      </w:r>
      <w:r>
        <w:rPr>
          <w:rFonts w:ascii="Arial" w:eastAsia="宋体" w:hAnsi="Arial" w:cs="Arial"/>
          <w:color w:val="000000"/>
          <w:sz w:val="20"/>
          <w:szCs w:val="20"/>
        </w:rPr>
        <w:t>rests are recorded as a noncontrolling interest. A qualitative approach is applied to assess the consolidation requirement for VIEs. Equity investments in entities where we have not elected the fair value option and where we hold at least a 20% ownership i</w:t>
      </w:r>
      <w:r>
        <w:rPr>
          <w:rFonts w:ascii="Arial" w:eastAsia="宋体" w:hAnsi="Arial" w:cs="Arial"/>
          <w:color w:val="000000"/>
          <w:sz w:val="20"/>
          <w:szCs w:val="20"/>
        </w:rPr>
        <w:t>nterest, have the ability to exercise significant influence, but not control, over the investee are accounted for using the equity method of accounting. For such investments, our share of the investees’ results of operations is included in interest and oth</w:t>
      </w:r>
      <w:r>
        <w:rPr>
          <w:rFonts w:ascii="Arial" w:eastAsia="宋体" w:hAnsi="Arial" w:cs="Arial"/>
          <w:color w:val="000000"/>
          <w:sz w:val="20"/>
          <w:szCs w:val="20"/>
        </w:rPr>
        <w:t xml:space="preserve">er, net and our investment balance is included in long-term investments. Investments in entities where we hold less than a 20% ownership interest are generally accounted for as equity investments to be measured at fair value or, under an election, at cost </w:t>
      </w:r>
      <w:r>
        <w:rPr>
          <w:rFonts w:ascii="Arial" w:eastAsia="宋体" w:hAnsi="Arial" w:cs="Arial"/>
          <w:color w:val="000000"/>
          <w:sz w:val="20"/>
          <w:szCs w:val="20"/>
        </w:rPr>
        <w:t xml:space="preserve">if it does not have readily determinable fair value, in which case the carrying value would be adjusted upon the occurrence of an observable price change in an orderly transaction for identical or similar instruments or impairment. </w:t>
      </w:r>
    </w:p>
    <w:p w14:paraId="64303186" w14:textId="77777777" w:rsidR="009F6D8A" w:rsidRDefault="009F6D8A">
      <w:pPr>
        <w:ind w:firstLine="540"/>
        <w:jc w:val="both"/>
      </w:pPr>
    </w:p>
    <w:p w14:paraId="64303187" w14:textId="77777777" w:rsidR="009F6D8A" w:rsidRDefault="00C50974">
      <w:pPr>
        <w:ind w:firstLine="540"/>
        <w:jc w:val="both"/>
      </w:pPr>
      <w:r>
        <w:rPr>
          <w:rFonts w:ascii="Arial" w:eastAsia="宋体" w:hAnsi="Arial" w:cs="Arial"/>
          <w:color w:val="000000"/>
          <w:sz w:val="20"/>
          <w:szCs w:val="20"/>
        </w:rPr>
        <w:t>These condensed consol</w:t>
      </w:r>
      <w:r>
        <w:rPr>
          <w:rFonts w:ascii="Arial" w:eastAsia="宋体" w:hAnsi="Arial" w:cs="Arial"/>
          <w:color w:val="000000"/>
          <w:sz w:val="20"/>
          <w:szCs w:val="20"/>
        </w:rPr>
        <w:t>idated financial statements and accompanying notes should be read in conjunction with the audited consolidated financial statements and accompanying notes included in our Annual Report on Form 10-K for the year ended December 31, 2020. We have evaluated al</w:t>
      </w:r>
      <w:r>
        <w:rPr>
          <w:rFonts w:ascii="Arial" w:eastAsia="宋体" w:hAnsi="Arial" w:cs="Arial"/>
          <w:color w:val="000000"/>
          <w:sz w:val="20"/>
          <w:szCs w:val="20"/>
        </w:rPr>
        <w:t>l subsequent events through the date these condensed consolidated financial statements were issued. In the opinion of management, these condensed consolidated financial statements reflect all adjustments, consisting only of normal recurring adjustments, wh</w:t>
      </w:r>
      <w:r>
        <w:rPr>
          <w:rFonts w:ascii="Arial" w:eastAsia="宋体" w:hAnsi="Arial" w:cs="Arial"/>
          <w:color w:val="000000"/>
          <w:sz w:val="20"/>
          <w:szCs w:val="20"/>
        </w:rPr>
        <w:t xml:space="preserve">ich are necessary for the fair statement of the condensed consolidated financial position, results of operations and cash flows for these interim periods. </w:t>
      </w:r>
    </w:p>
    <w:p w14:paraId="64303188" w14:textId="77777777" w:rsidR="009F6D8A" w:rsidRDefault="009F6D8A">
      <w:pPr>
        <w:ind w:firstLine="540"/>
        <w:jc w:val="both"/>
      </w:pPr>
    </w:p>
    <w:p w14:paraId="64303189" w14:textId="77777777" w:rsidR="009F6D8A" w:rsidRDefault="00C50974">
      <w:pPr>
        <w:ind w:firstLine="270"/>
        <w:jc w:val="both"/>
      </w:pPr>
      <w:r>
        <w:rPr>
          <w:rFonts w:ascii="Arial" w:eastAsia="宋体" w:hAnsi="Arial" w:cs="Arial"/>
          <w:b/>
          <w:bCs/>
          <w:i/>
          <w:iCs/>
          <w:color w:val="000000"/>
          <w:sz w:val="20"/>
          <w:szCs w:val="20"/>
        </w:rPr>
        <w:t>Significant Accounting Policies</w:t>
      </w:r>
    </w:p>
    <w:p w14:paraId="6430318A" w14:textId="77777777" w:rsidR="009F6D8A" w:rsidRDefault="009F6D8A">
      <w:pPr>
        <w:ind w:firstLine="540"/>
        <w:jc w:val="both"/>
      </w:pPr>
    </w:p>
    <w:p w14:paraId="6430318B" w14:textId="77777777" w:rsidR="009F6D8A" w:rsidRDefault="00C50974">
      <w:pPr>
        <w:ind w:firstLine="540"/>
        <w:jc w:val="both"/>
      </w:pPr>
      <w:r>
        <w:rPr>
          <w:rFonts w:ascii="Arial" w:eastAsia="宋体" w:hAnsi="Arial" w:cs="Arial"/>
          <w:color w:val="000000"/>
          <w:sz w:val="20"/>
          <w:szCs w:val="20"/>
        </w:rPr>
        <w:t>Notwithstanding the updates to our policies below to include inter</w:t>
      </w:r>
      <w:r>
        <w:rPr>
          <w:rFonts w:ascii="Arial" w:eastAsia="宋体" w:hAnsi="Arial" w:cs="Arial"/>
          <w:color w:val="000000"/>
          <w:sz w:val="20"/>
          <w:szCs w:val="20"/>
        </w:rPr>
        <w:t>mediation of managed payments and our investment policy for our equity investment in Adevinta, the</w:t>
      </w:r>
      <w:r>
        <w:rPr>
          <w:rFonts w:ascii="Arial" w:eastAsia="宋体" w:hAnsi="Arial" w:cs="Arial"/>
          <w:color w:val="000000"/>
          <w:sz w:val="20"/>
          <w:szCs w:val="20"/>
          <w:shd w:val="clear" w:color="auto" w:fill="FFFFFF"/>
        </w:rPr>
        <w:t>re were no significant changes to our significant accounting policies disclosed in “Note 1 – The Company and Summary of Significant Accounting Policies” of ou</w:t>
      </w:r>
      <w:r>
        <w:rPr>
          <w:rFonts w:ascii="Arial" w:eastAsia="宋体" w:hAnsi="Arial" w:cs="Arial"/>
          <w:color w:val="000000"/>
          <w:sz w:val="20"/>
          <w:szCs w:val="20"/>
          <w:shd w:val="clear" w:color="auto" w:fill="FFFFFF"/>
        </w:rPr>
        <w:t xml:space="preserve">r Annual Report on Form 10-K for the year ended </w:t>
      </w:r>
      <w:r>
        <w:rPr>
          <w:rFonts w:ascii="Arial" w:eastAsia="宋体" w:hAnsi="Arial" w:cs="Arial"/>
          <w:color w:val="000000"/>
          <w:sz w:val="20"/>
          <w:szCs w:val="20"/>
        </w:rPr>
        <w:t>December 31, 2020</w:t>
      </w:r>
      <w:r>
        <w:rPr>
          <w:rFonts w:ascii="Arial" w:eastAsia="宋体" w:hAnsi="Arial" w:cs="Arial"/>
          <w:color w:val="000000"/>
          <w:sz w:val="20"/>
          <w:szCs w:val="20"/>
          <w:shd w:val="clear" w:color="auto" w:fill="FFFFFF"/>
        </w:rPr>
        <w:t xml:space="preserve">. </w:t>
      </w:r>
    </w:p>
    <w:p w14:paraId="6430318C" w14:textId="77777777" w:rsidR="009F6D8A" w:rsidRDefault="009F6D8A">
      <w:pPr>
        <w:ind w:firstLine="270"/>
        <w:jc w:val="both"/>
      </w:pPr>
    </w:p>
    <w:p w14:paraId="6430318D" w14:textId="77777777" w:rsidR="009F6D8A" w:rsidRDefault="00C50974">
      <w:pPr>
        <w:ind w:firstLine="270"/>
        <w:jc w:val="both"/>
      </w:pPr>
      <w:r>
        <w:rPr>
          <w:rFonts w:ascii="Arial" w:eastAsia="宋体" w:hAnsi="Arial" w:cs="Arial"/>
          <w:b/>
          <w:bCs/>
          <w:i/>
          <w:iCs/>
          <w:color w:val="000000"/>
          <w:sz w:val="20"/>
          <w:szCs w:val="20"/>
        </w:rPr>
        <w:t xml:space="preserve">Equity investment in Adevinta </w:t>
      </w:r>
    </w:p>
    <w:p w14:paraId="6430318E" w14:textId="77777777" w:rsidR="009F6D8A" w:rsidRDefault="009F6D8A">
      <w:pPr>
        <w:ind w:firstLine="270"/>
        <w:jc w:val="both"/>
      </w:pPr>
    </w:p>
    <w:p w14:paraId="6430318F" w14:textId="77777777" w:rsidR="009F6D8A" w:rsidRDefault="00C50974">
      <w:pPr>
        <w:ind w:firstLine="540"/>
        <w:jc w:val="both"/>
      </w:pPr>
      <w:r>
        <w:rPr>
          <w:rFonts w:ascii="Arial" w:eastAsia="宋体" w:hAnsi="Arial" w:cs="Arial"/>
          <w:color w:val="000000"/>
          <w:sz w:val="20"/>
          <w:szCs w:val="20"/>
        </w:rPr>
        <w:t>As of June 30, 2021, our equity investment in Adevinta represented a 44% equity interest. At the initial recognition of the equity investment, we elected the fair value option where subsequent changes in fair value are recognized as earnings in interest an</w:t>
      </w:r>
      <w:r>
        <w:rPr>
          <w:rFonts w:ascii="Arial" w:eastAsia="宋体" w:hAnsi="Arial" w:cs="Arial"/>
          <w:color w:val="000000"/>
          <w:sz w:val="20"/>
          <w:szCs w:val="20"/>
        </w:rPr>
        <w:t>d other, net in the condensed consolidated statement of income. We report the investment at fair value within equity investment in Adevinta in our condensed consolidated balance sheet. The investment is classified within Level 1 in the fair value hierarchy</w:t>
      </w:r>
      <w:r>
        <w:rPr>
          <w:rFonts w:ascii="Arial" w:eastAsia="宋体" w:hAnsi="Arial" w:cs="Arial"/>
          <w:color w:val="000000"/>
          <w:sz w:val="20"/>
          <w:szCs w:val="20"/>
        </w:rPr>
        <w:t xml:space="preserve"> as the valuation can be obtained from real time quotes in active markets. The fair value of the equity investment is measured based on Adevinta’s closing stock price and prevailing foreign exchange rate. We believe the fair value option election creates m</w:t>
      </w:r>
      <w:r>
        <w:rPr>
          <w:rFonts w:ascii="Arial" w:eastAsia="宋体" w:hAnsi="Arial" w:cs="Arial"/>
          <w:color w:val="000000"/>
          <w:sz w:val="20"/>
          <w:szCs w:val="20"/>
        </w:rPr>
        <w:t xml:space="preserve">ore transparency of the current value of our shares in the equity investment for Adevinta. Refer to “Note 8 – Fair Value Measurement of Assets and Liabilities” for additional details. </w:t>
      </w:r>
    </w:p>
    <w:p w14:paraId="64303190" w14:textId="77777777" w:rsidR="009F6D8A" w:rsidRDefault="009F6D8A">
      <w:pPr>
        <w:ind w:firstLine="270"/>
        <w:jc w:val="both"/>
      </w:pPr>
    </w:p>
    <w:p w14:paraId="64303191" w14:textId="77777777" w:rsidR="009F6D8A" w:rsidRDefault="009F6D8A">
      <w:pPr>
        <w:jc w:val="center"/>
      </w:pPr>
    </w:p>
    <w:p w14:paraId="64303192" w14:textId="77777777" w:rsidR="009F6D8A" w:rsidRDefault="00C50974">
      <w:pPr>
        <w:jc w:val="center"/>
      </w:pPr>
      <w:r>
        <w:rPr>
          <w:rFonts w:ascii="Arial" w:eastAsia="宋体" w:hAnsi="Arial" w:cs="Arial"/>
          <w:color w:val="000000"/>
          <w:sz w:val="20"/>
          <w:szCs w:val="20"/>
        </w:rPr>
        <w:t>9</w:t>
      </w:r>
    </w:p>
    <w:p w14:paraId="64303193" w14:textId="77777777" w:rsidR="009F6D8A" w:rsidRDefault="00C50974">
      <w:r>
        <w:pict w14:anchorId="6430580C">
          <v:rect id="_x0000_i1033" style="width:415.3pt;height:1.5pt" o:hralign="center" o:hrstd="t" o:hr="t" fillcolor="#a0a0a0" stroked="f"/>
        </w:pict>
      </w:r>
    </w:p>
    <w:p w14:paraId="64303194" w14:textId="77777777" w:rsidR="009F6D8A" w:rsidRDefault="009F6D8A">
      <w:pPr>
        <w:jc w:val="center"/>
      </w:pPr>
    </w:p>
    <w:p w14:paraId="64303195" w14:textId="77777777" w:rsidR="009F6D8A" w:rsidRDefault="00C50974">
      <w:pPr>
        <w:jc w:val="center"/>
      </w:pPr>
      <w:r>
        <w:rPr>
          <w:rFonts w:ascii="Arial" w:eastAsia="宋体" w:hAnsi="Arial" w:cs="Arial"/>
          <w:b/>
          <w:bCs/>
          <w:color w:val="000000"/>
          <w:sz w:val="20"/>
          <w:szCs w:val="20"/>
        </w:rPr>
        <w:t>eBay Inc.</w:t>
      </w:r>
    </w:p>
    <w:p w14:paraId="64303196" w14:textId="77777777" w:rsidR="009F6D8A" w:rsidRDefault="00C50974">
      <w:pPr>
        <w:spacing w:after="240"/>
        <w:jc w:val="center"/>
      </w:pPr>
      <w:r>
        <w:rPr>
          <w:rFonts w:ascii="Arial" w:eastAsia="宋体" w:hAnsi="Arial" w:cs="Arial"/>
          <w:b/>
          <w:bCs/>
          <w:color w:val="000000"/>
          <w:sz w:val="20"/>
          <w:szCs w:val="20"/>
        </w:rPr>
        <w:t>NOTES TO CONDENSED CONSOLIDATED FINANCIAL STATEMENTS—(</w:t>
      </w:r>
      <w:r>
        <w:rPr>
          <w:rFonts w:ascii="Arial" w:eastAsia="宋体" w:hAnsi="Arial" w:cs="Arial"/>
          <w:b/>
          <w:bCs/>
          <w:color w:val="000000"/>
          <w:sz w:val="20"/>
          <w:szCs w:val="20"/>
        </w:rPr>
        <w:t>Continued)</w:t>
      </w:r>
    </w:p>
    <w:p w14:paraId="64303197" w14:textId="77777777" w:rsidR="009F6D8A" w:rsidRDefault="00C50974">
      <w:pPr>
        <w:ind w:firstLine="270"/>
        <w:jc w:val="both"/>
      </w:pPr>
      <w:r>
        <w:rPr>
          <w:rFonts w:ascii="Arial" w:eastAsia="宋体" w:hAnsi="Arial" w:cs="Arial"/>
          <w:b/>
          <w:bCs/>
          <w:i/>
          <w:iCs/>
          <w:color w:val="000000"/>
          <w:sz w:val="20"/>
          <w:szCs w:val="20"/>
        </w:rPr>
        <w:t xml:space="preserve">Revenue recognition </w:t>
      </w:r>
    </w:p>
    <w:p w14:paraId="64303198" w14:textId="77777777" w:rsidR="009F6D8A" w:rsidRDefault="009F6D8A">
      <w:pPr>
        <w:ind w:firstLine="270"/>
        <w:jc w:val="both"/>
      </w:pPr>
    </w:p>
    <w:p w14:paraId="64303199" w14:textId="77777777" w:rsidR="009F6D8A" w:rsidRDefault="00C50974">
      <w:pPr>
        <w:ind w:firstLine="540"/>
        <w:jc w:val="both"/>
      </w:pPr>
      <w:r>
        <w:rPr>
          <w:rFonts w:ascii="Arial" w:eastAsia="宋体" w:hAnsi="Arial" w:cs="Arial"/>
          <w:color w:val="000000"/>
          <w:sz w:val="20"/>
          <w:szCs w:val="20"/>
        </w:rPr>
        <w:t>We recognize revenue when we transfer control of promised goods or services to customers in an amount that reflects the consideration to which we expect to be entitled in exchange for those goods or services. Revenue is rec</w:t>
      </w:r>
      <w:r>
        <w:rPr>
          <w:rFonts w:ascii="Arial" w:eastAsia="宋体" w:hAnsi="Arial" w:cs="Arial"/>
          <w:color w:val="000000"/>
          <w:sz w:val="20"/>
          <w:szCs w:val="20"/>
        </w:rPr>
        <w:t>ognized net of any taxes collected, which are subsequently remitted to governmental authorities.</w:t>
      </w:r>
    </w:p>
    <w:p w14:paraId="6430319A" w14:textId="77777777" w:rsidR="009F6D8A" w:rsidRDefault="009F6D8A">
      <w:pPr>
        <w:ind w:firstLine="540"/>
        <w:jc w:val="both"/>
      </w:pPr>
    </w:p>
    <w:p w14:paraId="6430319B" w14:textId="77777777" w:rsidR="009F6D8A" w:rsidRDefault="00C50974">
      <w:pPr>
        <w:ind w:firstLine="243"/>
        <w:jc w:val="both"/>
      </w:pPr>
      <w:r>
        <w:rPr>
          <w:rFonts w:ascii="Arial" w:eastAsia="宋体" w:hAnsi="Arial" w:cs="Arial"/>
          <w:i/>
          <w:iCs/>
          <w:color w:val="000000"/>
          <w:sz w:val="20"/>
          <w:szCs w:val="20"/>
        </w:rPr>
        <w:t>Net transaction revenues</w:t>
      </w:r>
    </w:p>
    <w:p w14:paraId="6430319C" w14:textId="77777777" w:rsidR="009F6D8A" w:rsidRDefault="009F6D8A">
      <w:pPr>
        <w:ind w:firstLine="243"/>
        <w:jc w:val="both"/>
      </w:pPr>
    </w:p>
    <w:p w14:paraId="6430319D" w14:textId="77777777" w:rsidR="009F6D8A" w:rsidRDefault="00C50974">
      <w:pPr>
        <w:ind w:firstLine="540"/>
        <w:jc w:val="both"/>
      </w:pPr>
      <w:r>
        <w:rPr>
          <w:rFonts w:ascii="Arial" w:eastAsia="宋体" w:hAnsi="Arial" w:cs="Arial"/>
          <w:color w:val="000000"/>
          <w:sz w:val="20"/>
          <w:szCs w:val="20"/>
        </w:rPr>
        <w:t xml:space="preserve">Our net transaction revenues primarily include final value fees, feature fees, including fees to promote listings, and listing fees </w:t>
      </w:r>
      <w:r>
        <w:rPr>
          <w:rFonts w:ascii="Arial" w:eastAsia="宋体" w:hAnsi="Arial" w:cs="Arial"/>
          <w:color w:val="000000"/>
          <w:sz w:val="20"/>
          <w:szCs w:val="20"/>
        </w:rPr>
        <w:t>from sellers in our Marketplace. Our net transaction revenues also include store subscription and other fees often from large enterprise sellers. Our net transaction revenues are reduced by incentives provided to our customers.</w:t>
      </w:r>
    </w:p>
    <w:p w14:paraId="6430319E" w14:textId="77777777" w:rsidR="009F6D8A" w:rsidRDefault="009F6D8A">
      <w:pPr>
        <w:ind w:firstLine="486"/>
        <w:jc w:val="both"/>
      </w:pPr>
    </w:p>
    <w:p w14:paraId="6430319F" w14:textId="77777777" w:rsidR="009F6D8A" w:rsidRDefault="00C50974">
      <w:pPr>
        <w:ind w:firstLine="540"/>
        <w:jc w:val="both"/>
      </w:pPr>
      <w:r>
        <w:rPr>
          <w:rFonts w:ascii="Arial" w:eastAsia="宋体" w:hAnsi="Arial" w:cs="Arial"/>
          <w:color w:val="000000"/>
          <w:sz w:val="20"/>
          <w:szCs w:val="20"/>
        </w:rPr>
        <w:t>We identified one performan</w:t>
      </w:r>
      <w:r>
        <w:rPr>
          <w:rFonts w:ascii="Arial" w:eastAsia="宋体" w:hAnsi="Arial" w:cs="Arial"/>
          <w:color w:val="000000"/>
          <w:sz w:val="20"/>
          <w:szCs w:val="20"/>
        </w:rPr>
        <w:t>ce obligation to sellers on our Marketplace platform, which is to connect buyers and sellers on our secure and trusted Marketplace platforms, including payment processing activities. Final value fees are recognized when an item is sold on a Marketplace pla</w:t>
      </w:r>
      <w:r>
        <w:rPr>
          <w:rFonts w:ascii="Arial" w:eastAsia="宋体" w:hAnsi="Arial" w:cs="Arial"/>
          <w:color w:val="000000"/>
          <w:sz w:val="20"/>
          <w:szCs w:val="20"/>
        </w:rPr>
        <w:t>tform, satisfying this performance obligation. There may be additional services available to Marketplace sellers, mainly to promote or feature listings, that are not distinct within the context of the contract. Accordingly, fees for these additional servic</w:t>
      </w:r>
      <w:r>
        <w:rPr>
          <w:rFonts w:ascii="Arial" w:eastAsia="宋体" w:hAnsi="Arial" w:cs="Arial"/>
          <w:color w:val="000000"/>
          <w:sz w:val="20"/>
          <w:szCs w:val="20"/>
        </w:rPr>
        <w:t>es are recognized when the single performance obligation is satisfied. Promoted listing fees are recognized when the item is sold and feature and listing fees are recognized when an item is sold, or when the contract expires.</w:t>
      </w:r>
    </w:p>
    <w:p w14:paraId="643031A0" w14:textId="77777777" w:rsidR="009F6D8A" w:rsidRDefault="009F6D8A">
      <w:pPr>
        <w:ind w:firstLine="486"/>
        <w:jc w:val="both"/>
      </w:pPr>
    </w:p>
    <w:p w14:paraId="643031A1" w14:textId="77777777" w:rsidR="009F6D8A" w:rsidRDefault="00C50974">
      <w:pPr>
        <w:ind w:firstLine="540"/>
        <w:jc w:val="both"/>
      </w:pPr>
      <w:r>
        <w:rPr>
          <w:rFonts w:ascii="Arial" w:eastAsia="宋体" w:hAnsi="Arial" w:cs="Arial"/>
          <w:color w:val="000000"/>
          <w:sz w:val="20"/>
          <w:szCs w:val="20"/>
        </w:rPr>
        <w:t xml:space="preserve">Store subscription and other </w:t>
      </w:r>
      <w:r>
        <w:rPr>
          <w:rFonts w:ascii="Arial" w:eastAsia="宋体" w:hAnsi="Arial" w:cs="Arial"/>
          <w:color w:val="000000"/>
          <w:sz w:val="20"/>
          <w:szCs w:val="20"/>
        </w:rPr>
        <w:t>nonstandard listing contracts may contain multiple performance obligations, including discounts on future services. Determining whether performance obligations should be accounted for separately or combined may require significant judgment. The transaction</w:t>
      </w:r>
      <w:r>
        <w:rPr>
          <w:rFonts w:ascii="Arial" w:eastAsia="宋体" w:hAnsi="Arial" w:cs="Arial"/>
          <w:color w:val="000000"/>
          <w:sz w:val="20"/>
          <w:szCs w:val="20"/>
        </w:rPr>
        <w:t xml:space="preserve"> price is allocated to each performance obligation based on its stand-alone selling price (“SSP”). In instances where SSP is not directly observable, we generally estimate selling prices based on when they are sold to customers of a similar nature and geog</w:t>
      </w:r>
      <w:r>
        <w:rPr>
          <w:rFonts w:ascii="Arial" w:eastAsia="宋体" w:hAnsi="Arial" w:cs="Arial"/>
          <w:color w:val="000000"/>
          <w:sz w:val="20"/>
          <w:szCs w:val="20"/>
        </w:rPr>
        <w:t>raphy. These estimates are generally based on pricing strategies, market factors, strategic objectives and observable inputs. Store subscription revenues are recognized over the subscription period, and discounts offered through store subscription or nonst</w:t>
      </w:r>
      <w:r>
        <w:rPr>
          <w:rFonts w:ascii="Arial" w:eastAsia="宋体" w:hAnsi="Arial" w:cs="Arial"/>
          <w:color w:val="000000"/>
          <w:sz w:val="20"/>
          <w:szCs w:val="20"/>
        </w:rPr>
        <w:t xml:space="preserve">andard listing contracts are recognized when the options are exercised or when the options expire. </w:t>
      </w:r>
    </w:p>
    <w:p w14:paraId="643031A2" w14:textId="77777777" w:rsidR="009F6D8A" w:rsidRDefault="009F6D8A">
      <w:pPr>
        <w:ind w:firstLine="486"/>
        <w:jc w:val="both"/>
      </w:pPr>
    </w:p>
    <w:p w14:paraId="643031A3" w14:textId="77777777" w:rsidR="009F6D8A" w:rsidRDefault="00C50974">
      <w:pPr>
        <w:ind w:firstLine="540"/>
        <w:jc w:val="both"/>
      </w:pPr>
      <w:r>
        <w:rPr>
          <w:rFonts w:ascii="Arial" w:eastAsia="宋体" w:hAnsi="Arial" w:cs="Arial"/>
          <w:color w:val="000000"/>
          <w:sz w:val="20"/>
          <w:szCs w:val="20"/>
        </w:rPr>
        <w:t xml:space="preserve">Further, to drive traffic to our platforms, we provide incentives to buyers and sellers in various forms including discounts on fees, discounts on </w:t>
      </w:r>
      <w:r>
        <w:rPr>
          <w:rFonts w:ascii="Arial" w:eastAsia="宋体" w:hAnsi="Arial" w:cs="Arial"/>
          <w:color w:val="000000"/>
          <w:sz w:val="20"/>
          <w:szCs w:val="20"/>
        </w:rPr>
        <w:t>items sold, coupons and rewards. Evaluating whether a promotion or incentive is a payment to a customer may require significant judgment. Promotions and incentives which are consideration payable to a customer are recognized as a reduction of revenue at th</w:t>
      </w:r>
      <w:r>
        <w:rPr>
          <w:rFonts w:ascii="Arial" w:eastAsia="宋体" w:hAnsi="Arial" w:cs="Arial"/>
          <w:color w:val="000000"/>
          <w:sz w:val="20"/>
          <w:szCs w:val="20"/>
        </w:rPr>
        <w:t>e later of when revenue is recognized or when we pay or promise to pay the incentive. Promotions and incentives to most buyers on our Marketplace platforms, to whom we have no performance obligation, are recognized as sales and marketing expense. In additi</w:t>
      </w:r>
      <w:r>
        <w:rPr>
          <w:rFonts w:ascii="Arial" w:eastAsia="宋体" w:hAnsi="Arial" w:cs="Arial"/>
          <w:color w:val="000000"/>
          <w:sz w:val="20"/>
          <w:szCs w:val="20"/>
        </w:rPr>
        <w:t>on, we may provide credits to customers when we refund certain fees. Credits are accounted for as variable consideration at contract inception when estimating the amount of revenue to be recognized when a performance obligation is satisfied to the extent t</w:t>
      </w:r>
      <w:r>
        <w:rPr>
          <w:rFonts w:ascii="Arial" w:eastAsia="宋体" w:hAnsi="Arial" w:cs="Arial"/>
          <w:color w:val="000000"/>
          <w:sz w:val="20"/>
          <w:szCs w:val="20"/>
        </w:rPr>
        <w:t>hat it is probable that a significant reversal of revenue will not occur and updated as additional information becomes available.</w:t>
      </w:r>
    </w:p>
    <w:p w14:paraId="643031A4" w14:textId="77777777" w:rsidR="009F6D8A" w:rsidRDefault="00C50974">
      <w:pPr>
        <w:spacing w:before="260"/>
        <w:ind w:firstLine="270"/>
        <w:jc w:val="both"/>
      </w:pPr>
      <w:r>
        <w:rPr>
          <w:rFonts w:ascii="Arial" w:eastAsia="宋体" w:hAnsi="Arial" w:cs="Arial"/>
          <w:i/>
          <w:iCs/>
          <w:color w:val="000000"/>
          <w:sz w:val="20"/>
          <w:szCs w:val="20"/>
        </w:rPr>
        <w:t>Marketing services and other revenues</w:t>
      </w:r>
    </w:p>
    <w:p w14:paraId="643031A5" w14:textId="77777777" w:rsidR="009F6D8A" w:rsidRDefault="009F6D8A">
      <w:pPr>
        <w:ind w:firstLine="540"/>
        <w:jc w:val="both"/>
      </w:pPr>
    </w:p>
    <w:p w14:paraId="643031A6" w14:textId="77777777" w:rsidR="009F6D8A" w:rsidRDefault="00C50974">
      <w:pPr>
        <w:ind w:firstLine="540"/>
        <w:jc w:val="both"/>
      </w:pPr>
      <w:r>
        <w:rPr>
          <w:rFonts w:ascii="Arial" w:eastAsia="宋体" w:hAnsi="Arial" w:cs="Arial"/>
          <w:color w:val="000000"/>
          <w:sz w:val="20"/>
          <w:szCs w:val="20"/>
        </w:rPr>
        <w:t>Our marketing services and other revenues are derived principally from the sale of adve</w:t>
      </w:r>
      <w:r>
        <w:rPr>
          <w:rFonts w:ascii="Arial" w:eastAsia="宋体" w:hAnsi="Arial" w:cs="Arial"/>
          <w:color w:val="000000"/>
          <w:sz w:val="20"/>
          <w:szCs w:val="20"/>
        </w:rPr>
        <w:t>rtisements and revenue sharing arrangements. Advertising revenue is derived principally from the sale of online advertisements which are based on “impressions” (i.e., the number of times that an advertisement appears in pages viewed by users of our platfor</w:t>
      </w:r>
      <w:r>
        <w:rPr>
          <w:rFonts w:ascii="Arial" w:eastAsia="宋体" w:hAnsi="Arial" w:cs="Arial"/>
          <w:color w:val="000000"/>
          <w:sz w:val="20"/>
          <w:szCs w:val="20"/>
        </w:rPr>
        <w:t>ms) or “clicks” (which are generated each time users on our platforms click through our advertisements to an advertiser’s designated website) delivered to advertisers. We use the output method and apply the practical expedient to recognize advertising reve</w:t>
      </w:r>
      <w:r>
        <w:rPr>
          <w:rFonts w:ascii="Arial" w:eastAsia="宋体" w:hAnsi="Arial" w:cs="Arial"/>
          <w:color w:val="000000"/>
          <w:sz w:val="20"/>
          <w:szCs w:val="20"/>
        </w:rPr>
        <w:t>nue in the amount to which we have a right to invoice. For contracts with target advertising commitments with rebates, estimated payout is accounted for as a variable consideration to the extent it is probable that a significant reversal of revenue will no</w:t>
      </w:r>
      <w:r>
        <w:rPr>
          <w:rFonts w:ascii="Arial" w:eastAsia="宋体" w:hAnsi="Arial" w:cs="Arial"/>
          <w:color w:val="000000"/>
          <w:sz w:val="20"/>
          <w:szCs w:val="20"/>
        </w:rPr>
        <w:t>t occur.</w:t>
      </w:r>
    </w:p>
    <w:p w14:paraId="643031A7" w14:textId="77777777" w:rsidR="009F6D8A" w:rsidRDefault="009F6D8A">
      <w:pPr>
        <w:ind w:firstLine="540"/>
        <w:jc w:val="both"/>
      </w:pPr>
    </w:p>
    <w:p w14:paraId="643031A8" w14:textId="77777777" w:rsidR="009F6D8A" w:rsidRDefault="00C50974">
      <w:pPr>
        <w:ind w:firstLine="540"/>
        <w:jc w:val="both"/>
      </w:pPr>
      <w:r>
        <w:rPr>
          <w:rFonts w:ascii="Arial" w:eastAsia="宋体" w:hAnsi="Arial" w:cs="Arial"/>
          <w:color w:val="000000"/>
          <w:sz w:val="20"/>
          <w:szCs w:val="20"/>
        </w:rPr>
        <w:t>Revenues related to revenue sharing arrangements are recognized based on whether we are the principal and are responsible for fulfilling the promise to provide the specified services or whether we are an agent arranging for those services to be p</w:t>
      </w:r>
      <w:r>
        <w:rPr>
          <w:rFonts w:ascii="Arial" w:eastAsia="宋体" w:hAnsi="Arial" w:cs="Arial"/>
          <w:color w:val="000000"/>
          <w:sz w:val="20"/>
          <w:szCs w:val="20"/>
        </w:rPr>
        <w:t xml:space="preserve">rovided by our partners. Determining whether we are a principal or agent in these contracts may require significant judgment. If we are the principal, we recognize revenue in the gross amount of </w:t>
      </w:r>
    </w:p>
    <w:p w14:paraId="643031A9" w14:textId="77777777" w:rsidR="009F6D8A" w:rsidRDefault="009F6D8A">
      <w:pPr>
        <w:jc w:val="center"/>
      </w:pPr>
    </w:p>
    <w:p w14:paraId="643031AA" w14:textId="77777777" w:rsidR="009F6D8A" w:rsidRDefault="00C50974">
      <w:pPr>
        <w:jc w:val="center"/>
      </w:pPr>
      <w:r>
        <w:rPr>
          <w:rFonts w:ascii="Arial" w:eastAsia="宋体" w:hAnsi="Arial" w:cs="Arial"/>
          <w:color w:val="000000"/>
          <w:sz w:val="20"/>
          <w:szCs w:val="20"/>
        </w:rPr>
        <w:t>10</w:t>
      </w:r>
    </w:p>
    <w:p w14:paraId="643031AB" w14:textId="77777777" w:rsidR="009F6D8A" w:rsidRDefault="00C50974">
      <w:r>
        <w:pict w14:anchorId="6430580D">
          <v:rect id="_x0000_i1034" style="width:415.3pt;height:1.5pt" o:hralign="center" o:hrstd="t" o:hr="t" fillcolor="#a0a0a0" stroked="f"/>
        </w:pict>
      </w:r>
    </w:p>
    <w:p w14:paraId="643031AC" w14:textId="77777777" w:rsidR="009F6D8A" w:rsidRDefault="009F6D8A">
      <w:pPr>
        <w:jc w:val="center"/>
      </w:pPr>
    </w:p>
    <w:p w14:paraId="643031AD" w14:textId="77777777" w:rsidR="009F6D8A" w:rsidRDefault="00C50974">
      <w:pPr>
        <w:jc w:val="center"/>
      </w:pPr>
      <w:r>
        <w:rPr>
          <w:rFonts w:ascii="Arial" w:eastAsia="宋体" w:hAnsi="Arial" w:cs="Arial"/>
          <w:b/>
          <w:bCs/>
          <w:color w:val="000000"/>
          <w:sz w:val="20"/>
          <w:szCs w:val="20"/>
        </w:rPr>
        <w:t>eBay Inc.</w:t>
      </w:r>
    </w:p>
    <w:p w14:paraId="643031AE" w14:textId="77777777" w:rsidR="009F6D8A" w:rsidRDefault="00C50974">
      <w:pPr>
        <w:spacing w:after="240"/>
        <w:jc w:val="center"/>
      </w:pPr>
      <w:r>
        <w:rPr>
          <w:rFonts w:ascii="Arial" w:eastAsia="宋体" w:hAnsi="Arial" w:cs="Arial"/>
          <w:b/>
          <w:bCs/>
          <w:color w:val="000000"/>
          <w:sz w:val="20"/>
          <w:szCs w:val="20"/>
        </w:rPr>
        <w:t xml:space="preserve">NOTES TO CONDENSED CONSOLIDATED </w:t>
      </w:r>
      <w:r>
        <w:rPr>
          <w:rFonts w:ascii="Arial" w:eastAsia="宋体" w:hAnsi="Arial" w:cs="Arial"/>
          <w:b/>
          <w:bCs/>
          <w:color w:val="000000"/>
          <w:sz w:val="20"/>
          <w:szCs w:val="20"/>
        </w:rPr>
        <w:t>FINANCIAL STATEMENTS—(Continued)</w:t>
      </w:r>
    </w:p>
    <w:p w14:paraId="643031AF" w14:textId="77777777" w:rsidR="009F6D8A" w:rsidRDefault="00C50974">
      <w:pPr>
        <w:jc w:val="both"/>
      </w:pPr>
      <w:r>
        <w:rPr>
          <w:rFonts w:ascii="Arial" w:eastAsia="宋体" w:hAnsi="Arial" w:cs="Arial"/>
          <w:color w:val="000000"/>
          <w:sz w:val="20"/>
          <w:szCs w:val="20"/>
        </w:rPr>
        <w:t>consideration received from the customer, whereas if we are an agent, we recognize revenue net of the consideration due to our partners at a point in time when the services are provided. Our most significant revenue share a</w:t>
      </w:r>
      <w:r>
        <w:rPr>
          <w:rFonts w:ascii="Arial" w:eastAsia="宋体" w:hAnsi="Arial" w:cs="Arial"/>
          <w:color w:val="000000"/>
          <w:sz w:val="20"/>
          <w:szCs w:val="20"/>
        </w:rPr>
        <w:t>rrangements are with shipping service providers. We are primarily acting as an agent in these contracts and revenues are recognized at a point in time when we have satisfied our promise of connecting the shipping service provider to our customer.</w:t>
      </w:r>
    </w:p>
    <w:p w14:paraId="643031B0" w14:textId="77777777" w:rsidR="009F6D8A" w:rsidRDefault="009F6D8A">
      <w:pPr>
        <w:ind w:firstLine="540"/>
        <w:jc w:val="both"/>
      </w:pPr>
    </w:p>
    <w:p w14:paraId="643031B1" w14:textId="77777777" w:rsidR="009F6D8A" w:rsidRDefault="00C50974">
      <w:pPr>
        <w:ind w:firstLine="270"/>
        <w:jc w:val="both"/>
      </w:pPr>
      <w:r>
        <w:rPr>
          <w:rFonts w:ascii="Arial" w:eastAsia="宋体" w:hAnsi="Arial" w:cs="Arial"/>
          <w:b/>
          <w:bCs/>
          <w:i/>
          <w:iCs/>
          <w:color w:val="000000"/>
          <w:sz w:val="20"/>
          <w:szCs w:val="20"/>
        </w:rPr>
        <w:t xml:space="preserve">Payment </w:t>
      </w:r>
      <w:r>
        <w:rPr>
          <w:rFonts w:ascii="Arial" w:eastAsia="宋体" w:hAnsi="Arial" w:cs="Arial"/>
          <w:b/>
          <w:bCs/>
          <w:i/>
          <w:iCs/>
          <w:color w:val="000000"/>
          <w:sz w:val="20"/>
          <w:szCs w:val="20"/>
        </w:rPr>
        <w:t>processor advances</w:t>
      </w:r>
    </w:p>
    <w:p w14:paraId="643031B2" w14:textId="77777777" w:rsidR="009F6D8A" w:rsidRDefault="009F6D8A">
      <w:pPr>
        <w:ind w:firstLine="270"/>
        <w:jc w:val="both"/>
      </w:pPr>
    </w:p>
    <w:p w14:paraId="643031B3" w14:textId="77777777" w:rsidR="009F6D8A" w:rsidRDefault="00C50974">
      <w:pPr>
        <w:ind w:firstLine="540"/>
        <w:jc w:val="both"/>
      </w:pPr>
      <w:r>
        <w:rPr>
          <w:rFonts w:ascii="Arial" w:eastAsia="宋体" w:hAnsi="Arial" w:cs="Arial"/>
          <w:color w:val="000000"/>
          <w:sz w:val="20"/>
          <w:szCs w:val="20"/>
        </w:rPr>
        <w:t>Payment processor advances represent amounts prefunded to and held by payment processors in order to fund outflows in the normal course of the transaction lifecycle, including but not limited to payment processor fees, seller account pa</w:t>
      </w:r>
      <w:r>
        <w:rPr>
          <w:rFonts w:ascii="Arial" w:eastAsia="宋体" w:hAnsi="Arial" w:cs="Arial"/>
          <w:color w:val="000000"/>
          <w:sz w:val="20"/>
          <w:szCs w:val="20"/>
        </w:rPr>
        <w:t>youts, and incentives such as coupons or gift cards. Payment processor advances are recorded within other current assets in our condensed consolidated balance sheet. Other accounts are used to collect and remit indirect taxes from the buyer to the local ta</w:t>
      </w:r>
      <w:r>
        <w:rPr>
          <w:rFonts w:ascii="Arial" w:eastAsia="宋体" w:hAnsi="Arial" w:cs="Arial"/>
          <w:color w:val="000000"/>
          <w:sz w:val="20"/>
          <w:szCs w:val="20"/>
        </w:rPr>
        <w:t>x authorities and to transfer shipping label proceeds from the seller to the relevant shipping service providers. Generally, changes in balances that impact the determination of net income, such as payment processor fees and incentives are presented within</w:t>
      </w:r>
      <w:r>
        <w:rPr>
          <w:rFonts w:ascii="Arial" w:eastAsia="宋体" w:hAnsi="Arial" w:cs="Arial"/>
          <w:color w:val="000000"/>
          <w:sz w:val="20"/>
          <w:szCs w:val="20"/>
        </w:rPr>
        <w:t xml:space="preserve"> operating activities in our condensed consolidated statement of cash flows. Changes in balances that pertain solely to payment intermediation activities (e.g. seller pay-out services) are presented within financing activities in our condensed consolidated</w:t>
      </w:r>
      <w:r>
        <w:rPr>
          <w:rFonts w:ascii="Arial" w:eastAsia="宋体" w:hAnsi="Arial" w:cs="Arial"/>
          <w:color w:val="000000"/>
          <w:sz w:val="20"/>
          <w:szCs w:val="20"/>
        </w:rPr>
        <w:t xml:space="preserve"> statement of cash flows.</w:t>
      </w:r>
    </w:p>
    <w:p w14:paraId="643031B4" w14:textId="77777777" w:rsidR="009F6D8A" w:rsidRDefault="009F6D8A">
      <w:pPr>
        <w:ind w:firstLine="540"/>
        <w:jc w:val="both"/>
      </w:pPr>
    </w:p>
    <w:p w14:paraId="643031B5" w14:textId="77777777" w:rsidR="009F6D8A" w:rsidRDefault="00C50974">
      <w:pPr>
        <w:ind w:firstLine="270"/>
        <w:jc w:val="both"/>
      </w:pPr>
      <w:r>
        <w:rPr>
          <w:rFonts w:ascii="Arial" w:eastAsia="宋体" w:hAnsi="Arial" w:cs="Arial"/>
          <w:b/>
          <w:bCs/>
          <w:i/>
          <w:iCs/>
          <w:color w:val="000000"/>
          <w:sz w:val="20"/>
          <w:szCs w:val="20"/>
        </w:rPr>
        <w:t>Customer accounts and funds receivable</w:t>
      </w:r>
    </w:p>
    <w:p w14:paraId="643031B6" w14:textId="77777777" w:rsidR="009F6D8A" w:rsidRDefault="009F6D8A">
      <w:pPr>
        <w:ind w:firstLine="270"/>
        <w:jc w:val="both"/>
      </w:pPr>
    </w:p>
    <w:p w14:paraId="643031B7" w14:textId="77777777" w:rsidR="009F6D8A" w:rsidRDefault="00C50974">
      <w:pPr>
        <w:ind w:firstLine="540"/>
        <w:jc w:val="both"/>
      </w:pPr>
      <w:r>
        <w:rPr>
          <w:rFonts w:ascii="Arial" w:eastAsia="宋体" w:hAnsi="Arial" w:cs="Arial"/>
          <w:color w:val="000000"/>
          <w:sz w:val="20"/>
          <w:szCs w:val="20"/>
        </w:rPr>
        <w:t xml:space="preserve">These balances represent payments in transit and cash received and held by financial institutions and payment processors associated with marketplace activity and awaiting settlement or are </w:t>
      </w:r>
      <w:r>
        <w:rPr>
          <w:rFonts w:ascii="Arial" w:eastAsia="宋体" w:hAnsi="Arial" w:cs="Arial"/>
          <w:color w:val="000000"/>
          <w:sz w:val="20"/>
          <w:szCs w:val="20"/>
        </w:rPr>
        <w:t xml:space="preserve">installment collections from financial institutions. </w:t>
      </w:r>
    </w:p>
    <w:p w14:paraId="643031B8" w14:textId="77777777" w:rsidR="009F6D8A" w:rsidRDefault="009F6D8A">
      <w:pPr>
        <w:ind w:firstLine="540"/>
        <w:jc w:val="both"/>
      </w:pPr>
    </w:p>
    <w:p w14:paraId="643031B9" w14:textId="77777777" w:rsidR="009F6D8A" w:rsidRDefault="00C50974">
      <w:pPr>
        <w:ind w:firstLine="540"/>
        <w:jc w:val="both"/>
      </w:pPr>
      <w:r>
        <w:rPr>
          <w:rFonts w:ascii="Arial" w:eastAsia="宋体" w:hAnsi="Arial" w:cs="Arial"/>
          <w:color w:val="222222"/>
          <w:sz w:val="20"/>
          <w:szCs w:val="20"/>
        </w:rPr>
        <w:t>We are exposed to credit losses from customer accounts and funds receivable balances held by third party financial institutions. We assess these balances for credit loss based on a review of the averag</w:t>
      </w:r>
      <w:r>
        <w:rPr>
          <w:rFonts w:ascii="Arial" w:eastAsia="宋体" w:hAnsi="Arial" w:cs="Arial"/>
          <w:color w:val="222222"/>
          <w:sz w:val="20"/>
          <w:szCs w:val="20"/>
        </w:rPr>
        <w:t xml:space="preserve">e period for which the funds are held, credit ratings of the financial institutions and by assessing the probability of default and loss given default models. At </w:t>
      </w:r>
      <w:r>
        <w:rPr>
          <w:rFonts w:ascii="Arial" w:eastAsia="宋体" w:hAnsi="Arial" w:cs="Arial"/>
          <w:color w:val="000000"/>
          <w:sz w:val="20"/>
          <w:szCs w:val="20"/>
        </w:rPr>
        <w:t>June 30, 2021</w:t>
      </w:r>
      <w:r>
        <w:rPr>
          <w:rFonts w:ascii="Arial" w:eastAsia="宋体" w:hAnsi="Arial" w:cs="Arial"/>
          <w:color w:val="222222"/>
          <w:sz w:val="20"/>
          <w:szCs w:val="20"/>
        </w:rPr>
        <w:t>, we did not record any credit-related loss.</w:t>
      </w:r>
    </w:p>
    <w:p w14:paraId="643031BA" w14:textId="77777777" w:rsidR="009F6D8A" w:rsidRDefault="009F6D8A">
      <w:pPr>
        <w:ind w:firstLine="540"/>
        <w:jc w:val="both"/>
      </w:pPr>
    </w:p>
    <w:p w14:paraId="643031BB" w14:textId="77777777" w:rsidR="009F6D8A" w:rsidRDefault="00C50974">
      <w:pPr>
        <w:ind w:firstLine="270"/>
        <w:jc w:val="both"/>
      </w:pPr>
      <w:r>
        <w:rPr>
          <w:rFonts w:ascii="Arial" w:eastAsia="宋体" w:hAnsi="Arial" w:cs="Arial"/>
          <w:b/>
          <w:bCs/>
          <w:i/>
          <w:iCs/>
          <w:color w:val="000000"/>
          <w:sz w:val="20"/>
          <w:szCs w:val="20"/>
        </w:rPr>
        <w:t xml:space="preserve">Customer accounts and funds </w:t>
      </w:r>
      <w:r>
        <w:rPr>
          <w:rFonts w:ascii="Arial" w:eastAsia="宋体" w:hAnsi="Arial" w:cs="Arial"/>
          <w:b/>
          <w:bCs/>
          <w:i/>
          <w:iCs/>
          <w:color w:val="000000"/>
          <w:sz w:val="20"/>
          <w:szCs w:val="20"/>
        </w:rPr>
        <w:t>payable</w:t>
      </w:r>
    </w:p>
    <w:p w14:paraId="643031BC" w14:textId="77777777" w:rsidR="009F6D8A" w:rsidRDefault="009F6D8A">
      <w:pPr>
        <w:ind w:firstLine="270"/>
        <w:jc w:val="both"/>
      </w:pPr>
    </w:p>
    <w:p w14:paraId="643031BD" w14:textId="77777777" w:rsidR="009F6D8A" w:rsidRDefault="00C50974">
      <w:pPr>
        <w:ind w:firstLine="540"/>
        <w:jc w:val="both"/>
      </w:pPr>
      <w:r>
        <w:rPr>
          <w:rFonts w:ascii="Arial" w:eastAsia="宋体" w:hAnsi="Arial" w:cs="Arial"/>
          <w:color w:val="000000"/>
          <w:sz w:val="20"/>
          <w:szCs w:val="20"/>
        </w:rPr>
        <w:t>These balances primarily represent the Company’s liability towards its customers to settle the funds from the completed transactions on the platform associated with marketplace activity.</w:t>
      </w:r>
    </w:p>
    <w:p w14:paraId="643031BE" w14:textId="77777777" w:rsidR="009F6D8A" w:rsidRDefault="009F6D8A">
      <w:pPr>
        <w:ind w:firstLine="270"/>
        <w:jc w:val="both"/>
      </w:pPr>
    </w:p>
    <w:p w14:paraId="643031BF" w14:textId="77777777" w:rsidR="009F6D8A" w:rsidRDefault="00C50974">
      <w:pPr>
        <w:ind w:firstLine="270"/>
        <w:jc w:val="both"/>
      </w:pPr>
      <w:r>
        <w:rPr>
          <w:rFonts w:ascii="Arial" w:eastAsia="宋体" w:hAnsi="Arial" w:cs="Arial"/>
          <w:b/>
          <w:bCs/>
          <w:i/>
          <w:iCs/>
          <w:color w:val="000000"/>
          <w:sz w:val="20"/>
          <w:szCs w:val="20"/>
        </w:rPr>
        <w:t xml:space="preserve">Recently Adopted Accounting Pronouncements </w:t>
      </w:r>
    </w:p>
    <w:p w14:paraId="643031C0" w14:textId="77777777" w:rsidR="009F6D8A" w:rsidRDefault="009F6D8A">
      <w:pPr>
        <w:ind w:firstLine="540"/>
        <w:jc w:val="both"/>
      </w:pPr>
    </w:p>
    <w:p w14:paraId="643031C1" w14:textId="77777777" w:rsidR="009F6D8A" w:rsidRDefault="00C50974">
      <w:pPr>
        <w:ind w:firstLine="540"/>
        <w:jc w:val="both"/>
      </w:pPr>
      <w:r>
        <w:rPr>
          <w:rFonts w:ascii="Arial" w:eastAsia="宋体" w:hAnsi="Arial" w:cs="Arial"/>
          <w:color w:val="000000"/>
          <w:sz w:val="20"/>
          <w:szCs w:val="20"/>
        </w:rPr>
        <w:t>In 2019, the F</w:t>
      </w:r>
      <w:r>
        <w:rPr>
          <w:rFonts w:ascii="Arial" w:eastAsia="宋体" w:hAnsi="Arial" w:cs="Arial"/>
          <w:color w:val="000000"/>
          <w:sz w:val="20"/>
          <w:szCs w:val="20"/>
        </w:rPr>
        <w:t>inancial Accounting Standards Board (“FASB”) issued new guidance to simplify the accounting for income taxes by removing certain exceptions to the general principles and also simplification of areas such as franchise taxes, step-up in tax basis goodwill, s</w:t>
      </w:r>
      <w:r>
        <w:rPr>
          <w:rFonts w:ascii="Arial" w:eastAsia="宋体" w:hAnsi="Arial" w:cs="Arial"/>
          <w:color w:val="000000"/>
          <w:sz w:val="20"/>
          <w:szCs w:val="20"/>
        </w:rPr>
        <w:t>eparate entity financial statements and interim recognition of enactment of tax laws or rate changes. The standard is effective for annual reporting periods beginning after December 15, 2020, including interim reporting periods within those fiscal years. W</w:t>
      </w:r>
      <w:r>
        <w:rPr>
          <w:rFonts w:ascii="Arial" w:eastAsia="宋体" w:hAnsi="Arial" w:cs="Arial"/>
          <w:color w:val="000000"/>
          <w:sz w:val="20"/>
          <w:szCs w:val="20"/>
        </w:rPr>
        <w:t>e adopted this guidance in the first quarter of 2021 with no material impact on our condensed consolidated financial statements.</w:t>
      </w:r>
    </w:p>
    <w:p w14:paraId="643031C2" w14:textId="77777777" w:rsidR="009F6D8A" w:rsidRDefault="009F6D8A">
      <w:pPr>
        <w:ind w:firstLine="540"/>
        <w:jc w:val="both"/>
      </w:pPr>
    </w:p>
    <w:p w14:paraId="643031C3" w14:textId="77777777" w:rsidR="009F6D8A" w:rsidRDefault="00C50974">
      <w:pPr>
        <w:ind w:firstLine="540"/>
        <w:jc w:val="both"/>
      </w:pPr>
      <w:r>
        <w:rPr>
          <w:rFonts w:ascii="Arial" w:eastAsia="宋体" w:hAnsi="Arial" w:cs="Arial"/>
          <w:color w:val="000000"/>
          <w:sz w:val="20"/>
          <w:szCs w:val="20"/>
        </w:rPr>
        <w:t>In 2020, the FASB issued new guidance to decrease diversity in practice and increase comparability for the accounting of certa</w:t>
      </w:r>
      <w:r>
        <w:rPr>
          <w:rFonts w:ascii="Arial" w:eastAsia="宋体" w:hAnsi="Arial" w:cs="Arial"/>
          <w:color w:val="000000"/>
          <w:sz w:val="20"/>
          <w:szCs w:val="20"/>
        </w:rPr>
        <w:t xml:space="preserve">in equity securities and investments under the equity method of accounting. The standard is effective for fiscal years, and interim periods within those fiscal years, beginning after December 15, 2020. We adopted this guidance in the first quarter of 2021 </w:t>
      </w:r>
      <w:r>
        <w:rPr>
          <w:rFonts w:ascii="Arial" w:eastAsia="宋体" w:hAnsi="Arial" w:cs="Arial"/>
          <w:color w:val="000000"/>
          <w:sz w:val="20"/>
          <w:szCs w:val="20"/>
        </w:rPr>
        <w:t>with no material impact on our condensed consolidated financial statements.</w:t>
      </w:r>
    </w:p>
    <w:p w14:paraId="643031C4" w14:textId="77777777" w:rsidR="009F6D8A" w:rsidRDefault="009F6D8A">
      <w:pPr>
        <w:ind w:firstLine="270"/>
        <w:jc w:val="both"/>
      </w:pPr>
    </w:p>
    <w:p w14:paraId="643031C5" w14:textId="77777777" w:rsidR="009F6D8A" w:rsidRDefault="009F6D8A">
      <w:pPr>
        <w:jc w:val="center"/>
      </w:pPr>
    </w:p>
    <w:p w14:paraId="643031C6" w14:textId="77777777" w:rsidR="009F6D8A" w:rsidRDefault="00C50974">
      <w:pPr>
        <w:jc w:val="center"/>
      </w:pPr>
      <w:r>
        <w:rPr>
          <w:rFonts w:ascii="Arial" w:eastAsia="宋体" w:hAnsi="Arial" w:cs="Arial"/>
          <w:color w:val="000000"/>
          <w:sz w:val="20"/>
          <w:szCs w:val="20"/>
        </w:rPr>
        <w:t>11</w:t>
      </w:r>
    </w:p>
    <w:p w14:paraId="643031C7" w14:textId="77777777" w:rsidR="009F6D8A" w:rsidRDefault="00C50974">
      <w:r>
        <w:pict w14:anchorId="6430580E">
          <v:rect id="_x0000_i1035" style="width:415.3pt;height:1.5pt" o:hralign="center" o:hrstd="t" o:hr="t" fillcolor="#a0a0a0" stroked="f"/>
        </w:pict>
      </w:r>
    </w:p>
    <w:p w14:paraId="643031C8" w14:textId="77777777" w:rsidR="009F6D8A" w:rsidRDefault="009F6D8A">
      <w:pPr>
        <w:jc w:val="center"/>
      </w:pPr>
    </w:p>
    <w:p w14:paraId="643031C9" w14:textId="77777777" w:rsidR="009F6D8A" w:rsidRDefault="00C50974">
      <w:pPr>
        <w:jc w:val="center"/>
      </w:pPr>
      <w:r>
        <w:rPr>
          <w:rFonts w:ascii="Arial" w:eastAsia="宋体" w:hAnsi="Arial" w:cs="Arial"/>
          <w:b/>
          <w:bCs/>
          <w:color w:val="000000"/>
          <w:sz w:val="20"/>
          <w:szCs w:val="20"/>
        </w:rPr>
        <w:t>eBay Inc.</w:t>
      </w:r>
    </w:p>
    <w:p w14:paraId="643031CA"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31CB" w14:textId="77777777" w:rsidR="009F6D8A" w:rsidRDefault="00C50974">
      <w:r>
        <w:rPr>
          <w:rFonts w:ascii="Arial" w:eastAsia="宋体" w:hAnsi="Arial" w:cs="Arial"/>
          <w:b/>
          <w:bCs/>
          <w:color w:val="000000"/>
          <w:sz w:val="20"/>
          <w:szCs w:val="20"/>
        </w:rPr>
        <w:t>Note 2 — Net Income Per Share</w:t>
      </w:r>
    </w:p>
    <w:p w14:paraId="643031CC" w14:textId="77777777" w:rsidR="009F6D8A" w:rsidRDefault="009F6D8A"/>
    <w:p w14:paraId="643031CD" w14:textId="77777777" w:rsidR="009F6D8A" w:rsidRDefault="00C50974">
      <w:pPr>
        <w:spacing w:after="60"/>
        <w:ind w:firstLine="540"/>
        <w:jc w:val="both"/>
      </w:pPr>
      <w:r>
        <w:rPr>
          <w:rFonts w:ascii="Arial" w:eastAsia="宋体" w:hAnsi="Arial" w:cs="Arial"/>
          <w:color w:val="000000"/>
          <w:sz w:val="20"/>
          <w:szCs w:val="20"/>
        </w:rPr>
        <w:t xml:space="preserve">Basic net income per share is computed by dividing net income for </w:t>
      </w:r>
      <w:r>
        <w:rPr>
          <w:rFonts w:ascii="Arial" w:eastAsia="宋体" w:hAnsi="Arial" w:cs="Arial"/>
          <w:color w:val="000000"/>
          <w:sz w:val="20"/>
          <w:szCs w:val="20"/>
        </w:rPr>
        <w:t>the period by the weighted average number of common shares outstanding during the period. Diluted net income per share is computed by dividing net income for the period by the weighted average number of shares of common stock and potentially dilutive commo</w:t>
      </w:r>
      <w:r>
        <w:rPr>
          <w:rFonts w:ascii="Arial" w:eastAsia="宋体" w:hAnsi="Arial" w:cs="Arial"/>
          <w:color w:val="000000"/>
          <w:sz w:val="20"/>
          <w:szCs w:val="20"/>
        </w:rPr>
        <w:t>n stock outstanding during the period. The dilutive effect of outstanding options and equity incentive awards is reflected in diluted net income per share by application of the treasury stock method. The calculation of diluted net income per share excludes</w:t>
      </w:r>
      <w:r>
        <w:rPr>
          <w:rFonts w:ascii="Arial" w:eastAsia="宋体" w:hAnsi="Arial" w:cs="Arial"/>
          <w:color w:val="000000"/>
          <w:sz w:val="20"/>
          <w:szCs w:val="20"/>
        </w:rPr>
        <w:t xml:space="preserve"> all anti-dilutive common shares. The following table sets forth the computation of basic and diluted net income per share for the three and six months ended June 30, 2021 and 2020 (in millions, except per share amounts): </w:t>
      </w:r>
    </w:p>
    <w:tbl>
      <w:tblPr>
        <w:tblW w:w="5000" w:type="pct"/>
        <w:tblCellMar>
          <w:top w:w="15" w:type="dxa"/>
          <w:left w:w="15" w:type="dxa"/>
          <w:bottom w:w="15" w:type="dxa"/>
          <w:right w:w="15" w:type="dxa"/>
        </w:tblCellMar>
        <w:tblLook w:val="04A0" w:firstRow="1" w:lastRow="0" w:firstColumn="1" w:lastColumn="0" w:noHBand="0" w:noVBand="1"/>
      </w:tblPr>
      <w:tblGrid>
        <w:gridCol w:w="40"/>
        <w:gridCol w:w="4106"/>
        <w:gridCol w:w="38"/>
        <w:gridCol w:w="121"/>
        <w:gridCol w:w="831"/>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9F6D8A" w14:paraId="643031E6" w14:textId="77777777">
        <w:tc>
          <w:tcPr>
            <w:tcW w:w="50" w:type="pct"/>
            <w:shd w:val="clear" w:color="auto" w:fill="auto"/>
            <w:vAlign w:val="bottom"/>
          </w:tcPr>
          <w:p w14:paraId="643031CE" w14:textId="77777777" w:rsidR="009F6D8A" w:rsidRDefault="009F6D8A">
            <w:pPr>
              <w:rPr>
                <w:rFonts w:ascii="宋体"/>
              </w:rPr>
            </w:pPr>
          </w:p>
        </w:tc>
        <w:tc>
          <w:tcPr>
            <w:tcW w:w="2496" w:type="pct"/>
            <w:shd w:val="clear" w:color="auto" w:fill="auto"/>
            <w:vAlign w:val="bottom"/>
          </w:tcPr>
          <w:p w14:paraId="643031CF" w14:textId="77777777" w:rsidR="009F6D8A" w:rsidRDefault="009F6D8A">
            <w:pPr>
              <w:rPr>
                <w:rFonts w:ascii="宋体"/>
              </w:rPr>
            </w:pPr>
          </w:p>
        </w:tc>
        <w:tc>
          <w:tcPr>
            <w:tcW w:w="5" w:type="pct"/>
            <w:shd w:val="clear" w:color="auto" w:fill="auto"/>
            <w:vAlign w:val="bottom"/>
          </w:tcPr>
          <w:p w14:paraId="643031D0" w14:textId="77777777" w:rsidR="009F6D8A" w:rsidRDefault="009F6D8A">
            <w:pPr>
              <w:rPr>
                <w:rFonts w:ascii="宋体"/>
              </w:rPr>
            </w:pPr>
          </w:p>
        </w:tc>
        <w:tc>
          <w:tcPr>
            <w:tcW w:w="50" w:type="pct"/>
            <w:shd w:val="clear" w:color="auto" w:fill="auto"/>
            <w:vAlign w:val="bottom"/>
          </w:tcPr>
          <w:p w14:paraId="643031D1" w14:textId="77777777" w:rsidR="009F6D8A" w:rsidRDefault="009F6D8A">
            <w:pPr>
              <w:rPr>
                <w:rFonts w:ascii="宋体"/>
              </w:rPr>
            </w:pPr>
          </w:p>
        </w:tc>
        <w:tc>
          <w:tcPr>
            <w:tcW w:w="529" w:type="pct"/>
            <w:shd w:val="clear" w:color="auto" w:fill="auto"/>
            <w:vAlign w:val="bottom"/>
          </w:tcPr>
          <w:p w14:paraId="643031D2" w14:textId="77777777" w:rsidR="009F6D8A" w:rsidRDefault="009F6D8A">
            <w:pPr>
              <w:rPr>
                <w:rFonts w:ascii="宋体"/>
              </w:rPr>
            </w:pPr>
          </w:p>
        </w:tc>
        <w:tc>
          <w:tcPr>
            <w:tcW w:w="5" w:type="pct"/>
            <w:shd w:val="clear" w:color="auto" w:fill="auto"/>
            <w:vAlign w:val="bottom"/>
          </w:tcPr>
          <w:p w14:paraId="643031D3" w14:textId="77777777" w:rsidR="009F6D8A" w:rsidRDefault="009F6D8A">
            <w:pPr>
              <w:rPr>
                <w:rFonts w:ascii="宋体"/>
              </w:rPr>
            </w:pPr>
          </w:p>
        </w:tc>
        <w:tc>
          <w:tcPr>
            <w:tcW w:w="5" w:type="pct"/>
            <w:shd w:val="clear" w:color="auto" w:fill="auto"/>
            <w:vAlign w:val="bottom"/>
          </w:tcPr>
          <w:p w14:paraId="643031D4" w14:textId="77777777" w:rsidR="009F6D8A" w:rsidRDefault="009F6D8A">
            <w:pPr>
              <w:rPr>
                <w:rFonts w:ascii="宋体"/>
              </w:rPr>
            </w:pPr>
          </w:p>
        </w:tc>
        <w:tc>
          <w:tcPr>
            <w:tcW w:w="26" w:type="pct"/>
            <w:shd w:val="clear" w:color="auto" w:fill="auto"/>
            <w:vAlign w:val="bottom"/>
          </w:tcPr>
          <w:p w14:paraId="643031D5" w14:textId="77777777" w:rsidR="009F6D8A" w:rsidRDefault="009F6D8A">
            <w:pPr>
              <w:rPr>
                <w:rFonts w:ascii="宋体"/>
              </w:rPr>
            </w:pPr>
          </w:p>
        </w:tc>
        <w:tc>
          <w:tcPr>
            <w:tcW w:w="5" w:type="pct"/>
            <w:shd w:val="clear" w:color="auto" w:fill="auto"/>
            <w:vAlign w:val="bottom"/>
          </w:tcPr>
          <w:p w14:paraId="643031D6" w14:textId="77777777" w:rsidR="009F6D8A" w:rsidRDefault="009F6D8A">
            <w:pPr>
              <w:rPr>
                <w:rFonts w:ascii="宋体"/>
              </w:rPr>
            </w:pPr>
          </w:p>
        </w:tc>
        <w:tc>
          <w:tcPr>
            <w:tcW w:w="50" w:type="pct"/>
            <w:shd w:val="clear" w:color="auto" w:fill="auto"/>
            <w:vAlign w:val="bottom"/>
          </w:tcPr>
          <w:p w14:paraId="643031D7" w14:textId="77777777" w:rsidR="009F6D8A" w:rsidRDefault="009F6D8A">
            <w:pPr>
              <w:rPr>
                <w:rFonts w:ascii="宋体"/>
              </w:rPr>
            </w:pPr>
          </w:p>
        </w:tc>
        <w:tc>
          <w:tcPr>
            <w:tcW w:w="529" w:type="pct"/>
            <w:shd w:val="clear" w:color="auto" w:fill="auto"/>
            <w:vAlign w:val="bottom"/>
          </w:tcPr>
          <w:p w14:paraId="643031D8" w14:textId="77777777" w:rsidR="009F6D8A" w:rsidRDefault="009F6D8A">
            <w:pPr>
              <w:rPr>
                <w:rFonts w:ascii="宋体"/>
              </w:rPr>
            </w:pPr>
          </w:p>
        </w:tc>
        <w:tc>
          <w:tcPr>
            <w:tcW w:w="5" w:type="pct"/>
            <w:shd w:val="clear" w:color="auto" w:fill="auto"/>
            <w:vAlign w:val="bottom"/>
          </w:tcPr>
          <w:p w14:paraId="643031D9" w14:textId="77777777" w:rsidR="009F6D8A" w:rsidRDefault="009F6D8A">
            <w:pPr>
              <w:rPr>
                <w:rFonts w:ascii="宋体"/>
              </w:rPr>
            </w:pPr>
          </w:p>
        </w:tc>
        <w:tc>
          <w:tcPr>
            <w:tcW w:w="5" w:type="pct"/>
            <w:shd w:val="clear" w:color="auto" w:fill="auto"/>
            <w:vAlign w:val="bottom"/>
          </w:tcPr>
          <w:p w14:paraId="643031DA" w14:textId="77777777" w:rsidR="009F6D8A" w:rsidRDefault="009F6D8A">
            <w:pPr>
              <w:rPr>
                <w:rFonts w:ascii="宋体"/>
              </w:rPr>
            </w:pPr>
          </w:p>
        </w:tc>
        <w:tc>
          <w:tcPr>
            <w:tcW w:w="26" w:type="pct"/>
            <w:shd w:val="clear" w:color="auto" w:fill="auto"/>
            <w:vAlign w:val="bottom"/>
          </w:tcPr>
          <w:p w14:paraId="643031DB" w14:textId="77777777" w:rsidR="009F6D8A" w:rsidRDefault="009F6D8A">
            <w:pPr>
              <w:rPr>
                <w:rFonts w:ascii="宋体"/>
              </w:rPr>
            </w:pPr>
          </w:p>
        </w:tc>
        <w:tc>
          <w:tcPr>
            <w:tcW w:w="5" w:type="pct"/>
            <w:shd w:val="clear" w:color="auto" w:fill="auto"/>
            <w:vAlign w:val="bottom"/>
          </w:tcPr>
          <w:p w14:paraId="643031DC" w14:textId="77777777" w:rsidR="009F6D8A" w:rsidRDefault="009F6D8A">
            <w:pPr>
              <w:rPr>
                <w:rFonts w:ascii="宋体"/>
              </w:rPr>
            </w:pPr>
          </w:p>
        </w:tc>
        <w:tc>
          <w:tcPr>
            <w:tcW w:w="50" w:type="pct"/>
            <w:shd w:val="clear" w:color="auto" w:fill="auto"/>
            <w:vAlign w:val="bottom"/>
          </w:tcPr>
          <w:p w14:paraId="643031DD" w14:textId="77777777" w:rsidR="009F6D8A" w:rsidRDefault="009F6D8A">
            <w:pPr>
              <w:rPr>
                <w:rFonts w:ascii="宋体"/>
              </w:rPr>
            </w:pPr>
          </w:p>
        </w:tc>
        <w:tc>
          <w:tcPr>
            <w:tcW w:w="529" w:type="pct"/>
            <w:shd w:val="clear" w:color="auto" w:fill="auto"/>
            <w:vAlign w:val="bottom"/>
          </w:tcPr>
          <w:p w14:paraId="643031DE" w14:textId="77777777" w:rsidR="009F6D8A" w:rsidRDefault="009F6D8A">
            <w:pPr>
              <w:rPr>
                <w:rFonts w:ascii="宋体"/>
              </w:rPr>
            </w:pPr>
          </w:p>
        </w:tc>
        <w:tc>
          <w:tcPr>
            <w:tcW w:w="5" w:type="pct"/>
            <w:shd w:val="clear" w:color="auto" w:fill="auto"/>
            <w:vAlign w:val="bottom"/>
          </w:tcPr>
          <w:p w14:paraId="643031DF" w14:textId="77777777" w:rsidR="009F6D8A" w:rsidRDefault="009F6D8A">
            <w:pPr>
              <w:rPr>
                <w:rFonts w:ascii="宋体"/>
              </w:rPr>
            </w:pPr>
          </w:p>
        </w:tc>
        <w:tc>
          <w:tcPr>
            <w:tcW w:w="5" w:type="pct"/>
            <w:shd w:val="clear" w:color="auto" w:fill="auto"/>
            <w:vAlign w:val="bottom"/>
          </w:tcPr>
          <w:p w14:paraId="643031E0" w14:textId="77777777" w:rsidR="009F6D8A" w:rsidRDefault="009F6D8A">
            <w:pPr>
              <w:rPr>
                <w:rFonts w:ascii="宋体"/>
              </w:rPr>
            </w:pPr>
          </w:p>
        </w:tc>
        <w:tc>
          <w:tcPr>
            <w:tcW w:w="26" w:type="pct"/>
            <w:shd w:val="clear" w:color="auto" w:fill="auto"/>
            <w:vAlign w:val="bottom"/>
          </w:tcPr>
          <w:p w14:paraId="643031E1" w14:textId="77777777" w:rsidR="009F6D8A" w:rsidRDefault="009F6D8A">
            <w:pPr>
              <w:rPr>
                <w:rFonts w:ascii="宋体"/>
              </w:rPr>
            </w:pPr>
          </w:p>
        </w:tc>
        <w:tc>
          <w:tcPr>
            <w:tcW w:w="5" w:type="pct"/>
            <w:shd w:val="clear" w:color="auto" w:fill="auto"/>
            <w:vAlign w:val="bottom"/>
          </w:tcPr>
          <w:p w14:paraId="643031E2" w14:textId="77777777" w:rsidR="009F6D8A" w:rsidRDefault="009F6D8A">
            <w:pPr>
              <w:rPr>
                <w:rFonts w:ascii="宋体"/>
              </w:rPr>
            </w:pPr>
          </w:p>
        </w:tc>
        <w:tc>
          <w:tcPr>
            <w:tcW w:w="50" w:type="pct"/>
            <w:shd w:val="clear" w:color="auto" w:fill="auto"/>
            <w:vAlign w:val="bottom"/>
          </w:tcPr>
          <w:p w14:paraId="643031E3" w14:textId="77777777" w:rsidR="009F6D8A" w:rsidRDefault="009F6D8A">
            <w:pPr>
              <w:rPr>
                <w:rFonts w:ascii="宋体"/>
              </w:rPr>
            </w:pPr>
          </w:p>
        </w:tc>
        <w:tc>
          <w:tcPr>
            <w:tcW w:w="530" w:type="pct"/>
            <w:shd w:val="clear" w:color="auto" w:fill="auto"/>
            <w:vAlign w:val="bottom"/>
          </w:tcPr>
          <w:p w14:paraId="643031E4" w14:textId="77777777" w:rsidR="009F6D8A" w:rsidRDefault="009F6D8A">
            <w:pPr>
              <w:rPr>
                <w:rFonts w:ascii="宋体"/>
              </w:rPr>
            </w:pPr>
          </w:p>
        </w:tc>
        <w:tc>
          <w:tcPr>
            <w:tcW w:w="5" w:type="pct"/>
            <w:shd w:val="clear" w:color="auto" w:fill="auto"/>
            <w:vAlign w:val="bottom"/>
          </w:tcPr>
          <w:p w14:paraId="643031E5" w14:textId="77777777" w:rsidR="009F6D8A" w:rsidRDefault="009F6D8A">
            <w:pPr>
              <w:rPr>
                <w:rFonts w:ascii="宋体"/>
              </w:rPr>
            </w:pPr>
          </w:p>
        </w:tc>
      </w:tr>
      <w:tr w:rsidR="009F6D8A" w14:paraId="643031EB" w14:textId="77777777">
        <w:tc>
          <w:tcPr>
            <w:tcW w:w="0" w:type="auto"/>
            <w:gridSpan w:val="3"/>
            <w:shd w:val="clear" w:color="auto" w:fill="auto"/>
            <w:tcMar>
              <w:top w:w="40" w:type="dxa"/>
              <w:left w:w="20" w:type="dxa"/>
              <w:bottom w:w="40" w:type="dxa"/>
              <w:right w:w="20" w:type="dxa"/>
            </w:tcMar>
            <w:vAlign w:val="bottom"/>
          </w:tcPr>
          <w:p w14:paraId="643031E7" w14:textId="77777777" w:rsidR="009F6D8A" w:rsidRDefault="00C50974">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643031E8" w14:textId="77777777" w:rsidR="009F6D8A" w:rsidRDefault="00C50974">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Mar>
              <w:top w:w="0" w:type="dxa"/>
              <w:left w:w="20" w:type="dxa"/>
              <w:bottom w:w="0" w:type="dxa"/>
              <w:right w:w="20" w:type="dxa"/>
            </w:tcMar>
            <w:vAlign w:val="bottom"/>
          </w:tcPr>
          <w:p w14:paraId="643031E9"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31EA" w14:textId="77777777" w:rsidR="009F6D8A" w:rsidRDefault="00C50974">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r>
      <w:tr w:rsidR="009F6D8A" w14:paraId="643031F4" w14:textId="77777777">
        <w:tc>
          <w:tcPr>
            <w:tcW w:w="0" w:type="auto"/>
            <w:gridSpan w:val="3"/>
            <w:shd w:val="clear" w:color="auto" w:fill="auto"/>
            <w:tcMar>
              <w:top w:w="40" w:type="dxa"/>
              <w:left w:w="20" w:type="dxa"/>
              <w:bottom w:w="40" w:type="dxa"/>
              <w:right w:w="20" w:type="dxa"/>
            </w:tcMar>
            <w:vAlign w:val="bottom"/>
          </w:tcPr>
          <w:p w14:paraId="643031EC" w14:textId="77777777" w:rsidR="009F6D8A" w:rsidRDefault="00C50974">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1ED"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1EE"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1EF" w14:textId="77777777" w:rsidR="009F6D8A" w:rsidRDefault="00C50974">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43031F0"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1F1"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1F2"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1F3" w14:textId="77777777" w:rsidR="009F6D8A" w:rsidRDefault="00C50974">
            <w:pPr>
              <w:jc w:val="center"/>
              <w:textAlignment w:val="bottom"/>
            </w:pPr>
            <w:r>
              <w:rPr>
                <w:rFonts w:ascii="Arial" w:eastAsia="宋体" w:hAnsi="Arial" w:cs="Arial"/>
                <w:b/>
                <w:bCs/>
                <w:color w:val="000000"/>
                <w:sz w:val="16"/>
                <w:szCs w:val="16"/>
              </w:rPr>
              <w:t>2020</w:t>
            </w:r>
          </w:p>
        </w:tc>
      </w:tr>
      <w:tr w:rsidR="009F6D8A" w14:paraId="643031FD" w14:textId="77777777">
        <w:tc>
          <w:tcPr>
            <w:tcW w:w="0" w:type="auto"/>
            <w:gridSpan w:val="3"/>
            <w:shd w:val="clear" w:color="auto" w:fill="FFFFFF"/>
            <w:tcMar>
              <w:top w:w="40" w:type="dxa"/>
              <w:left w:w="20" w:type="dxa"/>
              <w:bottom w:w="40" w:type="dxa"/>
              <w:right w:w="20" w:type="dxa"/>
            </w:tcMar>
            <w:vAlign w:val="bottom"/>
          </w:tcPr>
          <w:p w14:paraId="643031F5" w14:textId="77777777" w:rsidR="009F6D8A" w:rsidRDefault="00C50974">
            <w:pPr>
              <w:textAlignment w:val="bottom"/>
            </w:pPr>
            <w:r>
              <w:rPr>
                <w:rFonts w:ascii="Arial" w:eastAsia="宋体" w:hAnsi="Arial" w:cs="Arial"/>
                <w:color w:val="000000"/>
                <w:sz w:val="18"/>
                <w:szCs w:val="18"/>
              </w:rPr>
              <w:t>Numerator:</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31F6"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1F7"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31F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1F9"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31FA"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1FB"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31FC" w14:textId="77777777" w:rsidR="009F6D8A" w:rsidRDefault="009F6D8A">
            <w:pPr>
              <w:rPr>
                <w:rFonts w:ascii="宋体"/>
              </w:rPr>
            </w:pPr>
          </w:p>
        </w:tc>
      </w:tr>
      <w:tr w:rsidR="009F6D8A" w14:paraId="6430320E" w14:textId="77777777">
        <w:tc>
          <w:tcPr>
            <w:tcW w:w="0" w:type="auto"/>
            <w:gridSpan w:val="3"/>
            <w:shd w:val="clear" w:color="auto" w:fill="E2E2E2"/>
            <w:tcMar>
              <w:top w:w="40" w:type="dxa"/>
              <w:left w:w="515" w:type="dxa"/>
              <w:bottom w:w="40" w:type="dxa"/>
              <w:right w:w="20" w:type="dxa"/>
            </w:tcMar>
            <w:vAlign w:val="bottom"/>
          </w:tcPr>
          <w:p w14:paraId="643031FE" w14:textId="77777777" w:rsidR="009F6D8A" w:rsidRDefault="00C50974">
            <w:pPr>
              <w:textAlignment w:val="bottom"/>
            </w:pPr>
            <w:r>
              <w:rPr>
                <w:rFonts w:ascii="Arial" w:eastAsia="宋体" w:hAnsi="Arial" w:cs="Arial"/>
                <w:color w:val="000000"/>
                <w:sz w:val="18"/>
                <w:szCs w:val="18"/>
              </w:rPr>
              <w:t>Income from continuing operations</w:t>
            </w:r>
          </w:p>
        </w:tc>
        <w:tc>
          <w:tcPr>
            <w:tcW w:w="0" w:type="auto"/>
            <w:shd w:val="clear" w:color="auto" w:fill="E2E2E2"/>
            <w:tcMar>
              <w:top w:w="40" w:type="dxa"/>
              <w:left w:w="20" w:type="dxa"/>
              <w:bottom w:w="40" w:type="dxa"/>
              <w:right w:w="0" w:type="dxa"/>
            </w:tcMar>
            <w:vAlign w:val="bottom"/>
          </w:tcPr>
          <w:p w14:paraId="643031FF"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4303200" w14:textId="77777777" w:rsidR="009F6D8A" w:rsidRDefault="00C50974">
            <w:pPr>
              <w:jc w:val="right"/>
              <w:textAlignment w:val="bottom"/>
            </w:pPr>
            <w:r>
              <w:rPr>
                <w:rFonts w:ascii="Arial" w:eastAsia="宋体" w:hAnsi="Arial" w:cs="Arial"/>
                <w:color w:val="000000"/>
                <w:sz w:val="18"/>
                <w:szCs w:val="18"/>
              </w:rPr>
              <w:t>294 </w:t>
            </w:r>
          </w:p>
        </w:tc>
        <w:tc>
          <w:tcPr>
            <w:tcW w:w="0" w:type="auto"/>
            <w:shd w:val="clear" w:color="auto" w:fill="E2E2E2"/>
            <w:tcMar>
              <w:top w:w="40" w:type="dxa"/>
              <w:left w:w="0" w:type="dxa"/>
              <w:bottom w:w="40" w:type="dxa"/>
              <w:right w:w="20" w:type="dxa"/>
            </w:tcMar>
            <w:vAlign w:val="bottom"/>
          </w:tcPr>
          <w:p w14:paraId="6430320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02"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3203"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4303204" w14:textId="77777777" w:rsidR="009F6D8A" w:rsidRDefault="00C50974">
            <w:pPr>
              <w:jc w:val="right"/>
              <w:textAlignment w:val="bottom"/>
            </w:pPr>
            <w:r>
              <w:rPr>
                <w:rFonts w:ascii="Arial" w:eastAsia="宋体" w:hAnsi="Arial" w:cs="Arial"/>
                <w:color w:val="000000"/>
                <w:sz w:val="18"/>
                <w:szCs w:val="18"/>
              </w:rPr>
              <w:t>689 </w:t>
            </w:r>
          </w:p>
        </w:tc>
        <w:tc>
          <w:tcPr>
            <w:tcW w:w="0" w:type="auto"/>
            <w:shd w:val="clear" w:color="auto" w:fill="E2E2E2"/>
            <w:tcMar>
              <w:top w:w="40" w:type="dxa"/>
              <w:left w:w="0" w:type="dxa"/>
              <w:bottom w:w="40" w:type="dxa"/>
              <w:right w:w="20" w:type="dxa"/>
            </w:tcMar>
            <w:vAlign w:val="bottom"/>
          </w:tcPr>
          <w:p w14:paraId="6430320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06"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3207"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4303208" w14:textId="77777777" w:rsidR="009F6D8A" w:rsidRDefault="00C50974">
            <w:pPr>
              <w:jc w:val="right"/>
              <w:textAlignment w:val="bottom"/>
            </w:pPr>
            <w:r>
              <w:rPr>
                <w:rFonts w:ascii="Arial" w:eastAsia="宋体" w:hAnsi="Arial" w:cs="Arial"/>
                <w:color w:val="000000"/>
                <w:sz w:val="18"/>
                <w:szCs w:val="18"/>
              </w:rPr>
              <w:t>862 </w:t>
            </w:r>
          </w:p>
        </w:tc>
        <w:tc>
          <w:tcPr>
            <w:tcW w:w="0" w:type="auto"/>
            <w:shd w:val="clear" w:color="auto" w:fill="E2E2E2"/>
            <w:tcMar>
              <w:top w:w="40" w:type="dxa"/>
              <w:left w:w="0" w:type="dxa"/>
              <w:bottom w:w="40" w:type="dxa"/>
              <w:right w:w="20" w:type="dxa"/>
            </w:tcMar>
            <w:vAlign w:val="bottom"/>
          </w:tcPr>
          <w:p w14:paraId="64303209"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0A"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320B"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430320C" w14:textId="77777777" w:rsidR="009F6D8A" w:rsidRDefault="00C50974">
            <w:pPr>
              <w:jc w:val="right"/>
              <w:textAlignment w:val="bottom"/>
            </w:pPr>
            <w:r>
              <w:rPr>
                <w:rFonts w:ascii="Arial" w:eastAsia="宋体" w:hAnsi="Arial" w:cs="Arial"/>
                <w:color w:val="000000"/>
                <w:sz w:val="18"/>
                <w:szCs w:val="18"/>
              </w:rPr>
              <w:t>1,110 </w:t>
            </w:r>
          </w:p>
        </w:tc>
        <w:tc>
          <w:tcPr>
            <w:tcW w:w="0" w:type="auto"/>
            <w:shd w:val="clear" w:color="auto" w:fill="E2E2E2"/>
            <w:tcMar>
              <w:top w:w="40" w:type="dxa"/>
              <w:left w:w="0" w:type="dxa"/>
              <w:bottom w:w="40" w:type="dxa"/>
              <w:right w:w="20" w:type="dxa"/>
            </w:tcMar>
            <w:vAlign w:val="bottom"/>
          </w:tcPr>
          <w:p w14:paraId="6430320D" w14:textId="77777777" w:rsidR="009F6D8A" w:rsidRDefault="009F6D8A">
            <w:pPr>
              <w:jc w:val="right"/>
              <w:rPr>
                <w:rFonts w:ascii="宋体"/>
              </w:rPr>
            </w:pPr>
          </w:p>
        </w:tc>
      </w:tr>
      <w:tr w:rsidR="009F6D8A" w14:paraId="6430321B" w14:textId="77777777">
        <w:tc>
          <w:tcPr>
            <w:tcW w:w="0" w:type="auto"/>
            <w:gridSpan w:val="3"/>
            <w:shd w:val="clear" w:color="auto" w:fill="FFFFFF"/>
            <w:tcMar>
              <w:top w:w="40" w:type="dxa"/>
              <w:left w:w="515" w:type="dxa"/>
              <w:bottom w:w="40" w:type="dxa"/>
              <w:right w:w="20" w:type="dxa"/>
            </w:tcMar>
            <w:vAlign w:val="bottom"/>
          </w:tcPr>
          <w:p w14:paraId="6430320F" w14:textId="77777777" w:rsidR="009F6D8A" w:rsidRDefault="00C50974">
            <w:pPr>
              <w:textAlignment w:val="bottom"/>
            </w:pPr>
            <w:r>
              <w:rPr>
                <w:rFonts w:ascii="Arial" w:eastAsia="宋体" w:hAnsi="Arial" w:cs="Arial"/>
                <w:color w:val="000000"/>
                <w:sz w:val="18"/>
                <w:szCs w:val="18"/>
              </w:rPr>
              <w:t>Income from discontinued operations, net of income taxes</w:t>
            </w:r>
          </w:p>
        </w:tc>
        <w:tc>
          <w:tcPr>
            <w:tcW w:w="0" w:type="auto"/>
            <w:gridSpan w:val="2"/>
            <w:shd w:val="clear" w:color="auto" w:fill="FFFFFF"/>
            <w:tcMar>
              <w:top w:w="40" w:type="dxa"/>
              <w:left w:w="20" w:type="dxa"/>
              <w:bottom w:w="40" w:type="dxa"/>
              <w:right w:w="0" w:type="dxa"/>
            </w:tcMar>
            <w:vAlign w:val="bottom"/>
          </w:tcPr>
          <w:p w14:paraId="64303210" w14:textId="77777777" w:rsidR="009F6D8A" w:rsidRDefault="00C50974">
            <w:pPr>
              <w:jc w:val="right"/>
              <w:textAlignment w:val="bottom"/>
            </w:pPr>
            <w:r>
              <w:rPr>
                <w:rFonts w:ascii="Arial" w:eastAsia="宋体" w:hAnsi="Arial" w:cs="Arial"/>
                <w:color w:val="000000"/>
                <w:sz w:val="18"/>
                <w:szCs w:val="18"/>
              </w:rPr>
              <w:t>10,440 </w:t>
            </w:r>
          </w:p>
        </w:tc>
        <w:tc>
          <w:tcPr>
            <w:tcW w:w="0" w:type="auto"/>
            <w:shd w:val="clear" w:color="auto" w:fill="FFFFFF"/>
            <w:tcMar>
              <w:top w:w="40" w:type="dxa"/>
              <w:left w:w="0" w:type="dxa"/>
              <w:bottom w:w="40" w:type="dxa"/>
              <w:right w:w="20" w:type="dxa"/>
            </w:tcMar>
            <w:vAlign w:val="bottom"/>
          </w:tcPr>
          <w:p w14:paraId="6430321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21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213" w14:textId="77777777" w:rsidR="009F6D8A" w:rsidRDefault="00C50974">
            <w:pPr>
              <w:jc w:val="right"/>
              <w:textAlignment w:val="bottom"/>
            </w:pPr>
            <w:r>
              <w:rPr>
                <w:rFonts w:ascii="Arial" w:eastAsia="宋体" w:hAnsi="Arial" w:cs="Arial"/>
                <w:color w:val="000000"/>
                <w:sz w:val="18"/>
                <w:szCs w:val="18"/>
              </w:rPr>
              <w:t>57 </w:t>
            </w:r>
          </w:p>
        </w:tc>
        <w:tc>
          <w:tcPr>
            <w:tcW w:w="0" w:type="auto"/>
            <w:shd w:val="clear" w:color="auto" w:fill="FFFFFF"/>
            <w:tcMar>
              <w:top w:w="40" w:type="dxa"/>
              <w:left w:w="0" w:type="dxa"/>
              <w:bottom w:w="40" w:type="dxa"/>
              <w:right w:w="20" w:type="dxa"/>
            </w:tcMar>
            <w:vAlign w:val="bottom"/>
          </w:tcPr>
          <w:p w14:paraId="6430321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21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216" w14:textId="77777777" w:rsidR="009F6D8A" w:rsidRDefault="00C50974">
            <w:pPr>
              <w:jc w:val="right"/>
              <w:textAlignment w:val="bottom"/>
            </w:pPr>
            <w:r>
              <w:rPr>
                <w:rFonts w:ascii="Arial" w:eastAsia="宋体" w:hAnsi="Arial" w:cs="Arial"/>
                <w:color w:val="000000"/>
                <w:sz w:val="18"/>
                <w:szCs w:val="18"/>
              </w:rPr>
              <w:t>10,513 </w:t>
            </w:r>
          </w:p>
        </w:tc>
        <w:tc>
          <w:tcPr>
            <w:tcW w:w="0" w:type="auto"/>
            <w:shd w:val="clear" w:color="auto" w:fill="FFFFFF"/>
            <w:tcMar>
              <w:top w:w="40" w:type="dxa"/>
              <w:left w:w="0" w:type="dxa"/>
              <w:bottom w:w="40" w:type="dxa"/>
              <w:right w:w="20" w:type="dxa"/>
            </w:tcMar>
            <w:vAlign w:val="bottom"/>
          </w:tcPr>
          <w:p w14:paraId="6430321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21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219" w14:textId="77777777" w:rsidR="009F6D8A" w:rsidRDefault="00C50974">
            <w:pPr>
              <w:jc w:val="right"/>
              <w:textAlignment w:val="bottom"/>
            </w:pPr>
            <w:r>
              <w:rPr>
                <w:rFonts w:ascii="Arial" w:eastAsia="宋体" w:hAnsi="Arial" w:cs="Arial"/>
                <w:color w:val="000000"/>
                <w:sz w:val="18"/>
                <w:szCs w:val="18"/>
              </w:rPr>
              <w:t>3,048 </w:t>
            </w:r>
          </w:p>
        </w:tc>
        <w:tc>
          <w:tcPr>
            <w:tcW w:w="0" w:type="auto"/>
            <w:shd w:val="clear" w:color="auto" w:fill="FFFFFF"/>
            <w:tcMar>
              <w:top w:w="40" w:type="dxa"/>
              <w:left w:w="0" w:type="dxa"/>
              <w:bottom w:w="40" w:type="dxa"/>
              <w:right w:w="20" w:type="dxa"/>
            </w:tcMar>
            <w:vAlign w:val="bottom"/>
          </w:tcPr>
          <w:p w14:paraId="6430321A" w14:textId="77777777" w:rsidR="009F6D8A" w:rsidRDefault="009F6D8A">
            <w:pPr>
              <w:jc w:val="right"/>
              <w:rPr>
                <w:rFonts w:ascii="宋体"/>
              </w:rPr>
            </w:pPr>
          </w:p>
        </w:tc>
      </w:tr>
      <w:tr w:rsidR="009F6D8A" w14:paraId="6430322C" w14:textId="77777777">
        <w:tc>
          <w:tcPr>
            <w:tcW w:w="0" w:type="auto"/>
            <w:gridSpan w:val="3"/>
            <w:shd w:val="clear" w:color="auto" w:fill="E2E2E2"/>
            <w:tcMar>
              <w:top w:w="40" w:type="dxa"/>
              <w:left w:w="20" w:type="dxa"/>
              <w:bottom w:w="40" w:type="dxa"/>
              <w:right w:w="20" w:type="dxa"/>
            </w:tcMar>
            <w:vAlign w:val="bottom"/>
          </w:tcPr>
          <w:p w14:paraId="6430321C" w14:textId="77777777" w:rsidR="009F6D8A" w:rsidRDefault="00C50974">
            <w:pPr>
              <w:textAlignment w:val="bottom"/>
            </w:pPr>
            <w:r>
              <w:rPr>
                <w:rFonts w:ascii="Arial" w:eastAsia="宋体" w:hAnsi="Arial" w:cs="Arial"/>
                <w:color w:val="000000"/>
                <w:sz w:val="18"/>
                <w:szCs w:val="18"/>
              </w:rPr>
              <w:t>Net income</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321D"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21E" w14:textId="77777777" w:rsidR="009F6D8A" w:rsidRDefault="00C50974">
            <w:pPr>
              <w:jc w:val="right"/>
              <w:textAlignment w:val="bottom"/>
            </w:pPr>
            <w:r>
              <w:rPr>
                <w:rFonts w:ascii="Arial" w:eastAsia="宋体" w:hAnsi="Arial" w:cs="Arial"/>
                <w:color w:val="000000"/>
                <w:sz w:val="18"/>
                <w:szCs w:val="18"/>
              </w:rPr>
              <w:t>10,734 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21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20"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221"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222" w14:textId="77777777" w:rsidR="009F6D8A" w:rsidRDefault="00C50974">
            <w:pPr>
              <w:jc w:val="right"/>
              <w:textAlignment w:val="bottom"/>
            </w:pPr>
            <w:r>
              <w:rPr>
                <w:rFonts w:ascii="Arial" w:eastAsia="宋体" w:hAnsi="Arial" w:cs="Arial"/>
                <w:color w:val="000000"/>
                <w:sz w:val="18"/>
                <w:szCs w:val="18"/>
              </w:rPr>
              <w:t>746 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223"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24"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225"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226" w14:textId="77777777" w:rsidR="009F6D8A" w:rsidRDefault="00C50974">
            <w:pPr>
              <w:jc w:val="right"/>
              <w:textAlignment w:val="bottom"/>
            </w:pPr>
            <w:r>
              <w:rPr>
                <w:rFonts w:ascii="Arial" w:eastAsia="宋体" w:hAnsi="Arial" w:cs="Arial"/>
                <w:color w:val="000000"/>
                <w:sz w:val="18"/>
                <w:szCs w:val="18"/>
              </w:rPr>
              <w:t>11,375 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227"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28"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229"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22A" w14:textId="77777777" w:rsidR="009F6D8A" w:rsidRDefault="00C50974">
            <w:pPr>
              <w:jc w:val="right"/>
              <w:textAlignment w:val="bottom"/>
            </w:pPr>
            <w:r>
              <w:rPr>
                <w:rFonts w:ascii="Arial" w:eastAsia="宋体" w:hAnsi="Arial" w:cs="Arial"/>
                <w:color w:val="000000"/>
                <w:sz w:val="18"/>
                <w:szCs w:val="18"/>
              </w:rPr>
              <w:t>4,158 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22B" w14:textId="77777777" w:rsidR="009F6D8A" w:rsidRDefault="009F6D8A">
            <w:pPr>
              <w:jc w:val="right"/>
              <w:rPr>
                <w:rFonts w:ascii="宋体"/>
              </w:rPr>
            </w:pPr>
          </w:p>
        </w:tc>
      </w:tr>
      <w:tr w:rsidR="009F6D8A" w14:paraId="64303235" w14:textId="77777777">
        <w:tc>
          <w:tcPr>
            <w:tcW w:w="0" w:type="auto"/>
            <w:gridSpan w:val="3"/>
            <w:shd w:val="clear" w:color="auto" w:fill="FFFFFF"/>
            <w:tcMar>
              <w:top w:w="40" w:type="dxa"/>
              <w:left w:w="20" w:type="dxa"/>
              <w:bottom w:w="40" w:type="dxa"/>
              <w:right w:w="20" w:type="dxa"/>
            </w:tcMar>
            <w:vAlign w:val="bottom"/>
          </w:tcPr>
          <w:p w14:paraId="6430322D" w14:textId="77777777" w:rsidR="009F6D8A" w:rsidRDefault="00C50974">
            <w:pPr>
              <w:textAlignment w:val="bottom"/>
            </w:pPr>
            <w:r>
              <w:rPr>
                <w:rFonts w:ascii="Arial" w:eastAsia="宋体" w:hAnsi="Arial" w:cs="Arial"/>
                <w:color w:val="000000"/>
                <w:sz w:val="18"/>
                <w:szCs w:val="18"/>
              </w:rPr>
              <w:t>Denominator:</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22E"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22F"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23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231"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232"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233"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234" w14:textId="77777777" w:rsidR="009F6D8A" w:rsidRDefault="009F6D8A">
            <w:pPr>
              <w:rPr>
                <w:rFonts w:ascii="宋体"/>
              </w:rPr>
            </w:pPr>
          </w:p>
        </w:tc>
      </w:tr>
      <w:tr w:rsidR="009F6D8A" w14:paraId="64303242" w14:textId="77777777">
        <w:tc>
          <w:tcPr>
            <w:tcW w:w="0" w:type="auto"/>
            <w:gridSpan w:val="3"/>
            <w:shd w:val="clear" w:color="auto" w:fill="E2E2E2"/>
            <w:tcMar>
              <w:top w:w="40" w:type="dxa"/>
              <w:left w:w="515" w:type="dxa"/>
              <w:bottom w:w="40" w:type="dxa"/>
              <w:right w:w="20" w:type="dxa"/>
            </w:tcMar>
            <w:vAlign w:val="bottom"/>
          </w:tcPr>
          <w:p w14:paraId="64303236" w14:textId="77777777" w:rsidR="009F6D8A" w:rsidRDefault="00C50974">
            <w:pPr>
              <w:textAlignment w:val="bottom"/>
            </w:pPr>
            <w:r>
              <w:rPr>
                <w:rFonts w:ascii="Arial" w:eastAsia="宋体" w:hAnsi="Arial" w:cs="Arial"/>
                <w:color w:val="000000"/>
                <w:sz w:val="18"/>
                <w:szCs w:val="18"/>
              </w:rPr>
              <w:t>Weighted average shares of common stock - basic</w:t>
            </w:r>
          </w:p>
        </w:tc>
        <w:tc>
          <w:tcPr>
            <w:tcW w:w="0" w:type="auto"/>
            <w:gridSpan w:val="2"/>
            <w:shd w:val="clear" w:color="auto" w:fill="E2E2E2"/>
            <w:tcMar>
              <w:top w:w="40" w:type="dxa"/>
              <w:left w:w="20" w:type="dxa"/>
              <w:bottom w:w="40" w:type="dxa"/>
              <w:right w:w="0" w:type="dxa"/>
            </w:tcMar>
            <w:vAlign w:val="bottom"/>
          </w:tcPr>
          <w:p w14:paraId="64303237" w14:textId="77777777" w:rsidR="009F6D8A" w:rsidRDefault="00C50974">
            <w:pPr>
              <w:jc w:val="right"/>
              <w:textAlignment w:val="bottom"/>
            </w:pPr>
            <w:r>
              <w:rPr>
                <w:rFonts w:ascii="Arial" w:eastAsia="宋体" w:hAnsi="Arial" w:cs="Arial"/>
                <w:color w:val="000000"/>
                <w:sz w:val="18"/>
                <w:szCs w:val="18"/>
              </w:rPr>
              <w:t>674 </w:t>
            </w:r>
          </w:p>
        </w:tc>
        <w:tc>
          <w:tcPr>
            <w:tcW w:w="0" w:type="auto"/>
            <w:shd w:val="clear" w:color="auto" w:fill="E2E2E2"/>
            <w:tcMar>
              <w:top w:w="40" w:type="dxa"/>
              <w:left w:w="0" w:type="dxa"/>
              <w:bottom w:w="40" w:type="dxa"/>
              <w:right w:w="20" w:type="dxa"/>
            </w:tcMar>
            <w:vAlign w:val="bottom"/>
          </w:tcPr>
          <w:p w14:paraId="6430323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39"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23A" w14:textId="77777777" w:rsidR="009F6D8A" w:rsidRDefault="00C50974">
            <w:pPr>
              <w:jc w:val="right"/>
              <w:textAlignment w:val="bottom"/>
            </w:pPr>
            <w:r>
              <w:rPr>
                <w:rFonts w:ascii="Arial" w:eastAsia="宋体" w:hAnsi="Arial" w:cs="Arial"/>
                <w:color w:val="000000"/>
                <w:sz w:val="18"/>
                <w:szCs w:val="18"/>
              </w:rPr>
              <w:t>703 </w:t>
            </w:r>
          </w:p>
        </w:tc>
        <w:tc>
          <w:tcPr>
            <w:tcW w:w="0" w:type="auto"/>
            <w:shd w:val="clear" w:color="auto" w:fill="E2E2E2"/>
            <w:tcMar>
              <w:top w:w="40" w:type="dxa"/>
              <w:left w:w="0" w:type="dxa"/>
              <w:bottom w:w="40" w:type="dxa"/>
              <w:right w:w="20" w:type="dxa"/>
            </w:tcMar>
            <w:vAlign w:val="bottom"/>
          </w:tcPr>
          <w:p w14:paraId="6430323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3C"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23D" w14:textId="77777777" w:rsidR="009F6D8A" w:rsidRDefault="00C50974">
            <w:pPr>
              <w:jc w:val="right"/>
              <w:textAlignment w:val="bottom"/>
            </w:pPr>
            <w:r>
              <w:rPr>
                <w:rFonts w:ascii="Arial" w:eastAsia="宋体" w:hAnsi="Arial" w:cs="Arial"/>
                <w:color w:val="000000"/>
                <w:sz w:val="18"/>
                <w:szCs w:val="18"/>
              </w:rPr>
              <w:t>678 </w:t>
            </w:r>
          </w:p>
        </w:tc>
        <w:tc>
          <w:tcPr>
            <w:tcW w:w="0" w:type="auto"/>
            <w:shd w:val="clear" w:color="auto" w:fill="E2E2E2"/>
            <w:tcMar>
              <w:top w:w="40" w:type="dxa"/>
              <w:left w:w="0" w:type="dxa"/>
              <w:bottom w:w="40" w:type="dxa"/>
              <w:right w:w="20" w:type="dxa"/>
            </w:tcMar>
            <w:vAlign w:val="bottom"/>
          </w:tcPr>
          <w:p w14:paraId="6430323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3F"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240" w14:textId="77777777" w:rsidR="009F6D8A" w:rsidRDefault="00C50974">
            <w:pPr>
              <w:jc w:val="right"/>
              <w:textAlignment w:val="bottom"/>
            </w:pPr>
            <w:r>
              <w:rPr>
                <w:rFonts w:ascii="Arial" w:eastAsia="宋体" w:hAnsi="Arial" w:cs="Arial"/>
                <w:color w:val="000000"/>
                <w:sz w:val="18"/>
                <w:szCs w:val="18"/>
              </w:rPr>
              <w:t>728 </w:t>
            </w:r>
          </w:p>
        </w:tc>
        <w:tc>
          <w:tcPr>
            <w:tcW w:w="0" w:type="auto"/>
            <w:shd w:val="clear" w:color="auto" w:fill="E2E2E2"/>
            <w:tcMar>
              <w:top w:w="40" w:type="dxa"/>
              <w:left w:w="0" w:type="dxa"/>
              <w:bottom w:w="40" w:type="dxa"/>
              <w:right w:w="20" w:type="dxa"/>
            </w:tcMar>
            <w:vAlign w:val="bottom"/>
          </w:tcPr>
          <w:p w14:paraId="64303241" w14:textId="77777777" w:rsidR="009F6D8A" w:rsidRDefault="009F6D8A">
            <w:pPr>
              <w:jc w:val="right"/>
              <w:rPr>
                <w:rFonts w:ascii="宋体"/>
              </w:rPr>
            </w:pPr>
          </w:p>
        </w:tc>
      </w:tr>
      <w:tr w:rsidR="009F6D8A" w14:paraId="6430324F" w14:textId="77777777">
        <w:tc>
          <w:tcPr>
            <w:tcW w:w="0" w:type="auto"/>
            <w:gridSpan w:val="3"/>
            <w:shd w:val="clear" w:color="auto" w:fill="FFFFFF"/>
            <w:tcMar>
              <w:top w:w="40" w:type="dxa"/>
              <w:left w:w="875" w:type="dxa"/>
              <w:bottom w:w="40" w:type="dxa"/>
              <w:right w:w="20" w:type="dxa"/>
            </w:tcMar>
            <w:vAlign w:val="bottom"/>
          </w:tcPr>
          <w:p w14:paraId="64303243" w14:textId="77777777" w:rsidR="009F6D8A" w:rsidRDefault="00C50974">
            <w:pPr>
              <w:textAlignment w:val="bottom"/>
            </w:pPr>
            <w:r>
              <w:rPr>
                <w:rFonts w:ascii="Arial" w:eastAsia="宋体" w:hAnsi="Arial" w:cs="Arial"/>
                <w:color w:val="000000"/>
                <w:sz w:val="18"/>
                <w:szCs w:val="18"/>
              </w:rPr>
              <w:t>Dilutive effect of equity incentive awards</w:t>
            </w:r>
          </w:p>
        </w:tc>
        <w:tc>
          <w:tcPr>
            <w:tcW w:w="0" w:type="auto"/>
            <w:gridSpan w:val="2"/>
            <w:shd w:val="clear" w:color="auto" w:fill="FFFFFF"/>
            <w:tcMar>
              <w:top w:w="40" w:type="dxa"/>
              <w:left w:w="20" w:type="dxa"/>
              <w:bottom w:w="40" w:type="dxa"/>
              <w:right w:w="0" w:type="dxa"/>
            </w:tcMar>
            <w:vAlign w:val="bottom"/>
          </w:tcPr>
          <w:p w14:paraId="64303244" w14:textId="77777777" w:rsidR="009F6D8A" w:rsidRDefault="00C50974">
            <w:pPr>
              <w:jc w:val="right"/>
              <w:textAlignment w:val="bottom"/>
            </w:pPr>
            <w:r>
              <w:rPr>
                <w:rFonts w:ascii="Arial" w:eastAsia="宋体" w:hAnsi="Arial" w:cs="Arial"/>
                <w:color w:val="000000"/>
                <w:sz w:val="18"/>
                <w:szCs w:val="18"/>
              </w:rPr>
              <w:t>11 </w:t>
            </w:r>
          </w:p>
        </w:tc>
        <w:tc>
          <w:tcPr>
            <w:tcW w:w="0" w:type="auto"/>
            <w:shd w:val="clear" w:color="auto" w:fill="FFFFFF"/>
            <w:tcMar>
              <w:top w:w="40" w:type="dxa"/>
              <w:left w:w="0" w:type="dxa"/>
              <w:bottom w:w="40" w:type="dxa"/>
              <w:right w:w="20" w:type="dxa"/>
            </w:tcMar>
            <w:vAlign w:val="bottom"/>
          </w:tcPr>
          <w:p w14:paraId="6430324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24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247" w14:textId="77777777" w:rsidR="009F6D8A" w:rsidRDefault="00C50974">
            <w:pPr>
              <w:jc w:val="right"/>
              <w:textAlignment w:val="bottom"/>
            </w:pPr>
            <w:r>
              <w:rPr>
                <w:rFonts w:ascii="Arial" w:eastAsia="宋体" w:hAnsi="Arial" w:cs="Arial"/>
                <w:color w:val="000000"/>
                <w:sz w:val="18"/>
                <w:szCs w:val="18"/>
              </w:rPr>
              <w:t>8 </w:t>
            </w:r>
          </w:p>
        </w:tc>
        <w:tc>
          <w:tcPr>
            <w:tcW w:w="0" w:type="auto"/>
            <w:shd w:val="clear" w:color="auto" w:fill="FFFFFF"/>
            <w:tcMar>
              <w:top w:w="40" w:type="dxa"/>
              <w:left w:w="0" w:type="dxa"/>
              <w:bottom w:w="40" w:type="dxa"/>
              <w:right w:w="20" w:type="dxa"/>
            </w:tcMar>
            <w:vAlign w:val="bottom"/>
          </w:tcPr>
          <w:p w14:paraId="6430324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24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24A" w14:textId="77777777" w:rsidR="009F6D8A" w:rsidRDefault="00C50974">
            <w:pPr>
              <w:jc w:val="right"/>
              <w:textAlignment w:val="bottom"/>
            </w:pPr>
            <w:r>
              <w:rPr>
                <w:rFonts w:ascii="Arial" w:eastAsia="宋体" w:hAnsi="Arial" w:cs="Arial"/>
                <w:color w:val="000000"/>
                <w:sz w:val="18"/>
                <w:szCs w:val="18"/>
              </w:rPr>
              <w:t>11 </w:t>
            </w:r>
          </w:p>
        </w:tc>
        <w:tc>
          <w:tcPr>
            <w:tcW w:w="0" w:type="auto"/>
            <w:shd w:val="clear" w:color="auto" w:fill="FFFFFF"/>
            <w:tcMar>
              <w:top w:w="40" w:type="dxa"/>
              <w:left w:w="0" w:type="dxa"/>
              <w:bottom w:w="40" w:type="dxa"/>
              <w:right w:w="20" w:type="dxa"/>
            </w:tcMar>
            <w:vAlign w:val="bottom"/>
          </w:tcPr>
          <w:p w14:paraId="6430324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24C"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24D" w14:textId="77777777" w:rsidR="009F6D8A" w:rsidRDefault="00C50974">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6430324E" w14:textId="77777777" w:rsidR="009F6D8A" w:rsidRDefault="009F6D8A">
            <w:pPr>
              <w:jc w:val="right"/>
              <w:rPr>
                <w:rFonts w:ascii="宋体"/>
              </w:rPr>
            </w:pPr>
          </w:p>
        </w:tc>
      </w:tr>
      <w:tr w:rsidR="009F6D8A" w14:paraId="6430325C" w14:textId="77777777">
        <w:tc>
          <w:tcPr>
            <w:tcW w:w="0" w:type="auto"/>
            <w:gridSpan w:val="3"/>
            <w:shd w:val="clear" w:color="auto" w:fill="E2E2E2"/>
            <w:tcMar>
              <w:top w:w="40" w:type="dxa"/>
              <w:left w:w="515" w:type="dxa"/>
              <w:bottom w:w="40" w:type="dxa"/>
              <w:right w:w="20" w:type="dxa"/>
            </w:tcMar>
            <w:vAlign w:val="bottom"/>
          </w:tcPr>
          <w:p w14:paraId="64303250" w14:textId="77777777" w:rsidR="009F6D8A" w:rsidRDefault="00C50974">
            <w:pPr>
              <w:textAlignment w:val="bottom"/>
            </w:pPr>
            <w:r>
              <w:rPr>
                <w:rFonts w:ascii="Arial" w:eastAsia="宋体" w:hAnsi="Arial" w:cs="Arial"/>
                <w:color w:val="000000"/>
                <w:sz w:val="18"/>
                <w:szCs w:val="18"/>
              </w:rPr>
              <w:t>Weighted average shares of common stock - diluted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3251" w14:textId="77777777" w:rsidR="009F6D8A" w:rsidRDefault="00C50974">
            <w:pPr>
              <w:jc w:val="right"/>
              <w:textAlignment w:val="bottom"/>
            </w:pPr>
            <w:r>
              <w:rPr>
                <w:rFonts w:ascii="Arial" w:eastAsia="宋体" w:hAnsi="Arial" w:cs="Arial"/>
                <w:color w:val="000000"/>
                <w:sz w:val="18"/>
                <w:szCs w:val="18"/>
              </w:rPr>
              <w:t>685 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25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53"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3254" w14:textId="77777777" w:rsidR="009F6D8A" w:rsidRDefault="00C50974">
            <w:pPr>
              <w:jc w:val="right"/>
              <w:textAlignment w:val="bottom"/>
            </w:pPr>
            <w:r>
              <w:rPr>
                <w:rFonts w:ascii="Arial" w:eastAsia="宋体" w:hAnsi="Arial" w:cs="Arial"/>
                <w:color w:val="000000"/>
                <w:sz w:val="18"/>
                <w:szCs w:val="18"/>
              </w:rPr>
              <w:t>711 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25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56"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3257" w14:textId="77777777" w:rsidR="009F6D8A" w:rsidRDefault="00C50974">
            <w:pPr>
              <w:jc w:val="right"/>
              <w:textAlignment w:val="bottom"/>
            </w:pPr>
            <w:r>
              <w:rPr>
                <w:rFonts w:ascii="Arial" w:eastAsia="宋体" w:hAnsi="Arial" w:cs="Arial"/>
                <w:color w:val="000000"/>
                <w:sz w:val="18"/>
                <w:szCs w:val="18"/>
              </w:rPr>
              <w:t>689 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25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59"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325A" w14:textId="77777777" w:rsidR="009F6D8A" w:rsidRDefault="00C50974">
            <w:pPr>
              <w:jc w:val="right"/>
              <w:textAlignment w:val="bottom"/>
            </w:pPr>
            <w:r>
              <w:rPr>
                <w:rFonts w:ascii="Arial" w:eastAsia="宋体" w:hAnsi="Arial" w:cs="Arial"/>
                <w:color w:val="000000"/>
                <w:sz w:val="18"/>
                <w:szCs w:val="18"/>
              </w:rPr>
              <w:t>734 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25B" w14:textId="77777777" w:rsidR="009F6D8A" w:rsidRDefault="009F6D8A">
            <w:pPr>
              <w:jc w:val="right"/>
              <w:rPr>
                <w:rFonts w:ascii="宋体"/>
              </w:rPr>
            </w:pPr>
          </w:p>
        </w:tc>
      </w:tr>
      <w:tr w:rsidR="009F6D8A" w14:paraId="64303265" w14:textId="77777777">
        <w:trPr>
          <w:trHeight w:val="300"/>
        </w:trPr>
        <w:tc>
          <w:tcPr>
            <w:tcW w:w="0" w:type="auto"/>
            <w:gridSpan w:val="3"/>
            <w:shd w:val="clear" w:color="auto" w:fill="FFFFFF"/>
            <w:tcMar>
              <w:top w:w="0" w:type="dxa"/>
              <w:left w:w="20" w:type="dxa"/>
              <w:bottom w:w="0" w:type="dxa"/>
              <w:right w:w="20" w:type="dxa"/>
            </w:tcMar>
            <w:vAlign w:val="bottom"/>
          </w:tcPr>
          <w:p w14:paraId="6430325D"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25E"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25F"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26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261"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262"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263"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264" w14:textId="77777777" w:rsidR="009F6D8A" w:rsidRDefault="009F6D8A">
            <w:pPr>
              <w:rPr>
                <w:rFonts w:ascii="宋体"/>
              </w:rPr>
            </w:pPr>
          </w:p>
        </w:tc>
      </w:tr>
      <w:tr w:rsidR="009F6D8A" w14:paraId="6430326E" w14:textId="77777777">
        <w:trPr>
          <w:hidden/>
        </w:trPr>
        <w:tc>
          <w:tcPr>
            <w:tcW w:w="0" w:type="auto"/>
            <w:gridSpan w:val="3"/>
            <w:shd w:val="clear" w:color="auto" w:fill="auto"/>
            <w:vAlign w:val="bottom"/>
          </w:tcPr>
          <w:p w14:paraId="64303266" w14:textId="77777777" w:rsidR="009F6D8A" w:rsidRDefault="009F6D8A">
            <w:pPr>
              <w:rPr>
                <w:rFonts w:ascii="宋体"/>
                <w:vanish/>
              </w:rPr>
            </w:pPr>
          </w:p>
        </w:tc>
        <w:tc>
          <w:tcPr>
            <w:tcW w:w="0" w:type="auto"/>
            <w:gridSpan w:val="3"/>
            <w:shd w:val="clear" w:color="auto" w:fill="auto"/>
            <w:vAlign w:val="bottom"/>
          </w:tcPr>
          <w:p w14:paraId="64303267" w14:textId="77777777" w:rsidR="009F6D8A" w:rsidRDefault="009F6D8A">
            <w:pPr>
              <w:rPr>
                <w:rFonts w:ascii="宋体"/>
                <w:vanish/>
              </w:rPr>
            </w:pPr>
          </w:p>
        </w:tc>
        <w:tc>
          <w:tcPr>
            <w:tcW w:w="0" w:type="auto"/>
            <w:gridSpan w:val="3"/>
            <w:shd w:val="clear" w:color="auto" w:fill="auto"/>
            <w:vAlign w:val="bottom"/>
          </w:tcPr>
          <w:p w14:paraId="64303268" w14:textId="77777777" w:rsidR="009F6D8A" w:rsidRDefault="009F6D8A">
            <w:pPr>
              <w:rPr>
                <w:rFonts w:ascii="宋体"/>
                <w:vanish/>
              </w:rPr>
            </w:pPr>
          </w:p>
        </w:tc>
        <w:tc>
          <w:tcPr>
            <w:tcW w:w="0" w:type="auto"/>
            <w:gridSpan w:val="3"/>
            <w:shd w:val="clear" w:color="auto" w:fill="auto"/>
            <w:vAlign w:val="bottom"/>
          </w:tcPr>
          <w:p w14:paraId="64303269" w14:textId="77777777" w:rsidR="009F6D8A" w:rsidRDefault="009F6D8A">
            <w:pPr>
              <w:rPr>
                <w:rFonts w:ascii="宋体"/>
                <w:vanish/>
              </w:rPr>
            </w:pPr>
          </w:p>
        </w:tc>
        <w:tc>
          <w:tcPr>
            <w:tcW w:w="0" w:type="auto"/>
            <w:gridSpan w:val="3"/>
            <w:shd w:val="clear" w:color="auto" w:fill="auto"/>
            <w:vAlign w:val="bottom"/>
          </w:tcPr>
          <w:p w14:paraId="6430326A" w14:textId="77777777" w:rsidR="009F6D8A" w:rsidRDefault="009F6D8A">
            <w:pPr>
              <w:rPr>
                <w:rFonts w:ascii="宋体"/>
                <w:vanish/>
              </w:rPr>
            </w:pPr>
          </w:p>
        </w:tc>
        <w:tc>
          <w:tcPr>
            <w:tcW w:w="0" w:type="auto"/>
            <w:gridSpan w:val="3"/>
            <w:shd w:val="clear" w:color="auto" w:fill="auto"/>
            <w:vAlign w:val="bottom"/>
          </w:tcPr>
          <w:p w14:paraId="6430326B" w14:textId="77777777" w:rsidR="009F6D8A" w:rsidRDefault="009F6D8A">
            <w:pPr>
              <w:rPr>
                <w:rFonts w:ascii="宋体"/>
                <w:vanish/>
              </w:rPr>
            </w:pPr>
          </w:p>
        </w:tc>
        <w:tc>
          <w:tcPr>
            <w:tcW w:w="0" w:type="auto"/>
            <w:gridSpan w:val="3"/>
            <w:shd w:val="clear" w:color="auto" w:fill="auto"/>
            <w:vAlign w:val="bottom"/>
          </w:tcPr>
          <w:p w14:paraId="6430326C" w14:textId="77777777" w:rsidR="009F6D8A" w:rsidRDefault="009F6D8A">
            <w:pPr>
              <w:rPr>
                <w:rFonts w:ascii="宋体"/>
                <w:vanish/>
              </w:rPr>
            </w:pPr>
          </w:p>
        </w:tc>
        <w:tc>
          <w:tcPr>
            <w:tcW w:w="0" w:type="auto"/>
            <w:gridSpan w:val="3"/>
            <w:shd w:val="clear" w:color="auto" w:fill="auto"/>
            <w:vAlign w:val="bottom"/>
          </w:tcPr>
          <w:p w14:paraId="6430326D" w14:textId="77777777" w:rsidR="009F6D8A" w:rsidRDefault="009F6D8A">
            <w:pPr>
              <w:rPr>
                <w:rFonts w:ascii="宋体"/>
                <w:vanish/>
              </w:rPr>
            </w:pPr>
          </w:p>
        </w:tc>
      </w:tr>
      <w:tr w:rsidR="009F6D8A" w14:paraId="64303277" w14:textId="77777777">
        <w:tc>
          <w:tcPr>
            <w:tcW w:w="0" w:type="auto"/>
            <w:gridSpan w:val="3"/>
            <w:shd w:val="clear" w:color="auto" w:fill="E2E2E2"/>
            <w:tcMar>
              <w:top w:w="40" w:type="dxa"/>
              <w:left w:w="20" w:type="dxa"/>
              <w:bottom w:w="40" w:type="dxa"/>
              <w:right w:w="20" w:type="dxa"/>
            </w:tcMar>
            <w:vAlign w:val="bottom"/>
          </w:tcPr>
          <w:p w14:paraId="6430326F" w14:textId="77777777" w:rsidR="009F6D8A" w:rsidRDefault="00C50974">
            <w:pPr>
              <w:textAlignment w:val="bottom"/>
            </w:pPr>
            <w:r>
              <w:rPr>
                <w:rFonts w:ascii="Arial" w:eastAsia="宋体" w:hAnsi="Arial" w:cs="Arial"/>
                <w:color w:val="000000"/>
                <w:sz w:val="18"/>
                <w:szCs w:val="18"/>
              </w:rPr>
              <w:t>Income per share - basic:</w:t>
            </w:r>
          </w:p>
        </w:tc>
        <w:tc>
          <w:tcPr>
            <w:tcW w:w="0" w:type="auto"/>
            <w:gridSpan w:val="3"/>
            <w:shd w:val="clear" w:color="auto" w:fill="E2E2E2"/>
            <w:tcMar>
              <w:top w:w="0" w:type="dxa"/>
              <w:left w:w="20" w:type="dxa"/>
              <w:bottom w:w="0" w:type="dxa"/>
              <w:right w:w="20" w:type="dxa"/>
            </w:tcMar>
            <w:vAlign w:val="bottom"/>
          </w:tcPr>
          <w:p w14:paraId="64303270"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271"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272"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273"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274"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275"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276" w14:textId="77777777" w:rsidR="009F6D8A" w:rsidRDefault="009F6D8A">
            <w:pPr>
              <w:rPr>
                <w:rFonts w:ascii="宋体"/>
              </w:rPr>
            </w:pPr>
          </w:p>
        </w:tc>
      </w:tr>
      <w:tr w:rsidR="009F6D8A" w14:paraId="64303288" w14:textId="77777777">
        <w:tc>
          <w:tcPr>
            <w:tcW w:w="0" w:type="auto"/>
            <w:gridSpan w:val="3"/>
            <w:shd w:val="clear" w:color="auto" w:fill="FFFFFF"/>
            <w:tcMar>
              <w:top w:w="40" w:type="dxa"/>
              <w:left w:w="515" w:type="dxa"/>
              <w:bottom w:w="40" w:type="dxa"/>
              <w:right w:w="20" w:type="dxa"/>
            </w:tcMar>
            <w:vAlign w:val="bottom"/>
          </w:tcPr>
          <w:p w14:paraId="64303278" w14:textId="77777777" w:rsidR="009F6D8A" w:rsidRDefault="00C50974">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64303279"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27A" w14:textId="77777777" w:rsidR="009F6D8A" w:rsidRDefault="00C50974">
            <w:pPr>
              <w:jc w:val="right"/>
              <w:textAlignment w:val="bottom"/>
            </w:pPr>
            <w:r>
              <w:rPr>
                <w:rFonts w:ascii="Arial" w:eastAsia="宋体" w:hAnsi="Arial" w:cs="Arial"/>
                <w:color w:val="000000"/>
                <w:sz w:val="18"/>
                <w:szCs w:val="18"/>
              </w:rPr>
              <w:t>0.44 </w:t>
            </w:r>
          </w:p>
        </w:tc>
        <w:tc>
          <w:tcPr>
            <w:tcW w:w="0" w:type="auto"/>
            <w:shd w:val="clear" w:color="auto" w:fill="FFFFFF"/>
            <w:tcMar>
              <w:top w:w="40" w:type="dxa"/>
              <w:left w:w="0" w:type="dxa"/>
              <w:bottom w:w="40" w:type="dxa"/>
              <w:right w:w="20" w:type="dxa"/>
            </w:tcMar>
            <w:vAlign w:val="bottom"/>
          </w:tcPr>
          <w:p w14:paraId="6430327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27C"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27D"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27E" w14:textId="77777777" w:rsidR="009F6D8A" w:rsidRDefault="00C50974">
            <w:pPr>
              <w:jc w:val="right"/>
              <w:textAlignment w:val="bottom"/>
            </w:pPr>
            <w:r>
              <w:rPr>
                <w:rFonts w:ascii="Arial" w:eastAsia="宋体" w:hAnsi="Arial" w:cs="Arial"/>
                <w:color w:val="000000"/>
                <w:sz w:val="18"/>
                <w:szCs w:val="18"/>
              </w:rPr>
              <w:t>0.98 </w:t>
            </w:r>
          </w:p>
        </w:tc>
        <w:tc>
          <w:tcPr>
            <w:tcW w:w="0" w:type="auto"/>
            <w:shd w:val="clear" w:color="auto" w:fill="FFFFFF"/>
            <w:tcMar>
              <w:top w:w="40" w:type="dxa"/>
              <w:left w:w="0" w:type="dxa"/>
              <w:bottom w:w="40" w:type="dxa"/>
              <w:right w:w="20" w:type="dxa"/>
            </w:tcMar>
            <w:vAlign w:val="bottom"/>
          </w:tcPr>
          <w:p w14:paraId="6430327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280"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281"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282" w14:textId="77777777" w:rsidR="009F6D8A" w:rsidRDefault="00C50974">
            <w:pPr>
              <w:jc w:val="right"/>
              <w:textAlignment w:val="bottom"/>
            </w:pPr>
            <w:r>
              <w:rPr>
                <w:rFonts w:ascii="Arial" w:eastAsia="宋体" w:hAnsi="Arial" w:cs="Arial"/>
                <w:color w:val="000000"/>
                <w:sz w:val="18"/>
                <w:szCs w:val="18"/>
              </w:rPr>
              <w:t>1.27 </w:t>
            </w:r>
          </w:p>
        </w:tc>
        <w:tc>
          <w:tcPr>
            <w:tcW w:w="0" w:type="auto"/>
            <w:shd w:val="clear" w:color="auto" w:fill="FFFFFF"/>
            <w:tcMar>
              <w:top w:w="40" w:type="dxa"/>
              <w:left w:w="0" w:type="dxa"/>
              <w:bottom w:w="40" w:type="dxa"/>
              <w:right w:w="20" w:type="dxa"/>
            </w:tcMar>
            <w:vAlign w:val="bottom"/>
          </w:tcPr>
          <w:p w14:paraId="6430328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284"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285"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286" w14:textId="77777777" w:rsidR="009F6D8A" w:rsidRDefault="00C50974">
            <w:pPr>
              <w:jc w:val="right"/>
              <w:textAlignment w:val="bottom"/>
            </w:pPr>
            <w:r>
              <w:rPr>
                <w:rFonts w:ascii="Arial" w:eastAsia="宋体" w:hAnsi="Arial" w:cs="Arial"/>
                <w:color w:val="000000"/>
                <w:sz w:val="18"/>
                <w:szCs w:val="18"/>
              </w:rPr>
              <w:t>1.53 </w:t>
            </w:r>
          </w:p>
        </w:tc>
        <w:tc>
          <w:tcPr>
            <w:tcW w:w="0" w:type="auto"/>
            <w:shd w:val="clear" w:color="auto" w:fill="FFFFFF"/>
            <w:tcMar>
              <w:top w:w="40" w:type="dxa"/>
              <w:left w:w="0" w:type="dxa"/>
              <w:bottom w:w="40" w:type="dxa"/>
              <w:right w:w="20" w:type="dxa"/>
            </w:tcMar>
            <w:vAlign w:val="bottom"/>
          </w:tcPr>
          <w:p w14:paraId="64303287" w14:textId="77777777" w:rsidR="009F6D8A" w:rsidRDefault="009F6D8A">
            <w:pPr>
              <w:jc w:val="right"/>
              <w:rPr>
                <w:rFonts w:ascii="宋体"/>
              </w:rPr>
            </w:pPr>
          </w:p>
        </w:tc>
      </w:tr>
      <w:tr w:rsidR="009F6D8A" w14:paraId="64303295" w14:textId="77777777">
        <w:tc>
          <w:tcPr>
            <w:tcW w:w="0" w:type="auto"/>
            <w:gridSpan w:val="3"/>
            <w:shd w:val="clear" w:color="auto" w:fill="E2E2E2"/>
            <w:tcMar>
              <w:top w:w="40" w:type="dxa"/>
              <w:left w:w="515" w:type="dxa"/>
              <w:bottom w:w="40" w:type="dxa"/>
              <w:right w:w="20" w:type="dxa"/>
            </w:tcMar>
            <w:vAlign w:val="bottom"/>
          </w:tcPr>
          <w:p w14:paraId="64303289" w14:textId="77777777" w:rsidR="009F6D8A" w:rsidRDefault="00C50974">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6430328A" w14:textId="77777777" w:rsidR="009F6D8A" w:rsidRDefault="00C50974">
            <w:pPr>
              <w:jc w:val="right"/>
              <w:textAlignment w:val="bottom"/>
            </w:pPr>
            <w:r>
              <w:rPr>
                <w:rFonts w:ascii="Arial" w:eastAsia="宋体" w:hAnsi="Arial" w:cs="Arial"/>
                <w:color w:val="000000"/>
                <w:sz w:val="18"/>
                <w:szCs w:val="18"/>
              </w:rPr>
              <w:t>15.48 </w:t>
            </w:r>
          </w:p>
        </w:tc>
        <w:tc>
          <w:tcPr>
            <w:tcW w:w="0" w:type="auto"/>
            <w:shd w:val="clear" w:color="auto" w:fill="E2E2E2"/>
            <w:tcMar>
              <w:top w:w="40" w:type="dxa"/>
              <w:left w:w="0" w:type="dxa"/>
              <w:bottom w:w="40" w:type="dxa"/>
              <w:right w:w="20" w:type="dxa"/>
            </w:tcMar>
            <w:vAlign w:val="bottom"/>
          </w:tcPr>
          <w:p w14:paraId="6430328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8C"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28D" w14:textId="77777777" w:rsidR="009F6D8A" w:rsidRDefault="00C50974">
            <w:pPr>
              <w:jc w:val="right"/>
              <w:textAlignment w:val="bottom"/>
            </w:pPr>
            <w:r>
              <w:rPr>
                <w:rFonts w:ascii="Arial" w:eastAsia="宋体" w:hAnsi="Arial" w:cs="Arial"/>
                <w:color w:val="000000"/>
                <w:sz w:val="18"/>
                <w:szCs w:val="18"/>
              </w:rPr>
              <w:t>0.08 </w:t>
            </w:r>
          </w:p>
        </w:tc>
        <w:tc>
          <w:tcPr>
            <w:tcW w:w="0" w:type="auto"/>
            <w:shd w:val="clear" w:color="auto" w:fill="E2E2E2"/>
            <w:tcMar>
              <w:top w:w="40" w:type="dxa"/>
              <w:left w:w="0" w:type="dxa"/>
              <w:bottom w:w="40" w:type="dxa"/>
              <w:right w:w="20" w:type="dxa"/>
            </w:tcMar>
            <w:vAlign w:val="bottom"/>
          </w:tcPr>
          <w:p w14:paraId="6430328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8F"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290" w14:textId="77777777" w:rsidR="009F6D8A" w:rsidRDefault="00C50974">
            <w:pPr>
              <w:jc w:val="right"/>
              <w:textAlignment w:val="bottom"/>
            </w:pPr>
            <w:r>
              <w:rPr>
                <w:rFonts w:ascii="Arial" w:eastAsia="宋体" w:hAnsi="Arial" w:cs="Arial"/>
                <w:color w:val="000000"/>
                <w:sz w:val="18"/>
                <w:szCs w:val="18"/>
              </w:rPr>
              <w:t>15.52 </w:t>
            </w:r>
          </w:p>
        </w:tc>
        <w:tc>
          <w:tcPr>
            <w:tcW w:w="0" w:type="auto"/>
            <w:shd w:val="clear" w:color="auto" w:fill="E2E2E2"/>
            <w:tcMar>
              <w:top w:w="40" w:type="dxa"/>
              <w:left w:w="0" w:type="dxa"/>
              <w:bottom w:w="40" w:type="dxa"/>
              <w:right w:w="20" w:type="dxa"/>
            </w:tcMar>
            <w:vAlign w:val="bottom"/>
          </w:tcPr>
          <w:p w14:paraId="6430329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92"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293" w14:textId="77777777" w:rsidR="009F6D8A" w:rsidRDefault="00C50974">
            <w:pPr>
              <w:jc w:val="right"/>
              <w:textAlignment w:val="bottom"/>
            </w:pPr>
            <w:r>
              <w:rPr>
                <w:rFonts w:ascii="Arial" w:eastAsia="宋体" w:hAnsi="Arial" w:cs="Arial"/>
                <w:color w:val="000000"/>
                <w:sz w:val="18"/>
                <w:szCs w:val="18"/>
              </w:rPr>
              <w:t>4.18 </w:t>
            </w:r>
          </w:p>
        </w:tc>
        <w:tc>
          <w:tcPr>
            <w:tcW w:w="0" w:type="auto"/>
            <w:shd w:val="clear" w:color="auto" w:fill="E2E2E2"/>
            <w:tcMar>
              <w:top w:w="40" w:type="dxa"/>
              <w:left w:w="0" w:type="dxa"/>
              <w:bottom w:w="40" w:type="dxa"/>
              <w:right w:w="20" w:type="dxa"/>
            </w:tcMar>
            <w:vAlign w:val="bottom"/>
          </w:tcPr>
          <w:p w14:paraId="64303294" w14:textId="77777777" w:rsidR="009F6D8A" w:rsidRDefault="009F6D8A">
            <w:pPr>
              <w:jc w:val="right"/>
              <w:rPr>
                <w:rFonts w:ascii="宋体"/>
              </w:rPr>
            </w:pPr>
          </w:p>
        </w:tc>
      </w:tr>
      <w:tr w:rsidR="009F6D8A" w14:paraId="643032A6" w14:textId="77777777">
        <w:tc>
          <w:tcPr>
            <w:tcW w:w="0" w:type="auto"/>
            <w:gridSpan w:val="3"/>
            <w:shd w:val="clear" w:color="auto" w:fill="FFFFFF"/>
            <w:tcMar>
              <w:top w:w="40" w:type="dxa"/>
              <w:left w:w="20" w:type="dxa"/>
              <w:bottom w:w="40" w:type="dxa"/>
              <w:right w:w="20" w:type="dxa"/>
            </w:tcMar>
            <w:vAlign w:val="bottom"/>
          </w:tcPr>
          <w:p w14:paraId="64303296" w14:textId="77777777" w:rsidR="009F6D8A" w:rsidRDefault="00C50974">
            <w:pPr>
              <w:textAlignment w:val="bottom"/>
            </w:pPr>
            <w:r>
              <w:rPr>
                <w:rFonts w:ascii="Arial" w:eastAsia="宋体" w:hAnsi="Arial" w:cs="Arial"/>
                <w:color w:val="000000"/>
                <w:sz w:val="18"/>
                <w:szCs w:val="18"/>
              </w:rPr>
              <w:t>Net income per share - basic</w:t>
            </w:r>
          </w:p>
        </w:tc>
        <w:tc>
          <w:tcPr>
            <w:tcW w:w="0" w:type="auto"/>
            <w:tcBorders>
              <w:top w:val="single" w:sz="8" w:space="0" w:color="000000"/>
            </w:tcBorders>
            <w:shd w:val="clear" w:color="auto" w:fill="FFFFFF"/>
            <w:tcMar>
              <w:top w:w="40" w:type="dxa"/>
              <w:left w:w="20" w:type="dxa"/>
              <w:bottom w:w="40" w:type="dxa"/>
              <w:right w:w="0" w:type="dxa"/>
            </w:tcMar>
            <w:vAlign w:val="bottom"/>
          </w:tcPr>
          <w:p w14:paraId="64303297"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298" w14:textId="77777777" w:rsidR="009F6D8A" w:rsidRDefault="00C50974">
            <w:pPr>
              <w:jc w:val="right"/>
              <w:textAlignment w:val="bottom"/>
            </w:pPr>
            <w:r>
              <w:rPr>
                <w:rFonts w:ascii="Arial" w:eastAsia="宋体" w:hAnsi="Arial" w:cs="Arial"/>
                <w:color w:val="000000"/>
                <w:sz w:val="18"/>
                <w:szCs w:val="18"/>
              </w:rPr>
              <w:t>15.92 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29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29A"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329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29C" w14:textId="77777777" w:rsidR="009F6D8A" w:rsidRDefault="00C50974">
            <w:pPr>
              <w:jc w:val="right"/>
              <w:textAlignment w:val="bottom"/>
            </w:pPr>
            <w:r>
              <w:rPr>
                <w:rFonts w:ascii="Arial" w:eastAsia="宋体" w:hAnsi="Arial" w:cs="Arial"/>
                <w:color w:val="000000"/>
                <w:sz w:val="18"/>
                <w:szCs w:val="18"/>
              </w:rPr>
              <w:t>1.06 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29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29E"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329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2A0" w14:textId="77777777" w:rsidR="009F6D8A" w:rsidRDefault="00C50974">
            <w:pPr>
              <w:jc w:val="right"/>
              <w:textAlignment w:val="bottom"/>
            </w:pPr>
            <w:r>
              <w:rPr>
                <w:rFonts w:ascii="Arial" w:eastAsia="宋体" w:hAnsi="Arial" w:cs="Arial"/>
                <w:color w:val="000000"/>
                <w:sz w:val="18"/>
                <w:szCs w:val="18"/>
              </w:rPr>
              <w:t>16.79 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2A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2A2"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32A3"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2A4" w14:textId="77777777" w:rsidR="009F6D8A" w:rsidRDefault="00C50974">
            <w:pPr>
              <w:jc w:val="right"/>
              <w:textAlignment w:val="bottom"/>
            </w:pPr>
            <w:r>
              <w:rPr>
                <w:rFonts w:ascii="Arial" w:eastAsia="宋体" w:hAnsi="Arial" w:cs="Arial"/>
                <w:color w:val="000000"/>
                <w:sz w:val="18"/>
                <w:szCs w:val="18"/>
              </w:rPr>
              <w:t>5.71 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2A5" w14:textId="77777777" w:rsidR="009F6D8A" w:rsidRDefault="009F6D8A">
            <w:pPr>
              <w:jc w:val="right"/>
              <w:rPr>
                <w:rFonts w:ascii="宋体"/>
              </w:rPr>
            </w:pPr>
          </w:p>
        </w:tc>
      </w:tr>
      <w:tr w:rsidR="009F6D8A" w14:paraId="643032AF" w14:textId="77777777">
        <w:tc>
          <w:tcPr>
            <w:tcW w:w="0" w:type="auto"/>
            <w:gridSpan w:val="3"/>
            <w:shd w:val="clear" w:color="auto" w:fill="E2E2E2"/>
            <w:tcMar>
              <w:top w:w="40" w:type="dxa"/>
              <w:left w:w="20" w:type="dxa"/>
              <w:bottom w:w="40" w:type="dxa"/>
              <w:right w:w="20" w:type="dxa"/>
            </w:tcMar>
            <w:vAlign w:val="bottom"/>
          </w:tcPr>
          <w:p w14:paraId="643032A7" w14:textId="77777777" w:rsidR="009F6D8A" w:rsidRDefault="00C50974">
            <w:pPr>
              <w:textAlignment w:val="bottom"/>
            </w:pPr>
            <w:r>
              <w:rPr>
                <w:rFonts w:ascii="Arial" w:eastAsia="宋体" w:hAnsi="Arial" w:cs="Arial"/>
                <w:color w:val="000000"/>
                <w:sz w:val="18"/>
                <w:szCs w:val="18"/>
              </w:rPr>
              <w:t>Income per share - diluted:</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32A8"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2A9" w14:textId="77777777" w:rsidR="009F6D8A" w:rsidRDefault="009F6D8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32AA"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2AB" w14:textId="77777777" w:rsidR="009F6D8A" w:rsidRDefault="009F6D8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32AC"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2AD" w14:textId="77777777" w:rsidR="009F6D8A" w:rsidRDefault="009F6D8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32AE" w14:textId="77777777" w:rsidR="009F6D8A" w:rsidRDefault="009F6D8A">
            <w:pPr>
              <w:rPr>
                <w:rFonts w:ascii="宋体"/>
              </w:rPr>
            </w:pPr>
          </w:p>
        </w:tc>
      </w:tr>
      <w:tr w:rsidR="009F6D8A" w14:paraId="643032C0" w14:textId="77777777">
        <w:tc>
          <w:tcPr>
            <w:tcW w:w="0" w:type="auto"/>
            <w:gridSpan w:val="3"/>
            <w:shd w:val="clear" w:color="auto" w:fill="FFFFFF"/>
            <w:tcMar>
              <w:top w:w="40" w:type="dxa"/>
              <w:left w:w="515" w:type="dxa"/>
              <w:bottom w:w="40" w:type="dxa"/>
              <w:right w:w="20" w:type="dxa"/>
            </w:tcMar>
            <w:vAlign w:val="bottom"/>
          </w:tcPr>
          <w:p w14:paraId="643032B0" w14:textId="77777777" w:rsidR="009F6D8A" w:rsidRDefault="00C50974">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643032B1"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2B2" w14:textId="77777777" w:rsidR="009F6D8A" w:rsidRDefault="00C50974">
            <w:pPr>
              <w:jc w:val="right"/>
              <w:textAlignment w:val="bottom"/>
            </w:pPr>
            <w:r>
              <w:rPr>
                <w:rFonts w:ascii="Arial" w:eastAsia="宋体" w:hAnsi="Arial" w:cs="Arial"/>
                <w:color w:val="000000"/>
                <w:sz w:val="18"/>
                <w:szCs w:val="18"/>
              </w:rPr>
              <w:t>0.43 </w:t>
            </w:r>
          </w:p>
        </w:tc>
        <w:tc>
          <w:tcPr>
            <w:tcW w:w="0" w:type="auto"/>
            <w:shd w:val="clear" w:color="auto" w:fill="FFFFFF"/>
            <w:tcMar>
              <w:top w:w="40" w:type="dxa"/>
              <w:left w:w="0" w:type="dxa"/>
              <w:bottom w:w="40" w:type="dxa"/>
              <w:right w:w="20" w:type="dxa"/>
            </w:tcMar>
            <w:vAlign w:val="bottom"/>
          </w:tcPr>
          <w:p w14:paraId="643032B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2B4"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2B5"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2B6" w14:textId="77777777" w:rsidR="009F6D8A" w:rsidRDefault="00C50974">
            <w:pPr>
              <w:jc w:val="right"/>
              <w:textAlignment w:val="bottom"/>
            </w:pPr>
            <w:r>
              <w:rPr>
                <w:rFonts w:ascii="Arial" w:eastAsia="宋体" w:hAnsi="Arial" w:cs="Arial"/>
                <w:color w:val="000000"/>
                <w:sz w:val="18"/>
                <w:szCs w:val="18"/>
              </w:rPr>
              <w:t>0.97 </w:t>
            </w:r>
          </w:p>
        </w:tc>
        <w:tc>
          <w:tcPr>
            <w:tcW w:w="0" w:type="auto"/>
            <w:shd w:val="clear" w:color="auto" w:fill="FFFFFF"/>
            <w:tcMar>
              <w:top w:w="40" w:type="dxa"/>
              <w:left w:w="0" w:type="dxa"/>
              <w:bottom w:w="40" w:type="dxa"/>
              <w:right w:w="20" w:type="dxa"/>
            </w:tcMar>
            <w:vAlign w:val="bottom"/>
          </w:tcPr>
          <w:p w14:paraId="643032B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2B8"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2B9"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2BA" w14:textId="77777777" w:rsidR="009F6D8A" w:rsidRDefault="00C50974">
            <w:pPr>
              <w:jc w:val="right"/>
              <w:textAlignment w:val="bottom"/>
            </w:pPr>
            <w:r>
              <w:rPr>
                <w:rFonts w:ascii="Arial" w:eastAsia="宋体" w:hAnsi="Arial" w:cs="Arial"/>
                <w:color w:val="000000"/>
                <w:sz w:val="18"/>
                <w:szCs w:val="18"/>
              </w:rPr>
              <w:t>1.25 </w:t>
            </w:r>
          </w:p>
        </w:tc>
        <w:tc>
          <w:tcPr>
            <w:tcW w:w="0" w:type="auto"/>
            <w:shd w:val="clear" w:color="auto" w:fill="FFFFFF"/>
            <w:tcMar>
              <w:top w:w="40" w:type="dxa"/>
              <w:left w:w="0" w:type="dxa"/>
              <w:bottom w:w="40" w:type="dxa"/>
              <w:right w:w="20" w:type="dxa"/>
            </w:tcMar>
            <w:vAlign w:val="bottom"/>
          </w:tcPr>
          <w:p w14:paraId="643032B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2BC"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2BD"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2BE" w14:textId="77777777" w:rsidR="009F6D8A" w:rsidRDefault="00C50974">
            <w:pPr>
              <w:jc w:val="right"/>
              <w:textAlignment w:val="bottom"/>
            </w:pPr>
            <w:r>
              <w:rPr>
                <w:rFonts w:ascii="Arial" w:eastAsia="宋体" w:hAnsi="Arial" w:cs="Arial"/>
                <w:color w:val="000000"/>
                <w:sz w:val="18"/>
                <w:szCs w:val="18"/>
              </w:rPr>
              <w:t>1.51 </w:t>
            </w:r>
          </w:p>
        </w:tc>
        <w:tc>
          <w:tcPr>
            <w:tcW w:w="0" w:type="auto"/>
            <w:shd w:val="clear" w:color="auto" w:fill="FFFFFF"/>
            <w:tcMar>
              <w:top w:w="40" w:type="dxa"/>
              <w:left w:w="0" w:type="dxa"/>
              <w:bottom w:w="40" w:type="dxa"/>
              <w:right w:w="20" w:type="dxa"/>
            </w:tcMar>
            <w:vAlign w:val="bottom"/>
          </w:tcPr>
          <w:p w14:paraId="643032BF" w14:textId="77777777" w:rsidR="009F6D8A" w:rsidRDefault="009F6D8A">
            <w:pPr>
              <w:jc w:val="right"/>
              <w:rPr>
                <w:rFonts w:ascii="宋体"/>
              </w:rPr>
            </w:pPr>
          </w:p>
        </w:tc>
      </w:tr>
      <w:tr w:rsidR="009F6D8A" w14:paraId="643032CD" w14:textId="77777777">
        <w:tc>
          <w:tcPr>
            <w:tcW w:w="0" w:type="auto"/>
            <w:gridSpan w:val="3"/>
            <w:shd w:val="clear" w:color="auto" w:fill="E2E2E2"/>
            <w:tcMar>
              <w:top w:w="40" w:type="dxa"/>
              <w:left w:w="515" w:type="dxa"/>
              <w:bottom w:w="40" w:type="dxa"/>
              <w:right w:w="20" w:type="dxa"/>
            </w:tcMar>
            <w:vAlign w:val="bottom"/>
          </w:tcPr>
          <w:p w14:paraId="643032C1" w14:textId="77777777" w:rsidR="009F6D8A" w:rsidRDefault="00C50974">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643032C2" w14:textId="77777777" w:rsidR="009F6D8A" w:rsidRDefault="00C50974">
            <w:pPr>
              <w:jc w:val="right"/>
              <w:textAlignment w:val="bottom"/>
            </w:pPr>
            <w:r>
              <w:rPr>
                <w:rFonts w:ascii="Arial" w:eastAsia="宋体" w:hAnsi="Arial" w:cs="Arial"/>
                <w:color w:val="000000"/>
                <w:sz w:val="18"/>
                <w:szCs w:val="18"/>
              </w:rPr>
              <w:t>15.25 </w:t>
            </w:r>
          </w:p>
        </w:tc>
        <w:tc>
          <w:tcPr>
            <w:tcW w:w="0" w:type="auto"/>
            <w:shd w:val="clear" w:color="auto" w:fill="E2E2E2"/>
            <w:tcMar>
              <w:top w:w="40" w:type="dxa"/>
              <w:left w:w="0" w:type="dxa"/>
              <w:bottom w:w="40" w:type="dxa"/>
              <w:right w:w="20" w:type="dxa"/>
            </w:tcMar>
            <w:vAlign w:val="bottom"/>
          </w:tcPr>
          <w:p w14:paraId="643032C3"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C4"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2C5" w14:textId="77777777" w:rsidR="009F6D8A" w:rsidRDefault="00C50974">
            <w:pPr>
              <w:jc w:val="right"/>
              <w:textAlignment w:val="bottom"/>
            </w:pPr>
            <w:r>
              <w:rPr>
                <w:rFonts w:ascii="Arial" w:eastAsia="宋体" w:hAnsi="Arial" w:cs="Arial"/>
                <w:color w:val="000000"/>
                <w:sz w:val="18"/>
                <w:szCs w:val="18"/>
              </w:rPr>
              <w:t>0.08 </w:t>
            </w:r>
          </w:p>
        </w:tc>
        <w:tc>
          <w:tcPr>
            <w:tcW w:w="0" w:type="auto"/>
            <w:shd w:val="clear" w:color="auto" w:fill="E2E2E2"/>
            <w:tcMar>
              <w:top w:w="40" w:type="dxa"/>
              <w:left w:w="0" w:type="dxa"/>
              <w:bottom w:w="40" w:type="dxa"/>
              <w:right w:w="20" w:type="dxa"/>
            </w:tcMar>
            <w:vAlign w:val="bottom"/>
          </w:tcPr>
          <w:p w14:paraId="643032C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C7"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2C8" w14:textId="77777777" w:rsidR="009F6D8A" w:rsidRDefault="00C50974">
            <w:pPr>
              <w:jc w:val="right"/>
              <w:textAlignment w:val="bottom"/>
            </w:pPr>
            <w:r>
              <w:rPr>
                <w:rFonts w:ascii="Arial" w:eastAsia="宋体" w:hAnsi="Arial" w:cs="Arial"/>
                <w:color w:val="000000"/>
                <w:sz w:val="18"/>
                <w:szCs w:val="18"/>
              </w:rPr>
              <w:t>15.27 </w:t>
            </w:r>
          </w:p>
        </w:tc>
        <w:tc>
          <w:tcPr>
            <w:tcW w:w="0" w:type="auto"/>
            <w:shd w:val="clear" w:color="auto" w:fill="E2E2E2"/>
            <w:tcMar>
              <w:top w:w="40" w:type="dxa"/>
              <w:left w:w="0" w:type="dxa"/>
              <w:bottom w:w="40" w:type="dxa"/>
              <w:right w:w="20" w:type="dxa"/>
            </w:tcMar>
            <w:vAlign w:val="bottom"/>
          </w:tcPr>
          <w:p w14:paraId="643032C9"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CA"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2CB" w14:textId="77777777" w:rsidR="009F6D8A" w:rsidRDefault="00C50974">
            <w:pPr>
              <w:jc w:val="right"/>
              <w:textAlignment w:val="bottom"/>
            </w:pPr>
            <w:r>
              <w:rPr>
                <w:rFonts w:ascii="Arial" w:eastAsia="宋体" w:hAnsi="Arial" w:cs="Arial"/>
                <w:color w:val="000000"/>
                <w:sz w:val="18"/>
                <w:szCs w:val="18"/>
              </w:rPr>
              <w:t>4.16 </w:t>
            </w:r>
          </w:p>
        </w:tc>
        <w:tc>
          <w:tcPr>
            <w:tcW w:w="0" w:type="auto"/>
            <w:shd w:val="clear" w:color="auto" w:fill="E2E2E2"/>
            <w:tcMar>
              <w:top w:w="40" w:type="dxa"/>
              <w:left w:w="0" w:type="dxa"/>
              <w:bottom w:w="40" w:type="dxa"/>
              <w:right w:w="20" w:type="dxa"/>
            </w:tcMar>
            <w:vAlign w:val="bottom"/>
          </w:tcPr>
          <w:p w14:paraId="643032CC" w14:textId="77777777" w:rsidR="009F6D8A" w:rsidRDefault="009F6D8A">
            <w:pPr>
              <w:jc w:val="right"/>
              <w:rPr>
                <w:rFonts w:ascii="宋体"/>
              </w:rPr>
            </w:pPr>
          </w:p>
        </w:tc>
      </w:tr>
      <w:tr w:rsidR="009F6D8A" w14:paraId="643032DE" w14:textId="77777777">
        <w:tc>
          <w:tcPr>
            <w:tcW w:w="0" w:type="auto"/>
            <w:gridSpan w:val="3"/>
            <w:shd w:val="clear" w:color="auto" w:fill="FFFFFF"/>
            <w:tcMar>
              <w:top w:w="40" w:type="dxa"/>
              <w:left w:w="20" w:type="dxa"/>
              <w:bottom w:w="40" w:type="dxa"/>
              <w:right w:w="20" w:type="dxa"/>
            </w:tcMar>
            <w:vAlign w:val="bottom"/>
          </w:tcPr>
          <w:p w14:paraId="643032CE" w14:textId="77777777" w:rsidR="009F6D8A" w:rsidRDefault="00C50974">
            <w:pPr>
              <w:textAlignment w:val="bottom"/>
            </w:pPr>
            <w:r>
              <w:rPr>
                <w:rFonts w:ascii="Arial" w:eastAsia="宋体" w:hAnsi="Arial" w:cs="Arial"/>
                <w:color w:val="000000"/>
                <w:sz w:val="18"/>
                <w:szCs w:val="18"/>
              </w:rPr>
              <w:t>Net income per share - diluted</w:t>
            </w:r>
          </w:p>
        </w:tc>
        <w:tc>
          <w:tcPr>
            <w:tcW w:w="0" w:type="auto"/>
            <w:tcBorders>
              <w:top w:val="single" w:sz="8" w:space="0" w:color="000000"/>
            </w:tcBorders>
            <w:shd w:val="clear" w:color="auto" w:fill="FFFFFF"/>
            <w:tcMar>
              <w:top w:w="40" w:type="dxa"/>
              <w:left w:w="20" w:type="dxa"/>
              <w:bottom w:w="40" w:type="dxa"/>
              <w:right w:w="0" w:type="dxa"/>
            </w:tcMar>
            <w:vAlign w:val="bottom"/>
          </w:tcPr>
          <w:p w14:paraId="643032C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2D0" w14:textId="77777777" w:rsidR="009F6D8A" w:rsidRDefault="00C50974">
            <w:pPr>
              <w:jc w:val="right"/>
              <w:textAlignment w:val="bottom"/>
            </w:pPr>
            <w:r>
              <w:rPr>
                <w:rFonts w:ascii="Arial" w:eastAsia="宋体" w:hAnsi="Arial" w:cs="Arial"/>
                <w:color w:val="000000"/>
                <w:sz w:val="18"/>
                <w:szCs w:val="18"/>
              </w:rPr>
              <w:t>15.68 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2D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2D2"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32D3"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2D4" w14:textId="77777777" w:rsidR="009F6D8A" w:rsidRDefault="00C50974">
            <w:pPr>
              <w:jc w:val="right"/>
              <w:textAlignment w:val="bottom"/>
            </w:pPr>
            <w:r>
              <w:rPr>
                <w:rFonts w:ascii="Arial" w:eastAsia="宋体" w:hAnsi="Arial" w:cs="Arial"/>
                <w:color w:val="000000"/>
                <w:sz w:val="18"/>
                <w:szCs w:val="18"/>
              </w:rPr>
              <w:t>1.05 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2D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2D6"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32D7"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2D8" w14:textId="77777777" w:rsidR="009F6D8A" w:rsidRDefault="00C50974">
            <w:pPr>
              <w:jc w:val="right"/>
              <w:textAlignment w:val="bottom"/>
            </w:pPr>
            <w:r>
              <w:rPr>
                <w:rFonts w:ascii="Arial" w:eastAsia="宋体" w:hAnsi="Arial" w:cs="Arial"/>
                <w:color w:val="000000"/>
                <w:sz w:val="18"/>
                <w:szCs w:val="18"/>
              </w:rPr>
              <w:t>16.52 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2D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2DA"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32D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2DC" w14:textId="77777777" w:rsidR="009F6D8A" w:rsidRDefault="00C50974">
            <w:pPr>
              <w:jc w:val="right"/>
              <w:textAlignment w:val="bottom"/>
            </w:pPr>
            <w:r>
              <w:rPr>
                <w:rFonts w:ascii="Arial" w:eastAsia="宋体" w:hAnsi="Arial" w:cs="Arial"/>
                <w:color w:val="000000"/>
                <w:sz w:val="18"/>
                <w:szCs w:val="18"/>
              </w:rPr>
              <w:t>5.67 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2DD" w14:textId="77777777" w:rsidR="009F6D8A" w:rsidRDefault="009F6D8A">
            <w:pPr>
              <w:jc w:val="right"/>
              <w:rPr>
                <w:rFonts w:ascii="宋体"/>
              </w:rPr>
            </w:pPr>
          </w:p>
        </w:tc>
      </w:tr>
      <w:tr w:rsidR="009F6D8A" w14:paraId="643032EB" w14:textId="77777777">
        <w:tc>
          <w:tcPr>
            <w:tcW w:w="0" w:type="auto"/>
            <w:gridSpan w:val="3"/>
            <w:shd w:val="clear" w:color="auto" w:fill="E2E2E2"/>
            <w:tcMar>
              <w:top w:w="40" w:type="dxa"/>
              <w:left w:w="20" w:type="dxa"/>
              <w:bottom w:w="40" w:type="dxa"/>
              <w:right w:w="20" w:type="dxa"/>
            </w:tcMar>
            <w:vAlign w:val="bottom"/>
          </w:tcPr>
          <w:p w14:paraId="643032DF" w14:textId="77777777" w:rsidR="009F6D8A" w:rsidRDefault="00C50974">
            <w:pPr>
              <w:textAlignment w:val="bottom"/>
            </w:pPr>
            <w:r>
              <w:rPr>
                <w:rFonts w:ascii="Arial" w:eastAsia="宋体" w:hAnsi="Arial" w:cs="Arial"/>
                <w:color w:val="000000"/>
                <w:sz w:val="18"/>
                <w:szCs w:val="18"/>
              </w:rPr>
              <w:t>Common stock equivalents excluded from income per diluted share because their effect would have been anti-dilutive</w:t>
            </w: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643032E0" w14:textId="77777777" w:rsidR="009F6D8A" w:rsidRDefault="00C50974">
            <w:pPr>
              <w:jc w:val="right"/>
              <w:textAlignment w:val="bottom"/>
            </w:pPr>
            <w:r>
              <w:rPr>
                <w:rFonts w:ascii="Arial" w:eastAsia="宋体" w:hAnsi="Arial" w:cs="Arial"/>
                <w:color w:val="000000"/>
                <w:sz w:val="18"/>
                <w:szCs w:val="18"/>
              </w:rPr>
              <w:t>8 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643032E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E2" w14:textId="77777777" w:rsidR="009F6D8A" w:rsidRDefault="009F6D8A">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643032E3" w14:textId="77777777" w:rsidR="009F6D8A" w:rsidRDefault="00C50974">
            <w:pPr>
              <w:jc w:val="right"/>
              <w:textAlignment w:val="bottom"/>
            </w:pPr>
            <w:r>
              <w:rPr>
                <w:rFonts w:ascii="Arial" w:eastAsia="宋体" w:hAnsi="Arial" w:cs="Arial"/>
                <w:color w:val="000000"/>
                <w:sz w:val="18"/>
                <w:szCs w:val="18"/>
              </w:rPr>
              <w:t>1 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643032E4"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E5" w14:textId="77777777" w:rsidR="009F6D8A" w:rsidRDefault="009F6D8A">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643032E6" w14:textId="77777777" w:rsidR="009F6D8A" w:rsidRDefault="00C50974">
            <w:pPr>
              <w:jc w:val="right"/>
              <w:textAlignment w:val="bottom"/>
            </w:pPr>
            <w:r>
              <w:rPr>
                <w:rFonts w:ascii="Arial" w:eastAsia="宋体" w:hAnsi="Arial" w:cs="Arial"/>
                <w:color w:val="000000"/>
                <w:sz w:val="18"/>
                <w:szCs w:val="18"/>
              </w:rPr>
              <w:t>9 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643032E7"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2E8" w14:textId="77777777" w:rsidR="009F6D8A" w:rsidRDefault="009F6D8A">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643032E9" w14:textId="77777777" w:rsidR="009F6D8A" w:rsidRDefault="00C50974">
            <w:pPr>
              <w:jc w:val="right"/>
              <w:textAlignment w:val="bottom"/>
            </w:pPr>
            <w:r>
              <w:rPr>
                <w:rFonts w:ascii="Arial" w:eastAsia="宋体" w:hAnsi="Arial" w:cs="Arial"/>
                <w:color w:val="000000"/>
                <w:sz w:val="18"/>
                <w:szCs w:val="18"/>
              </w:rPr>
              <w:t>6 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643032EA" w14:textId="77777777" w:rsidR="009F6D8A" w:rsidRDefault="009F6D8A">
            <w:pPr>
              <w:jc w:val="right"/>
              <w:rPr>
                <w:rFonts w:ascii="宋体"/>
              </w:rPr>
            </w:pPr>
          </w:p>
        </w:tc>
      </w:tr>
    </w:tbl>
    <w:p w14:paraId="643032EC" w14:textId="77777777" w:rsidR="009F6D8A" w:rsidRDefault="009F6D8A"/>
    <w:p w14:paraId="643032ED" w14:textId="77777777" w:rsidR="009F6D8A" w:rsidRDefault="00C50974">
      <w:pPr>
        <w:jc w:val="both"/>
      </w:pPr>
      <w:r>
        <w:rPr>
          <w:rFonts w:ascii="Arial" w:eastAsia="宋体" w:hAnsi="Arial" w:cs="Arial"/>
          <w:b/>
          <w:bCs/>
          <w:color w:val="000000"/>
          <w:sz w:val="20"/>
          <w:szCs w:val="20"/>
        </w:rPr>
        <w:t>Note 3 — Discontinued Operations</w:t>
      </w:r>
    </w:p>
    <w:p w14:paraId="643032EE" w14:textId="77777777" w:rsidR="009F6D8A" w:rsidRDefault="009F6D8A">
      <w:pPr>
        <w:ind w:firstLine="90"/>
      </w:pPr>
    </w:p>
    <w:p w14:paraId="643032EF" w14:textId="77777777" w:rsidR="009F6D8A" w:rsidRDefault="00C50974">
      <w:pPr>
        <w:ind w:firstLine="90"/>
      </w:pPr>
      <w:r>
        <w:rPr>
          <w:rFonts w:ascii="Arial" w:eastAsia="宋体" w:hAnsi="Arial" w:cs="Arial"/>
          <w:b/>
          <w:bCs/>
          <w:i/>
          <w:iCs/>
          <w:color w:val="000000"/>
          <w:sz w:val="20"/>
          <w:szCs w:val="20"/>
        </w:rPr>
        <w:t>StubHub</w:t>
      </w:r>
    </w:p>
    <w:p w14:paraId="643032F0" w14:textId="77777777" w:rsidR="009F6D8A" w:rsidRDefault="009F6D8A">
      <w:pPr>
        <w:ind w:firstLine="540"/>
        <w:jc w:val="both"/>
      </w:pPr>
    </w:p>
    <w:p w14:paraId="643032F1" w14:textId="77777777" w:rsidR="009F6D8A" w:rsidRDefault="00C50974">
      <w:pPr>
        <w:ind w:firstLine="540"/>
        <w:jc w:val="both"/>
      </w:pPr>
      <w:r>
        <w:rPr>
          <w:rFonts w:ascii="Arial" w:eastAsia="宋体" w:hAnsi="Arial" w:cs="Arial"/>
          <w:color w:val="000000"/>
          <w:sz w:val="20"/>
          <w:szCs w:val="20"/>
        </w:rPr>
        <w:t xml:space="preserve">On November 24, 2019, we entered into a stock purchase agreement with an affiliate of viagogo to sell our StubHub business. On February 13, 2020, we completed the </w:t>
      </w:r>
      <w:r>
        <w:rPr>
          <w:rFonts w:ascii="Arial" w:eastAsia="宋体" w:hAnsi="Arial" w:cs="Arial"/>
          <w:color w:val="000000"/>
          <w:sz w:val="20"/>
          <w:szCs w:val="20"/>
        </w:rPr>
        <w:t>sale of our StubHub business to an affiliate of viagogo for a purchase price of $4.05 billion in cash, subject to certain adjustments specified in the purchase agreement, including adjustments for indebtedness, cash, working capital and transaction expense</w:t>
      </w:r>
      <w:r>
        <w:rPr>
          <w:rFonts w:ascii="Arial" w:eastAsia="宋体" w:hAnsi="Arial" w:cs="Arial"/>
          <w:color w:val="000000"/>
          <w:sz w:val="20"/>
          <w:szCs w:val="20"/>
        </w:rPr>
        <w:t>s of StubHub at the closing of the transaction. The sale was completed for $4.1 billion in proceeds ($3.2 billion, net of income taxes of approximately $900 million) and a pre-tax gain of $3.9 billion within income from discontinued operations, both subjec</w:t>
      </w:r>
      <w:r>
        <w:rPr>
          <w:rFonts w:ascii="Arial" w:eastAsia="宋体" w:hAnsi="Arial" w:cs="Arial"/>
          <w:color w:val="000000"/>
          <w:sz w:val="20"/>
          <w:szCs w:val="20"/>
        </w:rPr>
        <w:t xml:space="preserve">t to working capital adjustments. </w:t>
      </w:r>
    </w:p>
    <w:p w14:paraId="643032F2" w14:textId="77777777" w:rsidR="009F6D8A" w:rsidRDefault="009F6D8A"/>
    <w:p w14:paraId="643032F3" w14:textId="77777777" w:rsidR="009F6D8A" w:rsidRDefault="00C50974">
      <w:pPr>
        <w:ind w:firstLine="540"/>
        <w:jc w:val="both"/>
      </w:pPr>
      <w:r>
        <w:rPr>
          <w:rFonts w:ascii="Arial" w:eastAsia="宋体" w:hAnsi="Arial" w:cs="Arial"/>
          <w:color w:val="000000"/>
          <w:sz w:val="20"/>
          <w:szCs w:val="20"/>
        </w:rPr>
        <w:t xml:space="preserve">In connection with the sale of StubHub, we entered into a transition service agreement (“TSA”) with viagogo pursuant to which we are providing services, including, but not limited to, business support services for </w:t>
      </w:r>
      <w:r>
        <w:rPr>
          <w:rFonts w:ascii="Arial" w:eastAsia="宋体" w:hAnsi="Arial" w:cs="Arial"/>
          <w:color w:val="000000"/>
          <w:sz w:val="20"/>
          <w:szCs w:val="20"/>
        </w:rPr>
        <w:t>StubHub after the divestiture. These agreements commenced with the close of the transaction and have minimum initial terms ranging from 12 to 18 months and can be extended by viagogo for a maximum of 12 months. The estimated related fees in 2021 are $27 mi</w:t>
      </w:r>
      <w:r>
        <w:rPr>
          <w:rFonts w:ascii="Arial" w:eastAsia="宋体" w:hAnsi="Arial" w:cs="Arial"/>
          <w:color w:val="000000"/>
          <w:sz w:val="20"/>
          <w:szCs w:val="20"/>
        </w:rPr>
        <w:t>llion for support services.</w:t>
      </w:r>
    </w:p>
    <w:p w14:paraId="643032F4" w14:textId="77777777" w:rsidR="009F6D8A" w:rsidRDefault="009F6D8A">
      <w:pPr>
        <w:ind w:firstLine="540"/>
        <w:jc w:val="both"/>
      </w:pPr>
    </w:p>
    <w:p w14:paraId="643032F5" w14:textId="77777777" w:rsidR="009F6D8A" w:rsidRDefault="009F6D8A">
      <w:pPr>
        <w:jc w:val="center"/>
      </w:pPr>
    </w:p>
    <w:p w14:paraId="643032F6" w14:textId="77777777" w:rsidR="009F6D8A" w:rsidRDefault="00C50974">
      <w:pPr>
        <w:jc w:val="center"/>
      </w:pPr>
      <w:r>
        <w:rPr>
          <w:rFonts w:ascii="Arial" w:eastAsia="宋体" w:hAnsi="Arial" w:cs="Arial"/>
          <w:color w:val="000000"/>
          <w:sz w:val="20"/>
          <w:szCs w:val="20"/>
        </w:rPr>
        <w:t>12</w:t>
      </w:r>
    </w:p>
    <w:p w14:paraId="643032F7" w14:textId="77777777" w:rsidR="009F6D8A" w:rsidRDefault="00C50974">
      <w:r>
        <w:pict w14:anchorId="6430580F">
          <v:rect id="_x0000_i1036" style="width:415.3pt;height:1.5pt" o:hralign="center" o:hrstd="t" o:hr="t" fillcolor="#a0a0a0" stroked="f"/>
        </w:pict>
      </w:r>
    </w:p>
    <w:p w14:paraId="643032F8" w14:textId="77777777" w:rsidR="009F6D8A" w:rsidRDefault="009F6D8A">
      <w:pPr>
        <w:jc w:val="center"/>
      </w:pPr>
    </w:p>
    <w:p w14:paraId="643032F9" w14:textId="77777777" w:rsidR="009F6D8A" w:rsidRDefault="00C50974">
      <w:pPr>
        <w:jc w:val="center"/>
      </w:pPr>
      <w:r>
        <w:rPr>
          <w:rFonts w:ascii="Arial" w:eastAsia="宋体" w:hAnsi="Arial" w:cs="Arial"/>
          <w:b/>
          <w:bCs/>
          <w:color w:val="000000"/>
          <w:sz w:val="20"/>
          <w:szCs w:val="20"/>
        </w:rPr>
        <w:t>eBay Inc.</w:t>
      </w:r>
    </w:p>
    <w:p w14:paraId="643032FA"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32FB" w14:textId="77777777" w:rsidR="009F6D8A" w:rsidRDefault="00C50974">
      <w:pPr>
        <w:ind w:firstLine="90"/>
      </w:pPr>
      <w:r>
        <w:rPr>
          <w:rFonts w:ascii="Arial" w:eastAsia="宋体" w:hAnsi="Arial" w:cs="Arial"/>
          <w:b/>
          <w:bCs/>
          <w:i/>
          <w:iCs/>
          <w:color w:val="000000"/>
          <w:sz w:val="20"/>
          <w:szCs w:val="20"/>
        </w:rPr>
        <w:t>Classifieds</w:t>
      </w:r>
    </w:p>
    <w:p w14:paraId="643032FC" w14:textId="77777777" w:rsidR="009F6D8A" w:rsidRDefault="009F6D8A">
      <w:pPr>
        <w:ind w:firstLine="90"/>
      </w:pPr>
    </w:p>
    <w:p w14:paraId="643032FD" w14:textId="77777777" w:rsidR="009F6D8A" w:rsidRDefault="00C50974">
      <w:pPr>
        <w:ind w:firstLine="540"/>
        <w:jc w:val="both"/>
      </w:pPr>
      <w:r>
        <w:rPr>
          <w:rFonts w:ascii="Arial" w:eastAsia="宋体" w:hAnsi="Arial" w:cs="Arial"/>
          <w:color w:val="000000"/>
          <w:sz w:val="20"/>
          <w:szCs w:val="20"/>
        </w:rPr>
        <w:t>On July 20, 2020, we entered into a definitive agreement with Adevinta to transfer our Classifieds business to Adevinta for $2.5 bil</w:t>
      </w:r>
      <w:r>
        <w:rPr>
          <w:rFonts w:ascii="Arial" w:eastAsia="宋体" w:hAnsi="Arial" w:cs="Arial"/>
          <w:color w:val="000000"/>
          <w:sz w:val="20"/>
          <w:szCs w:val="20"/>
        </w:rPr>
        <w:t>lion in cash, subject to certain adjustments, and approximately 540 million shares in Adevinta. On June 24, 2021, we completed the previously announced transfer of our Classifieds business to Adevinta. Upon closing, we received consideration of approximate</w:t>
      </w:r>
      <w:r>
        <w:rPr>
          <w:rFonts w:ascii="Arial" w:eastAsia="宋体" w:hAnsi="Arial" w:cs="Arial"/>
          <w:color w:val="000000"/>
          <w:sz w:val="20"/>
          <w:szCs w:val="20"/>
        </w:rPr>
        <w:t>ly $2.5 billion in cash, subject to certain adjustments as specified in the definitive agreement, and approximately 540 million shares in Adevinta which represent an equity interest of 44%, comprised of approximately 33% of voting shares and 11% of non-vot</w:t>
      </w:r>
      <w:r>
        <w:rPr>
          <w:rFonts w:ascii="Arial" w:eastAsia="宋体" w:hAnsi="Arial" w:cs="Arial"/>
          <w:color w:val="000000"/>
          <w:sz w:val="20"/>
          <w:szCs w:val="20"/>
        </w:rPr>
        <w:t>ing shares. Together, the total consideration received at the close of the transaction was valued at $13.3 billion, based on the closing trading price of Adevinta’s outstanding shares at the Oslo Stock Exchange on June 24, 2021. The equity interest receive</w:t>
      </w:r>
      <w:r>
        <w:rPr>
          <w:rFonts w:ascii="Arial" w:eastAsia="宋体" w:hAnsi="Arial" w:cs="Arial"/>
          <w:color w:val="000000"/>
          <w:sz w:val="20"/>
          <w:szCs w:val="20"/>
        </w:rPr>
        <w:t xml:space="preserve">d is accounted for under the fair value option. </w:t>
      </w:r>
    </w:p>
    <w:p w14:paraId="643032FE" w14:textId="77777777" w:rsidR="009F6D8A" w:rsidRDefault="009F6D8A">
      <w:pPr>
        <w:ind w:firstLine="540"/>
        <w:jc w:val="both"/>
      </w:pPr>
    </w:p>
    <w:p w14:paraId="643032FF" w14:textId="77777777" w:rsidR="009F6D8A" w:rsidRDefault="00C50974">
      <w:pPr>
        <w:ind w:firstLine="540"/>
        <w:jc w:val="both"/>
      </w:pPr>
      <w:r>
        <w:rPr>
          <w:rFonts w:ascii="Arial" w:eastAsia="宋体" w:hAnsi="Arial" w:cs="Arial"/>
          <w:color w:val="000000"/>
          <w:sz w:val="20"/>
          <w:szCs w:val="20"/>
        </w:rPr>
        <w:t>The transfer of our Classifieds business was completed for total consideration of $13.3 billion which comprised of $2.5 billion in cash proceeds and shares of Adevinta valued at $10.8 billion on the date of</w:t>
      </w:r>
      <w:r>
        <w:rPr>
          <w:rFonts w:ascii="Arial" w:eastAsia="宋体" w:hAnsi="Arial" w:cs="Arial"/>
          <w:color w:val="000000"/>
          <w:sz w:val="20"/>
          <w:szCs w:val="20"/>
        </w:rPr>
        <w:t xml:space="preserve"> close. The transfer resulted in a pre-tax gain of $12.5 billion and related income tax expense of $2.1 billion, both within income from discontinued operations. The consideration is subject to adjustments specified in the definitive agreement.</w:t>
      </w:r>
    </w:p>
    <w:p w14:paraId="64303300" w14:textId="77777777" w:rsidR="009F6D8A" w:rsidRDefault="009F6D8A">
      <w:pPr>
        <w:ind w:firstLine="540"/>
        <w:jc w:val="both"/>
      </w:pPr>
    </w:p>
    <w:p w14:paraId="64303301" w14:textId="77777777" w:rsidR="009F6D8A" w:rsidRDefault="00C50974">
      <w:pPr>
        <w:ind w:firstLine="540"/>
        <w:jc w:val="both"/>
      </w:pPr>
      <w:r>
        <w:rPr>
          <w:rFonts w:ascii="Arial" w:eastAsia="宋体" w:hAnsi="Arial" w:cs="Arial"/>
          <w:color w:val="000000"/>
          <w:sz w:val="20"/>
          <w:szCs w:val="20"/>
        </w:rPr>
        <w:t>In additio</w:t>
      </w:r>
      <w:r>
        <w:rPr>
          <w:rFonts w:ascii="Arial" w:eastAsia="宋体" w:hAnsi="Arial" w:cs="Arial"/>
          <w:color w:val="000000"/>
          <w:sz w:val="20"/>
          <w:szCs w:val="20"/>
        </w:rPr>
        <w:t>n, upon closing we entered into a transition service agreement (“TSA”) with Adevinta to support the operations of Classifieds after the divestiture for fees of $29 million. These agreements commenced with the close of the transaction and have minimum initi</w:t>
      </w:r>
      <w:r>
        <w:rPr>
          <w:rFonts w:ascii="Arial" w:eastAsia="宋体" w:hAnsi="Arial" w:cs="Arial"/>
          <w:color w:val="000000"/>
          <w:sz w:val="20"/>
          <w:szCs w:val="20"/>
        </w:rPr>
        <w:t xml:space="preserve">al terms ranging from 6 to 12 months and can be extended for a maximum of 6 months. </w:t>
      </w:r>
    </w:p>
    <w:p w14:paraId="64303302" w14:textId="77777777" w:rsidR="009F6D8A" w:rsidRDefault="009F6D8A">
      <w:pPr>
        <w:ind w:firstLine="540"/>
        <w:jc w:val="both"/>
      </w:pPr>
    </w:p>
    <w:p w14:paraId="64303303" w14:textId="77777777" w:rsidR="009F6D8A" w:rsidRDefault="00C50974">
      <w:pPr>
        <w:ind w:firstLine="540"/>
        <w:jc w:val="both"/>
      </w:pPr>
      <w:r>
        <w:rPr>
          <w:rFonts w:ascii="Arial" w:eastAsia="宋体" w:hAnsi="Arial" w:cs="Arial"/>
          <w:color w:val="000000"/>
          <w:sz w:val="20"/>
          <w:szCs w:val="20"/>
        </w:rPr>
        <w:t>On July 14, 2021, we entered into a share purchase agreement with Permira to sell approximately 125 million of our voting shares in Adevinta for total consideration of $2</w:t>
      </w:r>
      <w:r>
        <w:rPr>
          <w:rFonts w:ascii="Arial" w:eastAsia="宋体" w:hAnsi="Arial" w:cs="Arial"/>
          <w:color w:val="000000"/>
          <w:sz w:val="20"/>
          <w:szCs w:val="20"/>
        </w:rPr>
        <w:t>.25 billion. The price represents an approximate 7% discount to the 10-day VWAP of Adevinta shares as of July 12, 2021 and a 5% discount to the 30-day VWAP as of July 12, 2021. In addition, we granted Permira an option, exercisable within 30 days after the</w:t>
      </w:r>
      <w:r>
        <w:rPr>
          <w:rFonts w:ascii="Arial" w:eastAsia="宋体" w:hAnsi="Arial" w:cs="Arial"/>
          <w:color w:val="000000"/>
          <w:sz w:val="20"/>
          <w:szCs w:val="20"/>
        </w:rPr>
        <w:t xml:space="preserve"> date of the purchase agreement, to purchase approximately 10 million additional voting shares for $180 million in consideration. On July 29, 2021, Permira exercised the option. At the close of both transactions, our ownership in Adevinta will be reduced t</w:t>
      </w:r>
      <w:r>
        <w:rPr>
          <w:rFonts w:ascii="Arial" w:eastAsia="宋体" w:hAnsi="Arial" w:cs="Arial"/>
          <w:color w:val="000000"/>
          <w:sz w:val="20"/>
          <w:szCs w:val="20"/>
        </w:rPr>
        <w:t>o 33%. The transactions are expected to close in the fourth quarter of 2021, subject to the receipt of required regulatory approvals.</w:t>
      </w:r>
    </w:p>
    <w:p w14:paraId="64303304" w14:textId="77777777" w:rsidR="009F6D8A" w:rsidRDefault="009F6D8A">
      <w:pPr>
        <w:ind w:firstLine="540"/>
        <w:jc w:val="both"/>
      </w:pPr>
    </w:p>
    <w:p w14:paraId="64303305" w14:textId="77777777" w:rsidR="009F6D8A" w:rsidRDefault="00C50974">
      <w:pPr>
        <w:ind w:firstLine="90"/>
      </w:pPr>
      <w:r>
        <w:rPr>
          <w:rFonts w:ascii="Arial" w:eastAsia="宋体" w:hAnsi="Arial" w:cs="Arial"/>
          <w:b/>
          <w:bCs/>
          <w:i/>
          <w:iCs/>
          <w:color w:val="000000"/>
          <w:sz w:val="20"/>
          <w:szCs w:val="20"/>
        </w:rPr>
        <w:t>eBay Korea</w:t>
      </w:r>
    </w:p>
    <w:p w14:paraId="64303306" w14:textId="77777777" w:rsidR="009F6D8A" w:rsidRDefault="009F6D8A">
      <w:pPr>
        <w:ind w:firstLine="90"/>
      </w:pPr>
    </w:p>
    <w:p w14:paraId="64303307" w14:textId="77777777" w:rsidR="009F6D8A" w:rsidRDefault="00C50974">
      <w:pPr>
        <w:ind w:firstLine="540"/>
        <w:jc w:val="both"/>
      </w:pPr>
      <w:r>
        <w:rPr>
          <w:rFonts w:ascii="Arial" w:eastAsia="宋体" w:hAnsi="Arial" w:cs="Arial"/>
          <w:color w:val="000000"/>
          <w:sz w:val="20"/>
          <w:szCs w:val="20"/>
        </w:rPr>
        <w:t>On June 30, 2021, we entered into a securities purchase agreement with Emart, to sell 80.01% of the outstandi</w:t>
      </w:r>
      <w:r>
        <w:rPr>
          <w:rFonts w:ascii="Arial" w:eastAsia="宋体" w:hAnsi="Arial" w:cs="Arial"/>
          <w:color w:val="000000"/>
          <w:sz w:val="20"/>
          <w:szCs w:val="20"/>
        </w:rPr>
        <w:t>ng equity interests of eBay Korea, pursuant to the terms and conditions of the securities purchase agreement, in exchange for KRW 3.44 trillion, or approximately $3.0 billion as of the agreement date, subject to certain adjustments specified for indebtedne</w:t>
      </w:r>
      <w:r>
        <w:rPr>
          <w:rFonts w:ascii="Arial" w:eastAsia="宋体" w:hAnsi="Arial" w:cs="Arial"/>
          <w:color w:val="000000"/>
          <w:sz w:val="20"/>
          <w:szCs w:val="20"/>
        </w:rPr>
        <w:t>ss, cash, working capital, transaction expenses and certain taxes. We will retain 19.99% of the outstanding equity interests of eBay Korea. The transaction is expected to close within one year, subject to certain conditions, including receipt of regulatory</w:t>
      </w:r>
      <w:r>
        <w:rPr>
          <w:rFonts w:ascii="Arial" w:eastAsia="宋体" w:hAnsi="Arial" w:cs="Arial"/>
          <w:color w:val="000000"/>
          <w:sz w:val="20"/>
          <w:szCs w:val="20"/>
        </w:rPr>
        <w:t xml:space="preserve"> approvals. We have classified the results of the eBay Korea business as discontinued operations in our condensed consolidated statement of income for the periods presented. Additionally, the related assets and liabilities associated with eBay Korea are cl</w:t>
      </w:r>
      <w:r>
        <w:rPr>
          <w:rFonts w:ascii="Arial" w:eastAsia="宋体" w:hAnsi="Arial" w:cs="Arial"/>
          <w:color w:val="000000"/>
          <w:sz w:val="20"/>
          <w:szCs w:val="20"/>
        </w:rPr>
        <w:t xml:space="preserve">assified as held for sale in our condensed consolidated balance sheet. The assets and liabilities as of June 30, 2021 are classified as current in our condensed consolidated balance sheet as we expect to close this transaction within one year. </w:t>
      </w:r>
    </w:p>
    <w:p w14:paraId="64303308" w14:textId="77777777" w:rsidR="009F6D8A" w:rsidRDefault="009F6D8A">
      <w:pPr>
        <w:ind w:firstLine="540"/>
        <w:jc w:val="both"/>
      </w:pPr>
    </w:p>
    <w:p w14:paraId="64303309" w14:textId="77777777" w:rsidR="009F6D8A" w:rsidRDefault="009F6D8A">
      <w:pPr>
        <w:jc w:val="center"/>
      </w:pPr>
    </w:p>
    <w:p w14:paraId="6430330A" w14:textId="77777777" w:rsidR="009F6D8A" w:rsidRDefault="00C50974">
      <w:pPr>
        <w:jc w:val="center"/>
      </w:pPr>
      <w:r>
        <w:rPr>
          <w:rFonts w:ascii="Arial" w:eastAsia="宋体" w:hAnsi="Arial" w:cs="Arial"/>
          <w:color w:val="000000"/>
          <w:sz w:val="20"/>
          <w:szCs w:val="20"/>
        </w:rPr>
        <w:t>13</w:t>
      </w:r>
    </w:p>
    <w:p w14:paraId="6430330B" w14:textId="77777777" w:rsidR="009F6D8A" w:rsidRDefault="00C50974">
      <w:r>
        <w:pict w14:anchorId="64305810">
          <v:rect id="_x0000_i1037" style="width:415.3pt;height:1.5pt" o:hralign="center" o:hrstd="t" o:hr="t" fillcolor="#a0a0a0" stroked="f"/>
        </w:pict>
      </w:r>
    </w:p>
    <w:p w14:paraId="6430330C" w14:textId="77777777" w:rsidR="009F6D8A" w:rsidRDefault="009F6D8A">
      <w:pPr>
        <w:jc w:val="center"/>
      </w:pPr>
    </w:p>
    <w:p w14:paraId="6430330D" w14:textId="77777777" w:rsidR="009F6D8A" w:rsidRDefault="00C50974">
      <w:pPr>
        <w:jc w:val="center"/>
      </w:pPr>
      <w:r>
        <w:rPr>
          <w:rFonts w:ascii="Arial" w:eastAsia="宋体" w:hAnsi="Arial" w:cs="Arial"/>
          <w:b/>
          <w:bCs/>
          <w:color w:val="000000"/>
          <w:sz w:val="20"/>
          <w:szCs w:val="20"/>
        </w:rPr>
        <w:t>eBay Inc.</w:t>
      </w:r>
    </w:p>
    <w:p w14:paraId="6430330E"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330F" w14:textId="77777777" w:rsidR="009F6D8A" w:rsidRDefault="00C50974">
      <w:pPr>
        <w:spacing w:after="60"/>
        <w:ind w:firstLine="540"/>
        <w:jc w:val="both"/>
      </w:pPr>
      <w:r>
        <w:rPr>
          <w:rFonts w:ascii="Arial" w:eastAsia="宋体" w:hAnsi="Arial" w:cs="Arial"/>
          <w:color w:val="000000"/>
          <w:sz w:val="20"/>
          <w:szCs w:val="20"/>
        </w:rPr>
        <w:t>The following table presents financial results from discontinued operations, net of income taxes in our condensed consolidated statement of income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287"/>
        <w:gridCol w:w="37"/>
        <w:gridCol w:w="121"/>
        <w:gridCol w:w="718"/>
        <w:gridCol w:w="36"/>
        <w:gridCol w:w="36"/>
        <w:gridCol w:w="36"/>
        <w:gridCol w:w="36"/>
        <w:gridCol w:w="121"/>
        <w:gridCol w:w="672"/>
        <w:gridCol w:w="36"/>
        <w:gridCol w:w="36"/>
        <w:gridCol w:w="36"/>
        <w:gridCol w:w="36"/>
        <w:gridCol w:w="121"/>
        <w:gridCol w:w="672"/>
        <w:gridCol w:w="36"/>
        <w:gridCol w:w="36"/>
        <w:gridCol w:w="36"/>
        <w:gridCol w:w="36"/>
        <w:gridCol w:w="121"/>
        <w:gridCol w:w="672"/>
        <w:gridCol w:w="36"/>
        <w:gridCol w:w="36"/>
        <w:gridCol w:w="36"/>
        <w:gridCol w:w="36"/>
        <w:gridCol w:w="36"/>
        <w:gridCol w:w="36"/>
        <w:gridCol w:w="36"/>
        <w:gridCol w:w="36"/>
        <w:gridCol w:w="36"/>
      </w:tblGrid>
      <w:tr w:rsidR="009F6D8A" w14:paraId="6430332C" w14:textId="77777777">
        <w:trPr>
          <w:jc w:val="center"/>
        </w:trPr>
        <w:tc>
          <w:tcPr>
            <w:tcW w:w="50" w:type="pct"/>
            <w:shd w:val="clear" w:color="auto" w:fill="auto"/>
            <w:vAlign w:val="bottom"/>
          </w:tcPr>
          <w:p w14:paraId="64303310" w14:textId="77777777" w:rsidR="009F6D8A" w:rsidRDefault="009F6D8A">
            <w:pPr>
              <w:rPr>
                <w:rFonts w:ascii="宋体"/>
              </w:rPr>
            </w:pPr>
          </w:p>
        </w:tc>
        <w:tc>
          <w:tcPr>
            <w:tcW w:w="2700" w:type="pct"/>
            <w:shd w:val="clear" w:color="auto" w:fill="auto"/>
            <w:vAlign w:val="bottom"/>
          </w:tcPr>
          <w:p w14:paraId="64303311" w14:textId="77777777" w:rsidR="009F6D8A" w:rsidRDefault="009F6D8A">
            <w:pPr>
              <w:rPr>
                <w:rFonts w:ascii="宋体"/>
              </w:rPr>
            </w:pPr>
          </w:p>
        </w:tc>
        <w:tc>
          <w:tcPr>
            <w:tcW w:w="5" w:type="pct"/>
            <w:shd w:val="clear" w:color="auto" w:fill="auto"/>
            <w:vAlign w:val="bottom"/>
          </w:tcPr>
          <w:p w14:paraId="64303312" w14:textId="77777777" w:rsidR="009F6D8A" w:rsidRDefault="009F6D8A">
            <w:pPr>
              <w:rPr>
                <w:rFonts w:ascii="宋体"/>
              </w:rPr>
            </w:pPr>
          </w:p>
        </w:tc>
        <w:tc>
          <w:tcPr>
            <w:tcW w:w="50" w:type="pct"/>
            <w:shd w:val="clear" w:color="auto" w:fill="auto"/>
            <w:vAlign w:val="bottom"/>
          </w:tcPr>
          <w:p w14:paraId="64303313" w14:textId="77777777" w:rsidR="009F6D8A" w:rsidRDefault="009F6D8A">
            <w:pPr>
              <w:rPr>
                <w:rFonts w:ascii="宋体"/>
              </w:rPr>
            </w:pPr>
          </w:p>
        </w:tc>
        <w:tc>
          <w:tcPr>
            <w:tcW w:w="478" w:type="pct"/>
            <w:shd w:val="clear" w:color="auto" w:fill="auto"/>
            <w:vAlign w:val="bottom"/>
          </w:tcPr>
          <w:p w14:paraId="64303314" w14:textId="77777777" w:rsidR="009F6D8A" w:rsidRDefault="009F6D8A">
            <w:pPr>
              <w:rPr>
                <w:rFonts w:ascii="宋体"/>
              </w:rPr>
            </w:pPr>
          </w:p>
        </w:tc>
        <w:tc>
          <w:tcPr>
            <w:tcW w:w="5" w:type="pct"/>
            <w:shd w:val="clear" w:color="auto" w:fill="auto"/>
            <w:vAlign w:val="bottom"/>
          </w:tcPr>
          <w:p w14:paraId="64303315" w14:textId="77777777" w:rsidR="009F6D8A" w:rsidRDefault="009F6D8A">
            <w:pPr>
              <w:rPr>
                <w:rFonts w:ascii="宋体"/>
              </w:rPr>
            </w:pPr>
          </w:p>
        </w:tc>
        <w:tc>
          <w:tcPr>
            <w:tcW w:w="5" w:type="pct"/>
            <w:shd w:val="clear" w:color="auto" w:fill="auto"/>
            <w:vAlign w:val="bottom"/>
          </w:tcPr>
          <w:p w14:paraId="64303316" w14:textId="77777777" w:rsidR="009F6D8A" w:rsidRDefault="009F6D8A">
            <w:pPr>
              <w:rPr>
                <w:rFonts w:ascii="宋体"/>
              </w:rPr>
            </w:pPr>
          </w:p>
        </w:tc>
        <w:tc>
          <w:tcPr>
            <w:tcW w:w="26" w:type="pct"/>
            <w:shd w:val="clear" w:color="auto" w:fill="auto"/>
            <w:vAlign w:val="bottom"/>
          </w:tcPr>
          <w:p w14:paraId="64303317" w14:textId="77777777" w:rsidR="009F6D8A" w:rsidRDefault="009F6D8A">
            <w:pPr>
              <w:rPr>
                <w:rFonts w:ascii="宋体"/>
              </w:rPr>
            </w:pPr>
          </w:p>
        </w:tc>
        <w:tc>
          <w:tcPr>
            <w:tcW w:w="5" w:type="pct"/>
            <w:shd w:val="clear" w:color="auto" w:fill="auto"/>
            <w:vAlign w:val="bottom"/>
          </w:tcPr>
          <w:p w14:paraId="64303318" w14:textId="77777777" w:rsidR="009F6D8A" w:rsidRDefault="009F6D8A">
            <w:pPr>
              <w:rPr>
                <w:rFonts w:ascii="宋体"/>
              </w:rPr>
            </w:pPr>
          </w:p>
        </w:tc>
        <w:tc>
          <w:tcPr>
            <w:tcW w:w="50" w:type="pct"/>
            <w:shd w:val="clear" w:color="auto" w:fill="auto"/>
            <w:vAlign w:val="bottom"/>
          </w:tcPr>
          <w:p w14:paraId="64303319" w14:textId="77777777" w:rsidR="009F6D8A" w:rsidRDefault="009F6D8A">
            <w:pPr>
              <w:rPr>
                <w:rFonts w:ascii="宋体"/>
              </w:rPr>
            </w:pPr>
          </w:p>
        </w:tc>
        <w:tc>
          <w:tcPr>
            <w:tcW w:w="478" w:type="pct"/>
            <w:shd w:val="clear" w:color="auto" w:fill="auto"/>
            <w:vAlign w:val="bottom"/>
          </w:tcPr>
          <w:p w14:paraId="6430331A" w14:textId="77777777" w:rsidR="009F6D8A" w:rsidRDefault="009F6D8A">
            <w:pPr>
              <w:rPr>
                <w:rFonts w:ascii="宋体"/>
              </w:rPr>
            </w:pPr>
          </w:p>
        </w:tc>
        <w:tc>
          <w:tcPr>
            <w:tcW w:w="5" w:type="pct"/>
            <w:shd w:val="clear" w:color="auto" w:fill="auto"/>
            <w:vAlign w:val="bottom"/>
          </w:tcPr>
          <w:p w14:paraId="6430331B" w14:textId="77777777" w:rsidR="009F6D8A" w:rsidRDefault="009F6D8A">
            <w:pPr>
              <w:rPr>
                <w:rFonts w:ascii="宋体"/>
              </w:rPr>
            </w:pPr>
          </w:p>
        </w:tc>
        <w:tc>
          <w:tcPr>
            <w:tcW w:w="5" w:type="pct"/>
            <w:shd w:val="clear" w:color="auto" w:fill="auto"/>
            <w:vAlign w:val="bottom"/>
          </w:tcPr>
          <w:p w14:paraId="6430331C" w14:textId="77777777" w:rsidR="009F6D8A" w:rsidRDefault="009F6D8A">
            <w:pPr>
              <w:rPr>
                <w:rFonts w:ascii="宋体"/>
              </w:rPr>
            </w:pPr>
          </w:p>
        </w:tc>
        <w:tc>
          <w:tcPr>
            <w:tcW w:w="26" w:type="pct"/>
            <w:shd w:val="clear" w:color="auto" w:fill="auto"/>
            <w:vAlign w:val="bottom"/>
          </w:tcPr>
          <w:p w14:paraId="6430331D" w14:textId="77777777" w:rsidR="009F6D8A" w:rsidRDefault="009F6D8A">
            <w:pPr>
              <w:rPr>
                <w:rFonts w:ascii="宋体"/>
              </w:rPr>
            </w:pPr>
          </w:p>
        </w:tc>
        <w:tc>
          <w:tcPr>
            <w:tcW w:w="5" w:type="pct"/>
            <w:shd w:val="clear" w:color="auto" w:fill="auto"/>
            <w:vAlign w:val="bottom"/>
          </w:tcPr>
          <w:p w14:paraId="6430331E" w14:textId="77777777" w:rsidR="009F6D8A" w:rsidRDefault="009F6D8A">
            <w:pPr>
              <w:rPr>
                <w:rFonts w:ascii="宋体"/>
              </w:rPr>
            </w:pPr>
          </w:p>
        </w:tc>
        <w:tc>
          <w:tcPr>
            <w:tcW w:w="50" w:type="pct"/>
            <w:shd w:val="clear" w:color="auto" w:fill="auto"/>
            <w:vAlign w:val="bottom"/>
          </w:tcPr>
          <w:p w14:paraId="6430331F" w14:textId="77777777" w:rsidR="009F6D8A" w:rsidRDefault="009F6D8A">
            <w:pPr>
              <w:rPr>
                <w:rFonts w:ascii="宋体"/>
              </w:rPr>
            </w:pPr>
          </w:p>
        </w:tc>
        <w:tc>
          <w:tcPr>
            <w:tcW w:w="478" w:type="pct"/>
            <w:shd w:val="clear" w:color="auto" w:fill="auto"/>
            <w:vAlign w:val="bottom"/>
          </w:tcPr>
          <w:p w14:paraId="64303320" w14:textId="77777777" w:rsidR="009F6D8A" w:rsidRDefault="009F6D8A">
            <w:pPr>
              <w:rPr>
                <w:rFonts w:ascii="宋体"/>
              </w:rPr>
            </w:pPr>
          </w:p>
        </w:tc>
        <w:tc>
          <w:tcPr>
            <w:tcW w:w="5" w:type="pct"/>
            <w:shd w:val="clear" w:color="auto" w:fill="auto"/>
            <w:vAlign w:val="bottom"/>
          </w:tcPr>
          <w:p w14:paraId="64303321" w14:textId="77777777" w:rsidR="009F6D8A" w:rsidRDefault="009F6D8A">
            <w:pPr>
              <w:rPr>
                <w:rFonts w:ascii="宋体"/>
              </w:rPr>
            </w:pPr>
          </w:p>
        </w:tc>
        <w:tc>
          <w:tcPr>
            <w:tcW w:w="5" w:type="pct"/>
            <w:shd w:val="clear" w:color="auto" w:fill="auto"/>
            <w:vAlign w:val="bottom"/>
          </w:tcPr>
          <w:p w14:paraId="64303322" w14:textId="77777777" w:rsidR="009F6D8A" w:rsidRDefault="009F6D8A">
            <w:pPr>
              <w:rPr>
                <w:rFonts w:ascii="宋体"/>
              </w:rPr>
            </w:pPr>
          </w:p>
        </w:tc>
        <w:tc>
          <w:tcPr>
            <w:tcW w:w="26" w:type="pct"/>
            <w:shd w:val="clear" w:color="auto" w:fill="auto"/>
            <w:vAlign w:val="bottom"/>
          </w:tcPr>
          <w:p w14:paraId="64303323" w14:textId="77777777" w:rsidR="009F6D8A" w:rsidRDefault="009F6D8A">
            <w:pPr>
              <w:rPr>
                <w:rFonts w:ascii="宋体"/>
              </w:rPr>
            </w:pPr>
          </w:p>
        </w:tc>
        <w:tc>
          <w:tcPr>
            <w:tcW w:w="5" w:type="pct"/>
            <w:shd w:val="clear" w:color="auto" w:fill="auto"/>
            <w:vAlign w:val="bottom"/>
          </w:tcPr>
          <w:p w14:paraId="64303324" w14:textId="77777777" w:rsidR="009F6D8A" w:rsidRDefault="009F6D8A">
            <w:pPr>
              <w:rPr>
                <w:rFonts w:ascii="宋体"/>
              </w:rPr>
            </w:pPr>
          </w:p>
        </w:tc>
        <w:tc>
          <w:tcPr>
            <w:tcW w:w="50" w:type="pct"/>
            <w:shd w:val="clear" w:color="auto" w:fill="auto"/>
            <w:vAlign w:val="bottom"/>
          </w:tcPr>
          <w:p w14:paraId="64303325" w14:textId="77777777" w:rsidR="009F6D8A" w:rsidRDefault="009F6D8A">
            <w:pPr>
              <w:rPr>
                <w:rFonts w:ascii="宋体"/>
              </w:rPr>
            </w:pPr>
          </w:p>
        </w:tc>
        <w:tc>
          <w:tcPr>
            <w:tcW w:w="478" w:type="pct"/>
            <w:shd w:val="clear" w:color="auto" w:fill="auto"/>
            <w:vAlign w:val="bottom"/>
          </w:tcPr>
          <w:p w14:paraId="64303326" w14:textId="77777777" w:rsidR="009F6D8A" w:rsidRDefault="009F6D8A">
            <w:pPr>
              <w:rPr>
                <w:rFonts w:ascii="宋体"/>
              </w:rPr>
            </w:pPr>
          </w:p>
        </w:tc>
        <w:tc>
          <w:tcPr>
            <w:tcW w:w="5" w:type="pct"/>
            <w:shd w:val="clear" w:color="auto" w:fill="auto"/>
            <w:vAlign w:val="bottom"/>
          </w:tcPr>
          <w:p w14:paraId="64303327" w14:textId="77777777" w:rsidR="009F6D8A" w:rsidRDefault="009F6D8A">
            <w:pPr>
              <w:rPr>
                <w:rFonts w:ascii="宋体"/>
              </w:rPr>
            </w:pPr>
          </w:p>
        </w:tc>
        <w:tc>
          <w:tcPr>
            <w:tcW w:w="0" w:type="auto"/>
            <w:shd w:val="clear" w:color="auto" w:fill="auto"/>
            <w:vAlign w:val="bottom"/>
          </w:tcPr>
          <w:p w14:paraId="64303328" w14:textId="77777777" w:rsidR="009F6D8A" w:rsidRDefault="009F6D8A">
            <w:pPr>
              <w:rPr>
                <w:rFonts w:ascii="宋体"/>
                <w:vanish/>
              </w:rPr>
            </w:pPr>
          </w:p>
        </w:tc>
        <w:tc>
          <w:tcPr>
            <w:tcW w:w="0" w:type="auto"/>
            <w:shd w:val="clear" w:color="auto" w:fill="auto"/>
            <w:vAlign w:val="bottom"/>
          </w:tcPr>
          <w:p w14:paraId="64303329" w14:textId="77777777" w:rsidR="009F6D8A" w:rsidRDefault="009F6D8A">
            <w:pPr>
              <w:rPr>
                <w:rFonts w:ascii="宋体"/>
                <w:vanish/>
              </w:rPr>
            </w:pPr>
          </w:p>
        </w:tc>
        <w:tc>
          <w:tcPr>
            <w:tcW w:w="0" w:type="auto"/>
            <w:gridSpan w:val="3"/>
            <w:shd w:val="clear" w:color="auto" w:fill="auto"/>
            <w:vAlign w:val="bottom"/>
          </w:tcPr>
          <w:p w14:paraId="6430332A" w14:textId="77777777" w:rsidR="009F6D8A" w:rsidRDefault="009F6D8A">
            <w:pPr>
              <w:rPr>
                <w:rFonts w:ascii="宋体"/>
                <w:vanish/>
              </w:rPr>
            </w:pPr>
          </w:p>
        </w:tc>
        <w:tc>
          <w:tcPr>
            <w:tcW w:w="0" w:type="auto"/>
            <w:gridSpan w:val="3"/>
            <w:shd w:val="clear" w:color="auto" w:fill="auto"/>
            <w:vAlign w:val="bottom"/>
          </w:tcPr>
          <w:p w14:paraId="6430332B" w14:textId="77777777" w:rsidR="009F6D8A" w:rsidRDefault="009F6D8A">
            <w:pPr>
              <w:rPr>
                <w:rFonts w:ascii="宋体"/>
                <w:vanish/>
              </w:rPr>
            </w:pPr>
          </w:p>
        </w:tc>
      </w:tr>
      <w:tr w:rsidR="009F6D8A" w14:paraId="64303339" w14:textId="77777777">
        <w:trPr>
          <w:jc w:val="center"/>
        </w:trPr>
        <w:tc>
          <w:tcPr>
            <w:tcW w:w="0" w:type="auto"/>
            <w:gridSpan w:val="3"/>
            <w:shd w:val="clear" w:color="auto" w:fill="auto"/>
            <w:tcMar>
              <w:top w:w="40" w:type="dxa"/>
              <w:left w:w="20" w:type="dxa"/>
              <w:bottom w:w="40" w:type="dxa"/>
              <w:right w:w="20" w:type="dxa"/>
            </w:tcMar>
            <w:vAlign w:val="bottom"/>
          </w:tcPr>
          <w:p w14:paraId="6430332D" w14:textId="77777777" w:rsidR="009F6D8A" w:rsidRDefault="00C50974">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6430332E" w14:textId="77777777" w:rsidR="009F6D8A" w:rsidRDefault="00C50974">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Mar>
              <w:top w:w="0" w:type="dxa"/>
              <w:left w:w="20" w:type="dxa"/>
              <w:bottom w:w="0" w:type="dxa"/>
              <w:right w:w="20" w:type="dxa"/>
            </w:tcMar>
            <w:vAlign w:val="bottom"/>
          </w:tcPr>
          <w:p w14:paraId="6430332F"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3330" w14:textId="77777777" w:rsidR="009F6D8A" w:rsidRDefault="00C50974">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c>
          <w:tcPr>
            <w:tcW w:w="0" w:type="auto"/>
            <w:shd w:val="clear" w:color="auto" w:fill="auto"/>
            <w:vAlign w:val="bottom"/>
          </w:tcPr>
          <w:p w14:paraId="64303331" w14:textId="77777777" w:rsidR="009F6D8A" w:rsidRDefault="009F6D8A">
            <w:pPr>
              <w:rPr>
                <w:rFonts w:ascii="宋体"/>
                <w:vanish/>
              </w:rPr>
            </w:pPr>
          </w:p>
        </w:tc>
        <w:tc>
          <w:tcPr>
            <w:tcW w:w="0" w:type="auto"/>
            <w:shd w:val="clear" w:color="auto" w:fill="auto"/>
            <w:vAlign w:val="bottom"/>
          </w:tcPr>
          <w:p w14:paraId="64303332" w14:textId="77777777" w:rsidR="009F6D8A" w:rsidRDefault="009F6D8A">
            <w:pPr>
              <w:rPr>
                <w:rFonts w:ascii="宋体"/>
                <w:vanish/>
              </w:rPr>
            </w:pPr>
          </w:p>
        </w:tc>
        <w:tc>
          <w:tcPr>
            <w:tcW w:w="0" w:type="auto"/>
            <w:shd w:val="clear" w:color="auto" w:fill="auto"/>
            <w:vAlign w:val="bottom"/>
          </w:tcPr>
          <w:p w14:paraId="64303333" w14:textId="77777777" w:rsidR="009F6D8A" w:rsidRDefault="009F6D8A">
            <w:pPr>
              <w:rPr>
                <w:rFonts w:ascii="宋体"/>
              </w:rPr>
            </w:pPr>
          </w:p>
        </w:tc>
        <w:tc>
          <w:tcPr>
            <w:tcW w:w="0" w:type="auto"/>
            <w:shd w:val="clear" w:color="auto" w:fill="auto"/>
            <w:vAlign w:val="bottom"/>
          </w:tcPr>
          <w:p w14:paraId="64303334" w14:textId="77777777" w:rsidR="009F6D8A" w:rsidRDefault="009F6D8A">
            <w:pPr>
              <w:rPr>
                <w:rFonts w:ascii="宋体"/>
              </w:rPr>
            </w:pPr>
          </w:p>
        </w:tc>
        <w:tc>
          <w:tcPr>
            <w:tcW w:w="0" w:type="auto"/>
            <w:shd w:val="clear" w:color="auto" w:fill="auto"/>
            <w:vAlign w:val="bottom"/>
          </w:tcPr>
          <w:p w14:paraId="64303335" w14:textId="77777777" w:rsidR="009F6D8A" w:rsidRDefault="009F6D8A">
            <w:pPr>
              <w:rPr>
                <w:rFonts w:ascii="宋体"/>
              </w:rPr>
            </w:pPr>
          </w:p>
        </w:tc>
        <w:tc>
          <w:tcPr>
            <w:tcW w:w="0" w:type="auto"/>
            <w:shd w:val="clear" w:color="auto" w:fill="auto"/>
            <w:vAlign w:val="bottom"/>
          </w:tcPr>
          <w:p w14:paraId="64303336" w14:textId="77777777" w:rsidR="009F6D8A" w:rsidRDefault="009F6D8A">
            <w:pPr>
              <w:rPr>
                <w:rFonts w:ascii="宋体"/>
              </w:rPr>
            </w:pPr>
          </w:p>
        </w:tc>
        <w:tc>
          <w:tcPr>
            <w:tcW w:w="0" w:type="auto"/>
            <w:shd w:val="clear" w:color="auto" w:fill="auto"/>
            <w:vAlign w:val="bottom"/>
          </w:tcPr>
          <w:p w14:paraId="64303337" w14:textId="77777777" w:rsidR="009F6D8A" w:rsidRDefault="009F6D8A">
            <w:pPr>
              <w:rPr>
                <w:rFonts w:ascii="宋体"/>
              </w:rPr>
            </w:pPr>
          </w:p>
        </w:tc>
        <w:tc>
          <w:tcPr>
            <w:tcW w:w="0" w:type="auto"/>
            <w:shd w:val="clear" w:color="auto" w:fill="auto"/>
            <w:vAlign w:val="bottom"/>
          </w:tcPr>
          <w:p w14:paraId="64303338" w14:textId="77777777" w:rsidR="009F6D8A" w:rsidRDefault="009F6D8A">
            <w:pPr>
              <w:rPr>
                <w:rFonts w:ascii="宋体"/>
              </w:rPr>
            </w:pPr>
          </w:p>
        </w:tc>
      </w:tr>
      <w:tr w:rsidR="009F6D8A" w14:paraId="64303346" w14:textId="77777777">
        <w:trPr>
          <w:jc w:val="center"/>
        </w:trPr>
        <w:tc>
          <w:tcPr>
            <w:tcW w:w="0" w:type="auto"/>
            <w:gridSpan w:val="3"/>
            <w:shd w:val="clear" w:color="auto" w:fill="auto"/>
            <w:tcMar>
              <w:top w:w="40" w:type="dxa"/>
              <w:left w:w="20" w:type="dxa"/>
              <w:bottom w:w="40" w:type="dxa"/>
              <w:right w:w="20" w:type="dxa"/>
            </w:tcMar>
            <w:vAlign w:val="bottom"/>
          </w:tcPr>
          <w:p w14:paraId="6430333A" w14:textId="77777777" w:rsidR="009F6D8A" w:rsidRDefault="00C50974">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33B" w14:textId="77777777" w:rsidR="009F6D8A" w:rsidRDefault="00C50974">
            <w:pPr>
              <w:jc w:val="center"/>
              <w:textAlignment w:val="bottom"/>
            </w:pPr>
            <w:r>
              <w:rPr>
                <w:rFonts w:ascii="Arial" w:eastAsia="宋体" w:hAnsi="Arial" w:cs="Arial"/>
                <w:b/>
                <w:bCs/>
                <w:color w:val="000000"/>
                <w:sz w:val="16"/>
                <w:szCs w:val="16"/>
              </w:rPr>
              <w:t xml:space="preserve">2021 </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33C"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33D" w14:textId="77777777" w:rsidR="009F6D8A" w:rsidRDefault="00C50974">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430333E"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33F" w14:textId="77777777" w:rsidR="009F6D8A" w:rsidRDefault="00C50974">
            <w:pPr>
              <w:jc w:val="center"/>
              <w:textAlignment w:val="bottom"/>
            </w:pPr>
            <w:r>
              <w:rPr>
                <w:rFonts w:ascii="Arial" w:eastAsia="宋体" w:hAnsi="Arial" w:cs="Arial"/>
                <w:b/>
                <w:bCs/>
                <w:color w:val="000000"/>
                <w:sz w:val="16"/>
                <w:szCs w:val="16"/>
              </w:rPr>
              <w:t xml:space="preserve">2021 </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340"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341" w14:textId="77777777" w:rsidR="009F6D8A" w:rsidRDefault="00C50974">
            <w:pPr>
              <w:jc w:val="center"/>
              <w:textAlignment w:val="bottom"/>
            </w:pPr>
            <w:r>
              <w:rPr>
                <w:rFonts w:ascii="Arial" w:eastAsia="宋体" w:hAnsi="Arial" w:cs="Arial"/>
                <w:b/>
                <w:bCs/>
                <w:color w:val="000000"/>
                <w:sz w:val="16"/>
                <w:szCs w:val="16"/>
              </w:rPr>
              <w:t xml:space="preserve">2020 </w:t>
            </w:r>
            <w:r>
              <w:rPr>
                <w:rFonts w:ascii="Arial" w:eastAsia="宋体" w:hAnsi="Arial" w:cs="Arial"/>
                <w:b/>
                <w:bCs/>
                <w:color w:val="000000"/>
                <w:sz w:val="10"/>
                <w:szCs w:val="10"/>
              </w:rPr>
              <w:t>(2)</w:t>
            </w:r>
          </w:p>
        </w:tc>
        <w:tc>
          <w:tcPr>
            <w:tcW w:w="0" w:type="auto"/>
            <w:shd w:val="clear" w:color="auto" w:fill="auto"/>
            <w:vAlign w:val="bottom"/>
          </w:tcPr>
          <w:p w14:paraId="64303342" w14:textId="77777777" w:rsidR="009F6D8A" w:rsidRDefault="009F6D8A">
            <w:pPr>
              <w:rPr>
                <w:rFonts w:ascii="宋体"/>
                <w:vanish/>
              </w:rPr>
            </w:pPr>
          </w:p>
        </w:tc>
        <w:tc>
          <w:tcPr>
            <w:tcW w:w="0" w:type="auto"/>
            <w:shd w:val="clear" w:color="auto" w:fill="auto"/>
            <w:vAlign w:val="bottom"/>
          </w:tcPr>
          <w:p w14:paraId="64303343" w14:textId="77777777" w:rsidR="009F6D8A" w:rsidRDefault="009F6D8A">
            <w:pPr>
              <w:rPr>
                <w:rFonts w:ascii="宋体"/>
                <w:vanish/>
              </w:rPr>
            </w:pPr>
          </w:p>
        </w:tc>
        <w:tc>
          <w:tcPr>
            <w:tcW w:w="0" w:type="auto"/>
            <w:gridSpan w:val="3"/>
            <w:shd w:val="clear" w:color="auto" w:fill="auto"/>
            <w:vAlign w:val="bottom"/>
          </w:tcPr>
          <w:p w14:paraId="64303344" w14:textId="77777777" w:rsidR="009F6D8A" w:rsidRDefault="009F6D8A">
            <w:pPr>
              <w:rPr>
                <w:rFonts w:ascii="宋体"/>
                <w:vanish/>
              </w:rPr>
            </w:pPr>
          </w:p>
        </w:tc>
        <w:tc>
          <w:tcPr>
            <w:tcW w:w="0" w:type="auto"/>
            <w:gridSpan w:val="3"/>
            <w:shd w:val="clear" w:color="auto" w:fill="auto"/>
            <w:vAlign w:val="bottom"/>
          </w:tcPr>
          <w:p w14:paraId="64303345" w14:textId="77777777" w:rsidR="009F6D8A" w:rsidRDefault="009F6D8A">
            <w:pPr>
              <w:rPr>
                <w:rFonts w:ascii="宋体"/>
                <w:vanish/>
              </w:rPr>
            </w:pPr>
          </w:p>
        </w:tc>
      </w:tr>
      <w:tr w:rsidR="009F6D8A" w14:paraId="6430335B" w14:textId="77777777">
        <w:trPr>
          <w:jc w:val="center"/>
        </w:trPr>
        <w:tc>
          <w:tcPr>
            <w:tcW w:w="0" w:type="auto"/>
            <w:gridSpan w:val="3"/>
            <w:shd w:val="clear" w:color="auto" w:fill="E1E1E1"/>
            <w:tcMar>
              <w:top w:w="40" w:type="dxa"/>
              <w:left w:w="20" w:type="dxa"/>
              <w:bottom w:w="40" w:type="dxa"/>
              <w:right w:w="20" w:type="dxa"/>
            </w:tcMar>
            <w:vAlign w:val="bottom"/>
          </w:tcPr>
          <w:p w14:paraId="64303347" w14:textId="77777777" w:rsidR="009F6D8A" w:rsidRDefault="00C50974">
            <w:pPr>
              <w:textAlignment w:val="bottom"/>
            </w:pPr>
            <w:r>
              <w:rPr>
                <w:rFonts w:ascii="Arial" w:eastAsia="宋体" w:hAnsi="Arial" w:cs="Arial"/>
                <w:color w:val="000000"/>
                <w:sz w:val="18"/>
                <w:szCs w:val="18"/>
              </w:rPr>
              <w:t>eBay Korea income from discontinued operations, net of income taxes</w:t>
            </w:r>
          </w:p>
        </w:tc>
        <w:tc>
          <w:tcPr>
            <w:tcW w:w="0" w:type="auto"/>
            <w:tcBorders>
              <w:top w:val="single" w:sz="8" w:space="0" w:color="000000"/>
            </w:tcBorders>
            <w:shd w:val="clear" w:color="auto" w:fill="E1E1E1"/>
            <w:tcMar>
              <w:top w:w="40" w:type="dxa"/>
              <w:left w:w="20" w:type="dxa"/>
              <w:bottom w:w="40" w:type="dxa"/>
              <w:right w:w="0" w:type="dxa"/>
            </w:tcMar>
            <w:vAlign w:val="bottom"/>
          </w:tcPr>
          <w:p w14:paraId="64303348"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349" w14:textId="77777777" w:rsidR="009F6D8A" w:rsidRDefault="00C50974">
            <w:pPr>
              <w:jc w:val="right"/>
              <w:textAlignment w:val="bottom"/>
            </w:pPr>
            <w:r>
              <w:rPr>
                <w:rFonts w:ascii="Arial" w:eastAsia="宋体" w:hAnsi="Arial" w:cs="Arial"/>
                <w:color w:val="000000"/>
                <w:sz w:val="18"/>
                <w:szCs w:val="18"/>
              </w:rPr>
              <w:t>3 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34A"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34B"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34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34D" w14:textId="77777777" w:rsidR="009F6D8A" w:rsidRDefault="00C50974">
            <w:pPr>
              <w:jc w:val="right"/>
              <w:textAlignment w:val="bottom"/>
            </w:pPr>
            <w:r>
              <w:rPr>
                <w:rFonts w:ascii="Arial" w:eastAsia="宋体" w:hAnsi="Arial" w:cs="Arial"/>
                <w:color w:val="000000"/>
                <w:sz w:val="18"/>
                <w:szCs w:val="18"/>
              </w:rPr>
              <w:t>20 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34E"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34F"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350"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351" w14:textId="77777777" w:rsidR="009F6D8A" w:rsidRDefault="00C50974">
            <w:pPr>
              <w:jc w:val="right"/>
              <w:textAlignment w:val="bottom"/>
            </w:pPr>
            <w:r>
              <w:rPr>
                <w:rFonts w:ascii="Arial" w:eastAsia="宋体" w:hAnsi="Arial" w:cs="Arial"/>
                <w:color w:val="000000"/>
                <w:sz w:val="18"/>
                <w:szCs w:val="18"/>
              </w:rPr>
              <w:t>4 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352"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353"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354"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355" w14:textId="77777777" w:rsidR="009F6D8A" w:rsidRDefault="00C50974">
            <w:pPr>
              <w:jc w:val="right"/>
              <w:textAlignment w:val="bottom"/>
            </w:pPr>
            <w:r>
              <w:rPr>
                <w:rFonts w:ascii="Arial" w:eastAsia="宋体" w:hAnsi="Arial" w:cs="Arial"/>
                <w:color w:val="000000"/>
                <w:sz w:val="18"/>
                <w:szCs w:val="18"/>
              </w:rPr>
              <w:t>30 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356" w14:textId="77777777" w:rsidR="009F6D8A" w:rsidRDefault="009F6D8A">
            <w:pPr>
              <w:jc w:val="right"/>
              <w:rPr>
                <w:rFonts w:ascii="宋体"/>
              </w:rPr>
            </w:pPr>
          </w:p>
        </w:tc>
        <w:tc>
          <w:tcPr>
            <w:tcW w:w="0" w:type="auto"/>
            <w:shd w:val="clear" w:color="auto" w:fill="auto"/>
            <w:vAlign w:val="bottom"/>
          </w:tcPr>
          <w:p w14:paraId="64303357" w14:textId="77777777" w:rsidR="009F6D8A" w:rsidRDefault="009F6D8A">
            <w:pPr>
              <w:rPr>
                <w:rFonts w:ascii="宋体"/>
                <w:vanish/>
              </w:rPr>
            </w:pPr>
          </w:p>
        </w:tc>
        <w:tc>
          <w:tcPr>
            <w:tcW w:w="0" w:type="auto"/>
            <w:shd w:val="clear" w:color="auto" w:fill="auto"/>
            <w:vAlign w:val="bottom"/>
          </w:tcPr>
          <w:p w14:paraId="64303358" w14:textId="77777777" w:rsidR="009F6D8A" w:rsidRDefault="009F6D8A">
            <w:pPr>
              <w:rPr>
                <w:rFonts w:ascii="宋体"/>
                <w:vanish/>
              </w:rPr>
            </w:pPr>
          </w:p>
        </w:tc>
        <w:tc>
          <w:tcPr>
            <w:tcW w:w="0" w:type="auto"/>
            <w:gridSpan w:val="3"/>
            <w:shd w:val="clear" w:color="auto" w:fill="auto"/>
            <w:vAlign w:val="bottom"/>
          </w:tcPr>
          <w:p w14:paraId="64303359" w14:textId="77777777" w:rsidR="009F6D8A" w:rsidRDefault="009F6D8A">
            <w:pPr>
              <w:rPr>
                <w:rFonts w:ascii="宋体"/>
                <w:vanish/>
              </w:rPr>
            </w:pPr>
          </w:p>
        </w:tc>
        <w:tc>
          <w:tcPr>
            <w:tcW w:w="0" w:type="auto"/>
            <w:gridSpan w:val="3"/>
            <w:shd w:val="clear" w:color="auto" w:fill="auto"/>
            <w:vAlign w:val="bottom"/>
          </w:tcPr>
          <w:p w14:paraId="6430335A" w14:textId="77777777" w:rsidR="009F6D8A" w:rsidRDefault="009F6D8A">
            <w:pPr>
              <w:rPr>
                <w:rFonts w:ascii="宋体"/>
                <w:vanish/>
              </w:rPr>
            </w:pPr>
          </w:p>
        </w:tc>
      </w:tr>
      <w:tr w:rsidR="009F6D8A" w14:paraId="6430336C" w14:textId="77777777">
        <w:trPr>
          <w:jc w:val="center"/>
        </w:trPr>
        <w:tc>
          <w:tcPr>
            <w:tcW w:w="0" w:type="auto"/>
            <w:gridSpan w:val="3"/>
            <w:shd w:val="clear" w:color="auto" w:fill="FFFFFF"/>
            <w:tcMar>
              <w:top w:w="40" w:type="dxa"/>
              <w:left w:w="20" w:type="dxa"/>
              <w:bottom w:w="40" w:type="dxa"/>
              <w:right w:w="20" w:type="dxa"/>
            </w:tcMar>
            <w:vAlign w:val="bottom"/>
          </w:tcPr>
          <w:p w14:paraId="6430335C" w14:textId="77777777" w:rsidR="009F6D8A" w:rsidRDefault="00C50974">
            <w:pPr>
              <w:textAlignment w:val="bottom"/>
            </w:pPr>
            <w:r>
              <w:rPr>
                <w:rFonts w:ascii="Arial" w:eastAsia="宋体" w:hAnsi="Arial" w:cs="Arial"/>
                <w:color w:val="000000"/>
                <w:sz w:val="18"/>
                <w:szCs w:val="18"/>
              </w:rPr>
              <w:t>Classifieds income from discontinued operations, net of income taxes</w:t>
            </w:r>
          </w:p>
        </w:tc>
        <w:tc>
          <w:tcPr>
            <w:tcW w:w="0" w:type="auto"/>
            <w:gridSpan w:val="2"/>
            <w:shd w:val="clear" w:color="auto" w:fill="FFFFFF"/>
            <w:tcMar>
              <w:top w:w="40" w:type="dxa"/>
              <w:left w:w="20" w:type="dxa"/>
              <w:bottom w:w="40" w:type="dxa"/>
              <w:right w:w="0" w:type="dxa"/>
            </w:tcMar>
            <w:vAlign w:val="bottom"/>
          </w:tcPr>
          <w:p w14:paraId="6430335D" w14:textId="77777777" w:rsidR="009F6D8A" w:rsidRDefault="00C50974">
            <w:pPr>
              <w:jc w:val="right"/>
              <w:textAlignment w:val="bottom"/>
            </w:pPr>
            <w:r>
              <w:rPr>
                <w:rFonts w:ascii="Arial" w:eastAsia="宋体" w:hAnsi="Arial" w:cs="Arial"/>
                <w:color w:val="000000"/>
                <w:sz w:val="18"/>
                <w:szCs w:val="18"/>
              </w:rPr>
              <w:t>10,428 </w:t>
            </w:r>
          </w:p>
        </w:tc>
        <w:tc>
          <w:tcPr>
            <w:tcW w:w="0" w:type="auto"/>
            <w:shd w:val="clear" w:color="auto" w:fill="FFFFFF"/>
            <w:tcMar>
              <w:top w:w="40" w:type="dxa"/>
              <w:left w:w="0" w:type="dxa"/>
              <w:bottom w:w="40" w:type="dxa"/>
              <w:right w:w="20" w:type="dxa"/>
            </w:tcMar>
            <w:vAlign w:val="bottom"/>
          </w:tcPr>
          <w:p w14:paraId="6430335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35F"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360" w14:textId="77777777" w:rsidR="009F6D8A" w:rsidRDefault="00C50974">
            <w:pPr>
              <w:jc w:val="right"/>
              <w:textAlignment w:val="bottom"/>
            </w:pPr>
            <w:r>
              <w:rPr>
                <w:rFonts w:ascii="Arial" w:eastAsia="宋体" w:hAnsi="Arial" w:cs="Arial"/>
                <w:color w:val="000000"/>
                <w:sz w:val="18"/>
                <w:szCs w:val="18"/>
              </w:rPr>
              <w:t>31 </w:t>
            </w:r>
          </w:p>
        </w:tc>
        <w:tc>
          <w:tcPr>
            <w:tcW w:w="0" w:type="auto"/>
            <w:shd w:val="clear" w:color="auto" w:fill="FFFFFF"/>
            <w:tcMar>
              <w:top w:w="40" w:type="dxa"/>
              <w:left w:w="0" w:type="dxa"/>
              <w:bottom w:w="40" w:type="dxa"/>
              <w:right w:w="20" w:type="dxa"/>
            </w:tcMar>
            <w:vAlign w:val="bottom"/>
          </w:tcPr>
          <w:p w14:paraId="6430336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36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363" w14:textId="77777777" w:rsidR="009F6D8A" w:rsidRDefault="00C50974">
            <w:pPr>
              <w:jc w:val="right"/>
              <w:textAlignment w:val="bottom"/>
            </w:pPr>
            <w:r>
              <w:rPr>
                <w:rFonts w:ascii="Arial" w:eastAsia="宋体" w:hAnsi="Arial" w:cs="Arial"/>
                <w:color w:val="000000"/>
                <w:sz w:val="18"/>
                <w:szCs w:val="18"/>
              </w:rPr>
              <w:t>10,500 </w:t>
            </w:r>
          </w:p>
        </w:tc>
        <w:tc>
          <w:tcPr>
            <w:tcW w:w="0" w:type="auto"/>
            <w:shd w:val="clear" w:color="auto" w:fill="FFFFFF"/>
            <w:tcMar>
              <w:top w:w="40" w:type="dxa"/>
              <w:left w:w="0" w:type="dxa"/>
              <w:bottom w:w="40" w:type="dxa"/>
              <w:right w:w="20" w:type="dxa"/>
            </w:tcMar>
            <w:vAlign w:val="bottom"/>
          </w:tcPr>
          <w:p w14:paraId="6430336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36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366" w14:textId="77777777" w:rsidR="009F6D8A" w:rsidRDefault="00C50974">
            <w:pPr>
              <w:jc w:val="right"/>
              <w:textAlignment w:val="bottom"/>
            </w:pPr>
            <w:r>
              <w:rPr>
                <w:rFonts w:ascii="Arial" w:eastAsia="宋体" w:hAnsi="Arial" w:cs="Arial"/>
                <w:color w:val="000000"/>
                <w:sz w:val="18"/>
                <w:szCs w:val="18"/>
              </w:rPr>
              <w:t>85 </w:t>
            </w:r>
          </w:p>
        </w:tc>
        <w:tc>
          <w:tcPr>
            <w:tcW w:w="0" w:type="auto"/>
            <w:shd w:val="clear" w:color="auto" w:fill="FFFFFF"/>
            <w:tcMar>
              <w:top w:w="40" w:type="dxa"/>
              <w:left w:w="0" w:type="dxa"/>
              <w:bottom w:w="40" w:type="dxa"/>
              <w:right w:w="20" w:type="dxa"/>
            </w:tcMar>
            <w:vAlign w:val="bottom"/>
          </w:tcPr>
          <w:p w14:paraId="64303367" w14:textId="77777777" w:rsidR="009F6D8A" w:rsidRDefault="009F6D8A">
            <w:pPr>
              <w:jc w:val="right"/>
              <w:rPr>
                <w:rFonts w:ascii="宋体"/>
              </w:rPr>
            </w:pPr>
          </w:p>
        </w:tc>
        <w:tc>
          <w:tcPr>
            <w:tcW w:w="0" w:type="auto"/>
            <w:shd w:val="clear" w:color="auto" w:fill="auto"/>
            <w:vAlign w:val="bottom"/>
          </w:tcPr>
          <w:p w14:paraId="64303368" w14:textId="77777777" w:rsidR="009F6D8A" w:rsidRDefault="009F6D8A">
            <w:pPr>
              <w:rPr>
                <w:rFonts w:ascii="宋体"/>
                <w:vanish/>
              </w:rPr>
            </w:pPr>
          </w:p>
        </w:tc>
        <w:tc>
          <w:tcPr>
            <w:tcW w:w="0" w:type="auto"/>
            <w:shd w:val="clear" w:color="auto" w:fill="auto"/>
            <w:vAlign w:val="bottom"/>
          </w:tcPr>
          <w:p w14:paraId="64303369" w14:textId="77777777" w:rsidR="009F6D8A" w:rsidRDefault="009F6D8A">
            <w:pPr>
              <w:rPr>
                <w:rFonts w:ascii="宋体"/>
                <w:vanish/>
              </w:rPr>
            </w:pPr>
          </w:p>
        </w:tc>
        <w:tc>
          <w:tcPr>
            <w:tcW w:w="0" w:type="auto"/>
            <w:gridSpan w:val="3"/>
            <w:shd w:val="clear" w:color="auto" w:fill="auto"/>
            <w:vAlign w:val="bottom"/>
          </w:tcPr>
          <w:p w14:paraId="6430336A" w14:textId="77777777" w:rsidR="009F6D8A" w:rsidRDefault="009F6D8A">
            <w:pPr>
              <w:rPr>
                <w:rFonts w:ascii="宋体"/>
                <w:vanish/>
              </w:rPr>
            </w:pPr>
          </w:p>
        </w:tc>
        <w:tc>
          <w:tcPr>
            <w:tcW w:w="0" w:type="auto"/>
            <w:gridSpan w:val="3"/>
            <w:shd w:val="clear" w:color="auto" w:fill="auto"/>
            <w:vAlign w:val="bottom"/>
          </w:tcPr>
          <w:p w14:paraId="6430336B" w14:textId="77777777" w:rsidR="009F6D8A" w:rsidRDefault="009F6D8A">
            <w:pPr>
              <w:rPr>
                <w:rFonts w:ascii="宋体"/>
                <w:vanish/>
              </w:rPr>
            </w:pPr>
          </w:p>
        </w:tc>
      </w:tr>
      <w:tr w:rsidR="009F6D8A" w14:paraId="6430337D" w14:textId="77777777">
        <w:trPr>
          <w:jc w:val="center"/>
        </w:trPr>
        <w:tc>
          <w:tcPr>
            <w:tcW w:w="0" w:type="auto"/>
            <w:gridSpan w:val="3"/>
            <w:shd w:val="clear" w:color="auto" w:fill="E1E1E1"/>
            <w:tcMar>
              <w:top w:w="40" w:type="dxa"/>
              <w:left w:w="20" w:type="dxa"/>
              <w:bottom w:w="40" w:type="dxa"/>
              <w:right w:w="20" w:type="dxa"/>
            </w:tcMar>
            <w:vAlign w:val="bottom"/>
          </w:tcPr>
          <w:p w14:paraId="6430336D" w14:textId="77777777" w:rsidR="009F6D8A" w:rsidRDefault="00C50974">
            <w:pPr>
              <w:ind w:hanging="180"/>
              <w:textAlignment w:val="bottom"/>
            </w:pPr>
            <w:r>
              <w:rPr>
                <w:rFonts w:ascii="Arial" w:eastAsia="宋体" w:hAnsi="Arial" w:cs="Arial"/>
                <w:color w:val="000000"/>
                <w:sz w:val="18"/>
                <w:szCs w:val="18"/>
              </w:rPr>
              <w:t>StubHub income from discontinued operations, net of income taxes</w:t>
            </w:r>
          </w:p>
        </w:tc>
        <w:tc>
          <w:tcPr>
            <w:tcW w:w="0" w:type="auto"/>
            <w:gridSpan w:val="2"/>
            <w:shd w:val="clear" w:color="auto" w:fill="E1E1E1"/>
            <w:tcMar>
              <w:top w:w="40" w:type="dxa"/>
              <w:left w:w="20" w:type="dxa"/>
              <w:bottom w:w="40" w:type="dxa"/>
              <w:right w:w="0" w:type="dxa"/>
            </w:tcMar>
            <w:vAlign w:val="bottom"/>
          </w:tcPr>
          <w:p w14:paraId="6430336E" w14:textId="77777777" w:rsidR="009F6D8A" w:rsidRDefault="00C50974">
            <w:pPr>
              <w:jc w:val="right"/>
              <w:textAlignment w:val="bottom"/>
            </w:pPr>
            <w:r>
              <w:rPr>
                <w:rFonts w:ascii="Arial" w:eastAsia="宋体" w:hAnsi="Arial" w:cs="Arial"/>
                <w:color w:val="000000"/>
                <w:sz w:val="18"/>
                <w:szCs w:val="18"/>
              </w:rPr>
              <w:t>9 </w:t>
            </w:r>
          </w:p>
        </w:tc>
        <w:tc>
          <w:tcPr>
            <w:tcW w:w="0" w:type="auto"/>
            <w:shd w:val="clear" w:color="auto" w:fill="E1E1E1"/>
            <w:tcMar>
              <w:top w:w="40" w:type="dxa"/>
              <w:left w:w="0" w:type="dxa"/>
              <w:bottom w:w="40" w:type="dxa"/>
              <w:right w:w="20" w:type="dxa"/>
            </w:tcMar>
            <w:vAlign w:val="bottom"/>
          </w:tcPr>
          <w:p w14:paraId="6430336F"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370"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371" w14:textId="77777777" w:rsidR="009F6D8A" w:rsidRDefault="00C50974">
            <w:pPr>
              <w:jc w:val="right"/>
              <w:textAlignment w:val="bottom"/>
            </w:pPr>
            <w:r>
              <w:rPr>
                <w:rFonts w:ascii="Arial" w:eastAsia="宋体" w:hAnsi="Arial" w:cs="Arial"/>
                <w:color w:val="000000"/>
                <w:sz w:val="18"/>
                <w:szCs w:val="18"/>
              </w:rPr>
              <w:t>7 </w:t>
            </w:r>
          </w:p>
        </w:tc>
        <w:tc>
          <w:tcPr>
            <w:tcW w:w="0" w:type="auto"/>
            <w:shd w:val="clear" w:color="auto" w:fill="E1E1E1"/>
            <w:tcMar>
              <w:top w:w="40" w:type="dxa"/>
              <w:left w:w="0" w:type="dxa"/>
              <w:bottom w:w="40" w:type="dxa"/>
              <w:right w:w="20" w:type="dxa"/>
            </w:tcMar>
            <w:vAlign w:val="bottom"/>
          </w:tcPr>
          <w:p w14:paraId="64303372"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373"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374" w14:textId="77777777" w:rsidR="009F6D8A" w:rsidRDefault="00C50974">
            <w:pPr>
              <w:jc w:val="right"/>
              <w:textAlignment w:val="bottom"/>
            </w:pPr>
            <w:r>
              <w:rPr>
                <w:rFonts w:ascii="Arial" w:eastAsia="宋体" w:hAnsi="Arial" w:cs="Arial"/>
                <w:color w:val="000000"/>
                <w:sz w:val="18"/>
                <w:szCs w:val="18"/>
              </w:rPr>
              <w:t>9 </w:t>
            </w:r>
          </w:p>
        </w:tc>
        <w:tc>
          <w:tcPr>
            <w:tcW w:w="0" w:type="auto"/>
            <w:shd w:val="clear" w:color="auto" w:fill="E1E1E1"/>
            <w:tcMar>
              <w:top w:w="40" w:type="dxa"/>
              <w:left w:w="0" w:type="dxa"/>
              <w:bottom w:w="40" w:type="dxa"/>
              <w:right w:w="20" w:type="dxa"/>
            </w:tcMar>
            <w:vAlign w:val="bottom"/>
          </w:tcPr>
          <w:p w14:paraId="64303375"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376"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377" w14:textId="77777777" w:rsidR="009F6D8A" w:rsidRDefault="00C50974">
            <w:pPr>
              <w:jc w:val="right"/>
              <w:textAlignment w:val="bottom"/>
            </w:pPr>
            <w:r>
              <w:rPr>
                <w:rFonts w:ascii="Arial" w:eastAsia="宋体" w:hAnsi="Arial" w:cs="Arial"/>
                <w:color w:val="000000"/>
                <w:sz w:val="18"/>
                <w:szCs w:val="18"/>
              </w:rPr>
              <w:t>2,935 </w:t>
            </w:r>
          </w:p>
        </w:tc>
        <w:tc>
          <w:tcPr>
            <w:tcW w:w="0" w:type="auto"/>
            <w:shd w:val="clear" w:color="auto" w:fill="E1E1E1"/>
            <w:tcMar>
              <w:top w:w="40" w:type="dxa"/>
              <w:left w:w="0" w:type="dxa"/>
              <w:bottom w:w="40" w:type="dxa"/>
              <w:right w:w="20" w:type="dxa"/>
            </w:tcMar>
            <w:vAlign w:val="bottom"/>
          </w:tcPr>
          <w:p w14:paraId="64303378" w14:textId="77777777" w:rsidR="009F6D8A" w:rsidRDefault="009F6D8A">
            <w:pPr>
              <w:jc w:val="right"/>
              <w:rPr>
                <w:rFonts w:ascii="宋体"/>
              </w:rPr>
            </w:pPr>
          </w:p>
        </w:tc>
        <w:tc>
          <w:tcPr>
            <w:tcW w:w="0" w:type="auto"/>
            <w:shd w:val="clear" w:color="auto" w:fill="auto"/>
            <w:vAlign w:val="bottom"/>
          </w:tcPr>
          <w:p w14:paraId="64303379" w14:textId="77777777" w:rsidR="009F6D8A" w:rsidRDefault="009F6D8A">
            <w:pPr>
              <w:rPr>
                <w:rFonts w:ascii="宋体"/>
                <w:vanish/>
              </w:rPr>
            </w:pPr>
          </w:p>
        </w:tc>
        <w:tc>
          <w:tcPr>
            <w:tcW w:w="0" w:type="auto"/>
            <w:shd w:val="clear" w:color="auto" w:fill="auto"/>
            <w:vAlign w:val="bottom"/>
          </w:tcPr>
          <w:p w14:paraId="6430337A" w14:textId="77777777" w:rsidR="009F6D8A" w:rsidRDefault="009F6D8A">
            <w:pPr>
              <w:rPr>
                <w:rFonts w:ascii="宋体"/>
                <w:vanish/>
              </w:rPr>
            </w:pPr>
          </w:p>
        </w:tc>
        <w:tc>
          <w:tcPr>
            <w:tcW w:w="0" w:type="auto"/>
            <w:gridSpan w:val="3"/>
            <w:shd w:val="clear" w:color="auto" w:fill="auto"/>
            <w:vAlign w:val="bottom"/>
          </w:tcPr>
          <w:p w14:paraId="6430337B" w14:textId="77777777" w:rsidR="009F6D8A" w:rsidRDefault="009F6D8A">
            <w:pPr>
              <w:rPr>
                <w:rFonts w:ascii="宋体"/>
                <w:vanish/>
              </w:rPr>
            </w:pPr>
          </w:p>
        </w:tc>
        <w:tc>
          <w:tcPr>
            <w:tcW w:w="0" w:type="auto"/>
            <w:gridSpan w:val="3"/>
            <w:shd w:val="clear" w:color="auto" w:fill="auto"/>
            <w:vAlign w:val="bottom"/>
          </w:tcPr>
          <w:p w14:paraId="6430337C" w14:textId="77777777" w:rsidR="009F6D8A" w:rsidRDefault="009F6D8A">
            <w:pPr>
              <w:rPr>
                <w:rFonts w:ascii="宋体"/>
                <w:vanish/>
              </w:rPr>
            </w:pPr>
          </w:p>
        </w:tc>
      </w:tr>
      <w:tr w:rsidR="009F6D8A" w14:paraId="6430338E" w14:textId="77777777">
        <w:trPr>
          <w:jc w:val="center"/>
        </w:trPr>
        <w:tc>
          <w:tcPr>
            <w:tcW w:w="0" w:type="auto"/>
            <w:gridSpan w:val="3"/>
            <w:shd w:val="clear" w:color="auto" w:fill="FFFFFF"/>
            <w:tcMar>
              <w:top w:w="40" w:type="dxa"/>
              <w:left w:w="20" w:type="dxa"/>
              <w:bottom w:w="40" w:type="dxa"/>
              <w:right w:w="20" w:type="dxa"/>
            </w:tcMar>
            <w:vAlign w:val="bottom"/>
          </w:tcPr>
          <w:p w14:paraId="6430337E" w14:textId="77777777" w:rsidR="009F6D8A" w:rsidRDefault="00C50974">
            <w:pPr>
              <w:textAlignment w:val="bottom"/>
            </w:pPr>
            <w:r>
              <w:rPr>
                <w:rFonts w:ascii="Arial" w:eastAsia="宋体" w:hAnsi="Arial" w:cs="Arial"/>
                <w:color w:val="000000"/>
                <w:sz w:val="18"/>
                <w:szCs w:val="18"/>
              </w:rPr>
              <w:t>PayPal and Enterprise income (loss) from discontinued operations, net of income taxes</w:t>
            </w:r>
          </w:p>
        </w:tc>
        <w:tc>
          <w:tcPr>
            <w:tcW w:w="0" w:type="auto"/>
            <w:gridSpan w:val="2"/>
            <w:shd w:val="clear" w:color="auto" w:fill="FFFFFF"/>
            <w:tcMar>
              <w:top w:w="40" w:type="dxa"/>
              <w:left w:w="20" w:type="dxa"/>
              <w:bottom w:w="40" w:type="dxa"/>
              <w:right w:w="0" w:type="dxa"/>
            </w:tcMar>
            <w:vAlign w:val="bottom"/>
          </w:tcPr>
          <w:p w14:paraId="6430337F"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38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381"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382" w14:textId="77777777" w:rsidR="009F6D8A" w:rsidRDefault="00C50974">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6430338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38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385"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38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38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388" w14:textId="77777777" w:rsidR="009F6D8A" w:rsidRDefault="00C50974">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64303389" w14:textId="77777777" w:rsidR="009F6D8A" w:rsidRDefault="009F6D8A">
            <w:pPr>
              <w:jc w:val="right"/>
              <w:rPr>
                <w:rFonts w:ascii="宋体"/>
              </w:rPr>
            </w:pPr>
          </w:p>
        </w:tc>
        <w:tc>
          <w:tcPr>
            <w:tcW w:w="0" w:type="auto"/>
            <w:shd w:val="clear" w:color="auto" w:fill="auto"/>
            <w:vAlign w:val="bottom"/>
          </w:tcPr>
          <w:p w14:paraId="6430338A" w14:textId="77777777" w:rsidR="009F6D8A" w:rsidRDefault="009F6D8A">
            <w:pPr>
              <w:rPr>
                <w:rFonts w:ascii="宋体"/>
                <w:vanish/>
              </w:rPr>
            </w:pPr>
          </w:p>
        </w:tc>
        <w:tc>
          <w:tcPr>
            <w:tcW w:w="0" w:type="auto"/>
            <w:shd w:val="clear" w:color="auto" w:fill="auto"/>
            <w:vAlign w:val="bottom"/>
          </w:tcPr>
          <w:p w14:paraId="6430338B" w14:textId="77777777" w:rsidR="009F6D8A" w:rsidRDefault="009F6D8A">
            <w:pPr>
              <w:rPr>
                <w:rFonts w:ascii="宋体"/>
                <w:vanish/>
              </w:rPr>
            </w:pPr>
          </w:p>
        </w:tc>
        <w:tc>
          <w:tcPr>
            <w:tcW w:w="0" w:type="auto"/>
            <w:gridSpan w:val="3"/>
            <w:shd w:val="clear" w:color="auto" w:fill="auto"/>
            <w:vAlign w:val="bottom"/>
          </w:tcPr>
          <w:p w14:paraId="6430338C" w14:textId="77777777" w:rsidR="009F6D8A" w:rsidRDefault="009F6D8A">
            <w:pPr>
              <w:rPr>
                <w:rFonts w:ascii="宋体"/>
                <w:vanish/>
              </w:rPr>
            </w:pPr>
          </w:p>
        </w:tc>
        <w:tc>
          <w:tcPr>
            <w:tcW w:w="0" w:type="auto"/>
            <w:gridSpan w:val="3"/>
            <w:shd w:val="clear" w:color="auto" w:fill="auto"/>
            <w:vAlign w:val="bottom"/>
          </w:tcPr>
          <w:p w14:paraId="6430338D" w14:textId="77777777" w:rsidR="009F6D8A" w:rsidRDefault="009F6D8A">
            <w:pPr>
              <w:rPr>
                <w:rFonts w:ascii="宋体"/>
                <w:vanish/>
              </w:rPr>
            </w:pPr>
          </w:p>
        </w:tc>
      </w:tr>
      <w:tr w:rsidR="009F6D8A" w14:paraId="643033A3" w14:textId="77777777">
        <w:trPr>
          <w:jc w:val="center"/>
        </w:trPr>
        <w:tc>
          <w:tcPr>
            <w:tcW w:w="0" w:type="auto"/>
            <w:gridSpan w:val="3"/>
            <w:shd w:val="clear" w:color="auto" w:fill="E1E1E1"/>
            <w:tcMar>
              <w:top w:w="40" w:type="dxa"/>
              <w:left w:w="875" w:type="dxa"/>
              <w:bottom w:w="40" w:type="dxa"/>
              <w:right w:w="20" w:type="dxa"/>
            </w:tcMar>
            <w:vAlign w:val="bottom"/>
          </w:tcPr>
          <w:p w14:paraId="6430338F" w14:textId="77777777" w:rsidR="009F6D8A" w:rsidRDefault="00C50974">
            <w:pPr>
              <w:textAlignment w:val="bottom"/>
            </w:pPr>
            <w:r>
              <w:rPr>
                <w:rFonts w:ascii="Arial" w:eastAsia="宋体" w:hAnsi="Arial" w:cs="Arial"/>
                <w:color w:val="000000"/>
                <w:sz w:val="18"/>
                <w:szCs w:val="18"/>
              </w:rPr>
              <w:t>Income from discontinued operations, net of income taxes</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390"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391" w14:textId="77777777" w:rsidR="009F6D8A" w:rsidRDefault="00C50974">
            <w:pPr>
              <w:jc w:val="right"/>
              <w:textAlignment w:val="bottom"/>
            </w:pPr>
            <w:r>
              <w:rPr>
                <w:rFonts w:ascii="Arial" w:eastAsia="宋体" w:hAnsi="Arial" w:cs="Arial"/>
                <w:color w:val="000000"/>
                <w:sz w:val="18"/>
                <w:szCs w:val="18"/>
              </w:rPr>
              <w:t>10,440 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392"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393"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394"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395" w14:textId="77777777" w:rsidR="009F6D8A" w:rsidRDefault="00C50974">
            <w:pPr>
              <w:jc w:val="right"/>
              <w:textAlignment w:val="bottom"/>
            </w:pPr>
            <w:r>
              <w:rPr>
                <w:rFonts w:ascii="Arial" w:eastAsia="宋体" w:hAnsi="Arial" w:cs="Arial"/>
                <w:color w:val="000000"/>
                <w:sz w:val="18"/>
                <w:szCs w:val="18"/>
              </w:rPr>
              <w:t>57 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396"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397"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398"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399" w14:textId="77777777" w:rsidR="009F6D8A" w:rsidRDefault="00C50974">
            <w:pPr>
              <w:jc w:val="right"/>
              <w:textAlignment w:val="bottom"/>
            </w:pPr>
            <w:r>
              <w:rPr>
                <w:rFonts w:ascii="Arial" w:eastAsia="宋体" w:hAnsi="Arial" w:cs="Arial"/>
                <w:color w:val="000000"/>
                <w:sz w:val="18"/>
                <w:szCs w:val="18"/>
              </w:rPr>
              <w:t>10,513 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39A"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39B"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39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39D" w14:textId="77777777" w:rsidR="009F6D8A" w:rsidRDefault="00C50974">
            <w:pPr>
              <w:jc w:val="right"/>
              <w:textAlignment w:val="bottom"/>
            </w:pPr>
            <w:r>
              <w:rPr>
                <w:rFonts w:ascii="Arial" w:eastAsia="宋体" w:hAnsi="Arial" w:cs="Arial"/>
                <w:color w:val="000000"/>
                <w:sz w:val="18"/>
                <w:szCs w:val="18"/>
              </w:rPr>
              <w:t>3,048 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39E" w14:textId="77777777" w:rsidR="009F6D8A" w:rsidRDefault="009F6D8A">
            <w:pPr>
              <w:jc w:val="right"/>
              <w:rPr>
                <w:rFonts w:ascii="宋体"/>
              </w:rPr>
            </w:pPr>
          </w:p>
        </w:tc>
        <w:tc>
          <w:tcPr>
            <w:tcW w:w="0" w:type="auto"/>
            <w:shd w:val="clear" w:color="auto" w:fill="auto"/>
            <w:vAlign w:val="bottom"/>
          </w:tcPr>
          <w:p w14:paraId="6430339F" w14:textId="77777777" w:rsidR="009F6D8A" w:rsidRDefault="009F6D8A">
            <w:pPr>
              <w:rPr>
                <w:rFonts w:ascii="宋体"/>
                <w:vanish/>
              </w:rPr>
            </w:pPr>
          </w:p>
        </w:tc>
        <w:tc>
          <w:tcPr>
            <w:tcW w:w="0" w:type="auto"/>
            <w:shd w:val="clear" w:color="auto" w:fill="auto"/>
            <w:vAlign w:val="bottom"/>
          </w:tcPr>
          <w:p w14:paraId="643033A0" w14:textId="77777777" w:rsidR="009F6D8A" w:rsidRDefault="009F6D8A">
            <w:pPr>
              <w:rPr>
                <w:rFonts w:ascii="宋体"/>
                <w:vanish/>
              </w:rPr>
            </w:pPr>
          </w:p>
        </w:tc>
        <w:tc>
          <w:tcPr>
            <w:tcW w:w="0" w:type="auto"/>
            <w:gridSpan w:val="3"/>
            <w:shd w:val="clear" w:color="auto" w:fill="auto"/>
            <w:vAlign w:val="bottom"/>
          </w:tcPr>
          <w:p w14:paraId="643033A1" w14:textId="77777777" w:rsidR="009F6D8A" w:rsidRDefault="009F6D8A">
            <w:pPr>
              <w:rPr>
                <w:rFonts w:ascii="宋体"/>
                <w:vanish/>
              </w:rPr>
            </w:pPr>
          </w:p>
        </w:tc>
        <w:tc>
          <w:tcPr>
            <w:tcW w:w="0" w:type="auto"/>
            <w:gridSpan w:val="3"/>
            <w:shd w:val="clear" w:color="auto" w:fill="auto"/>
            <w:vAlign w:val="bottom"/>
          </w:tcPr>
          <w:p w14:paraId="643033A2" w14:textId="77777777" w:rsidR="009F6D8A" w:rsidRDefault="009F6D8A">
            <w:pPr>
              <w:rPr>
                <w:rFonts w:ascii="宋体"/>
                <w:vanish/>
              </w:rPr>
            </w:pPr>
          </w:p>
        </w:tc>
      </w:tr>
    </w:tbl>
    <w:p w14:paraId="643033A4" w14:textId="77777777" w:rsidR="009F6D8A" w:rsidRDefault="00C50974">
      <w:pPr>
        <w:ind w:hanging="180"/>
      </w:pPr>
      <w:r>
        <w:rPr>
          <w:rFonts w:ascii="Arial" w:eastAsia="宋体" w:hAnsi="Arial" w:cs="Arial"/>
          <w:color w:val="000000"/>
          <w:sz w:val="13"/>
          <w:szCs w:val="13"/>
        </w:rPr>
        <w:t>(1)</w:t>
      </w:r>
      <w:r>
        <w:rPr>
          <w:rFonts w:ascii="Arial" w:eastAsia="宋体" w:hAnsi="Arial" w:cs="Arial"/>
          <w:color w:val="000000"/>
          <w:sz w:val="9"/>
          <w:szCs w:val="9"/>
        </w:rPr>
        <w:t xml:space="preserve"> </w:t>
      </w:r>
      <w:r>
        <w:rPr>
          <w:rFonts w:ascii="Arial" w:eastAsia="宋体" w:hAnsi="Arial" w:cs="Arial"/>
          <w:color w:val="000000"/>
          <w:sz w:val="16"/>
          <w:szCs w:val="16"/>
        </w:rPr>
        <w:t xml:space="preserve">Includes Classifieds financial results through the transaction close on June </w:t>
      </w:r>
      <w:r>
        <w:rPr>
          <w:rFonts w:ascii="Arial" w:eastAsia="宋体" w:hAnsi="Arial" w:cs="Arial"/>
          <w:color w:val="000000"/>
          <w:sz w:val="16"/>
          <w:szCs w:val="16"/>
        </w:rPr>
        <w:t>24, 2021 and includes the gain on sale recorded for the Classifieds transaction.</w:t>
      </w:r>
    </w:p>
    <w:p w14:paraId="643033A5" w14:textId="77777777" w:rsidR="009F6D8A" w:rsidRDefault="00C50974">
      <w:pPr>
        <w:ind w:hanging="180"/>
      </w:pPr>
      <w:r>
        <w:rPr>
          <w:rFonts w:ascii="Arial" w:eastAsia="宋体" w:hAnsi="Arial" w:cs="Arial"/>
          <w:color w:val="000000"/>
          <w:sz w:val="13"/>
          <w:szCs w:val="13"/>
        </w:rPr>
        <w:t>(2)</w:t>
      </w:r>
      <w:r>
        <w:rPr>
          <w:rFonts w:ascii="Arial" w:eastAsia="宋体" w:hAnsi="Arial" w:cs="Arial"/>
          <w:color w:val="000000"/>
          <w:sz w:val="9"/>
          <w:szCs w:val="9"/>
        </w:rPr>
        <w:t xml:space="preserve"> </w:t>
      </w:r>
      <w:r>
        <w:rPr>
          <w:rFonts w:ascii="Arial" w:eastAsia="宋体" w:hAnsi="Arial" w:cs="Arial"/>
          <w:color w:val="000000"/>
          <w:sz w:val="16"/>
          <w:szCs w:val="16"/>
        </w:rPr>
        <w:t>Includes StubHub financial results from January 1, 2020 to February 13, 2020, and includes the gain on sale recorded for the StubHub transaction.</w:t>
      </w:r>
    </w:p>
    <w:p w14:paraId="643033A6" w14:textId="77777777" w:rsidR="009F6D8A" w:rsidRDefault="009F6D8A"/>
    <w:p w14:paraId="643033A7" w14:textId="77777777" w:rsidR="009F6D8A" w:rsidRDefault="00C50974">
      <w:pPr>
        <w:spacing w:after="120"/>
        <w:ind w:firstLine="540"/>
      </w:pPr>
      <w:r>
        <w:rPr>
          <w:rFonts w:ascii="Arial" w:eastAsia="宋体" w:hAnsi="Arial" w:cs="Arial"/>
          <w:color w:val="000000"/>
          <w:sz w:val="20"/>
          <w:szCs w:val="20"/>
        </w:rPr>
        <w:t>The following table pres</w:t>
      </w:r>
      <w:r>
        <w:rPr>
          <w:rFonts w:ascii="Arial" w:eastAsia="宋体" w:hAnsi="Arial" w:cs="Arial"/>
          <w:color w:val="000000"/>
          <w:sz w:val="20"/>
          <w:szCs w:val="20"/>
        </w:rPr>
        <w:t>ents cash flows for discontinued operations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276"/>
        <w:gridCol w:w="38"/>
        <w:gridCol w:w="121"/>
        <w:gridCol w:w="701"/>
        <w:gridCol w:w="36"/>
        <w:gridCol w:w="36"/>
        <w:gridCol w:w="36"/>
        <w:gridCol w:w="36"/>
        <w:gridCol w:w="121"/>
        <w:gridCol w:w="638"/>
        <w:gridCol w:w="36"/>
        <w:gridCol w:w="36"/>
        <w:gridCol w:w="36"/>
        <w:gridCol w:w="36"/>
        <w:gridCol w:w="121"/>
        <w:gridCol w:w="702"/>
        <w:gridCol w:w="36"/>
        <w:gridCol w:w="36"/>
        <w:gridCol w:w="36"/>
        <w:gridCol w:w="36"/>
        <w:gridCol w:w="121"/>
        <w:gridCol w:w="702"/>
        <w:gridCol w:w="36"/>
        <w:gridCol w:w="36"/>
        <w:gridCol w:w="36"/>
        <w:gridCol w:w="36"/>
        <w:gridCol w:w="36"/>
        <w:gridCol w:w="36"/>
        <w:gridCol w:w="36"/>
        <w:gridCol w:w="36"/>
        <w:gridCol w:w="36"/>
      </w:tblGrid>
      <w:tr w:rsidR="009F6D8A" w14:paraId="643033C4" w14:textId="77777777">
        <w:tc>
          <w:tcPr>
            <w:tcW w:w="50" w:type="pct"/>
            <w:shd w:val="clear" w:color="auto" w:fill="auto"/>
            <w:vAlign w:val="bottom"/>
          </w:tcPr>
          <w:p w14:paraId="643033A8" w14:textId="77777777" w:rsidR="009F6D8A" w:rsidRDefault="009F6D8A">
            <w:pPr>
              <w:rPr>
                <w:rFonts w:ascii="宋体"/>
              </w:rPr>
            </w:pPr>
          </w:p>
        </w:tc>
        <w:tc>
          <w:tcPr>
            <w:tcW w:w="2715" w:type="pct"/>
            <w:shd w:val="clear" w:color="auto" w:fill="auto"/>
            <w:vAlign w:val="bottom"/>
          </w:tcPr>
          <w:p w14:paraId="643033A9" w14:textId="77777777" w:rsidR="009F6D8A" w:rsidRDefault="009F6D8A">
            <w:pPr>
              <w:rPr>
                <w:rFonts w:ascii="宋体"/>
              </w:rPr>
            </w:pPr>
          </w:p>
        </w:tc>
        <w:tc>
          <w:tcPr>
            <w:tcW w:w="5" w:type="pct"/>
            <w:shd w:val="clear" w:color="auto" w:fill="auto"/>
            <w:vAlign w:val="bottom"/>
          </w:tcPr>
          <w:p w14:paraId="643033AA" w14:textId="77777777" w:rsidR="009F6D8A" w:rsidRDefault="009F6D8A">
            <w:pPr>
              <w:rPr>
                <w:rFonts w:ascii="宋体"/>
              </w:rPr>
            </w:pPr>
          </w:p>
        </w:tc>
        <w:tc>
          <w:tcPr>
            <w:tcW w:w="50" w:type="pct"/>
            <w:shd w:val="clear" w:color="auto" w:fill="auto"/>
            <w:vAlign w:val="bottom"/>
          </w:tcPr>
          <w:p w14:paraId="643033AB" w14:textId="77777777" w:rsidR="009F6D8A" w:rsidRDefault="009F6D8A">
            <w:pPr>
              <w:rPr>
                <w:rFonts w:ascii="宋体"/>
              </w:rPr>
            </w:pPr>
          </w:p>
        </w:tc>
        <w:tc>
          <w:tcPr>
            <w:tcW w:w="478" w:type="pct"/>
            <w:shd w:val="clear" w:color="auto" w:fill="auto"/>
            <w:vAlign w:val="bottom"/>
          </w:tcPr>
          <w:p w14:paraId="643033AC" w14:textId="77777777" w:rsidR="009F6D8A" w:rsidRDefault="009F6D8A">
            <w:pPr>
              <w:rPr>
                <w:rFonts w:ascii="宋体"/>
              </w:rPr>
            </w:pPr>
          </w:p>
        </w:tc>
        <w:tc>
          <w:tcPr>
            <w:tcW w:w="5" w:type="pct"/>
            <w:shd w:val="clear" w:color="auto" w:fill="auto"/>
            <w:vAlign w:val="bottom"/>
          </w:tcPr>
          <w:p w14:paraId="643033AD" w14:textId="77777777" w:rsidR="009F6D8A" w:rsidRDefault="009F6D8A">
            <w:pPr>
              <w:rPr>
                <w:rFonts w:ascii="宋体"/>
              </w:rPr>
            </w:pPr>
          </w:p>
        </w:tc>
        <w:tc>
          <w:tcPr>
            <w:tcW w:w="5" w:type="pct"/>
            <w:shd w:val="clear" w:color="auto" w:fill="auto"/>
            <w:vAlign w:val="bottom"/>
          </w:tcPr>
          <w:p w14:paraId="643033AE" w14:textId="77777777" w:rsidR="009F6D8A" w:rsidRDefault="009F6D8A">
            <w:pPr>
              <w:rPr>
                <w:rFonts w:ascii="宋体"/>
              </w:rPr>
            </w:pPr>
          </w:p>
        </w:tc>
        <w:tc>
          <w:tcPr>
            <w:tcW w:w="26" w:type="pct"/>
            <w:shd w:val="clear" w:color="auto" w:fill="auto"/>
            <w:vAlign w:val="bottom"/>
          </w:tcPr>
          <w:p w14:paraId="643033AF" w14:textId="77777777" w:rsidR="009F6D8A" w:rsidRDefault="009F6D8A">
            <w:pPr>
              <w:rPr>
                <w:rFonts w:ascii="宋体"/>
              </w:rPr>
            </w:pPr>
          </w:p>
        </w:tc>
        <w:tc>
          <w:tcPr>
            <w:tcW w:w="5" w:type="pct"/>
            <w:shd w:val="clear" w:color="auto" w:fill="auto"/>
            <w:vAlign w:val="bottom"/>
          </w:tcPr>
          <w:p w14:paraId="643033B0" w14:textId="77777777" w:rsidR="009F6D8A" w:rsidRDefault="009F6D8A">
            <w:pPr>
              <w:rPr>
                <w:rFonts w:ascii="宋体"/>
              </w:rPr>
            </w:pPr>
          </w:p>
        </w:tc>
        <w:tc>
          <w:tcPr>
            <w:tcW w:w="50" w:type="pct"/>
            <w:shd w:val="clear" w:color="auto" w:fill="auto"/>
            <w:vAlign w:val="bottom"/>
          </w:tcPr>
          <w:p w14:paraId="643033B1" w14:textId="77777777" w:rsidR="009F6D8A" w:rsidRDefault="009F6D8A">
            <w:pPr>
              <w:rPr>
                <w:rFonts w:ascii="宋体"/>
              </w:rPr>
            </w:pPr>
          </w:p>
        </w:tc>
        <w:tc>
          <w:tcPr>
            <w:tcW w:w="478" w:type="pct"/>
            <w:shd w:val="clear" w:color="auto" w:fill="auto"/>
            <w:vAlign w:val="bottom"/>
          </w:tcPr>
          <w:p w14:paraId="643033B2" w14:textId="77777777" w:rsidR="009F6D8A" w:rsidRDefault="009F6D8A">
            <w:pPr>
              <w:rPr>
                <w:rFonts w:ascii="宋体"/>
              </w:rPr>
            </w:pPr>
          </w:p>
        </w:tc>
        <w:tc>
          <w:tcPr>
            <w:tcW w:w="5" w:type="pct"/>
            <w:shd w:val="clear" w:color="auto" w:fill="auto"/>
            <w:vAlign w:val="bottom"/>
          </w:tcPr>
          <w:p w14:paraId="643033B3" w14:textId="77777777" w:rsidR="009F6D8A" w:rsidRDefault="009F6D8A">
            <w:pPr>
              <w:rPr>
                <w:rFonts w:ascii="宋体"/>
              </w:rPr>
            </w:pPr>
          </w:p>
        </w:tc>
        <w:tc>
          <w:tcPr>
            <w:tcW w:w="5" w:type="pct"/>
            <w:shd w:val="clear" w:color="auto" w:fill="auto"/>
            <w:vAlign w:val="bottom"/>
          </w:tcPr>
          <w:p w14:paraId="643033B4" w14:textId="77777777" w:rsidR="009F6D8A" w:rsidRDefault="009F6D8A">
            <w:pPr>
              <w:rPr>
                <w:rFonts w:ascii="宋体"/>
              </w:rPr>
            </w:pPr>
          </w:p>
        </w:tc>
        <w:tc>
          <w:tcPr>
            <w:tcW w:w="19" w:type="pct"/>
            <w:shd w:val="clear" w:color="auto" w:fill="auto"/>
            <w:vAlign w:val="bottom"/>
          </w:tcPr>
          <w:p w14:paraId="643033B5" w14:textId="77777777" w:rsidR="009F6D8A" w:rsidRDefault="009F6D8A">
            <w:pPr>
              <w:rPr>
                <w:rFonts w:ascii="宋体"/>
              </w:rPr>
            </w:pPr>
          </w:p>
        </w:tc>
        <w:tc>
          <w:tcPr>
            <w:tcW w:w="5" w:type="pct"/>
            <w:shd w:val="clear" w:color="auto" w:fill="auto"/>
            <w:vAlign w:val="bottom"/>
          </w:tcPr>
          <w:p w14:paraId="643033B6" w14:textId="77777777" w:rsidR="009F6D8A" w:rsidRDefault="009F6D8A">
            <w:pPr>
              <w:rPr>
                <w:rFonts w:ascii="宋体"/>
              </w:rPr>
            </w:pPr>
          </w:p>
        </w:tc>
        <w:tc>
          <w:tcPr>
            <w:tcW w:w="50" w:type="pct"/>
            <w:shd w:val="clear" w:color="auto" w:fill="auto"/>
            <w:vAlign w:val="bottom"/>
          </w:tcPr>
          <w:p w14:paraId="643033B7" w14:textId="77777777" w:rsidR="009F6D8A" w:rsidRDefault="009F6D8A">
            <w:pPr>
              <w:rPr>
                <w:rFonts w:ascii="宋体"/>
              </w:rPr>
            </w:pPr>
          </w:p>
        </w:tc>
        <w:tc>
          <w:tcPr>
            <w:tcW w:w="478" w:type="pct"/>
            <w:shd w:val="clear" w:color="auto" w:fill="auto"/>
            <w:vAlign w:val="bottom"/>
          </w:tcPr>
          <w:p w14:paraId="643033B8" w14:textId="77777777" w:rsidR="009F6D8A" w:rsidRDefault="009F6D8A">
            <w:pPr>
              <w:rPr>
                <w:rFonts w:ascii="宋体"/>
              </w:rPr>
            </w:pPr>
          </w:p>
        </w:tc>
        <w:tc>
          <w:tcPr>
            <w:tcW w:w="5" w:type="pct"/>
            <w:shd w:val="clear" w:color="auto" w:fill="auto"/>
            <w:vAlign w:val="bottom"/>
          </w:tcPr>
          <w:p w14:paraId="643033B9" w14:textId="77777777" w:rsidR="009F6D8A" w:rsidRDefault="009F6D8A">
            <w:pPr>
              <w:rPr>
                <w:rFonts w:ascii="宋体"/>
              </w:rPr>
            </w:pPr>
          </w:p>
        </w:tc>
        <w:tc>
          <w:tcPr>
            <w:tcW w:w="5" w:type="pct"/>
            <w:shd w:val="clear" w:color="auto" w:fill="auto"/>
            <w:vAlign w:val="bottom"/>
          </w:tcPr>
          <w:p w14:paraId="643033BA" w14:textId="77777777" w:rsidR="009F6D8A" w:rsidRDefault="009F6D8A">
            <w:pPr>
              <w:rPr>
                <w:rFonts w:ascii="宋体"/>
              </w:rPr>
            </w:pPr>
          </w:p>
        </w:tc>
        <w:tc>
          <w:tcPr>
            <w:tcW w:w="19" w:type="pct"/>
            <w:shd w:val="clear" w:color="auto" w:fill="auto"/>
            <w:vAlign w:val="bottom"/>
          </w:tcPr>
          <w:p w14:paraId="643033BB" w14:textId="77777777" w:rsidR="009F6D8A" w:rsidRDefault="009F6D8A">
            <w:pPr>
              <w:rPr>
                <w:rFonts w:ascii="宋体"/>
              </w:rPr>
            </w:pPr>
          </w:p>
        </w:tc>
        <w:tc>
          <w:tcPr>
            <w:tcW w:w="5" w:type="pct"/>
            <w:shd w:val="clear" w:color="auto" w:fill="auto"/>
            <w:vAlign w:val="bottom"/>
          </w:tcPr>
          <w:p w14:paraId="643033BC" w14:textId="77777777" w:rsidR="009F6D8A" w:rsidRDefault="009F6D8A">
            <w:pPr>
              <w:rPr>
                <w:rFonts w:ascii="宋体"/>
              </w:rPr>
            </w:pPr>
          </w:p>
        </w:tc>
        <w:tc>
          <w:tcPr>
            <w:tcW w:w="50" w:type="pct"/>
            <w:shd w:val="clear" w:color="auto" w:fill="auto"/>
            <w:vAlign w:val="bottom"/>
          </w:tcPr>
          <w:p w14:paraId="643033BD" w14:textId="77777777" w:rsidR="009F6D8A" w:rsidRDefault="009F6D8A">
            <w:pPr>
              <w:rPr>
                <w:rFonts w:ascii="宋体"/>
              </w:rPr>
            </w:pPr>
          </w:p>
        </w:tc>
        <w:tc>
          <w:tcPr>
            <w:tcW w:w="478" w:type="pct"/>
            <w:shd w:val="clear" w:color="auto" w:fill="auto"/>
            <w:vAlign w:val="bottom"/>
          </w:tcPr>
          <w:p w14:paraId="643033BE" w14:textId="77777777" w:rsidR="009F6D8A" w:rsidRDefault="009F6D8A">
            <w:pPr>
              <w:rPr>
                <w:rFonts w:ascii="宋体"/>
              </w:rPr>
            </w:pPr>
          </w:p>
        </w:tc>
        <w:tc>
          <w:tcPr>
            <w:tcW w:w="5" w:type="pct"/>
            <w:shd w:val="clear" w:color="auto" w:fill="auto"/>
            <w:vAlign w:val="bottom"/>
          </w:tcPr>
          <w:p w14:paraId="643033BF" w14:textId="77777777" w:rsidR="009F6D8A" w:rsidRDefault="009F6D8A">
            <w:pPr>
              <w:rPr>
                <w:rFonts w:ascii="宋体"/>
              </w:rPr>
            </w:pPr>
          </w:p>
        </w:tc>
        <w:tc>
          <w:tcPr>
            <w:tcW w:w="0" w:type="auto"/>
            <w:shd w:val="clear" w:color="auto" w:fill="auto"/>
            <w:vAlign w:val="bottom"/>
          </w:tcPr>
          <w:p w14:paraId="643033C0" w14:textId="77777777" w:rsidR="009F6D8A" w:rsidRDefault="009F6D8A">
            <w:pPr>
              <w:rPr>
                <w:rFonts w:ascii="宋体"/>
                <w:vanish/>
              </w:rPr>
            </w:pPr>
          </w:p>
        </w:tc>
        <w:tc>
          <w:tcPr>
            <w:tcW w:w="0" w:type="auto"/>
            <w:shd w:val="clear" w:color="auto" w:fill="auto"/>
            <w:vAlign w:val="bottom"/>
          </w:tcPr>
          <w:p w14:paraId="643033C1" w14:textId="77777777" w:rsidR="009F6D8A" w:rsidRDefault="009F6D8A">
            <w:pPr>
              <w:rPr>
                <w:rFonts w:ascii="宋体"/>
                <w:vanish/>
              </w:rPr>
            </w:pPr>
          </w:p>
        </w:tc>
        <w:tc>
          <w:tcPr>
            <w:tcW w:w="0" w:type="auto"/>
            <w:gridSpan w:val="3"/>
            <w:shd w:val="clear" w:color="auto" w:fill="auto"/>
            <w:vAlign w:val="bottom"/>
          </w:tcPr>
          <w:p w14:paraId="643033C2" w14:textId="77777777" w:rsidR="009F6D8A" w:rsidRDefault="009F6D8A">
            <w:pPr>
              <w:rPr>
                <w:rFonts w:ascii="宋体"/>
                <w:vanish/>
              </w:rPr>
            </w:pPr>
          </w:p>
        </w:tc>
        <w:tc>
          <w:tcPr>
            <w:tcW w:w="0" w:type="auto"/>
            <w:gridSpan w:val="3"/>
            <w:shd w:val="clear" w:color="auto" w:fill="auto"/>
            <w:vAlign w:val="bottom"/>
          </w:tcPr>
          <w:p w14:paraId="643033C3" w14:textId="77777777" w:rsidR="009F6D8A" w:rsidRDefault="009F6D8A">
            <w:pPr>
              <w:rPr>
                <w:rFonts w:ascii="宋体"/>
                <w:vanish/>
              </w:rPr>
            </w:pPr>
          </w:p>
        </w:tc>
      </w:tr>
      <w:tr w:rsidR="009F6D8A" w14:paraId="643033D1" w14:textId="77777777">
        <w:tc>
          <w:tcPr>
            <w:tcW w:w="0" w:type="auto"/>
            <w:gridSpan w:val="3"/>
            <w:shd w:val="clear" w:color="auto" w:fill="auto"/>
            <w:tcMar>
              <w:top w:w="40" w:type="dxa"/>
              <w:left w:w="20" w:type="dxa"/>
              <w:bottom w:w="40" w:type="dxa"/>
              <w:right w:w="20" w:type="dxa"/>
            </w:tcMar>
            <w:vAlign w:val="bottom"/>
          </w:tcPr>
          <w:p w14:paraId="643033C5" w14:textId="77777777" w:rsidR="009F6D8A" w:rsidRDefault="00C50974">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643033C6" w14:textId="77777777" w:rsidR="009F6D8A" w:rsidRDefault="00C50974">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Mar>
              <w:top w:w="0" w:type="dxa"/>
              <w:left w:w="20" w:type="dxa"/>
              <w:bottom w:w="0" w:type="dxa"/>
              <w:right w:w="20" w:type="dxa"/>
            </w:tcMar>
            <w:vAlign w:val="bottom"/>
          </w:tcPr>
          <w:p w14:paraId="643033C7"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33C8" w14:textId="77777777" w:rsidR="009F6D8A" w:rsidRDefault="00C50974">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c>
          <w:tcPr>
            <w:tcW w:w="0" w:type="auto"/>
            <w:shd w:val="clear" w:color="auto" w:fill="auto"/>
            <w:vAlign w:val="bottom"/>
          </w:tcPr>
          <w:p w14:paraId="643033C9" w14:textId="77777777" w:rsidR="009F6D8A" w:rsidRDefault="009F6D8A">
            <w:pPr>
              <w:rPr>
                <w:rFonts w:ascii="宋体"/>
                <w:vanish/>
              </w:rPr>
            </w:pPr>
          </w:p>
        </w:tc>
        <w:tc>
          <w:tcPr>
            <w:tcW w:w="0" w:type="auto"/>
            <w:shd w:val="clear" w:color="auto" w:fill="auto"/>
            <w:vAlign w:val="bottom"/>
          </w:tcPr>
          <w:p w14:paraId="643033CA" w14:textId="77777777" w:rsidR="009F6D8A" w:rsidRDefault="009F6D8A">
            <w:pPr>
              <w:rPr>
                <w:rFonts w:ascii="宋体"/>
                <w:vanish/>
              </w:rPr>
            </w:pPr>
          </w:p>
        </w:tc>
        <w:tc>
          <w:tcPr>
            <w:tcW w:w="0" w:type="auto"/>
            <w:shd w:val="clear" w:color="auto" w:fill="auto"/>
            <w:vAlign w:val="bottom"/>
          </w:tcPr>
          <w:p w14:paraId="643033CB" w14:textId="77777777" w:rsidR="009F6D8A" w:rsidRDefault="009F6D8A">
            <w:pPr>
              <w:rPr>
                <w:rFonts w:ascii="宋体"/>
              </w:rPr>
            </w:pPr>
          </w:p>
        </w:tc>
        <w:tc>
          <w:tcPr>
            <w:tcW w:w="0" w:type="auto"/>
            <w:shd w:val="clear" w:color="auto" w:fill="auto"/>
            <w:vAlign w:val="bottom"/>
          </w:tcPr>
          <w:p w14:paraId="643033CC" w14:textId="77777777" w:rsidR="009F6D8A" w:rsidRDefault="009F6D8A">
            <w:pPr>
              <w:rPr>
                <w:rFonts w:ascii="宋体"/>
              </w:rPr>
            </w:pPr>
          </w:p>
        </w:tc>
        <w:tc>
          <w:tcPr>
            <w:tcW w:w="0" w:type="auto"/>
            <w:shd w:val="clear" w:color="auto" w:fill="auto"/>
            <w:vAlign w:val="bottom"/>
          </w:tcPr>
          <w:p w14:paraId="643033CD" w14:textId="77777777" w:rsidR="009F6D8A" w:rsidRDefault="009F6D8A">
            <w:pPr>
              <w:rPr>
                <w:rFonts w:ascii="宋体"/>
              </w:rPr>
            </w:pPr>
          </w:p>
        </w:tc>
        <w:tc>
          <w:tcPr>
            <w:tcW w:w="0" w:type="auto"/>
            <w:shd w:val="clear" w:color="auto" w:fill="auto"/>
            <w:vAlign w:val="bottom"/>
          </w:tcPr>
          <w:p w14:paraId="643033CE" w14:textId="77777777" w:rsidR="009F6D8A" w:rsidRDefault="009F6D8A">
            <w:pPr>
              <w:rPr>
                <w:rFonts w:ascii="宋体"/>
              </w:rPr>
            </w:pPr>
          </w:p>
        </w:tc>
        <w:tc>
          <w:tcPr>
            <w:tcW w:w="0" w:type="auto"/>
            <w:shd w:val="clear" w:color="auto" w:fill="auto"/>
            <w:vAlign w:val="bottom"/>
          </w:tcPr>
          <w:p w14:paraId="643033CF" w14:textId="77777777" w:rsidR="009F6D8A" w:rsidRDefault="009F6D8A">
            <w:pPr>
              <w:rPr>
                <w:rFonts w:ascii="宋体"/>
              </w:rPr>
            </w:pPr>
          </w:p>
        </w:tc>
        <w:tc>
          <w:tcPr>
            <w:tcW w:w="0" w:type="auto"/>
            <w:shd w:val="clear" w:color="auto" w:fill="auto"/>
            <w:vAlign w:val="bottom"/>
          </w:tcPr>
          <w:p w14:paraId="643033D0" w14:textId="77777777" w:rsidR="009F6D8A" w:rsidRDefault="009F6D8A">
            <w:pPr>
              <w:rPr>
                <w:rFonts w:ascii="宋体"/>
              </w:rPr>
            </w:pPr>
          </w:p>
        </w:tc>
      </w:tr>
      <w:tr w:rsidR="009F6D8A" w14:paraId="643033DE" w14:textId="77777777">
        <w:tc>
          <w:tcPr>
            <w:tcW w:w="0" w:type="auto"/>
            <w:gridSpan w:val="3"/>
            <w:shd w:val="clear" w:color="auto" w:fill="auto"/>
            <w:tcMar>
              <w:top w:w="40" w:type="dxa"/>
              <w:left w:w="20" w:type="dxa"/>
              <w:bottom w:w="40" w:type="dxa"/>
              <w:right w:w="20" w:type="dxa"/>
            </w:tcMar>
            <w:vAlign w:val="bottom"/>
          </w:tcPr>
          <w:p w14:paraId="643033D2" w14:textId="77777777" w:rsidR="009F6D8A" w:rsidRDefault="00C50974">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3D3" w14:textId="77777777" w:rsidR="009F6D8A" w:rsidRDefault="00C50974">
            <w:pPr>
              <w:jc w:val="center"/>
              <w:textAlignment w:val="bottom"/>
            </w:pPr>
            <w:r>
              <w:rPr>
                <w:rFonts w:ascii="Arial" w:eastAsia="宋体" w:hAnsi="Arial" w:cs="Arial"/>
                <w:b/>
                <w:bCs/>
                <w:color w:val="000000"/>
                <w:sz w:val="16"/>
                <w:szCs w:val="16"/>
              </w:rPr>
              <w:t xml:space="preserve">2021 </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3D4"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3D5" w14:textId="77777777" w:rsidR="009F6D8A" w:rsidRDefault="00C50974">
            <w:pPr>
              <w:jc w:val="center"/>
              <w:textAlignment w:val="bottom"/>
            </w:pPr>
            <w:r>
              <w:rPr>
                <w:rFonts w:ascii="Arial" w:eastAsia="宋体" w:hAnsi="Arial" w:cs="Arial"/>
                <w:b/>
                <w:bCs/>
                <w:color w:val="000000"/>
                <w:sz w:val="16"/>
                <w:szCs w:val="16"/>
              </w:rPr>
              <w:t xml:space="preserve">2020 </w:t>
            </w:r>
          </w:p>
        </w:tc>
        <w:tc>
          <w:tcPr>
            <w:tcW w:w="0" w:type="auto"/>
            <w:gridSpan w:val="3"/>
            <w:shd w:val="clear" w:color="auto" w:fill="auto"/>
            <w:tcMar>
              <w:top w:w="0" w:type="dxa"/>
              <w:left w:w="20" w:type="dxa"/>
              <w:bottom w:w="0" w:type="dxa"/>
              <w:right w:w="20" w:type="dxa"/>
            </w:tcMar>
            <w:vAlign w:val="bottom"/>
          </w:tcPr>
          <w:p w14:paraId="643033D6"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3D7" w14:textId="77777777" w:rsidR="009F6D8A" w:rsidRDefault="00C50974">
            <w:pPr>
              <w:jc w:val="center"/>
              <w:textAlignment w:val="bottom"/>
            </w:pPr>
            <w:r>
              <w:rPr>
                <w:rFonts w:ascii="Arial" w:eastAsia="宋体" w:hAnsi="Arial" w:cs="Arial"/>
                <w:b/>
                <w:bCs/>
                <w:color w:val="000000"/>
                <w:sz w:val="16"/>
                <w:szCs w:val="16"/>
              </w:rPr>
              <w:t xml:space="preserve">2021 </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3D8"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3D9" w14:textId="77777777" w:rsidR="009F6D8A" w:rsidRDefault="00C50974">
            <w:pPr>
              <w:jc w:val="center"/>
              <w:textAlignment w:val="bottom"/>
            </w:pPr>
            <w:r>
              <w:rPr>
                <w:rFonts w:ascii="Arial" w:eastAsia="宋体" w:hAnsi="Arial" w:cs="Arial"/>
                <w:b/>
                <w:bCs/>
                <w:color w:val="000000"/>
                <w:sz w:val="16"/>
                <w:szCs w:val="16"/>
              </w:rPr>
              <w:t xml:space="preserve">2020 </w:t>
            </w:r>
            <w:r>
              <w:rPr>
                <w:rFonts w:ascii="Arial" w:eastAsia="宋体" w:hAnsi="Arial" w:cs="Arial"/>
                <w:b/>
                <w:bCs/>
                <w:color w:val="000000"/>
                <w:sz w:val="10"/>
                <w:szCs w:val="10"/>
              </w:rPr>
              <w:t>(2)</w:t>
            </w:r>
          </w:p>
        </w:tc>
        <w:tc>
          <w:tcPr>
            <w:tcW w:w="0" w:type="auto"/>
            <w:shd w:val="clear" w:color="auto" w:fill="auto"/>
            <w:vAlign w:val="bottom"/>
          </w:tcPr>
          <w:p w14:paraId="643033DA" w14:textId="77777777" w:rsidR="009F6D8A" w:rsidRDefault="009F6D8A">
            <w:pPr>
              <w:rPr>
                <w:rFonts w:ascii="宋体"/>
                <w:vanish/>
              </w:rPr>
            </w:pPr>
          </w:p>
        </w:tc>
        <w:tc>
          <w:tcPr>
            <w:tcW w:w="0" w:type="auto"/>
            <w:shd w:val="clear" w:color="auto" w:fill="auto"/>
            <w:vAlign w:val="bottom"/>
          </w:tcPr>
          <w:p w14:paraId="643033DB" w14:textId="77777777" w:rsidR="009F6D8A" w:rsidRDefault="009F6D8A">
            <w:pPr>
              <w:rPr>
                <w:rFonts w:ascii="宋体"/>
                <w:vanish/>
              </w:rPr>
            </w:pPr>
          </w:p>
        </w:tc>
        <w:tc>
          <w:tcPr>
            <w:tcW w:w="0" w:type="auto"/>
            <w:gridSpan w:val="3"/>
            <w:shd w:val="clear" w:color="auto" w:fill="auto"/>
            <w:vAlign w:val="bottom"/>
          </w:tcPr>
          <w:p w14:paraId="643033DC" w14:textId="77777777" w:rsidR="009F6D8A" w:rsidRDefault="009F6D8A">
            <w:pPr>
              <w:rPr>
                <w:rFonts w:ascii="宋体"/>
                <w:vanish/>
              </w:rPr>
            </w:pPr>
          </w:p>
        </w:tc>
        <w:tc>
          <w:tcPr>
            <w:tcW w:w="0" w:type="auto"/>
            <w:gridSpan w:val="3"/>
            <w:shd w:val="clear" w:color="auto" w:fill="auto"/>
            <w:vAlign w:val="bottom"/>
          </w:tcPr>
          <w:p w14:paraId="643033DD" w14:textId="77777777" w:rsidR="009F6D8A" w:rsidRDefault="009F6D8A">
            <w:pPr>
              <w:rPr>
                <w:rFonts w:ascii="宋体"/>
                <w:vanish/>
              </w:rPr>
            </w:pPr>
          </w:p>
        </w:tc>
      </w:tr>
      <w:tr w:rsidR="009F6D8A" w14:paraId="643033F3" w14:textId="77777777">
        <w:tc>
          <w:tcPr>
            <w:tcW w:w="0" w:type="auto"/>
            <w:gridSpan w:val="3"/>
            <w:shd w:val="clear" w:color="auto" w:fill="E1E1E1"/>
            <w:tcMar>
              <w:top w:w="40" w:type="dxa"/>
              <w:left w:w="20" w:type="dxa"/>
              <w:bottom w:w="40" w:type="dxa"/>
              <w:right w:w="20" w:type="dxa"/>
            </w:tcMar>
            <w:vAlign w:val="bottom"/>
          </w:tcPr>
          <w:p w14:paraId="643033DF" w14:textId="77777777" w:rsidR="009F6D8A" w:rsidRDefault="00C50974">
            <w:pPr>
              <w:ind w:hanging="180"/>
              <w:textAlignment w:val="bottom"/>
            </w:pPr>
            <w:r>
              <w:rPr>
                <w:rFonts w:ascii="Arial" w:eastAsia="宋体" w:hAnsi="Arial" w:cs="Arial"/>
                <w:color w:val="000000"/>
                <w:sz w:val="18"/>
                <w:szCs w:val="18"/>
              </w:rPr>
              <w:t xml:space="preserve">eBay Korea net cash provided by (used in) discontinued operating activities </w:t>
            </w:r>
          </w:p>
        </w:tc>
        <w:tc>
          <w:tcPr>
            <w:tcW w:w="0" w:type="auto"/>
            <w:tcBorders>
              <w:top w:val="single" w:sz="8" w:space="0" w:color="000000"/>
            </w:tcBorders>
            <w:shd w:val="clear" w:color="auto" w:fill="E1E1E1"/>
            <w:tcMar>
              <w:top w:w="40" w:type="dxa"/>
              <w:left w:w="20" w:type="dxa"/>
              <w:bottom w:w="40" w:type="dxa"/>
              <w:right w:w="0" w:type="dxa"/>
            </w:tcMar>
            <w:vAlign w:val="bottom"/>
          </w:tcPr>
          <w:p w14:paraId="643033E0"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3E1" w14:textId="77777777" w:rsidR="009F6D8A" w:rsidRDefault="00C50974">
            <w:pPr>
              <w:jc w:val="right"/>
              <w:textAlignment w:val="bottom"/>
            </w:pPr>
            <w:r>
              <w:rPr>
                <w:rFonts w:ascii="Arial" w:eastAsia="宋体" w:hAnsi="Arial" w:cs="Arial"/>
                <w:color w:val="000000"/>
                <w:sz w:val="18"/>
                <w:szCs w:val="18"/>
              </w:rPr>
              <w:t>17 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3E2"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3E3"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3E4"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3E5" w14:textId="77777777" w:rsidR="009F6D8A" w:rsidRDefault="00C50974">
            <w:pPr>
              <w:jc w:val="right"/>
              <w:textAlignment w:val="bottom"/>
            </w:pPr>
            <w:r>
              <w:rPr>
                <w:rFonts w:ascii="Arial" w:eastAsia="宋体" w:hAnsi="Arial" w:cs="Arial"/>
                <w:color w:val="000000"/>
                <w:sz w:val="18"/>
                <w:szCs w:val="18"/>
              </w:rPr>
              <w:t>(18)</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3E6"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3E7"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3E8"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3E9" w14:textId="77777777" w:rsidR="009F6D8A" w:rsidRDefault="00C50974">
            <w:pPr>
              <w:jc w:val="right"/>
              <w:textAlignment w:val="bottom"/>
            </w:pPr>
            <w:r>
              <w:rPr>
                <w:rFonts w:ascii="Arial" w:eastAsia="宋体" w:hAnsi="Arial" w:cs="Arial"/>
                <w:color w:val="000000"/>
                <w:sz w:val="18"/>
                <w:szCs w:val="18"/>
              </w:rPr>
              <w:t>7 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3EA"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3EB"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3E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3ED" w14:textId="77777777" w:rsidR="009F6D8A" w:rsidRDefault="00C50974">
            <w:pPr>
              <w:jc w:val="right"/>
              <w:textAlignment w:val="bottom"/>
            </w:pPr>
            <w:r>
              <w:rPr>
                <w:rFonts w:ascii="Arial" w:eastAsia="宋体" w:hAnsi="Arial" w:cs="Arial"/>
                <w:color w:val="000000"/>
                <w:sz w:val="18"/>
                <w:szCs w:val="18"/>
              </w:rPr>
              <w:t>19 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3EE" w14:textId="77777777" w:rsidR="009F6D8A" w:rsidRDefault="009F6D8A">
            <w:pPr>
              <w:jc w:val="right"/>
              <w:rPr>
                <w:rFonts w:ascii="宋体"/>
              </w:rPr>
            </w:pPr>
          </w:p>
        </w:tc>
        <w:tc>
          <w:tcPr>
            <w:tcW w:w="0" w:type="auto"/>
            <w:shd w:val="clear" w:color="auto" w:fill="auto"/>
            <w:vAlign w:val="bottom"/>
          </w:tcPr>
          <w:p w14:paraId="643033EF" w14:textId="77777777" w:rsidR="009F6D8A" w:rsidRDefault="009F6D8A">
            <w:pPr>
              <w:rPr>
                <w:rFonts w:ascii="宋体"/>
                <w:vanish/>
              </w:rPr>
            </w:pPr>
          </w:p>
        </w:tc>
        <w:tc>
          <w:tcPr>
            <w:tcW w:w="0" w:type="auto"/>
            <w:shd w:val="clear" w:color="auto" w:fill="auto"/>
            <w:vAlign w:val="bottom"/>
          </w:tcPr>
          <w:p w14:paraId="643033F0" w14:textId="77777777" w:rsidR="009F6D8A" w:rsidRDefault="009F6D8A">
            <w:pPr>
              <w:rPr>
                <w:rFonts w:ascii="宋体"/>
                <w:vanish/>
              </w:rPr>
            </w:pPr>
          </w:p>
        </w:tc>
        <w:tc>
          <w:tcPr>
            <w:tcW w:w="0" w:type="auto"/>
            <w:gridSpan w:val="3"/>
            <w:shd w:val="clear" w:color="auto" w:fill="auto"/>
            <w:vAlign w:val="bottom"/>
          </w:tcPr>
          <w:p w14:paraId="643033F1" w14:textId="77777777" w:rsidR="009F6D8A" w:rsidRDefault="009F6D8A">
            <w:pPr>
              <w:rPr>
                <w:rFonts w:ascii="宋体"/>
                <w:vanish/>
              </w:rPr>
            </w:pPr>
          </w:p>
        </w:tc>
        <w:tc>
          <w:tcPr>
            <w:tcW w:w="0" w:type="auto"/>
            <w:gridSpan w:val="3"/>
            <w:shd w:val="clear" w:color="auto" w:fill="auto"/>
            <w:vAlign w:val="bottom"/>
          </w:tcPr>
          <w:p w14:paraId="643033F2" w14:textId="77777777" w:rsidR="009F6D8A" w:rsidRDefault="009F6D8A">
            <w:pPr>
              <w:rPr>
                <w:rFonts w:ascii="宋体"/>
                <w:vanish/>
              </w:rPr>
            </w:pPr>
          </w:p>
        </w:tc>
      </w:tr>
      <w:tr w:rsidR="009F6D8A" w14:paraId="64303404" w14:textId="77777777">
        <w:tc>
          <w:tcPr>
            <w:tcW w:w="0" w:type="auto"/>
            <w:gridSpan w:val="3"/>
            <w:shd w:val="clear" w:color="auto" w:fill="FFFFFF"/>
            <w:tcMar>
              <w:top w:w="40" w:type="dxa"/>
              <w:left w:w="20" w:type="dxa"/>
              <w:bottom w:w="40" w:type="dxa"/>
              <w:right w:w="20" w:type="dxa"/>
            </w:tcMar>
            <w:vAlign w:val="bottom"/>
          </w:tcPr>
          <w:p w14:paraId="643033F4" w14:textId="77777777" w:rsidR="009F6D8A" w:rsidRDefault="00C50974">
            <w:pPr>
              <w:ind w:hanging="180"/>
              <w:textAlignment w:val="bottom"/>
            </w:pPr>
            <w:r>
              <w:rPr>
                <w:rFonts w:ascii="Arial" w:eastAsia="宋体" w:hAnsi="Arial" w:cs="Arial"/>
                <w:color w:val="000000"/>
                <w:sz w:val="18"/>
                <w:szCs w:val="18"/>
              </w:rPr>
              <w:t xml:space="preserve">Classifieds net cash provided by discontinued operating activities </w:t>
            </w:r>
          </w:p>
        </w:tc>
        <w:tc>
          <w:tcPr>
            <w:tcW w:w="0" w:type="auto"/>
            <w:gridSpan w:val="2"/>
            <w:shd w:val="clear" w:color="auto" w:fill="FFFFFF"/>
            <w:tcMar>
              <w:top w:w="40" w:type="dxa"/>
              <w:left w:w="20" w:type="dxa"/>
              <w:bottom w:w="40" w:type="dxa"/>
              <w:right w:w="0" w:type="dxa"/>
            </w:tcMar>
            <w:vAlign w:val="bottom"/>
          </w:tcPr>
          <w:p w14:paraId="643033F5" w14:textId="77777777" w:rsidR="009F6D8A" w:rsidRDefault="00C50974">
            <w:pPr>
              <w:jc w:val="right"/>
              <w:textAlignment w:val="bottom"/>
            </w:pPr>
            <w:r>
              <w:rPr>
                <w:rFonts w:ascii="Arial" w:eastAsia="宋体" w:hAnsi="Arial" w:cs="Arial"/>
                <w:color w:val="000000"/>
                <w:sz w:val="18"/>
                <w:szCs w:val="18"/>
              </w:rPr>
              <w:t>41 </w:t>
            </w:r>
          </w:p>
        </w:tc>
        <w:tc>
          <w:tcPr>
            <w:tcW w:w="0" w:type="auto"/>
            <w:shd w:val="clear" w:color="auto" w:fill="FFFFFF"/>
            <w:tcMar>
              <w:top w:w="40" w:type="dxa"/>
              <w:left w:w="0" w:type="dxa"/>
              <w:bottom w:w="40" w:type="dxa"/>
              <w:right w:w="20" w:type="dxa"/>
            </w:tcMar>
            <w:vAlign w:val="bottom"/>
          </w:tcPr>
          <w:p w14:paraId="643033F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3F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3F8" w14:textId="77777777" w:rsidR="009F6D8A" w:rsidRDefault="00C50974">
            <w:pPr>
              <w:jc w:val="right"/>
              <w:textAlignment w:val="bottom"/>
            </w:pPr>
            <w:r>
              <w:rPr>
                <w:rFonts w:ascii="Arial" w:eastAsia="宋体" w:hAnsi="Arial" w:cs="Arial"/>
                <w:color w:val="000000"/>
                <w:sz w:val="18"/>
                <w:szCs w:val="18"/>
              </w:rPr>
              <w:t>31 </w:t>
            </w:r>
          </w:p>
        </w:tc>
        <w:tc>
          <w:tcPr>
            <w:tcW w:w="0" w:type="auto"/>
            <w:shd w:val="clear" w:color="auto" w:fill="FFFFFF"/>
            <w:tcMar>
              <w:top w:w="40" w:type="dxa"/>
              <w:left w:w="0" w:type="dxa"/>
              <w:bottom w:w="40" w:type="dxa"/>
              <w:right w:w="20" w:type="dxa"/>
            </w:tcMar>
            <w:vAlign w:val="bottom"/>
          </w:tcPr>
          <w:p w14:paraId="643033F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3F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3FB" w14:textId="77777777" w:rsidR="009F6D8A" w:rsidRDefault="00C50974">
            <w:pPr>
              <w:jc w:val="right"/>
              <w:textAlignment w:val="bottom"/>
            </w:pPr>
            <w:r>
              <w:rPr>
                <w:rFonts w:ascii="Arial" w:eastAsia="宋体" w:hAnsi="Arial" w:cs="Arial"/>
                <w:color w:val="000000"/>
                <w:sz w:val="18"/>
                <w:szCs w:val="18"/>
              </w:rPr>
              <w:t>145 </w:t>
            </w:r>
          </w:p>
        </w:tc>
        <w:tc>
          <w:tcPr>
            <w:tcW w:w="0" w:type="auto"/>
            <w:shd w:val="clear" w:color="auto" w:fill="FFFFFF"/>
            <w:tcMar>
              <w:top w:w="40" w:type="dxa"/>
              <w:left w:w="0" w:type="dxa"/>
              <w:bottom w:w="40" w:type="dxa"/>
              <w:right w:w="20" w:type="dxa"/>
            </w:tcMar>
            <w:vAlign w:val="bottom"/>
          </w:tcPr>
          <w:p w14:paraId="643033F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3F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3FE" w14:textId="77777777" w:rsidR="009F6D8A" w:rsidRDefault="00C50974">
            <w:pPr>
              <w:jc w:val="right"/>
              <w:textAlignment w:val="bottom"/>
            </w:pPr>
            <w:r>
              <w:rPr>
                <w:rFonts w:ascii="Arial" w:eastAsia="宋体" w:hAnsi="Arial" w:cs="Arial"/>
                <w:color w:val="000000"/>
                <w:sz w:val="18"/>
                <w:szCs w:val="18"/>
              </w:rPr>
              <w:t>119 </w:t>
            </w:r>
          </w:p>
        </w:tc>
        <w:tc>
          <w:tcPr>
            <w:tcW w:w="0" w:type="auto"/>
            <w:shd w:val="clear" w:color="auto" w:fill="FFFFFF"/>
            <w:tcMar>
              <w:top w:w="40" w:type="dxa"/>
              <w:left w:w="0" w:type="dxa"/>
              <w:bottom w:w="40" w:type="dxa"/>
              <w:right w:w="20" w:type="dxa"/>
            </w:tcMar>
            <w:vAlign w:val="bottom"/>
          </w:tcPr>
          <w:p w14:paraId="643033FF" w14:textId="77777777" w:rsidR="009F6D8A" w:rsidRDefault="009F6D8A">
            <w:pPr>
              <w:jc w:val="right"/>
              <w:rPr>
                <w:rFonts w:ascii="宋体"/>
              </w:rPr>
            </w:pPr>
          </w:p>
        </w:tc>
        <w:tc>
          <w:tcPr>
            <w:tcW w:w="0" w:type="auto"/>
            <w:shd w:val="clear" w:color="auto" w:fill="auto"/>
            <w:vAlign w:val="bottom"/>
          </w:tcPr>
          <w:p w14:paraId="64303400" w14:textId="77777777" w:rsidR="009F6D8A" w:rsidRDefault="009F6D8A">
            <w:pPr>
              <w:rPr>
                <w:rFonts w:ascii="宋体"/>
                <w:vanish/>
              </w:rPr>
            </w:pPr>
          </w:p>
        </w:tc>
        <w:tc>
          <w:tcPr>
            <w:tcW w:w="0" w:type="auto"/>
            <w:shd w:val="clear" w:color="auto" w:fill="auto"/>
            <w:vAlign w:val="bottom"/>
          </w:tcPr>
          <w:p w14:paraId="64303401" w14:textId="77777777" w:rsidR="009F6D8A" w:rsidRDefault="009F6D8A">
            <w:pPr>
              <w:rPr>
                <w:rFonts w:ascii="宋体"/>
                <w:vanish/>
              </w:rPr>
            </w:pPr>
          </w:p>
        </w:tc>
        <w:tc>
          <w:tcPr>
            <w:tcW w:w="0" w:type="auto"/>
            <w:gridSpan w:val="3"/>
            <w:shd w:val="clear" w:color="auto" w:fill="auto"/>
            <w:vAlign w:val="bottom"/>
          </w:tcPr>
          <w:p w14:paraId="64303402" w14:textId="77777777" w:rsidR="009F6D8A" w:rsidRDefault="009F6D8A">
            <w:pPr>
              <w:rPr>
                <w:rFonts w:ascii="宋体"/>
                <w:vanish/>
              </w:rPr>
            </w:pPr>
          </w:p>
        </w:tc>
        <w:tc>
          <w:tcPr>
            <w:tcW w:w="0" w:type="auto"/>
            <w:gridSpan w:val="3"/>
            <w:shd w:val="clear" w:color="auto" w:fill="auto"/>
            <w:vAlign w:val="bottom"/>
          </w:tcPr>
          <w:p w14:paraId="64303403" w14:textId="77777777" w:rsidR="009F6D8A" w:rsidRDefault="009F6D8A">
            <w:pPr>
              <w:rPr>
                <w:rFonts w:ascii="宋体"/>
                <w:vanish/>
              </w:rPr>
            </w:pPr>
          </w:p>
        </w:tc>
      </w:tr>
      <w:tr w:rsidR="009F6D8A" w14:paraId="64303415" w14:textId="77777777">
        <w:tc>
          <w:tcPr>
            <w:tcW w:w="0" w:type="auto"/>
            <w:gridSpan w:val="3"/>
            <w:shd w:val="clear" w:color="auto" w:fill="E1E1E1"/>
            <w:tcMar>
              <w:top w:w="40" w:type="dxa"/>
              <w:left w:w="200" w:type="dxa"/>
              <w:bottom w:w="40" w:type="dxa"/>
              <w:right w:w="20" w:type="dxa"/>
            </w:tcMar>
            <w:vAlign w:val="bottom"/>
          </w:tcPr>
          <w:p w14:paraId="64303405" w14:textId="77777777" w:rsidR="009F6D8A" w:rsidRDefault="00C50974">
            <w:pPr>
              <w:ind w:hanging="180"/>
              <w:textAlignment w:val="bottom"/>
            </w:pPr>
            <w:r>
              <w:rPr>
                <w:rFonts w:ascii="Arial" w:eastAsia="宋体" w:hAnsi="Arial" w:cs="Arial"/>
                <w:color w:val="000000"/>
                <w:sz w:val="18"/>
                <w:szCs w:val="18"/>
              </w:rPr>
              <w:t>StubHub net cash provided by (used in) discontinued operating activities</w:t>
            </w:r>
          </w:p>
        </w:tc>
        <w:tc>
          <w:tcPr>
            <w:tcW w:w="0" w:type="auto"/>
            <w:gridSpan w:val="2"/>
            <w:shd w:val="clear" w:color="auto" w:fill="E1E1E1"/>
            <w:tcMar>
              <w:top w:w="40" w:type="dxa"/>
              <w:left w:w="20" w:type="dxa"/>
              <w:bottom w:w="40" w:type="dxa"/>
              <w:right w:w="0" w:type="dxa"/>
            </w:tcMar>
            <w:vAlign w:val="bottom"/>
          </w:tcPr>
          <w:p w14:paraId="64303406"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407"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408"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409"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40A"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40B"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40C"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40D"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40E"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40F" w14:textId="77777777" w:rsidR="009F6D8A" w:rsidRDefault="00C50974">
            <w:pPr>
              <w:jc w:val="right"/>
              <w:textAlignment w:val="bottom"/>
            </w:pPr>
            <w:r>
              <w:rPr>
                <w:rFonts w:ascii="Arial" w:eastAsia="宋体" w:hAnsi="Arial" w:cs="Arial"/>
                <w:color w:val="000000"/>
                <w:sz w:val="18"/>
                <w:szCs w:val="18"/>
              </w:rPr>
              <w:t>(110)</w:t>
            </w:r>
          </w:p>
        </w:tc>
        <w:tc>
          <w:tcPr>
            <w:tcW w:w="0" w:type="auto"/>
            <w:shd w:val="clear" w:color="auto" w:fill="E1E1E1"/>
            <w:tcMar>
              <w:top w:w="40" w:type="dxa"/>
              <w:left w:w="0" w:type="dxa"/>
              <w:bottom w:w="40" w:type="dxa"/>
              <w:right w:w="20" w:type="dxa"/>
            </w:tcMar>
            <w:vAlign w:val="bottom"/>
          </w:tcPr>
          <w:p w14:paraId="64303410" w14:textId="77777777" w:rsidR="009F6D8A" w:rsidRDefault="009F6D8A">
            <w:pPr>
              <w:jc w:val="right"/>
              <w:rPr>
                <w:rFonts w:ascii="宋体"/>
              </w:rPr>
            </w:pPr>
          </w:p>
        </w:tc>
        <w:tc>
          <w:tcPr>
            <w:tcW w:w="0" w:type="auto"/>
            <w:shd w:val="clear" w:color="auto" w:fill="auto"/>
            <w:vAlign w:val="bottom"/>
          </w:tcPr>
          <w:p w14:paraId="64303411" w14:textId="77777777" w:rsidR="009F6D8A" w:rsidRDefault="009F6D8A">
            <w:pPr>
              <w:rPr>
                <w:rFonts w:ascii="宋体"/>
                <w:vanish/>
              </w:rPr>
            </w:pPr>
          </w:p>
        </w:tc>
        <w:tc>
          <w:tcPr>
            <w:tcW w:w="0" w:type="auto"/>
            <w:shd w:val="clear" w:color="auto" w:fill="auto"/>
            <w:vAlign w:val="bottom"/>
          </w:tcPr>
          <w:p w14:paraId="64303412" w14:textId="77777777" w:rsidR="009F6D8A" w:rsidRDefault="009F6D8A">
            <w:pPr>
              <w:rPr>
                <w:rFonts w:ascii="宋体"/>
                <w:vanish/>
              </w:rPr>
            </w:pPr>
          </w:p>
        </w:tc>
        <w:tc>
          <w:tcPr>
            <w:tcW w:w="0" w:type="auto"/>
            <w:gridSpan w:val="3"/>
            <w:shd w:val="clear" w:color="auto" w:fill="auto"/>
            <w:vAlign w:val="bottom"/>
          </w:tcPr>
          <w:p w14:paraId="64303413" w14:textId="77777777" w:rsidR="009F6D8A" w:rsidRDefault="009F6D8A">
            <w:pPr>
              <w:rPr>
                <w:rFonts w:ascii="宋体"/>
                <w:vanish/>
              </w:rPr>
            </w:pPr>
          </w:p>
        </w:tc>
        <w:tc>
          <w:tcPr>
            <w:tcW w:w="0" w:type="auto"/>
            <w:gridSpan w:val="3"/>
            <w:shd w:val="clear" w:color="auto" w:fill="auto"/>
            <w:vAlign w:val="bottom"/>
          </w:tcPr>
          <w:p w14:paraId="64303414" w14:textId="77777777" w:rsidR="009F6D8A" w:rsidRDefault="009F6D8A">
            <w:pPr>
              <w:rPr>
                <w:rFonts w:ascii="宋体"/>
                <w:vanish/>
              </w:rPr>
            </w:pPr>
          </w:p>
        </w:tc>
      </w:tr>
      <w:tr w:rsidR="009F6D8A" w14:paraId="6430342A" w14:textId="77777777">
        <w:tc>
          <w:tcPr>
            <w:tcW w:w="0" w:type="auto"/>
            <w:gridSpan w:val="3"/>
            <w:shd w:val="clear" w:color="auto" w:fill="FFFFFF"/>
            <w:tcMar>
              <w:top w:w="40" w:type="dxa"/>
              <w:left w:w="380" w:type="dxa"/>
              <w:bottom w:w="40" w:type="dxa"/>
              <w:right w:w="20" w:type="dxa"/>
            </w:tcMar>
            <w:vAlign w:val="bottom"/>
          </w:tcPr>
          <w:p w14:paraId="64303416" w14:textId="77777777" w:rsidR="009F6D8A" w:rsidRDefault="00C50974">
            <w:pPr>
              <w:textAlignment w:val="bottom"/>
            </w:pPr>
            <w:r>
              <w:rPr>
                <w:rFonts w:ascii="Arial" w:eastAsia="宋体" w:hAnsi="Arial" w:cs="Arial"/>
                <w:color w:val="000000"/>
                <w:sz w:val="18"/>
                <w:szCs w:val="18"/>
              </w:rPr>
              <w:t>Net cash provided by (used in) discontinued operating activities</w:t>
            </w:r>
          </w:p>
        </w:tc>
        <w:tc>
          <w:tcPr>
            <w:tcW w:w="0" w:type="auto"/>
            <w:tcBorders>
              <w:top w:val="single" w:sz="8" w:space="0" w:color="000000"/>
            </w:tcBorders>
            <w:shd w:val="clear" w:color="auto" w:fill="FFFFFF"/>
            <w:tcMar>
              <w:top w:w="40" w:type="dxa"/>
              <w:left w:w="20" w:type="dxa"/>
              <w:bottom w:w="40" w:type="dxa"/>
              <w:right w:w="0" w:type="dxa"/>
            </w:tcMar>
            <w:vAlign w:val="bottom"/>
          </w:tcPr>
          <w:p w14:paraId="64303417"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418" w14:textId="77777777" w:rsidR="009F6D8A" w:rsidRDefault="00C50974">
            <w:pPr>
              <w:jc w:val="right"/>
              <w:textAlignment w:val="bottom"/>
            </w:pPr>
            <w:r>
              <w:rPr>
                <w:rFonts w:ascii="Arial" w:eastAsia="宋体" w:hAnsi="Arial" w:cs="Arial"/>
                <w:color w:val="000000"/>
                <w:sz w:val="18"/>
                <w:szCs w:val="18"/>
              </w:rPr>
              <w:t>58 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41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41A"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341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41C" w14:textId="77777777" w:rsidR="009F6D8A" w:rsidRDefault="00C50974">
            <w:pPr>
              <w:jc w:val="right"/>
              <w:textAlignment w:val="bottom"/>
            </w:pPr>
            <w:r>
              <w:rPr>
                <w:rFonts w:ascii="Arial" w:eastAsia="宋体" w:hAnsi="Arial" w:cs="Arial"/>
                <w:color w:val="000000"/>
                <w:sz w:val="18"/>
                <w:szCs w:val="18"/>
              </w:rPr>
              <w:t>13 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41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41E"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341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420" w14:textId="77777777" w:rsidR="009F6D8A" w:rsidRDefault="00C50974">
            <w:pPr>
              <w:jc w:val="right"/>
              <w:textAlignment w:val="bottom"/>
            </w:pPr>
            <w:r>
              <w:rPr>
                <w:rFonts w:ascii="Arial" w:eastAsia="宋体" w:hAnsi="Arial" w:cs="Arial"/>
                <w:color w:val="000000"/>
                <w:sz w:val="18"/>
                <w:szCs w:val="18"/>
              </w:rPr>
              <w:t>152 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42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422"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3423"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424" w14:textId="77777777" w:rsidR="009F6D8A" w:rsidRDefault="00C50974">
            <w:pPr>
              <w:jc w:val="right"/>
              <w:textAlignment w:val="bottom"/>
            </w:pPr>
            <w:r>
              <w:rPr>
                <w:rFonts w:ascii="Arial" w:eastAsia="宋体" w:hAnsi="Arial" w:cs="Arial"/>
                <w:color w:val="000000"/>
                <w:sz w:val="18"/>
                <w:szCs w:val="18"/>
              </w:rPr>
              <w:t>28 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425" w14:textId="77777777" w:rsidR="009F6D8A" w:rsidRDefault="009F6D8A">
            <w:pPr>
              <w:jc w:val="right"/>
              <w:rPr>
                <w:rFonts w:ascii="宋体"/>
              </w:rPr>
            </w:pPr>
          </w:p>
        </w:tc>
        <w:tc>
          <w:tcPr>
            <w:tcW w:w="0" w:type="auto"/>
            <w:shd w:val="clear" w:color="auto" w:fill="auto"/>
            <w:vAlign w:val="bottom"/>
          </w:tcPr>
          <w:p w14:paraId="64303426" w14:textId="77777777" w:rsidR="009F6D8A" w:rsidRDefault="009F6D8A">
            <w:pPr>
              <w:rPr>
                <w:rFonts w:ascii="宋体"/>
                <w:vanish/>
              </w:rPr>
            </w:pPr>
          </w:p>
        </w:tc>
        <w:tc>
          <w:tcPr>
            <w:tcW w:w="0" w:type="auto"/>
            <w:shd w:val="clear" w:color="auto" w:fill="auto"/>
            <w:vAlign w:val="bottom"/>
          </w:tcPr>
          <w:p w14:paraId="64303427" w14:textId="77777777" w:rsidR="009F6D8A" w:rsidRDefault="009F6D8A">
            <w:pPr>
              <w:rPr>
                <w:rFonts w:ascii="宋体"/>
                <w:vanish/>
              </w:rPr>
            </w:pPr>
          </w:p>
        </w:tc>
        <w:tc>
          <w:tcPr>
            <w:tcW w:w="0" w:type="auto"/>
            <w:gridSpan w:val="3"/>
            <w:shd w:val="clear" w:color="auto" w:fill="auto"/>
            <w:vAlign w:val="bottom"/>
          </w:tcPr>
          <w:p w14:paraId="64303428" w14:textId="77777777" w:rsidR="009F6D8A" w:rsidRDefault="009F6D8A">
            <w:pPr>
              <w:rPr>
                <w:rFonts w:ascii="宋体"/>
                <w:vanish/>
              </w:rPr>
            </w:pPr>
          </w:p>
        </w:tc>
        <w:tc>
          <w:tcPr>
            <w:tcW w:w="0" w:type="auto"/>
            <w:gridSpan w:val="3"/>
            <w:shd w:val="clear" w:color="auto" w:fill="auto"/>
            <w:vAlign w:val="bottom"/>
          </w:tcPr>
          <w:p w14:paraId="64303429" w14:textId="77777777" w:rsidR="009F6D8A" w:rsidRDefault="009F6D8A">
            <w:pPr>
              <w:rPr>
                <w:rFonts w:ascii="宋体"/>
                <w:vanish/>
              </w:rPr>
            </w:pPr>
          </w:p>
        </w:tc>
      </w:tr>
      <w:tr w:rsidR="009F6D8A" w14:paraId="64303437" w14:textId="77777777">
        <w:trPr>
          <w:trHeight w:val="180"/>
        </w:trPr>
        <w:tc>
          <w:tcPr>
            <w:tcW w:w="0" w:type="auto"/>
            <w:gridSpan w:val="3"/>
            <w:shd w:val="clear" w:color="auto" w:fill="E1E1E1"/>
            <w:tcMar>
              <w:top w:w="0" w:type="dxa"/>
              <w:left w:w="20" w:type="dxa"/>
              <w:bottom w:w="0" w:type="dxa"/>
              <w:right w:w="20" w:type="dxa"/>
            </w:tcMar>
            <w:vAlign w:val="bottom"/>
          </w:tcPr>
          <w:p w14:paraId="6430342B" w14:textId="77777777" w:rsidR="009F6D8A" w:rsidRDefault="009F6D8A">
            <w:pPr>
              <w:rPr>
                <w:rFonts w:ascii="宋体"/>
              </w:rPr>
            </w:pPr>
          </w:p>
        </w:tc>
        <w:tc>
          <w:tcPr>
            <w:tcW w:w="0" w:type="auto"/>
            <w:gridSpan w:val="3"/>
            <w:tcBorders>
              <w:top w:val="double" w:sz="6" w:space="0" w:color="000000"/>
            </w:tcBorders>
            <w:shd w:val="clear" w:color="auto" w:fill="E1E1E1"/>
            <w:tcMar>
              <w:top w:w="0" w:type="dxa"/>
              <w:left w:w="20" w:type="dxa"/>
              <w:bottom w:w="0" w:type="dxa"/>
              <w:right w:w="20" w:type="dxa"/>
            </w:tcMar>
            <w:vAlign w:val="bottom"/>
          </w:tcPr>
          <w:p w14:paraId="6430342C"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342D" w14:textId="77777777" w:rsidR="009F6D8A" w:rsidRDefault="009F6D8A">
            <w:pPr>
              <w:rPr>
                <w:rFonts w:ascii="宋体"/>
              </w:rPr>
            </w:pPr>
          </w:p>
        </w:tc>
        <w:tc>
          <w:tcPr>
            <w:tcW w:w="0" w:type="auto"/>
            <w:gridSpan w:val="3"/>
            <w:tcBorders>
              <w:top w:val="double" w:sz="6" w:space="0" w:color="000000"/>
            </w:tcBorders>
            <w:shd w:val="clear" w:color="auto" w:fill="E1E1E1"/>
            <w:tcMar>
              <w:top w:w="0" w:type="dxa"/>
              <w:left w:w="20" w:type="dxa"/>
              <w:bottom w:w="0" w:type="dxa"/>
              <w:right w:w="20" w:type="dxa"/>
            </w:tcMar>
            <w:vAlign w:val="bottom"/>
          </w:tcPr>
          <w:p w14:paraId="6430342E"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342F" w14:textId="77777777" w:rsidR="009F6D8A" w:rsidRDefault="009F6D8A">
            <w:pPr>
              <w:rPr>
                <w:rFonts w:ascii="宋体"/>
              </w:rPr>
            </w:pPr>
          </w:p>
        </w:tc>
        <w:tc>
          <w:tcPr>
            <w:tcW w:w="0" w:type="auto"/>
            <w:gridSpan w:val="3"/>
            <w:tcBorders>
              <w:top w:val="double" w:sz="6" w:space="0" w:color="000000"/>
            </w:tcBorders>
            <w:shd w:val="clear" w:color="auto" w:fill="E1E1E1"/>
            <w:tcMar>
              <w:top w:w="0" w:type="dxa"/>
              <w:left w:w="20" w:type="dxa"/>
              <w:bottom w:w="0" w:type="dxa"/>
              <w:right w:w="20" w:type="dxa"/>
            </w:tcMar>
            <w:vAlign w:val="bottom"/>
          </w:tcPr>
          <w:p w14:paraId="64303430"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3431" w14:textId="77777777" w:rsidR="009F6D8A" w:rsidRDefault="009F6D8A">
            <w:pPr>
              <w:rPr>
                <w:rFonts w:ascii="宋体"/>
              </w:rPr>
            </w:pPr>
          </w:p>
        </w:tc>
        <w:tc>
          <w:tcPr>
            <w:tcW w:w="0" w:type="auto"/>
            <w:gridSpan w:val="3"/>
            <w:tcBorders>
              <w:top w:val="double" w:sz="6" w:space="0" w:color="000000"/>
            </w:tcBorders>
            <w:shd w:val="clear" w:color="auto" w:fill="E1E1E1"/>
            <w:tcMar>
              <w:top w:w="0" w:type="dxa"/>
              <w:left w:w="20" w:type="dxa"/>
              <w:bottom w:w="0" w:type="dxa"/>
              <w:right w:w="20" w:type="dxa"/>
            </w:tcMar>
            <w:vAlign w:val="bottom"/>
          </w:tcPr>
          <w:p w14:paraId="64303432" w14:textId="77777777" w:rsidR="009F6D8A" w:rsidRDefault="009F6D8A">
            <w:pPr>
              <w:rPr>
                <w:rFonts w:ascii="宋体"/>
              </w:rPr>
            </w:pPr>
          </w:p>
        </w:tc>
        <w:tc>
          <w:tcPr>
            <w:tcW w:w="0" w:type="auto"/>
            <w:shd w:val="clear" w:color="auto" w:fill="auto"/>
            <w:vAlign w:val="bottom"/>
          </w:tcPr>
          <w:p w14:paraId="64303433" w14:textId="77777777" w:rsidR="009F6D8A" w:rsidRDefault="009F6D8A">
            <w:pPr>
              <w:rPr>
                <w:rFonts w:ascii="宋体"/>
                <w:vanish/>
              </w:rPr>
            </w:pPr>
          </w:p>
        </w:tc>
        <w:tc>
          <w:tcPr>
            <w:tcW w:w="0" w:type="auto"/>
            <w:shd w:val="clear" w:color="auto" w:fill="auto"/>
            <w:vAlign w:val="bottom"/>
          </w:tcPr>
          <w:p w14:paraId="64303434" w14:textId="77777777" w:rsidR="009F6D8A" w:rsidRDefault="009F6D8A">
            <w:pPr>
              <w:rPr>
                <w:rFonts w:ascii="宋体"/>
                <w:vanish/>
              </w:rPr>
            </w:pPr>
          </w:p>
        </w:tc>
        <w:tc>
          <w:tcPr>
            <w:tcW w:w="0" w:type="auto"/>
            <w:gridSpan w:val="3"/>
            <w:shd w:val="clear" w:color="auto" w:fill="auto"/>
            <w:vAlign w:val="bottom"/>
          </w:tcPr>
          <w:p w14:paraId="64303435" w14:textId="77777777" w:rsidR="009F6D8A" w:rsidRDefault="009F6D8A">
            <w:pPr>
              <w:rPr>
                <w:rFonts w:ascii="宋体"/>
                <w:vanish/>
              </w:rPr>
            </w:pPr>
          </w:p>
        </w:tc>
        <w:tc>
          <w:tcPr>
            <w:tcW w:w="0" w:type="auto"/>
            <w:gridSpan w:val="3"/>
            <w:shd w:val="clear" w:color="auto" w:fill="auto"/>
            <w:vAlign w:val="bottom"/>
          </w:tcPr>
          <w:p w14:paraId="64303436" w14:textId="77777777" w:rsidR="009F6D8A" w:rsidRDefault="009F6D8A">
            <w:pPr>
              <w:rPr>
                <w:rFonts w:ascii="宋体"/>
                <w:vanish/>
              </w:rPr>
            </w:pPr>
          </w:p>
        </w:tc>
      </w:tr>
      <w:tr w:rsidR="009F6D8A" w14:paraId="6430344C" w14:textId="77777777">
        <w:tc>
          <w:tcPr>
            <w:tcW w:w="0" w:type="auto"/>
            <w:gridSpan w:val="3"/>
            <w:shd w:val="clear" w:color="auto" w:fill="FFFFFF"/>
            <w:tcMar>
              <w:top w:w="40" w:type="dxa"/>
              <w:left w:w="20" w:type="dxa"/>
              <w:bottom w:w="40" w:type="dxa"/>
              <w:right w:w="20" w:type="dxa"/>
            </w:tcMar>
            <w:vAlign w:val="bottom"/>
          </w:tcPr>
          <w:p w14:paraId="64303438" w14:textId="77777777" w:rsidR="009F6D8A" w:rsidRDefault="00C50974">
            <w:pPr>
              <w:textAlignment w:val="bottom"/>
            </w:pPr>
            <w:r>
              <w:rPr>
                <w:rFonts w:ascii="Arial" w:eastAsia="宋体" w:hAnsi="Arial" w:cs="Arial"/>
                <w:color w:val="000000"/>
                <w:sz w:val="18"/>
                <w:szCs w:val="18"/>
              </w:rPr>
              <w:t xml:space="preserve">eBay Korea net cash (used in) discontinued investing activities </w:t>
            </w:r>
          </w:p>
        </w:tc>
        <w:tc>
          <w:tcPr>
            <w:tcW w:w="0" w:type="auto"/>
            <w:shd w:val="clear" w:color="auto" w:fill="FFFFFF"/>
            <w:tcMar>
              <w:top w:w="40" w:type="dxa"/>
              <w:left w:w="20" w:type="dxa"/>
              <w:bottom w:w="40" w:type="dxa"/>
              <w:right w:w="0" w:type="dxa"/>
            </w:tcMar>
            <w:vAlign w:val="bottom"/>
          </w:tcPr>
          <w:p w14:paraId="64303439"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43A" w14:textId="77777777" w:rsidR="009F6D8A" w:rsidRDefault="00C50974">
            <w:pPr>
              <w:jc w:val="right"/>
              <w:textAlignment w:val="bottom"/>
            </w:pPr>
            <w:r>
              <w:rPr>
                <w:rFonts w:ascii="Arial" w:eastAsia="宋体" w:hAnsi="Arial" w:cs="Arial"/>
                <w:color w:val="000000"/>
                <w:sz w:val="18"/>
                <w:szCs w:val="18"/>
              </w:rPr>
              <w:t>(8)</w:t>
            </w:r>
          </w:p>
        </w:tc>
        <w:tc>
          <w:tcPr>
            <w:tcW w:w="0" w:type="auto"/>
            <w:shd w:val="clear" w:color="auto" w:fill="FFFFFF"/>
            <w:tcMar>
              <w:top w:w="40" w:type="dxa"/>
              <w:left w:w="0" w:type="dxa"/>
              <w:bottom w:w="40" w:type="dxa"/>
              <w:right w:w="20" w:type="dxa"/>
            </w:tcMar>
            <w:vAlign w:val="bottom"/>
          </w:tcPr>
          <w:p w14:paraId="6430343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43C"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43D"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43E"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43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440"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441"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442" w14:textId="77777777" w:rsidR="009F6D8A" w:rsidRDefault="00C50974">
            <w:pPr>
              <w:jc w:val="right"/>
              <w:textAlignment w:val="bottom"/>
            </w:pPr>
            <w:r>
              <w:rPr>
                <w:rFonts w:ascii="Arial" w:eastAsia="宋体" w:hAnsi="Arial" w:cs="Arial"/>
                <w:color w:val="000000"/>
                <w:sz w:val="18"/>
                <w:szCs w:val="18"/>
              </w:rPr>
              <w:t>(9)</w:t>
            </w:r>
          </w:p>
        </w:tc>
        <w:tc>
          <w:tcPr>
            <w:tcW w:w="0" w:type="auto"/>
            <w:shd w:val="clear" w:color="auto" w:fill="FFFFFF"/>
            <w:tcMar>
              <w:top w:w="40" w:type="dxa"/>
              <w:left w:w="0" w:type="dxa"/>
              <w:bottom w:w="40" w:type="dxa"/>
              <w:right w:w="20" w:type="dxa"/>
            </w:tcMar>
            <w:vAlign w:val="bottom"/>
          </w:tcPr>
          <w:p w14:paraId="6430344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444"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445"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446" w14:textId="77777777" w:rsidR="009F6D8A" w:rsidRDefault="00C50974">
            <w:pPr>
              <w:jc w:val="right"/>
              <w:textAlignment w:val="bottom"/>
            </w:pPr>
            <w:r>
              <w:rPr>
                <w:rFonts w:ascii="Arial" w:eastAsia="宋体" w:hAnsi="Arial" w:cs="Arial"/>
                <w:color w:val="000000"/>
                <w:sz w:val="18"/>
                <w:szCs w:val="18"/>
              </w:rPr>
              <w:t>(10)</w:t>
            </w:r>
          </w:p>
        </w:tc>
        <w:tc>
          <w:tcPr>
            <w:tcW w:w="0" w:type="auto"/>
            <w:shd w:val="clear" w:color="auto" w:fill="FFFFFF"/>
            <w:tcMar>
              <w:top w:w="40" w:type="dxa"/>
              <w:left w:w="0" w:type="dxa"/>
              <w:bottom w:w="40" w:type="dxa"/>
              <w:right w:w="20" w:type="dxa"/>
            </w:tcMar>
            <w:vAlign w:val="bottom"/>
          </w:tcPr>
          <w:p w14:paraId="64303447" w14:textId="77777777" w:rsidR="009F6D8A" w:rsidRDefault="009F6D8A">
            <w:pPr>
              <w:jc w:val="right"/>
              <w:rPr>
                <w:rFonts w:ascii="宋体"/>
              </w:rPr>
            </w:pPr>
          </w:p>
        </w:tc>
        <w:tc>
          <w:tcPr>
            <w:tcW w:w="0" w:type="auto"/>
            <w:shd w:val="clear" w:color="auto" w:fill="auto"/>
            <w:vAlign w:val="bottom"/>
          </w:tcPr>
          <w:p w14:paraId="64303448" w14:textId="77777777" w:rsidR="009F6D8A" w:rsidRDefault="009F6D8A">
            <w:pPr>
              <w:rPr>
                <w:rFonts w:ascii="宋体"/>
                <w:vanish/>
              </w:rPr>
            </w:pPr>
          </w:p>
        </w:tc>
        <w:tc>
          <w:tcPr>
            <w:tcW w:w="0" w:type="auto"/>
            <w:shd w:val="clear" w:color="auto" w:fill="auto"/>
            <w:vAlign w:val="bottom"/>
          </w:tcPr>
          <w:p w14:paraId="64303449" w14:textId="77777777" w:rsidR="009F6D8A" w:rsidRDefault="009F6D8A">
            <w:pPr>
              <w:rPr>
                <w:rFonts w:ascii="宋体"/>
                <w:vanish/>
              </w:rPr>
            </w:pPr>
          </w:p>
        </w:tc>
        <w:tc>
          <w:tcPr>
            <w:tcW w:w="0" w:type="auto"/>
            <w:gridSpan w:val="3"/>
            <w:shd w:val="clear" w:color="auto" w:fill="auto"/>
            <w:vAlign w:val="bottom"/>
          </w:tcPr>
          <w:p w14:paraId="6430344A" w14:textId="77777777" w:rsidR="009F6D8A" w:rsidRDefault="009F6D8A">
            <w:pPr>
              <w:rPr>
                <w:rFonts w:ascii="宋体"/>
                <w:vanish/>
              </w:rPr>
            </w:pPr>
          </w:p>
        </w:tc>
        <w:tc>
          <w:tcPr>
            <w:tcW w:w="0" w:type="auto"/>
            <w:gridSpan w:val="3"/>
            <w:shd w:val="clear" w:color="auto" w:fill="auto"/>
            <w:vAlign w:val="bottom"/>
          </w:tcPr>
          <w:p w14:paraId="6430344B" w14:textId="77777777" w:rsidR="009F6D8A" w:rsidRDefault="009F6D8A">
            <w:pPr>
              <w:rPr>
                <w:rFonts w:ascii="宋体"/>
                <w:vanish/>
              </w:rPr>
            </w:pPr>
          </w:p>
        </w:tc>
      </w:tr>
      <w:tr w:rsidR="009F6D8A" w14:paraId="6430345D" w14:textId="77777777">
        <w:tc>
          <w:tcPr>
            <w:tcW w:w="0" w:type="auto"/>
            <w:gridSpan w:val="3"/>
            <w:shd w:val="clear" w:color="auto" w:fill="E1E1E1"/>
            <w:tcMar>
              <w:top w:w="40" w:type="dxa"/>
              <w:left w:w="20" w:type="dxa"/>
              <w:bottom w:w="40" w:type="dxa"/>
              <w:right w:w="20" w:type="dxa"/>
            </w:tcMar>
            <w:vAlign w:val="bottom"/>
          </w:tcPr>
          <w:p w14:paraId="6430344D" w14:textId="77777777" w:rsidR="009F6D8A" w:rsidRDefault="00C50974">
            <w:pPr>
              <w:textAlignment w:val="bottom"/>
            </w:pPr>
            <w:r>
              <w:rPr>
                <w:rFonts w:ascii="Arial" w:eastAsia="宋体" w:hAnsi="Arial" w:cs="Arial"/>
                <w:color w:val="000000"/>
                <w:sz w:val="18"/>
                <w:szCs w:val="18"/>
              </w:rPr>
              <w:t xml:space="preserve">Classifieds net cash (used in) discontinued investing activities </w:t>
            </w:r>
          </w:p>
        </w:tc>
        <w:tc>
          <w:tcPr>
            <w:tcW w:w="0" w:type="auto"/>
            <w:gridSpan w:val="2"/>
            <w:shd w:val="clear" w:color="auto" w:fill="E1E1E1"/>
            <w:tcMar>
              <w:top w:w="40" w:type="dxa"/>
              <w:left w:w="20" w:type="dxa"/>
              <w:bottom w:w="40" w:type="dxa"/>
              <w:right w:w="0" w:type="dxa"/>
            </w:tcMar>
            <w:vAlign w:val="bottom"/>
          </w:tcPr>
          <w:p w14:paraId="6430344E" w14:textId="77777777" w:rsidR="009F6D8A" w:rsidRDefault="00C50974">
            <w:pPr>
              <w:jc w:val="right"/>
              <w:textAlignment w:val="bottom"/>
            </w:pPr>
            <w:r>
              <w:rPr>
                <w:rFonts w:ascii="Arial" w:eastAsia="宋体" w:hAnsi="Arial" w:cs="Arial"/>
                <w:color w:val="000000"/>
                <w:sz w:val="18"/>
                <w:szCs w:val="18"/>
              </w:rPr>
              <w:t>2,454 </w:t>
            </w:r>
          </w:p>
        </w:tc>
        <w:tc>
          <w:tcPr>
            <w:tcW w:w="0" w:type="auto"/>
            <w:shd w:val="clear" w:color="auto" w:fill="E1E1E1"/>
            <w:tcMar>
              <w:top w:w="40" w:type="dxa"/>
              <w:left w:w="0" w:type="dxa"/>
              <w:bottom w:w="40" w:type="dxa"/>
              <w:right w:w="20" w:type="dxa"/>
            </w:tcMar>
            <w:vAlign w:val="bottom"/>
          </w:tcPr>
          <w:p w14:paraId="6430344F"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450"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451" w14:textId="77777777" w:rsidR="009F6D8A" w:rsidRDefault="00C50974">
            <w:pPr>
              <w:jc w:val="right"/>
              <w:textAlignment w:val="bottom"/>
            </w:pPr>
            <w:r>
              <w:rPr>
                <w:rFonts w:ascii="Arial" w:eastAsia="宋体" w:hAnsi="Arial" w:cs="Arial"/>
                <w:color w:val="000000"/>
                <w:sz w:val="18"/>
                <w:szCs w:val="18"/>
              </w:rPr>
              <w:t>(43)</w:t>
            </w:r>
          </w:p>
        </w:tc>
        <w:tc>
          <w:tcPr>
            <w:tcW w:w="0" w:type="auto"/>
            <w:shd w:val="clear" w:color="auto" w:fill="E1E1E1"/>
            <w:tcMar>
              <w:top w:w="40" w:type="dxa"/>
              <w:left w:w="0" w:type="dxa"/>
              <w:bottom w:w="40" w:type="dxa"/>
              <w:right w:w="20" w:type="dxa"/>
            </w:tcMar>
            <w:vAlign w:val="bottom"/>
          </w:tcPr>
          <w:p w14:paraId="64303452"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453"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454" w14:textId="77777777" w:rsidR="009F6D8A" w:rsidRDefault="00C50974">
            <w:pPr>
              <w:jc w:val="right"/>
              <w:textAlignment w:val="bottom"/>
            </w:pPr>
            <w:r>
              <w:rPr>
                <w:rFonts w:ascii="Arial" w:eastAsia="宋体" w:hAnsi="Arial" w:cs="Arial"/>
                <w:color w:val="000000"/>
                <w:sz w:val="18"/>
                <w:szCs w:val="18"/>
              </w:rPr>
              <w:t>2,453 </w:t>
            </w:r>
          </w:p>
        </w:tc>
        <w:tc>
          <w:tcPr>
            <w:tcW w:w="0" w:type="auto"/>
            <w:shd w:val="clear" w:color="auto" w:fill="E1E1E1"/>
            <w:tcMar>
              <w:top w:w="40" w:type="dxa"/>
              <w:left w:w="0" w:type="dxa"/>
              <w:bottom w:w="40" w:type="dxa"/>
              <w:right w:w="20" w:type="dxa"/>
            </w:tcMar>
            <w:vAlign w:val="bottom"/>
          </w:tcPr>
          <w:p w14:paraId="64303455"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456"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457" w14:textId="77777777" w:rsidR="009F6D8A" w:rsidRDefault="00C50974">
            <w:pPr>
              <w:jc w:val="right"/>
              <w:textAlignment w:val="bottom"/>
            </w:pPr>
            <w:r>
              <w:rPr>
                <w:rFonts w:ascii="Arial" w:eastAsia="宋体" w:hAnsi="Arial" w:cs="Arial"/>
                <w:color w:val="000000"/>
                <w:sz w:val="18"/>
                <w:szCs w:val="18"/>
              </w:rPr>
              <w:t>(44)</w:t>
            </w:r>
          </w:p>
        </w:tc>
        <w:tc>
          <w:tcPr>
            <w:tcW w:w="0" w:type="auto"/>
            <w:shd w:val="clear" w:color="auto" w:fill="E1E1E1"/>
            <w:tcMar>
              <w:top w:w="40" w:type="dxa"/>
              <w:left w:w="0" w:type="dxa"/>
              <w:bottom w:w="40" w:type="dxa"/>
              <w:right w:w="20" w:type="dxa"/>
            </w:tcMar>
            <w:vAlign w:val="bottom"/>
          </w:tcPr>
          <w:p w14:paraId="64303458" w14:textId="77777777" w:rsidR="009F6D8A" w:rsidRDefault="009F6D8A">
            <w:pPr>
              <w:jc w:val="right"/>
              <w:rPr>
                <w:rFonts w:ascii="宋体"/>
              </w:rPr>
            </w:pPr>
          </w:p>
        </w:tc>
        <w:tc>
          <w:tcPr>
            <w:tcW w:w="0" w:type="auto"/>
            <w:shd w:val="clear" w:color="auto" w:fill="auto"/>
            <w:vAlign w:val="bottom"/>
          </w:tcPr>
          <w:p w14:paraId="64303459" w14:textId="77777777" w:rsidR="009F6D8A" w:rsidRDefault="009F6D8A">
            <w:pPr>
              <w:rPr>
                <w:rFonts w:ascii="宋体"/>
                <w:vanish/>
              </w:rPr>
            </w:pPr>
          </w:p>
        </w:tc>
        <w:tc>
          <w:tcPr>
            <w:tcW w:w="0" w:type="auto"/>
            <w:shd w:val="clear" w:color="auto" w:fill="auto"/>
            <w:vAlign w:val="bottom"/>
          </w:tcPr>
          <w:p w14:paraId="6430345A" w14:textId="77777777" w:rsidR="009F6D8A" w:rsidRDefault="009F6D8A">
            <w:pPr>
              <w:rPr>
                <w:rFonts w:ascii="宋体"/>
                <w:vanish/>
              </w:rPr>
            </w:pPr>
          </w:p>
        </w:tc>
        <w:tc>
          <w:tcPr>
            <w:tcW w:w="0" w:type="auto"/>
            <w:gridSpan w:val="3"/>
            <w:shd w:val="clear" w:color="auto" w:fill="auto"/>
            <w:vAlign w:val="bottom"/>
          </w:tcPr>
          <w:p w14:paraId="6430345B" w14:textId="77777777" w:rsidR="009F6D8A" w:rsidRDefault="009F6D8A">
            <w:pPr>
              <w:rPr>
                <w:rFonts w:ascii="宋体"/>
                <w:vanish/>
              </w:rPr>
            </w:pPr>
          </w:p>
        </w:tc>
        <w:tc>
          <w:tcPr>
            <w:tcW w:w="0" w:type="auto"/>
            <w:gridSpan w:val="3"/>
            <w:shd w:val="clear" w:color="auto" w:fill="auto"/>
            <w:vAlign w:val="bottom"/>
          </w:tcPr>
          <w:p w14:paraId="6430345C" w14:textId="77777777" w:rsidR="009F6D8A" w:rsidRDefault="009F6D8A">
            <w:pPr>
              <w:rPr>
                <w:rFonts w:ascii="宋体"/>
                <w:vanish/>
              </w:rPr>
            </w:pPr>
          </w:p>
        </w:tc>
      </w:tr>
      <w:tr w:rsidR="009F6D8A" w14:paraId="6430346E" w14:textId="77777777">
        <w:tc>
          <w:tcPr>
            <w:tcW w:w="0" w:type="auto"/>
            <w:gridSpan w:val="3"/>
            <w:shd w:val="clear" w:color="auto" w:fill="FFFFFF"/>
            <w:tcMar>
              <w:top w:w="40" w:type="dxa"/>
              <w:left w:w="200" w:type="dxa"/>
              <w:bottom w:w="40" w:type="dxa"/>
              <w:right w:w="20" w:type="dxa"/>
            </w:tcMar>
            <w:vAlign w:val="bottom"/>
          </w:tcPr>
          <w:p w14:paraId="6430345E" w14:textId="77777777" w:rsidR="009F6D8A" w:rsidRDefault="00C50974">
            <w:pPr>
              <w:ind w:hanging="180"/>
              <w:textAlignment w:val="bottom"/>
            </w:pPr>
            <w:r>
              <w:rPr>
                <w:rFonts w:ascii="Arial" w:eastAsia="宋体" w:hAnsi="Arial" w:cs="Arial"/>
                <w:color w:val="000000"/>
                <w:sz w:val="18"/>
                <w:szCs w:val="18"/>
              </w:rPr>
              <w:t>StubHub net cash provided by (used in) discontinued investing activities</w:t>
            </w:r>
          </w:p>
        </w:tc>
        <w:tc>
          <w:tcPr>
            <w:tcW w:w="0" w:type="auto"/>
            <w:gridSpan w:val="2"/>
            <w:shd w:val="clear" w:color="auto" w:fill="FFFFFF"/>
            <w:tcMar>
              <w:top w:w="40" w:type="dxa"/>
              <w:left w:w="20" w:type="dxa"/>
              <w:bottom w:w="40" w:type="dxa"/>
              <w:right w:w="0" w:type="dxa"/>
            </w:tcMar>
            <w:vAlign w:val="bottom"/>
          </w:tcPr>
          <w:p w14:paraId="6430345F"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46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461"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462"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46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46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465"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46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46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468" w14:textId="77777777" w:rsidR="009F6D8A" w:rsidRDefault="00C50974">
            <w:pPr>
              <w:jc w:val="right"/>
              <w:textAlignment w:val="bottom"/>
            </w:pPr>
            <w:r>
              <w:rPr>
                <w:rFonts w:ascii="Arial" w:eastAsia="宋体" w:hAnsi="Arial" w:cs="Arial"/>
                <w:color w:val="000000"/>
                <w:sz w:val="18"/>
                <w:szCs w:val="18"/>
              </w:rPr>
              <w:t>4,075 </w:t>
            </w:r>
          </w:p>
        </w:tc>
        <w:tc>
          <w:tcPr>
            <w:tcW w:w="0" w:type="auto"/>
            <w:shd w:val="clear" w:color="auto" w:fill="FFFFFF"/>
            <w:tcMar>
              <w:top w:w="40" w:type="dxa"/>
              <w:left w:w="0" w:type="dxa"/>
              <w:bottom w:w="40" w:type="dxa"/>
              <w:right w:w="20" w:type="dxa"/>
            </w:tcMar>
            <w:vAlign w:val="bottom"/>
          </w:tcPr>
          <w:p w14:paraId="64303469" w14:textId="77777777" w:rsidR="009F6D8A" w:rsidRDefault="009F6D8A">
            <w:pPr>
              <w:jc w:val="right"/>
              <w:rPr>
                <w:rFonts w:ascii="宋体"/>
              </w:rPr>
            </w:pPr>
          </w:p>
        </w:tc>
        <w:tc>
          <w:tcPr>
            <w:tcW w:w="0" w:type="auto"/>
            <w:shd w:val="clear" w:color="auto" w:fill="auto"/>
            <w:vAlign w:val="bottom"/>
          </w:tcPr>
          <w:p w14:paraId="6430346A" w14:textId="77777777" w:rsidR="009F6D8A" w:rsidRDefault="009F6D8A">
            <w:pPr>
              <w:rPr>
                <w:rFonts w:ascii="宋体"/>
                <w:vanish/>
              </w:rPr>
            </w:pPr>
          </w:p>
        </w:tc>
        <w:tc>
          <w:tcPr>
            <w:tcW w:w="0" w:type="auto"/>
            <w:shd w:val="clear" w:color="auto" w:fill="auto"/>
            <w:vAlign w:val="bottom"/>
          </w:tcPr>
          <w:p w14:paraId="6430346B" w14:textId="77777777" w:rsidR="009F6D8A" w:rsidRDefault="009F6D8A">
            <w:pPr>
              <w:rPr>
                <w:rFonts w:ascii="宋体"/>
                <w:vanish/>
              </w:rPr>
            </w:pPr>
          </w:p>
        </w:tc>
        <w:tc>
          <w:tcPr>
            <w:tcW w:w="0" w:type="auto"/>
            <w:gridSpan w:val="3"/>
            <w:shd w:val="clear" w:color="auto" w:fill="auto"/>
            <w:vAlign w:val="bottom"/>
          </w:tcPr>
          <w:p w14:paraId="6430346C" w14:textId="77777777" w:rsidR="009F6D8A" w:rsidRDefault="009F6D8A">
            <w:pPr>
              <w:rPr>
                <w:rFonts w:ascii="宋体"/>
                <w:vanish/>
              </w:rPr>
            </w:pPr>
          </w:p>
        </w:tc>
        <w:tc>
          <w:tcPr>
            <w:tcW w:w="0" w:type="auto"/>
            <w:gridSpan w:val="3"/>
            <w:shd w:val="clear" w:color="auto" w:fill="auto"/>
            <w:vAlign w:val="bottom"/>
          </w:tcPr>
          <w:p w14:paraId="6430346D" w14:textId="77777777" w:rsidR="009F6D8A" w:rsidRDefault="009F6D8A">
            <w:pPr>
              <w:rPr>
                <w:rFonts w:ascii="宋体"/>
                <w:vanish/>
              </w:rPr>
            </w:pPr>
          </w:p>
        </w:tc>
      </w:tr>
      <w:tr w:rsidR="009F6D8A" w14:paraId="64303483" w14:textId="77777777">
        <w:tc>
          <w:tcPr>
            <w:tcW w:w="0" w:type="auto"/>
            <w:gridSpan w:val="3"/>
            <w:shd w:val="clear" w:color="auto" w:fill="E1E1E1"/>
            <w:tcMar>
              <w:top w:w="40" w:type="dxa"/>
              <w:left w:w="380" w:type="dxa"/>
              <w:bottom w:w="40" w:type="dxa"/>
              <w:right w:w="20" w:type="dxa"/>
            </w:tcMar>
            <w:vAlign w:val="bottom"/>
          </w:tcPr>
          <w:p w14:paraId="6430346F" w14:textId="77777777" w:rsidR="009F6D8A" w:rsidRDefault="00C50974">
            <w:pPr>
              <w:textAlignment w:val="bottom"/>
            </w:pPr>
            <w:r>
              <w:rPr>
                <w:rFonts w:ascii="Arial" w:eastAsia="宋体" w:hAnsi="Arial" w:cs="Arial"/>
                <w:color w:val="000000"/>
                <w:sz w:val="18"/>
                <w:szCs w:val="18"/>
              </w:rPr>
              <w:t xml:space="preserve">Net cash provided by (used in) discontinued investing activities </w:t>
            </w:r>
          </w:p>
        </w:tc>
        <w:tc>
          <w:tcPr>
            <w:tcW w:w="0" w:type="auto"/>
            <w:tcBorders>
              <w:top w:val="single" w:sz="8" w:space="0" w:color="000000"/>
            </w:tcBorders>
            <w:shd w:val="clear" w:color="auto" w:fill="E1E1E1"/>
            <w:tcMar>
              <w:top w:w="40" w:type="dxa"/>
              <w:left w:w="20" w:type="dxa"/>
              <w:bottom w:w="40" w:type="dxa"/>
              <w:right w:w="0" w:type="dxa"/>
            </w:tcMar>
            <w:vAlign w:val="bottom"/>
          </w:tcPr>
          <w:p w14:paraId="64303470"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471" w14:textId="77777777" w:rsidR="009F6D8A" w:rsidRDefault="00C50974">
            <w:pPr>
              <w:jc w:val="right"/>
              <w:textAlignment w:val="bottom"/>
            </w:pPr>
            <w:r>
              <w:rPr>
                <w:rFonts w:ascii="Arial" w:eastAsia="宋体" w:hAnsi="Arial" w:cs="Arial"/>
                <w:color w:val="000000"/>
                <w:sz w:val="18"/>
                <w:szCs w:val="18"/>
              </w:rPr>
              <w:t>2,446 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472"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473"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474"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475" w14:textId="77777777" w:rsidR="009F6D8A" w:rsidRDefault="00C50974">
            <w:pPr>
              <w:jc w:val="right"/>
              <w:textAlignment w:val="bottom"/>
            </w:pPr>
            <w:r>
              <w:rPr>
                <w:rFonts w:ascii="Arial" w:eastAsia="宋体" w:hAnsi="Arial" w:cs="Arial"/>
                <w:color w:val="000000"/>
                <w:sz w:val="18"/>
                <w:szCs w:val="18"/>
              </w:rPr>
              <w:t>(43)</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476"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477"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478"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479" w14:textId="77777777" w:rsidR="009F6D8A" w:rsidRDefault="00C50974">
            <w:pPr>
              <w:jc w:val="right"/>
              <w:textAlignment w:val="bottom"/>
            </w:pPr>
            <w:r>
              <w:rPr>
                <w:rFonts w:ascii="Arial" w:eastAsia="宋体" w:hAnsi="Arial" w:cs="Arial"/>
                <w:color w:val="000000"/>
                <w:sz w:val="18"/>
                <w:szCs w:val="18"/>
              </w:rPr>
              <w:t>2,444 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47A"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47B"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47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47D" w14:textId="77777777" w:rsidR="009F6D8A" w:rsidRDefault="00C50974">
            <w:pPr>
              <w:jc w:val="right"/>
              <w:textAlignment w:val="bottom"/>
            </w:pPr>
            <w:r>
              <w:rPr>
                <w:rFonts w:ascii="Arial" w:eastAsia="宋体" w:hAnsi="Arial" w:cs="Arial"/>
                <w:color w:val="000000"/>
                <w:sz w:val="18"/>
                <w:szCs w:val="18"/>
              </w:rPr>
              <w:t>4,021 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47E" w14:textId="77777777" w:rsidR="009F6D8A" w:rsidRDefault="009F6D8A">
            <w:pPr>
              <w:jc w:val="right"/>
              <w:rPr>
                <w:rFonts w:ascii="宋体"/>
              </w:rPr>
            </w:pPr>
          </w:p>
        </w:tc>
        <w:tc>
          <w:tcPr>
            <w:tcW w:w="0" w:type="auto"/>
            <w:shd w:val="clear" w:color="auto" w:fill="auto"/>
            <w:vAlign w:val="bottom"/>
          </w:tcPr>
          <w:p w14:paraId="6430347F" w14:textId="77777777" w:rsidR="009F6D8A" w:rsidRDefault="009F6D8A">
            <w:pPr>
              <w:rPr>
                <w:rFonts w:ascii="宋体"/>
                <w:vanish/>
              </w:rPr>
            </w:pPr>
          </w:p>
        </w:tc>
        <w:tc>
          <w:tcPr>
            <w:tcW w:w="0" w:type="auto"/>
            <w:shd w:val="clear" w:color="auto" w:fill="auto"/>
            <w:vAlign w:val="bottom"/>
          </w:tcPr>
          <w:p w14:paraId="64303480" w14:textId="77777777" w:rsidR="009F6D8A" w:rsidRDefault="009F6D8A">
            <w:pPr>
              <w:rPr>
                <w:rFonts w:ascii="宋体"/>
                <w:vanish/>
              </w:rPr>
            </w:pPr>
          </w:p>
        </w:tc>
        <w:tc>
          <w:tcPr>
            <w:tcW w:w="0" w:type="auto"/>
            <w:gridSpan w:val="3"/>
            <w:shd w:val="clear" w:color="auto" w:fill="auto"/>
            <w:vAlign w:val="bottom"/>
          </w:tcPr>
          <w:p w14:paraId="64303481" w14:textId="77777777" w:rsidR="009F6D8A" w:rsidRDefault="009F6D8A">
            <w:pPr>
              <w:rPr>
                <w:rFonts w:ascii="宋体"/>
                <w:vanish/>
              </w:rPr>
            </w:pPr>
          </w:p>
        </w:tc>
        <w:tc>
          <w:tcPr>
            <w:tcW w:w="0" w:type="auto"/>
            <w:gridSpan w:val="3"/>
            <w:shd w:val="clear" w:color="auto" w:fill="auto"/>
            <w:vAlign w:val="bottom"/>
          </w:tcPr>
          <w:p w14:paraId="64303482" w14:textId="77777777" w:rsidR="009F6D8A" w:rsidRDefault="009F6D8A">
            <w:pPr>
              <w:rPr>
                <w:rFonts w:ascii="宋体"/>
                <w:vanish/>
              </w:rPr>
            </w:pPr>
          </w:p>
        </w:tc>
      </w:tr>
      <w:tr w:rsidR="009F6D8A" w14:paraId="64303490" w14:textId="77777777">
        <w:trPr>
          <w:trHeight w:val="180"/>
        </w:trPr>
        <w:tc>
          <w:tcPr>
            <w:tcW w:w="0" w:type="auto"/>
            <w:gridSpan w:val="3"/>
            <w:shd w:val="clear" w:color="auto" w:fill="FFFFFF"/>
            <w:tcMar>
              <w:top w:w="0" w:type="dxa"/>
              <w:left w:w="20" w:type="dxa"/>
              <w:bottom w:w="0" w:type="dxa"/>
              <w:right w:w="20" w:type="dxa"/>
            </w:tcMar>
            <w:vAlign w:val="bottom"/>
          </w:tcPr>
          <w:p w14:paraId="64303484"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485"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486"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487"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488"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489"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48A"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48B" w14:textId="77777777" w:rsidR="009F6D8A" w:rsidRDefault="009F6D8A">
            <w:pPr>
              <w:rPr>
                <w:rFonts w:ascii="宋体"/>
              </w:rPr>
            </w:pPr>
          </w:p>
        </w:tc>
        <w:tc>
          <w:tcPr>
            <w:tcW w:w="0" w:type="auto"/>
            <w:shd w:val="clear" w:color="auto" w:fill="auto"/>
            <w:vAlign w:val="bottom"/>
          </w:tcPr>
          <w:p w14:paraId="6430348C" w14:textId="77777777" w:rsidR="009F6D8A" w:rsidRDefault="009F6D8A">
            <w:pPr>
              <w:rPr>
                <w:rFonts w:ascii="宋体"/>
                <w:vanish/>
              </w:rPr>
            </w:pPr>
          </w:p>
        </w:tc>
        <w:tc>
          <w:tcPr>
            <w:tcW w:w="0" w:type="auto"/>
            <w:shd w:val="clear" w:color="auto" w:fill="auto"/>
            <w:vAlign w:val="bottom"/>
          </w:tcPr>
          <w:p w14:paraId="6430348D" w14:textId="77777777" w:rsidR="009F6D8A" w:rsidRDefault="009F6D8A">
            <w:pPr>
              <w:rPr>
                <w:rFonts w:ascii="宋体"/>
                <w:vanish/>
              </w:rPr>
            </w:pPr>
          </w:p>
        </w:tc>
        <w:tc>
          <w:tcPr>
            <w:tcW w:w="0" w:type="auto"/>
            <w:gridSpan w:val="3"/>
            <w:shd w:val="clear" w:color="auto" w:fill="auto"/>
            <w:vAlign w:val="bottom"/>
          </w:tcPr>
          <w:p w14:paraId="6430348E" w14:textId="77777777" w:rsidR="009F6D8A" w:rsidRDefault="009F6D8A">
            <w:pPr>
              <w:rPr>
                <w:rFonts w:ascii="宋体"/>
                <w:vanish/>
              </w:rPr>
            </w:pPr>
          </w:p>
        </w:tc>
        <w:tc>
          <w:tcPr>
            <w:tcW w:w="0" w:type="auto"/>
            <w:gridSpan w:val="3"/>
            <w:shd w:val="clear" w:color="auto" w:fill="auto"/>
            <w:vAlign w:val="bottom"/>
          </w:tcPr>
          <w:p w14:paraId="6430348F" w14:textId="77777777" w:rsidR="009F6D8A" w:rsidRDefault="009F6D8A">
            <w:pPr>
              <w:rPr>
                <w:rFonts w:ascii="宋体"/>
                <w:vanish/>
              </w:rPr>
            </w:pPr>
          </w:p>
        </w:tc>
      </w:tr>
      <w:tr w:rsidR="009F6D8A" w14:paraId="643034A5" w14:textId="77777777">
        <w:tc>
          <w:tcPr>
            <w:tcW w:w="0" w:type="auto"/>
            <w:gridSpan w:val="3"/>
            <w:shd w:val="clear" w:color="auto" w:fill="E1E1E1"/>
            <w:tcMar>
              <w:top w:w="40" w:type="dxa"/>
              <w:left w:w="20" w:type="dxa"/>
              <w:bottom w:w="40" w:type="dxa"/>
              <w:right w:w="20" w:type="dxa"/>
            </w:tcMar>
            <w:vAlign w:val="bottom"/>
          </w:tcPr>
          <w:p w14:paraId="64303491" w14:textId="77777777" w:rsidR="009F6D8A" w:rsidRDefault="00C50974">
            <w:pPr>
              <w:ind w:hanging="180"/>
              <w:textAlignment w:val="bottom"/>
            </w:pPr>
            <w:r>
              <w:rPr>
                <w:rFonts w:ascii="Arial" w:eastAsia="宋体" w:hAnsi="Arial" w:cs="Arial"/>
                <w:color w:val="000000"/>
                <w:sz w:val="18"/>
                <w:szCs w:val="18"/>
              </w:rPr>
              <w:t xml:space="preserve">eBay Korea net cash (used in) discontinued financing activities </w:t>
            </w:r>
          </w:p>
        </w:tc>
        <w:tc>
          <w:tcPr>
            <w:tcW w:w="0" w:type="auto"/>
            <w:shd w:val="clear" w:color="auto" w:fill="E1E1E1"/>
            <w:tcMar>
              <w:top w:w="40" w:type="dxa"/>
              <w:left w:w="20" w:type="dxa"/>
              <w:bottom w:w="40" w:type="dxa"/>
              <w:right w:w="0" w:type="dxa"/>
            </w:tcMar>
            <w:vAlign w:val="bottom"/>
          </w:tcPr>
          <w:p w14:paraId="64303492"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4303493" w14:textId="77777777" w:rsidR="009F6D8A" w:rsidRDefault="00C50974">
            <w:pPr>
              <w:jc w:val="right"/>
              <w:textAlignment w:val="bottom"/>
            </w:pPr>
            <w:r>
              <w:rPr>
                <w:rFonts w:ascii="Arial" w:eastAsia="宋体" w:hAnsi="Arial" w:cs="Arial"/>
                <w:color w:val="000000"/>
                <w:sz w:val="18"/>
                <w:szCs w:val="18"/>
              </w:rPr>
              <w:t>6 </w:t>
            </w:r>
          </w:p>
        </w:tc>
        <w:tc>
          <w:tcPr>
            <w:tcW w:w="0" w:type="auto"/>
            <w:shd w:val="clear" w:color="auto" w:fill="E1E1E1"/>
            <w:tcMar>
              <w:top w:w="40" w:type="dxa"/>
              <w:left w:w="0" w:type="dxa"/>
              <w:bottom w:w="40" w:type="dxa"/>
              <w:right w:w="20" w:type="dxa"/>
            </w:tcMar>
            <w:vAlign w:val="bottom"/>
          </w:tcPr>
          <w:p w14:paraId="64303494"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495"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3496"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4303497" w14:textId="77777777" w:rsidR="009F6D8A" w:rsidRDefault="00C50974">
            <w:pPr>
              <w:jc w:val="right"/>
              <w:textAlignment w:val="bottom"/>
            </w:pPr>
            <w:r>
              <w:rPr>
                <w:rFonts w:ascii="Arial" w:eastAsia="宋体" w:hAnsi="Arial" w:cs="Arial"/>
                <w:color w:val="000000"/>
                <w:sz w:val="18"/>
                <w:szCs w:val="18"/>
              </w:rPr>
              <w:t>(3)</w:t>
            </w:r>
          </w:p>
        </w:tc>
        <w:tc>
          <w:tcPr>
            <w:tcW w:w="0" w:type="auto"/>
            <w:shd w:val="clear" w:color="auto" w:fill="E1E1E1"/>
            <w:tcMar>
              <w:top w:w="40" w:type="dxa"/>
              <w:left w:w="0" w:type="dxa"/>
              <w:bottom w:w="40" w:type="dxa"/>
              <w:right w:w="20" w:type="dxa"/>
            </w:tcMar>
            <w:vAlign w:val="bottom"/>
          </w:tcPr>
          <w:p w14:paraId="64303498"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499"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349A"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430349B" w14:textId="77777777" w:rsidR="009F6D8A" w:rsidRDefault="00C50974">
            <w:pPr>
              <w:jc w:val="right"/>
              <w:textAlignment w:val="bottom"/>
            </w:pPr>
            <w:r>
              <w:rPr>
                <w:rFonts w:ascii="Arial" w:eastAsia="宋体" w:hAnsi="Arial" w:cs="Arial"/>
                <w:color w:val="000000"/>
                <w:sz w:val="18"/>
                <w:szCs w:val="18"/>
              </w:rPr>
              <w:t>(62)</w:t>
            </w:r>
          </w:p>
        </w:tc>
        <w:tc>
          <w:tcPr>
            <w:tcW w:w="0" w:type="auto"/>
            <w:shd w:val="clear" w:color="auto" w:fill="E1E1E1"/>
            <w:tcMar>
              <w:top w:w="40" w:type="dxa"/>
              <w:left w:w="0" w:type="dxa"/>
              <w:bottom w:w="40" w:type="dxa"/>
              <w:right w:w="20" w:type="dxa"/>
            </w:tcMar>
            <w:vAlign w:val="bottom"/>
          </w:tcPr>
          <w:p w14:paraId="6430349C"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49D"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349E"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430349F" w14:textId="77777777" w:rsidR="009F6D8A" w:rsidRDefault="00C50974">
            <w:pPr>
              <w:jc w:val="right"/>
              <w:textAlignment w:val="bottom"/>
            </w:pPr>
            <w:r>
              <w:rPr>
                <w:rFonts w:ascii="Arial" w:eastAsia="宋体" w:hAnsi="Arial" w:cs="Arial"/>
                <w:color w:val="000000"/>
                <w:sz w:val="18"/>
                <w:szCs w:val="18"/>
              </w:rPr>
              <w:t>(5)</w:t>
            </w:r>
          </w:p>
        </w:tc>
        <w:tc>
          <w:tcPr>
            <w:tcW w:w="0" w:type="auto"/>
            <w:shd w:val="clear" w:color="auto" w:fill="E1E1E1"/>
            <w:tcMar>
              <w:top w:w="40" w:type="dxa"/>
              <w:left w:w="0" w:type="dxa"/>
              <w:bottom w:w="40" w:type="dxa"/>
              <w:right w:w="20" w:type="dxa"/>
            </w:tcMar>
            <w:vAlign w:val="bottom"/>
          </w:tcPr>
          <w:p w14:paraId="643034A0" w14:textId="77777777" w:rsidR="009F6D8A" w:rsidRDefault="009F6D8A">
            <w:pPr>
              <w:jc w:val="right"/>
              <w:rPr>
                <w:rFonts w:ascii="宋体"/>
              </w:rPr>
            </w:pPr>
          </w:p>
        </w:tc>
        <w:tc>
          <w:tcPr>
            <w:tcW w:w="0" w:type="auto"/>
            <w:shd w:val="clear" w:color="auto" w:fill="auto"/>
            <w:vAlign w:val="bottom"/>
          </w:tcPr>
          <w:p w14:paraId="643034A1" w14:textId="77777777" w:rsidR="009F6D8A" w:rsidRDefault="009F6D8A">
            <w:pPr>
              <w:rPr>
                <w:rFonts w:ascii="宋体"/>
                <w:vanish/>
              </w:rPr>
            </w:pPr>
          </w:p>
        </w:tc>
        <w:tc>
          <w:tcPr>
            <w:tcW w:w="0" w:type="auto"/>
            <w:shd w:val="clear" w:color="auto" w:fill="auto"/>
            <w:vAlign w:val="bottom"/>
          </w:tcPr>
          <w:p w14:paraId="643034A2" w14:textId="77777777" w:rsidR="009F6D8A" w:rsidRDefault="009F6D8A">
            <w:pPr>
              <w:rPr>
                <w:rFonts w:ascii="宋体"/>
                <w:vanish/>
              </w:rPr>
            </w:pPr>
          </w:p>
        </w:tc>
        <w:tc>
          <w:tcPr>
            <w:tcW w:w="0" w:type="auto"/>
            <w:gridSpan w:val="3"/>
            <w:shd w:val="clear" w:color="auto" w:fill="auto"/>
            <w:vAlign w:val="bottom"/>
          </w:tcPr>
          <w:p w14:paraId="643034A3" w14:textId="77777777" w:rsidR="009F6D8A" w:rsidRDefault="009F6D8A">
            <w:pPr>
              <w:rPr>
                <w:rFonts w:ascii="宋体"/>
                <w:vanish/>
              </w:rPr>
            </w:pPr>
          </w:p>
        </w:tc>
        <w:tc>
          <w:tcPr>
            <w:tcW w:w="0" w:type="auto"/>
            <w:gridSpan w:val="3"/>
            <w:shd w:val="clear" w:color="auto" w:fill="auto"/>
            <w:vAlign w:val="bottom"/>
          </w:tcPr>
          <w:p w14:paraId="643034A4" w14:textId="77777777" w:rsidR="009F6D8A" w:rsidRDefault="009F6D8A">
            <w:pPr>
              <w:rPr>
                <w:rFonts w:ascii="宋体"/>
                <w:vanish/>
              </w:rPr>
            </w:pPr>
          </w:p>
        </w:tc>
      </w:tr>
      <w:tr w:rsidR="009F6D8A" w14:paraId="643034B6" w14:textId="77777777">
        <w:tc>
          <w:tcPr>
            <w:tcW w:w="0" w:type="auto"/>
            <w:gridSpan w:val="3"/>
            <w:shd w:val="clear" w:color="auto" w:fill="FFFFFF"/>
            <w:tcMar>
              <w:top w:w="40" w:type="dxa"/>
              <w:left w:w="20" w:type="dxa"/>
              <w:bottom w:w="40" w:type="dxa"/>
              <w:right w:w="20" w:type="dxa"/>
            </w:tcMar>
            <w:vAlign w:val="bottom"/>
          </w:tcPr>
          <w:p w14:paraId="643034A6" w14:textId="77777777" w:rsidR="009F6D8A" w:rsidRDefault="00C50974">
            <w:pPr>
              <w:textAlignment w:val="bottom"/>
            </w:pPr>
            <w:r>
              <w:rPr>
                <w:rFonts w:ascii="Arial" w:eastAsia="宋体" w:hAnsi="Arial" w:cs="Arial"/>
                <w:color w:val="000000"/>
                <w:sz w:val="18"/>
                <w:szCs w:val="18"/>
              </w:rPr>
              <w:t xml:space="preserve">Classifieds net cash (used in) discontinued financing activities </w:t>
            </w:r>
          </w:p>
        </w:tc>
        <w:tc>
          <w:tcPr>
            <w:tcW w:w="0" w:type="auto"/>
            <w:gridSpan w:val="2"/>
            <w:shd w:val="clear" w:color="auto" w:fill="FFFFFF"/>
            <w:tcMar>
              <w:top w:w="40" w:type="dxa"/>
              <w:left w:w="20" w:type="dxa"/>
              <w:bottom w:w="40" w:type="dxa"/>
              <w:right w:w="0" w:type="dxa"/>
            </w:tcMar>
            <w:vAlign w:val="bottom"/>
          </w:tcPr>
          <w:p w14:paraId="643034A7"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4A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4A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4AA"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4A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4AC"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4AD"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4A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4AF"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4B0" w14:textId="77777777" w:rsidR="009F6D8A" w:rsidRDefault="00C50974">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643034B1" w14:textId="77777777" w:rsidR="009F6D8A" w:rsidRDefault="009F6D8A">
            <w:pPr>
              <w:jc w:val="right"/>
              <w:rPr>
                <w:rFonts w:ascii="宋体"/>
              </w:rPr>
            </w:pPr>
          </w:p>
        </w:tc>
        <w:tc>
          <w:tcPr>
            <w:tcW w:w="0" w:type="auto"/>
            <w:shd w:val="clear" w:color="auto" w:fill="auto"/>
            <w:vAlign w:val="bottom"/>
          </w:tcPr>
          <w:p w14:paraId="643034B2" w14:textId="77777777" w:rsidR="009F6D8A" w:rsidRDefault="009F6D8A">
            <w:pPr>
              <w:rPr>
                <w:rFonts w:ascii="宋体"/>
                <w:vanish/>
              </w:rPr>
            </w:pPr>
          </w:p>
        </w:tc>
        <w:tc>
          <w:tcPr>
            <w:tcW w:w="0" w:type="auto"/>
            <w:shd w:val="clear" w:color="auto" w:fill="auto"/>
            <w:vAlign w:val="bottom"/>
          </w:tcPr>
          <w:p w14:paraId="643034B3" w14:textId="77777777" w:rsidR="009F6D8A" w:rsidRDefault="009F6D8A">
            <w:pPr>
              <w:rPr>
                <w:rFonts w:ascii="宋体"/>
                <w:vanish/>
              </w:rPr>
            </w:pPr>
          </w:p>
        </w:tc>
        <w:tc>
          <w:tcPr>
            <w:tcW w:w="0" w:type="auto"/>
            <w:gridSpan w:val="3"/>
            <w:shd w:val="clear" w:color="auto" w:fill="auto"/>
            <w:vAlign w:val="bottom"/>
          </w:tcPr>
          <w:p w14:paraId="643034B4" w14:textId="77777777" w:rsidR="009F6D8A" w:rsidRDefault="009F6D8A">
            <w:pPr>
              <w:rPr>
                <w:rFonts w:ascii="宋体"/>
                <w:vanish/>
              </w:rPr>
            </w:pPr>
          </w:p>
        </w:tc>
        <w:tc>
          <w:tcPr>
            <w:tcW w:w="0" w:type="auto"/>
            <w:gridSpan w:val="3"/>
            <w:shd w:val="clear" w:color="auto" w:fill="auto"/>
            <w:vAlign w:val="bottom"/>
          </w:tcPr>
          <w:p w14:paraId="643034B5" w14:textId="77777777" w:rsidR="009F6D8A" w:rsidRDefault="009F6D8A">
            <w:pPr>
              <w:rPr>
                <w:rFonts w:ascii="宋体"/>
                <w:vanish/>
              </w:rPr>
            </w:pPr>
          </w:p>
        </w:tc>
      </w:tr>
      <w:tr w:rsidR="009F6D8A" w14:paraId="643034C3" w14:textId="77777777">
        <w:trPr>
          <w:hidden/>
        </w:trPr>
        <w:tc>
          <w:tcPr>
            <w:tcW w:w="0" w:type="auto"/>
            <w:gridSpan w:val="3"/>
            <w:shd w:val="clear" w:color="auto" w:fill="auto"/>
            <w:vAlign w:val="bottom"/>
          </w:tcPr>
          <w:p w14:paraId="643034B7" w14:textId="77777777" w:rsidR="009F6D8A" w:rsidRDefault="009F6D8A">
            <w:pPr>
              <w:rPr>
                <w:rFonts w:ascii="宋体"/>
                <w:vanish/>
              </w:rPr>
            </w:pPr>
          </w:p>
        </w:tc>
        <w:tc>
          <w:tcPr>
            <w:tcW w:w="0" w:type="auto"/>
            <w:gridSpan w:val="3"/>
            <w:shd w:val="clear" w:color="auto" w:fill="auto"/>
            <w:vAlign w:val="bottom"/>
          </w:tcPr>
          <w:p w14:paraId="643034B8" w14:textId="77777777" w:rsidR="009F6D8A" w:rsidRDefault="009F6D8A">
            <w:pPr>
              <w:rPr>
                <w:rFonts w:ascii="宋体"/>
                <w:vanish/>
              </w:rPr>
            </w:pPr>
          </w:p>
        </w:tc>
        <w:tc>
          <w:tcPr>
            <w:tcW w:w="0" w:type="auto"/>
            <w:gridSpan w:val="3"/>
            <w:shd w:val="clear" w:color="auto" w:fill="auto"/>
            <w:vAlign w:val="bottom"/>
          </w:tcPr>
          <w:p w14:paraId="643034B9" w14:textId="77777777" w:rsidR="009F6D8A" w:rsidRDefault="009F6D8A">
            <w:pPr>
              <w:rPr>
                <w:rFonts w:ascii="宋体"/>
                <w:vanish/>
              </w:rPr>
            </w:pPr>
          </w:p>
        </w:tc>
        <w:tc>
          <w:tcPr>
            <w:tcW w:w="0" w:type="auto"/>
            <w:gridSpan w:val="3"/>
            <w:shd w:val="clear" w:color="auto" w:fill="auto"/>
            <w:vAlign w:val="bottom"/>
          </w:tcPr>
          <w:p w14:paraId="643034BA" w14:textId="77777777" w:rsidR="009F6D8A" w:rsidRDefault="009F6D8A">
            <w:pPr>
              <w:rPr>
                <w:rFonts w:ascii="宋体"/>
                <w:vanish/>
              </w:rPr>
            </w:pPr>
          </w:p>
        </w:tc>
        <w:tc>
          <w:tcPr>
            <w:tcW w:w="0" w:type="auto"/>
            <w:gridSpan w:val="3"/>
            <w:shd w:val="clear" w:color="auto" w:fill="auto"/>
            <w:vAlign w:val="bottom"/>
          </w:tcPr>
          <w:p w14:paraId="643034BB" w14:textId="77777777" w:rsidR="009F6D8A" w:rsidRDefault="009F6D8A">
            <w:pPr>
              <w:rPr>
                <w:rFonts w:ascii="宋体"/>
                <w:vanish/>
              </w:rPr>
            </w:pPr>
          </w:p>
        </w:tc>
        <w:tc>
          <w:tcPr>
            <w:tcW w:w="0" w:type="auto"/>
            <w:gridSpan w:val="3"/>
            <w:shd w:val="clear" w:color="auto" w:fill="auto"/>
            <w:vAlign w:val="bottom"/>
          </w:tcPr>
          <w:p w14:paraId="643034BC" w14:textId="77777777" w:rsidR="009F6D8A" w:rsidRDefault="009F6D8A">
            <w:pPr>
              <w:rPr>
                <w:rFonts w:ascii="宋体"/>
                <w:vanish/>
              </w:rPr>
            </w:pPr>
          </w:p>
        </w:tc>
        <w:tc>
          <w:tcPr>
            <w:tcW w:w="0" w:type="auto"/>
            <w:gridSpan w:val="3"/>
            <w:shd w:val="clear" w:color="auto" w:fill="auto"/>
            <w:vAlign w:val="bottom"/>
          </w:tcPr>
          <w:p w14:paraId="643034BD" w14:textId="77777777" w:rsidR="009F6D8A" w:rsidRDefault="009F6D8A">
            <w:pPr>
              <w:rPr>
                <w:rFonts w:ascii="宋体"/>
                <w:vanish/>
              </w:rPr>
            </w:pPr>
          </w:p>
        </w:tc>
        <w:tc>
          <w:tcPr>
            <w:tcW w:w="0" w:type="auto"/>
            <w:gridSpan w:val="3"/>
            <w:shd w:val="clear" w:color="auto" w:fill="auto"/>
            <w:vAlign w:val="bottom"/>
          </w:tcPr>
          <w:p w14:paraId="643034BE" w14:textId="77777777" w:rsidR="009F6D8A" w:rsidRDefault="009F6D8A">
            <w:pPr>
              <w:rPr>
                <w:rFonts w:ascii="宋体"/>
                <w:vanish/>
              </w:rPr>
            </w:pPr>
          </w:p>
        </w:tc>
        <w:tc>
          <w:tcPr>
            <w:tcW w:w="0" w:type="auto"/>
            <w:shd w:val="clear" w:color="auto" w:fill="auto"/>
            <w:vAlign w:val="bottom"/>
          </w:tcPr>
          <w:p w14:paraId="643034BF" w14:textId="77777777" w:rsidR="009F6D8A" w:rsidRDefault="009F6D8A">
            <w:pPr>
              <w:rPr>
                <w:rFonts w:ascii="宋体"/>
                <w:vanish/>
              </w:rPr>
            </w:pPr>
          </w:p>
        </w:tc>
        <w:tc>
          <w:tcPr>
            <w:tcW w:w="0" w:type="auto"/>
            <w:shd w:val="clear" w:color="auto" w:fill="auto"/>
            <w:vAlign w:val="bottom"/>
          </w:tcPr>
          <w:p w14:paraId="643034C0" w14:textId="77777777" w:rsidR="009F6D8A" w:rsidRDefault="009F6D8A">
            <w:pPr>
              <w:rPr>
                <w:rFonts w:ascii="宋体"/>
                <w:vanish/>
              </w:rPr>
            </w:pPr>
          </w:p>
        </w:tc>
        <w:tc>
          <w:tcPr>
            <w:tcW w:w="0" w:type="auto"/>
            <w:gridSpan w:val="3"/>
            <w:shd w:val="clear" w:color="auto" w:fill="auto"/>
            <w:vAlign w:val="bottom"/>
          </w:tcPr>
          <w:p w14:paraId="643034C1" w14:textId="77777777" w:rsidR="009F6D8A" w:rsidRDefault="009F6D8A">
            <w:pPr>
              <w:rPr>
                <w:rFonts w:ascii="宋体"/>
                <w:vanish/>
              </w:rPr>
            </w:pPr>
          </w:p>
        </w:tc>
        <w:tc>
          <w:tcPr>
            <w:tcW w:w="0" w:type="auto"/>
            <w:gridSpan w:val="3"/>
            <w:shd w:val="clear" w:color="auto" w:fill="auto"/>
            <w:vAlign w:val="bottom"/>
          </w:tcPr>
          <w:p w14:paraId="643034C2" w14:textId="77777777" w:rsidR="009F6D8A" w:rsidRDefault="009F6D8A">
            <w:pPr>
              <w:rPr>
                <w:rFonts w:ascii="宋体"/>
                <w:vanish/>
              </w:rPr>
            </w:pPr>
          </w:p>
        </w:tc>
      </w:tr>
      <w:tr w:rsidR="009F6D8A" w14:paraId="643034D8" w14:textId="77777777">
        <w:tc>
          <w:tcPr>
            <w:tcW w:w="0" w:type="auto"/>
            <w:gridSpan w:val="3"/>
            <w:shd w:val="clear" w:color="auto" w:fill="E1E1E1"/>
            <w:tcMar>
              <w:top w:w="40" w:type="dxa"/>
              <w:left w:w="380" w:type="dxa"/>
              <w:bottom w:w="40" w:type="dxa"/>
              <w:right w:w="20" w:type="dxa"/>
            </w:tcMar>
            <w:vAlign w:val="bottom"/>
          </w:tcPr>
          <w:p w14:paraId="643034C4" w14:textId="77777777" w:rsidR="009F6D8A" w:rsidRDefault="00C50974">
            <w:pPr>
              <w:textAlignment w:val="bottom"/>
            </w:pPr>
            <w:r>
              <w:rPr>
                <w:rFonts w:ascii="Arial" w:eastAsia="宋体" w:hAnsi="Arial" w:cs="Arial"/>
                <w:color w:val="000000"/>
                <w:sz w:val="18"/>
                <w:szCs w:val="18"/>
              </w:rPr>
              <w:t>Net cash (used in) discontinued financing activities</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4C5"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4C6" w14:textId="77777777" w:rsidR="009F6D8A" w:rsidRDefault="00C50974">
            <w:pPr>
              <w:jc w:val="right"/>
              <w:textAlignment w:val="bottom"/>
            </w:pPr>
            <w:r>
              <w:rPr>
                <w:rFonts w:ascii="Arial" w:eastAsia="宋体" w:hAnsi="Arial" w:cs="Arial"/>
                <w:color w:val="000000"/>
                <w:sz w:val="18"/>
                <w:szCs w:val="18"/>
              </w:rPr>
              <w:t>6 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4C7"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4C8"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4C9"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4CA" w14:textId="77777777" w:rsidR="009F6D8A" w:rsidRDefault="00C50974">
            <w:pPr>
              <w:jc w:val="right"/>
              <w:textAlignment w:val="bottom"/>
            </w:pPr>
            <w:r>
              <w:rPr>
                <w:rFonts w:ascii="Arial" w:eastAsia="宋体" w:hAnsi="Arial" w:cs="Arial"/>
                <w:color w:val="000000"/>
                <w:sz w:val="18"/>
                <w:szCs w:val="18"/>
              </w:rPr>
              <w:t>(3)</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4CB"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4CC"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4CD"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4CE" w14:textId="77777777" w:rsidR="009F6D8A" w:rsidRDefault="00C50974">
            <w:pPr>
              <w:jc w:val="right"/>
              <w:textAlignment w:val="bottom"/>
            </w:pPr>
            <w:r>
              <w:rPr>
                <w:rFonts w:ascii="Arial" w:eastAsia="宋体" w:hAnsi="Arial" w:cs="Arial"/>
                <w:color w:val="000000"/>
                <w:sz w:val="18"/>
                <w:szCs w:val="18"/>
              </w:rPr>
              <w:t>(62)</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4CF"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4D0"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4D1"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4D2" w14:textId="77777777" w:rsidR="009F6D8A" w:rsidRDefault="00C50974">
            <w:pPr>
              <w:jc w:val="right"/>
              <w:textAlignment w:val="bottom"/>
            </w:pPr>
            <w:r>
              <w:rPr>
                <w:rFonts w:ascii="Arial" w:eastAsia="宋体" w:hAnsi="Arial" w:cs="Arial"/>
                <w:color w:val="000000"/>
                <w:sz w:val="18"/>
                <w:szCs w:val="18"/>
              </w:rPr>
              <w:t>(7)</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4D3" w14:textId="77777777" w:rsidR="009F6D8A" w:rsidRDefault="009F6D8A">
            <w:pPr>
              <w:jc w:val="right"/>
              <w:rPr>
                <w:rFonts w:ascii="宋体"/>
              </w:rPr>
            </w:pPr>
          </w:p>
        </w:tc>
        <w:tc>
          <w:tcPr>
            <w:tcW w:w="0" w:type="auto"/>
            <w:shd w:val="clear" w:color="auto" w:fill="auto"/>
            <w:vAlign w:val="bottom"/>
          </w:tcPr>
          <w:p w14:paraId="643034D4" w14:textId="77777777" w:rsidR="009F6D8A" w:rsidRDefault="009F6D8A">
            <w:pPr>
              <w:rPr>
                <w:rFonts w:ascii="宋体"/>
                <w:vanish/>
              </w:rPr>
            </w:pPr>
          </w:p>
        </w:tc>
        <w:tc>
          <w:tcPr>
            <w:tcW w:w="0" w:type="auto"/>
            <w:shd w:val="clear" w:color="auto" w:fill="auto"/>
            <w:vAlign w:val="bottom"/>
          </w:tcPr>
          <w:p w14:paraId="643034D5" w14:textId="77777777" w:rsidR="009F6D8A" w:rsidRDefault="009F6D8A">
            <w:pPr>
              <w:rPr>
                <w:rFonts w:ascii="宋体"/>
                <w:vanish/>
              </w:rPr>
            </w:pPr>
          </w:p>
        </w:tc>
        <w:tc>
          <w:tcPr>
            <w:tcW w:w="0" w:type="auto"/>
            <w:gridSpan w:val="3"/>
            <w:shd w:val="clear" w:color="auto" w:fill="auto"/>
            <w:vAlign w:val="bottom"/>
          </w:tcPr>
          <w:p w14:paraId="643034D6" w14:textId="77777777" w:rsidR="009F6D8A" w:rsidRDefault="009F6D8A">
            <w:pPr>
              <w:rPr>
                <w:rFonts w:ascii="宋体"/>
                <w:vanish/>
              </w:rPr>
            </w:pPr>
          </w:p>
        </w:tc>
        <w:tc>
          <w:tcPr>
            <w:tcW w:w="0" w:type="auto"/>
            <w:gridSpan w:val="3"/>
            <w:shd w:val="clear" w:color="auto" w:fill="auto"/>
            <w:vAlign w:val="bottom"/>
          </w:tcPr>
          <w:p w14:paraId="643034D7" w14:textId="77777777" w:rsidR="009F6D8A" w:rsidRDefault="009F6D8A">
            <w:pPr>
              <w:rPr>
                <w:rFonts w:ascii="宋体"/>
                <w:vanish/>
              </w:rPr>
            </w:pPr>
          </w:p>
        </w:tc>
      </w:tr>
    </w:tbl>
    <w:p w14:paraId="643034D9" w14:textId="77777777" w:rsidR="009F6D8A" w:rsidRDefault="00C50974">
      <w:pPr>
        <w:ind w:hanging="180"/>
      </w:pPr>
      <w:r>
        <w:rPr>
          <w:rFonts w:ascii="Arial" w:eastAsia="宋体" w:hAnsi="Arial" w:cs="Arial"/>
          <w:color w:val="000000"/>
          <w:sz w:val="13"/>
          <w:szCs w:val="13"/>
        </w:rPr>
        <w:t>(1)</w:t>
      </w:r>
      <w:r>
        <w:rPr>
          <w:rFonts w:ascii="Arial" w:eastAsia="宋体" w:hAnsi="Arial" w:cs="Arial"/>
          <w:color w:val="000000"/>
          <w:sz w:val="9"/>
          <w:szCs w:val="9"/>
        </w:rPr>
        <w:t xml:space="preserve"> </w:t>
      </w:r>
      <w:r>
        <w:rPr>
          <w:rFonts w:ascii="Arial" w:eastAsia="宋体" w:hAnsi="Arial" w:cs="Arial"/>
          <w:color w:val="000000"/>
          <w:sz w:val="16"/>
          <w:szCs w:val="16"/>
        </w:rPr>
        <w:t xml:space="preserve">Includes Classifieds financial results through the transaction close on </w:t>
      </w:r>
      <w:r>
        <w:rPr>
          <w:rFonts w:ascii="Arial" w:eastAsia="宋体" w:hAnsi="Arial" w:cs="Arial"/>
          <w:color w:val="000000"/>
          <w:sz w:val="16"/>
          <w:szCs w:val="16"/>
        </w:rPr>
        <w:t>June 24, 2021 and includes the gain on sale recorded for the Classifieds transaction.</w:t>
      </w:r>
    </w:p>
    <w:p w14:paraId="643034DA" w14:textId="77777777" w:rsidR="009F6D8A" w:rsidRDefault="00C50974">
      <w:pPr>
        <w:ind w:hanging="180"/>
      </w:pPr>
      <w:r>
        <w:rPr>
          <w:rFonts w:ascii="Arial" w:eastAsia="宋体" w:hAnsi="Arial" w:cs="Arial"/>
          <w:color w:val="000000"/>
          <w:sz w:val="13"/>
          <w:szCs w:val="13"/>
        </w:rPr>
        <w:t>(2)</w:t>
      </w:r>
      <w:r>
        <w:rPr>
          <w:rFonts w:ascii="Arial" w:eastAsia="宋体" w:hAnsi="Arial" w:cs="Arial"/>
          <w:color w:val="000000"/>
          <w:sz w:val="9"/>
          <w:szCs w:val="9"/>
        </w:rPr>
        <w:t xml:space="preserve"> </w:t>
      </w:r>
      <w:r>
        <w:rPr>
          <w:rFonts w:ascii="Arial" w:eastAsia="宋体" w:hAnsi="Arial" w:cs="Arial"/>
          <w:color w:val="000000"/>
          <w:sz w:val="16"/>
          <w:szCs w:val="16"/>
        </w:rPr>
        <w:t>Includes StubHub financial results from January 1, 2020 to February 13, 2020, and includes the gain on sale recorded for the StubHub transaction.</w:t>
      </w:r>
    </w:p>
    <w:p w14:paraId="643034DB" w14:textId="77777777" w:rsidR="009F6D8A" w:rsidRDefault="009F6D8A">
      <w:pPr>
        <w:ind w:hanging="180"/>
      </w:pPr>
    </w:p>
    <w:p w14:paraId="643034DC" w14:textId="77777777" w:rsidR="009F6D8A" w:rsidRDefault="009F6D8A">
      <w:pPr>
        <w:jc w:val="center"/>
      </w:pPr>
    </w:p>
    <w:p w14:paraId="643034DD" w14:textId="77777777" w:rsidR="009F6D8A" w:rsidRDefault="00C50974">
      <w:pPr>
        <w:jc w:val="center"/>
      </w:pPr>
      <w:r>
        <w:rPr>
          <w:rFonts w:ascii="Arial" w:eastAsia="宋体" w:hAnsi="Arial" w:cs="Arial"/>
          <w:color w:val="000000"/>
          <w:sz w:val="20"/>
          <w:szCs w:val="20"/>
        </w:rPr>
        <w:t>14</w:t>
      </w:r>
    </w:p>
    <w:p w14:paraId="643034DE" w14:textId="77777777" w:rsidR="009F6D8A" w:rsidRDefault="00C50974">
      <w:r>
        <w:pict w14:anchorId="64305811">
          <v:rect id="_x0000_i1038" style="width:415.3pt;height:1.5pt" o:hralign="center" o:hrstd="t" o:hr="t" fillcolor="#a0a0a0" stroked="f"/>
        </w:pict>
      </w:r>
    </w:p>
    <w:p w14:paraId="643034DF" w14:textId="77777777" w:rsidR="009F6D8A" w:rsidRDefault="009F6D8A">
      <w:pPr>
        <w:jc w:val="center"/>
      </w:pPr>
    </w:p>
    <w:p w14:paraId="643034E0" w14:textId="77777777" w:rsidR="009F6D8A" w:rsidRDefault="00C50974">
      <w:pPr>
        <w:jc w:val="center"/>
      </w:pPr>
      <w:r>
        <w:rPr>
          <w:rFonts w:ascii="Arial" w:eastAsia="宋体" w:hAnsi="Arial" w:cs="Arial"/>
          <w:b/>
          <w:bCs/>
          <w:color w:val="000000"/>
          <w:sz w:val="20"/>
          <w:szCs w:val="20"/>
        </w:rPr>
        <w:t xml:space="preserve">eBay </w:t>
      </w:r>
      <w:r>
        <w:rPr>
          <w:rFonts w:ascii="Arial" w:eastAsia="宋体" w:hAnsi="Arial" w:cs="Arial"/>
          <w:b/>
          <w:bCs/>
          <w:color w:val="000000"/>
          <w:sz w:val="20"/>
          <w:szCs w:val="20"/>
        </w:rPr>
        <w:t>Inc.</w:t>
      </w:r>
    </w:p>
    <w:p w14:paraId="643034E1"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34E2" w14:textId="77777777" w:rsidR="009F6D8A" w:rsidRDefault="00C50974">
      <w:pPr>
        <w:ind w:firstLine="540"/>
        <w:jc w:val="both"/>
      </w:pPr>
      <w:r>
        <w:rPr>
          <w:rFonts w:ascii="Arial" w:eastAsia="宋体" w:hAnsi="Arial" w:cs="Arial"/>
          <w:color w:val="000000"/>
          <w:sz w:val="20"/>
          <w:szCs w:val="20"/>
        </w:rPr>
        <w:t>The financial results of StubHub are presented as income from discontinued operations, net of income taxes on our condensed consolidated statement of income. The following table presents</w:t>
      </w:r>
      <w:r>
        <w:rPr>
          <w:rFonts w:ascii="Arial" w:eastAsia="宋体" w:hAnsi="Arial" w:cs="Arial"/>
          <w:color w:val="000000"/>
          <w:sz w:val="20"/>
          <w:szCs w:val="20"/>
        </w:rPr>
        <w:t xml:space="preserve"> the financial results of StubHub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4447"/>
        <w:gridCol w:w="39"/>
        <w:gridCol w:w="122"/>
        <w:gridCol w:w="746"/>
        <w:gridCol w:w="37"/>
        <w:gridCol w:w="36"/>
        <w:gridCol w:w="36"/>
        <w:gridCol w:w="36"/>
        <w:gridCol w:w="122"/>
        <w:gridCol w:w="702"/>
        <w:gridCol w:w="37"/>
        <w:gridCol w:w="36"/>
        <w:gridCol w:w="36"/>
        <w:gridCol w:w="36"/>
        <w:gridCol w:w="122"/>
        <w:gridCol w:w="702"/>
        <w:gridCol w:w="37"/>
        <w:gridCol w:w="36"/>
        <w:gridCol w:w="36"/>
        <w:gridCol w:w="36"/>
        <w:gridCol w:w="121"/>
        <w:gridCol w:w="702"/>
        <w:gridCol w:w="36"/>
      </w:tblGrid>
      <w:tr w:rsidR="009F6D8A" w14:paraId="643034FB" w14:textId="77777777">
        <w:tc>
          <w:tcPr>
            <w:tcW w:w="50" w:type="pct"/>
            <w:shd w:val="clear" w:color="auto" w:fill="auto"/>
            <w:vAlign w:val="bottom"/>
          </w:tcPr>
          <w:p w14:paraId="643034E3" w14:textId="77777777" w:rsidR="009F6D8A" w:rsidRDefault="009F6D8A">
            <w:pPr>
              <w:rPr>
                <w:rFonts w:ascii="宋体"/>
              </w:rPr>
            </w:pPr>
          </w:p>
        </w:tc>
        <w:tc>
          <w:tcPr>
            <w:tcW w:w="2700" w:type="pct"/>
            <w:shd w:val="clear" w:color="auto" w:fill="auto"/>
            <w:vAlign w:val="bottom"/>
          </w:tcPr>
          <w:p w14:paraId="643034E4" w14:textId="77777777" w:rsidR="009F6D8A" w:rsidRDefault="009F6D8A">
            <w:pPr>
              <w:rPr>
                <w:rFonts w:ascii="宋体"/>
              </w:rPr>
            </w:pPr>
          </w:p>
        </w:tc>
        <w:tc>
          <w:tcPr>
            <w:tcW w:w="5" w:type="pct"/>
            <w:shd w:val="clear" w:color="auto" w:fill="auto"/>
            <w:vAlign w:val="bottom"/>
          </w:tcPr>
          <w:p w14:paraId="643034E5" w14:textId="77777777" w:rsidR="009F6D8A" w:rsidRDefault="009F6D8A">
            <w:pPr>
              <w:rPr>
                <w:rFonts w:ascii="宋体"/>
              </w:rPr>
            </w:pPr>
          </w:p>
        </w:tc>
        <w:tc>
          <w:tcPr>
            <w:tcW w:w="50" w:type="pct"/>
            <w:shd w:val="clear" w:color="auto" w:fill="auto"/>
            <w:vAlign w:val="bottom"/>
          </w:tcPr>
          <w:p w14:paraId="643034E6" w14:textId="77777777" w:rsidR="009F6D8A" w:rsidRDefault="009F6D8A">
            <w:pPr>
              <w:rPr>
                <w:rFonts w:ascii="宋体"/>
              </w:rPr>
            </w:pPr>
          </w:p>
        </w:tc>
        <w:tc>
          <w:tcPr>
            <w:tcW w:w="478" w:type="pct"/>
            <w:shd w:val="clear" w:color="auto" w:fill="auto"/>
            <w:vAlign w:val="bottom"/>
          </w:tcPr>
          <w:p w14:paraId="643034E7" w14:textId="77777777" w:rsidR="009F6D8A" w:rsidRDefault="009F6D8A">
            <w:pPr>
              <w:rPr>
                <w:rFonts w:ascii="宋体"/>
              </w:rPr>
            </w:pPr>
          </w:p>
        </w:tc>
        <w:tc>
          <w:tcPr>
            <w:tcW w:w="5" w:type="pct"/>
            <w:shd w:val="clear" w:color="auto" w:fill="auto"/>
            <w:vAlign w:val="bottom"/>
          </w:tcPr>
          <w:p w14:paraId="643034E8" w14:textId="77777777" w:rsidR="009F6D8A" w:rsidRDefault="009F6D8A">
            <w:pPr>
              <w:rPr>
                <w:rFonts w:ascii="宋体"/>
              </w:rPr>
            </w:pPr>
          </w:p>
        </w:tc>
        <w:tc>
          <w:tcPr>
            <w:tcW w:w="5" w:type="pct"/>
            <w:shd w:val="clear" w:color="auto" w:fill="auto"/>
            <w:vAlign w:val="bottom"/>
          </w:tcPr>
          <w:p w14:paraId="643034E9" w14:textId="77777777" w:rsidR="009F6D8A" w:rsidRDefault="009F6D8A">
            <w:pPr>
              <w:rPr>
                <w:rFonts w:ascii="宋体"/>
              </w:rPr>
            </w:pPr>
          </w:p>
        </w:tc>
        <w:tc>
          <w:tcPr>
            <w:tcW w:w="26" w:type="pct"/>
            <w:shd w:val="clear" w:color="auto" w:fill="auto"/>
            <w:vAlign w:val="bottom"/>
          </w:tcPr>
          <w:p w14:paraId="643034EA" w14:textId="77777777" w:rsidR="009F6D8A" w:rsidRDefault="009F6D8A">
            <w:pPr>
              <w:rPr>
                <w:rFonts w:ascii="宋体"/>
              </w:rPr>
            </w:pPr>
          </w:p>
        </w:tc>
        <w:tc>
          <w:tcPr>
            <w:tcW w:w="5" w:type="pct"/>
            <w:shd w:val="clear" w:color="auto" w:fill="auto"/>
            <w:vAlign w:val="bottom"/>
          </w:tcPr>
          <w:p w14:paraId="643034EB" w14:textId="77777777" w:rsidR="009F6D8A" w:rsidRDefault="009F6D8A">
            <w:pPr>
              <w:rPr>
                <w:rFonts w:ascii="宋体"/>
              </w:rPr>
            </w:pPr>
          </w:p>
        </w:tc>
        <w:tc>
          <w:tcPr>
            <w:tcW w:w="50" w:type="pct"/>
            <w:shd w:val="clear" w:color="auto" w:fill="auto"/>
            <w:vAlign w:val="bottom"/>
          </w:tcPr>
          <w:p w14:paraId="643034EC" w14:textId="77777777" w:rsidR="009F6D8A" w:rsidRDefault="009F6D8A">
            <w:pPr>
              <w:rPr>
                <w:rFonts w:ascii="宋体"/>
              </w:rPr>
            </w:pPr>
          </w:p>
        </w:tc>
        <w:tc>
          <w:tcPr>
            <w:tcW w:w="478" w:type="pct"/>
            <w:shd w:val="clear" w:color="auto" w:fill="auto"/>
            <w:vAlign w:val="bottom"/>
          </w:tcPr>
          <w:p w14:paraId="643034ED" w14:textId="77777777" w:rsidR="009F6D8A" w:rsidRDefault="009F6D8A">
            <w:pPr>
              <w:rPr>
                <w:rFonts w:ascii="宋体"/>
              </w:rPr>
            </w:pPr>
          </w:p>
        </w:tc>
        <w:tc>
          <w:tcPr>
            <w:tcW w:w="5" w:type="pct"/>
            <w:shd w:val="clear" w:color="auto" w:fill="auto"/>
            <w:vAlign w:val="bottom"/>
          </w:tcPr>
          <w:p w14:paraId="643034EE" w14:textId="77777777" w:rsidR="009F6D8A" w:rsidRDefault="009F6D8A">
            <w:pPr>
              <w:rPr>
                <w:rFonts w:ascii="宋体"/>
              </w:rPr>
            </w:pPr>
          </w:p>
        </w:tc>
        <w:tc>
          <w:tcPr>
            <w:tcW w:w="5" w:type="pct"/>
            <w:shd w:val="clear" w:color="auto" w:fill="auto"/>
            <w:vAlign w:val="bottom"/>
          </w:tcPr>
          <w:p w14:paraId="643034EF" w14:textId="77777777" w:rsidR="009F6D8A" w:rsidRDefault="009F6D8A">
            <w:pPr>
              <w:rPr>
                <w:rFonts w:ascii="宋体"/>
              </w:rPr>
            </w:pPr>
          </w:p>
        </w:tc>
        <w:tc>
          <w:tcPr>
            <w:tcW w:w="26" w:type="pct"/>
            <w:shd w:val="clear" w:color="auto" w:fill="auto"/>
            <w:vAlign w:val="bottom"/>
          </w:tcPr>
          <w:p w14:paraId="643034F0" w14:textId="77777777" w:rsidR="009F6D8A" w:rsidRDefault="009F6D8A">
            <w:pPr>
              <w:rPr>
                <w:rFonts w:ascii="宋体"/>
              </w:rPr>
            </w:pPr>
          </w:p>
        </w:tc>
        <w:tc>
          <w:tcPr>
            <w:tcW w:w="5" w:type="pct"/>
            <w:shd w:val="clear" w:color="auto" w:fill="auto"/>
            <w:vAlign w:val="bottom"/>
          </w:tcPr>
          <w:p w14:paraId="643034F1" w14:textId="77777777" w:rsidR="009F6D8A" w:rsidRDefault="009F6D8A">
            <w:pPr>
              <w:rPr>
                <w:rFonts w:ascii="宋体"/>
              </w:rPr>
            </w:pPr>
          </w:p>
        </w:tc>
        <w:tc>
          <w:tcPr>
            <w:tcW w:w="50" w:type="pct"/>
            <w:shd w:val="clear" w:color="auto" w:fill="auto"/>
            <w:vAlign w:val="bottom"/>
          </w:tcPr>
          <w:p w14:paraId="643034F2" w14:textId="77777777" w:rsidR="009F6D8A" w:rsidRDefault="009F6D8A">
            <w:pPr>
              <w:rPr>
                <w:rFonts w:ascii="宋体"/>
              </w:rPr>
            </w:pPr>
          </w:p>
        </w:tc>
        <w:tc>
          <w:tcPr>
            <w:tcW w:w="478" w:type="pct"/>
            <w:shd w:val="clear" w:color="auto" w:fill="auto"/>
            <w:vAlign w:val="bottom"/>
          </w:tcPr>
          <w:p w14:paraId="643034F3" w14:textId="77777777" w:rsidR="009F6D8A" w:rsidRDefault="009F6D8A">
            <w:pPr>
              <w:rPr>
                <w:rFonts w:ascii="宋体"/>
              </w:rPr>
            </w:pPr>
          </w:p>
        </w:tc>
        <w:tc>
          <w:tcPr>
            <w:tcW w:w="5" w:type="pct"/>
            <w:shd w:val="clear" w:color="auto" w:fill="auto"/>
            <w:vAlign w:val="bottom"/>
          </w:tcPr>
          <w:p w14:paraId="643034F4" w14:textId="77777777" w:rsidR="009F6D8A" w:rsidRDefault="009F6D8A">
            <w:pPr>
              <w:rPr>
                <w:rFonts w:ascii="宋体"/>
              </w:rPr>
            </w:pPr>
          </w:p>
        </w:tc>
        <w:tc>
          <w:tcPr>
            <w:tcW w:w="5" w:type="pct"/>
            <w:shd w:val="clear" w:color="auto" w:fill="auto"/>
            <w:vAlign w:val="bottom"/>
          </w:tcPr>
          <w:p w14:paraId="643034F5" w14:textId="77777777" w:rsidR="009F6D8A" w:rsidRDefault="009F6D8A">
            <w:pPr>
              <w:rPr>
                <w:rFonts w:ascii="宋体"/>
              </w:rPr>
            </w:pPr>
          </w:p>
        </w:tc>
        <w:tc>
          <w:tcPr>
            <w:tcW w:w="26" w:type="pct"/>
            <w:shd w:val="clear" w:color="auto" w:fill="auto"/>
            <w:vAlign w:val="bottom"/>
          </w:tcPr>
          <w:p w14:paraId="643034F6" w14:textId="77777777" w:rsidR="009F6D8A" w:rsidRDefault="009F6D8A">
            <w:pPr>
              <w:rPr>
                <w:rFonts w:ascii="宋体"/>
              </w:rPr>
            </w:pPr>
          </w:p>
        </w:tc>
        <w:tc>
          <w:tcPr>
            <w:tcW w:w="5" w:type="pct"/>
            <w:shd w:val="clear" w:color="auto" w:fill="auto"/>
            <w:vAlign w:val="bottom"/>
          </w:tcPr>
          <w:p w14:paraId="643034F7" w14:textId="77777777" w:rsidR="009F6D8A" w:rsidRDefault="009F6D8A">
            <w:pPr>
              <w:rPr>
                <w:rFonts w:ascii="宋体"/>
              </w:rPr>
            </w:pPr>
          </w:p>
        </w:tc>
        <w:tc>
          <w:tcPr>
            <w:tcW w:w="50" w:type="pct"/>
            <w:shd w:val="clear" w:color="auto" w:fill="auto"/>
            <w:vAlign w:val="bottom"/>
          </w:tcPr>
          <w:p w14:paraId="643034F8" w14:textId="77777777" w:rsidR="009F6D8A" w:rsidRDefault="009F6D8A">
            <w:pPr>
              <w:rPr>
                <w:rFonts w:ascii="宋体"/>
              </w:rPr>
            </w:pPr>
          </w:p>
        </w:tc>
        <w:tc>
          <w:tcPr>
            <w:tcW w:w="478" w:type="pct"/>
            <w:shd w:val="clear" w:color="auto" w:fill="auto"/>
            <w:vAlign w:val="bottom"/>
          </w:tcPr>
          <w:p w14:paraId="643034F9" w14:textId="77777777" w:rsidR="009F6D8A" w:rsidRDefault="009F6D8A">
            <w:pPr>
              <w:rPr>
                <w:rFonts w:ascii="宋体"/>
              </w:rPr>
            </w:pPr>
          </w:p>
        </w:tc>
        <w:tc>
          <w:tcPr>
            <w:tcW w:w="5" w:type="pct"/>
            <w:shd w:val="clear" w:color="auto" w:fill="auto"/>
            <w:vAlign w:val="bottom"/>
          </w:tcPr>
          <w:p w14:paraId="643034FA" w14:textId="77777777" w:rsidR="009F6D8A" w:rsidRDefault="009F6D8A">
            <w:pPr>
              <w:rPr>
                <w:rFonts w:ascii="宋体"/>
              </w:rPr>
            </w:pPr>
          </w:p>
        </w:tc>
      </w:tr>
      <w:tr w:rsidR="009F6D8A" w14:paraId="64303500" w14:textId="77777777">
        <w:tc>
          <w:tcPr>
            <w:tcW w:w="0" w:type="auto"/>
            <w:gridSpan w:val="3"/>
            <w:shd w:val="clear" w:color="auto" w:fill="auto"/>
            <w:tcMar>
              <w:top w:w="40" w:type="dxa"/>
              <w:left w:w="20" w:type="dxa"/>
              <w:bottom w:w="40" w:type="dxa"/>
              <w:right w:w="20" w:type="dxa"/>
            </w:tcMar>
            <w:vAlign w:val="bottom"/>
          </w:tcPr>
          <w:p w14:paraId="643034FC" w14:textId="77777777" w:rsidR="009F6D8A" w:rsidRDefault="00C50974">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643034FD" w14:textId="77777777" w:rsidR="009F6D8A" w:rsidRDefault="00C50974">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Mar>
              <w:top w:w="0" w:type="dxa"/>
              <w:left w:w="20" w:type="dxa"/>
              <w:bottom w:w="0" w:type="dxa"/>
              <w:right w:w="20" w:type="dxa"/>
            </w:tcMar>
            <w:vAlign w:val="bottom"/>
          </w:tcPr>
          <w:p w14:paraId="643034FE"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34FF" w14:textId="77777777" w:rsidR="009F6D8A" w:rsidRDefault="00C50974">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r>
      <w:tr w:rsidR="009F6D8A" w14:paraId="64303509" w14:textId="77777777">
        <w:tc>
          <w:tcPr>
            <w:tcW w:w="0" w:type="auto"/>
            <w:gridSpan w:val="3"/>
            <w:shd w:val="clear" w:color="auto" w:fill="auto"/>
            <w:tcMar>
              <w:top w:w="40" w:type="dxa"/>
              <w:left w:w="20" w:type="dxa"/>
              <w:bottom w:w="40" w:type="dxa"/>
              <w:right w:w="20" w:type="dxa"/>
            </w:tcMar>
            <w:vAlign w:val="bottom"/>
          </w:tcPr>
          <w:p w14:paraId="64303501" w14:textId="77777777" w:rsidR="009F6D8A" w:rsidRDefault="00C50974">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502"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503"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504" w14:textId="77777777" w:rsidR="009F6D8A" w:rsidRDefault="00C50974">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4303505"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506"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64303507"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508" w14:textId="77777777" w:rsidR="009F6D8A" w:rsidRDefault="00C50974">
            <w:pPr>
              <w:jc w:val="center"/>
              <w:textAlignment w:val="bottom"/>
            </w:pPr>
            <w:r>
              <w:rPr>
                <w:rFonts w:ascii="Arial" w:eastAsia="宋体" w:hAnsi="Arial" w:cs="Arial"/>
                <w:b/>
                <w:bCs/>
                <w:color w:val="000000"/>
                <w:sz w:val="16"/>
                <w:szCs w:val="16"/>
              </w:rPr>
              <w:t>2020</w:t>
            </w:r>
            <w:r>
              <w:rPr>
                <w:rFonts w:ascii="Arial" w:eastAsia="宋体" w:hAnsi="Arial" w:cs="Arial"/>
                <w:b/>
                <w:bCs/>
                <w:color w:val="000000"/>
                <w:sz w:val="10"/>
                <w:szCs w:val="10"/>
              </w:rPr>
              <w:t>(1)</w:t>
            </w:r>
          </w:p>
        </w:tc>
      </w:tr>
      <w:tr w:rsidR="009F6D8A" w14:paraId="6430351A" w14:textId="77777777">
        <w:tc>
          <w:tcPr>
            <w:tcW w:w="0" w:type="auto"/>
            <w:gridSpan w:val="3"/>
            <w:shd w:val="clear" w:color="auto" w:fill="E1E1E1"/>
            <w:tcMar>
              <w:top w:w="40" w:type="dxa"/>
              <w:left w:w="20" w:type="dxa"/>
              <w:bottom w:w="40" w:type="dxa"/>
              <w:right w:w="20" w:type="dxa"/>
            </w:tcMar>
            <w:vAlign w:val="bottom"/>
          </w:tcPr>
          <w:p w14:paraId="6430350A" w14:textId="77777777" w:rsidR="009F6D8A" w:rsidRDefault="00C50974">
            <w:pPr>
              <w:textAlignment w:val="bottom"/>
            </w:pPr>
            <w:r>
              <w:rPr>
                <w:rFonts w:ascii="Arial" w:eastAsia="宋体" w:hAnsi="Arial" w:cs="Arial"/>
                <w:color w:val="000000"/>
                <w:sz w:val="18"/>
                <w:szCs w:val="18"/>
              </w:rPr>
              <w:t>Net revenues</w:t>
            </w:r>
          </w:p>
        </w:tc>
        <w:tc>
          <w:tcPr>
            <w:tcW w:w="0" w:type="auto"/>
            <w:tcBorders>
              <w:top w:val="single" w:sz="8" w:space="0" w:color="000000"/>
            </w:tcBorders>
            <w:shd w:val="clear" w:color="auto" w:fill="E1E1E1"/>
            <w:tcMar>
              <w:top w:w="40" w:type="dxa"/>
              <w:left w:w="20" w:type="dxa"/>
              <w:bottom w:w="40" w:type="dxa"/>
              <w:right w:w="0" w:type="dxa"/>
            </w:tcMar>
            <w:vAlign w:val="bottom"/>
          </w:tcPr>
          <w:p w14:paraId="6430350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50C"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50D"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0E"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50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510"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511"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12"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513"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514"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515"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16"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517"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518" w14:textId="77777777" w:rsidR="009F6D8A" w:rsidRDefault="00C50974">
            <w:pPr>
              <w:jc w:val="right"/>
              <w:textAlignment w:val="bottom"/>
            </w:pPr>
            <w:r>
              <w:rPr>
                <w:rFonts w:ascii="Arial" w:eastAsia="宋体" w:hAnsi="Arial" w:cs="Arial"/>
                <w:color w:val="000000"/>
                <w:sz w:val="18"/>
                <w:szCs w:val="18"/>
              </w:rPr>
              <w:t>100 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519" w14:textId="77777777" w:rsidR="009F6D8A" w:rsidRDefault="009F6D8A">
            <w:pPr>
              <w:jc w:val="right"/>
              <w:rPr>
                <w:rFonts w:ascii="宋体"/>
              </w:rPr>
            </w:pPr>
          </w:p>
        </w:tc>
      </w:tr>
      <w:tr w:rsidR="009F6D8A" w14:paraId="64303527" w14:textId="77777777">
        <w:tc>
          <w:tcPr>
            <w:tcW w:w="0" w:type="auto"/>
            <w:gridSpan w:val="3"/>
            <w:shd w:val="clear" w:color="auto" w:fill="FFFFFF"/>
            <w:tcMar>
              <w:top w:w="40" w:type="dxa"/>
              <w:left w:w="20" w:type="dxa"/>
              <w:bottom w:w="40" w:type="dxa"/>
              <w:right w:w="20" w:type="dxa"/>
            </w:tcMar>
            <w:vAlign w:val="bottom"/>
          </w:tcPr>
          <w:p w14:paraId="6430351B" w14:textId="77777777" w:rsidR="009F6D8A" w:rsidRDefault="00C50974">
            <w:pPr>
              <w:textAlignment w:val="bottom"/>
            </w:pPr>
            <w:r>
              <w:rPr>
                <w:rFonts w:ascii="Arial" w:eastAsia="宋体" w:hAnsi="Arial" w:cs="Arial"/>
                <w:color w:val="000000"/>
                <w:sz w:val="18"/>
                <w:szCs w:val="18"/>
              </w:rPr>
              <w:t>Cost of net revenues</w:t>
            </w:r>
          </w:p>
        </w:tc>
        <w:tc>
          <w:tcPr>
            <w:tcW w:w="0" w:type="auto"/>
            <w:gridSpan w:val="2"/>
            <w:shd w:val="clear" w:color="auto" w:fill="FFFFFF"/>
            <w:tcMar>
              <w:top w:w="40" w:type="dxa"/>
              <w:left w:w="20" w:type="dxa"/>
              <w:bottom w:w="40" w:type="dxa"/>
              <w:right w:w="0" w:type="dxa"/>
            </w:tcMar>
            <w:vAlign w:val="bottom"/>
          </w:tcPr>
          <w:p w14:paraId="6430351C"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51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51E"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51F"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52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521"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522"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52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52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525" w14:textId="77777777" w:rsidR="009F6D8A" w:rsidRDefault="00C50974">
            <w:pPr>
              <w:jc w:val="right"/>
              <w:textAlignment w:val="bottom"/>
            </w:pPr>
            <w:r>
              <w:rPr>
                <w:rFonts w:ascii="Arial" w:eastAsia="宋体" w:hAnsi="Arial" w:cs="Arial"/>
                <w:color w:val="000000"/>
                <w:sz w:val="18"/>
                <w:szCs w:val="18"/>
              </w:rPr>
              <w:t>31 </w:t>
            </w:r>
          </w:p>
        </w:tc>
        <w:tc>
          <w:tcPr>
            <w:tcW w:w="0" w:type="auto"/>
            <w:shd w:val="clear" w:color="auto" w:fill="FFFFFF"/>
            <w:tcMar>
              <w:top w:w="40" w:type="dxa"/>
              <w:left w:w="0" w:type="dxa"/>
              <w:bottom w:w="40" w:type="dxa"/>
              <w:right w:w="20" w:type="dxa"/>
            </w:tcMar>
            <w:vAlign w:val="bottom"/>
          </w:tcPr>
          <w:p w14:paraId="64303526" w14:textId="77777777" w:rsidR="009F6D8A" w:rsidRDefault="009F6D8A">
            <w:pPr>
              <w:jc w:val="right"/>
              <w:rPr>
                <w:rFonts w:ascii="宋体"/>
              </w:rPr>
            </w:pPr>
          </w:p>
        </w:tc>
      </w:tr>
      <w:tr w:rsidR="009F6D8A" w14:paraId="64303534" w14:textId="77777777">
        <w:tc>
          <w:tcPr>
            <w:tcW w:w="0" w:type="auto"/>
            <w:gridSpan w:val="3"/>
            <w:shd w:val="clear" w:color="auto" w:fill="E1E1E1"/>
            <w:tcMar>
              <w:top w:w="40" w:type="dxa"/>
              <w:left w:w="875" w:type="dxa"/>
              <w:bottom w:w="40" w:type="dxa"/>
              <w:right w:w="20" w:type="dxa"/>
            </w:tcMar>
            <w:vAlign w:val="bottom"/>
          </w:tcPr>
          <w:p w14:paraId="64303528" w14:textId="77777777" w:rsidR="009F6D8A" w:rsidRDefault="00C50974">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529"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52A"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2B"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52C"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52D"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2E"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52F"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530"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31"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532" w14:textId="77777777" w:rsidR="009F6D8A" w:rsidRDefault="00C50974">
            <w:pPr>
              <w:jc w:val="right"/>
              <w:textAlignment w:val="bottom"/>
            </w:pPr>
            <w:r>
              <w:rPr>
                <w:rFonts w:ascii="Arial" w:eastAsia="宋体" w:hAnsi="Arial" w:cs="Arial"/>
                <w:color w:val="000000"/>
                <w:sz w:val="18"/>
                <w:szCs w:val="18"/>
              </w:rPr>
              <w:t>69 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533" w14:textId="77777777" w:rsidR="009F6D8A" w:rsidRDefault="009F6D8A">
            <w:pPr>
              <w:jc w:val="right"/>
              <w:rPr>
                <w:rFonts w:ascii="宋体"/>
              </w:rPr>
            </w:pPr>
          </w:p>
        </w:tc>
      </w:tr>
      <w:tr w:rsidR="009F6D8A" w14:paraId="6430353D" w14:textId="77777777">
        <w:tc>
          <w:tcPr>
            <w:tcW w:w="0" w:type="auto"/>
            <w:gridSpan w:val="3"/>
            <w:shd w:val="clear" w:color="auto" w:fill="FFFFFF"/>
            <w:tcMar>
              <w:top w:w="40" w:type="dxa"/>
              <w:left w:w="20" w:type="dxa"/>
              <w:bottom w:w="40" w:type="dxa"/>
              <w:right w:w="20" w:type="dxa"/>
            </w:tcMar>
            <w:vAlign w:val="bottom"/>
          </w:tcPr>
          <w:p w14:paraId="64303535" w14:textId="77777777" w:rsidR="009F6D8A" w:rsidRDefault="00C50974">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3536"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537"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353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539"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353A"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53B"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353C" w14:textId="77777777" w:rsidR="009F6D8A" w:rsidRDefault="009F6D8A">
            <w:pPr>
              <w:rPr>
                <w:rFonts w:ascii="宋体"/>
              </w:rPr>
            </w:pPr>
          </w:p>
        </w:tc>
      </w:tr>
      <w:tr w:rsidR="009F6D8A" w14:paraId="6430354A" w14:textId="77777777">
        <w:tc>
          <w:tcPr>
            <w:tcW w:w="0" w:type="auto"/>
            <w:gridSpan w:val="3"/>
            <w:shd w:val="clear" w:color="auto" w:fill="E1E1E1"/>
            <w:tcMar>
              <w:top w:w="40" w:type="dxa"/>
              <w:left w:w="515" w:type="dxa"/>
              <w:bottom w:w="40" w:type="dxa"/>
              <w:right w:w="20" w:type="dxa"/>
            </w:tcMar>
            <w:vAlign w:val="bottom"/>
          </w:tcPr>
          <w:p w14:paraId="6430353E" w14:textId="77777777" w:rsidR="009F6D8A" w:rsidRDefault="00C50974">
            <w:pPr>
              <w:textAlignment w:val="bottom"/>
            </w:pPr>
            <w:r>
              <w:rPr>
                <w:rFonts w:ascii="Arial" w:eastAsia="宋体" w:hAnsi="Arial" w:cs="Arial"/>
                <w:color w:val="000000"/>
                <w:sz w:val="18"/>
                <w:szCs w:val="18"/>
              </w:rPr>
              <w:t>Sales and marketing</w:t>
            </w:r>
          </w:p>
        </w:tc>
        <w:tc>
          <w:tcPr>
            <w:tcW w:w="0" w:type="auto"/>
            <w:gridSpan w:val="2"/>
            <w:shd w:val="clear" w:color="auto" w:fill="E1E1E1"/>
            <w:tcMar>
              <w:top w:w="40" w:type="dxa"/>
              <w:left w:w="20" w:type="dxa"/>
              <w:bottom w:w="40" w:type="dxa"/>
              <w:right w:w="0" w:type="dxa"/>
            </w:tcMar>
            <w:vAlign w:val="bottom"/>
          </w:tcPr>
          <w:p w14:paraId="6430353F"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540"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41"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542"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543"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44"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545"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546"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47"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548" w14:textId="77777777" w:rsidR="009F6D8A" w:rsidRDefault="00C50974">
            <w:pPr>
              <w:jc w:val="right"/>
              <w:textAlignment w:val="bottom"/>
            </w:pPr>
            <w:r>
              <w:rPr>
                <w:rFonts w:ascii="Arial" w:eastAsia="宋体" w:hAnsi="Arial" w:cs="Arial"/>
                <w:color w:val="000000"/>
                <w:sz w:val="18"/>
                <w:szCs w:val="18"/>
              </w:rPr>
              <w:t>51 </w:t>
            </w:r>
          </w:p>
        </w:tc>
        <w:tc>
          <w:tcPr>
            <w:tcW w:w="0" w:type="auto"/>
            <w:shd w:val="clear" w:color="auto" w:fill="E1E1E1"/>
            <w:tcMar>
              <w:top w:w="40" w:type="dxa"/>
              <w:left w:w="0" w:type="dxa"/>
              <w:bottom w:w="40" w:type="dxa"/>
              <w:right w:w="20" w:type="dxa"/>
            </w:tcMar>
            <w:vAlign w:val="bottom"/>
          </w:tcPr>
          <w:p w14:paraId="64303549" w14:textId="77777777" w:rsidR="009F6D8A" w:rsidRDefault="009F6D8A">
            <w:pPr>
              <w:jc w:val="right"/>
              <w:rPr>
                <w:rFonts w:ascii="宋体"/>
              </w:rPr>
            </w:pPr>
          </w:p>
        </w:tc>
      </w:tr>
      <w:tr w:rsidR="009F6D8A" w14:paraId="64303557" w14:textId="77777777">
        <w:tc>
          <w:tcPr>
            <w:tcW w:w="0" w:type="auto"/>
            <w:gridSpan w:val="3"/>
            <w:shd w:val="clear" w:color="auto" w:fill="FFFFFF"/>
            <w:tcMar>
              <w:top w:w="40" w:type="dxa"/>
              <w:left w:w="515" w:type="dxa"/>
              <w:bottom w:w="40" w:type="dxa"/>
              <w:right w:w="20" w:type="dxa"/>
            </w:tcMar>
            <w:vAlign w:val="bottom"/>
          </w:tcPr>
          <w:p w14:paraId="6430354B" w14:textId="77777777" w:rsidR="009F6D8A" w:rsidRDefault="00C50974">
            <w:pPr>
              <w:textAlignment w:val="bottom"/>
            </w:pPr>
            <w:r>
              <w:rPr>
                <w:rFonts w:ascii="Arial" w:eastAsia="宋体" w:hAnsi="Arial" w:cs="Arial"/>
                <w:color w:val="000000"/>
                <w:sz w:val="18"/>
                <w:szCs w:val="18"/>
              </w:rPr>
              <w:t>Product development</w:t>
            </w:r>
          </w:p>
        </w:tc>
        <w:tc>
          <w:tcPr>
            <w:tcW w:w="0" w:type="auto"/>
            <w:gridSpan w:val="2"/>
            <w:shd w:val="clear" w:color="auto" w:fill="FFFFFF"/>
            <w:tcMar>
              <w:top w:w="40" w:type="dxa"/>
              <w:left w:w="20" w:type="dxa"/>
              <w:bottom w:w="40" w:type="dxa"/>
              <w:right w:w="0" w:type="dxa"/>
            </w:tcMar>
            <w:vAlign w:val="bottom"/>
          </w:tcPr>
          <w:p w14:paraId="6430354C"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54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54E"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54F"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55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551"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552"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55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55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555" w14:textId="77777777" w:rsidR="009F6D8A" w:rsidRDefault="00C50974">
            <w:pPr>
              <w:jc w:val="right"/>
              <w:textAlignment w:val="bottom"/>
            </w:pPr>
            <w:r>
              <w:rPr>
                <w:rFonts w:ascii="Arial" w:eastAsia="宋体" w:hAnsi="Arial" w:cs="Arial"/>
                <w:color w:val="000000"/>
                <w:sz w:val="18"/>
                <w:szCs w:val="18"/>
              </w:rPr>
              <w:t>29 </w:t>
            </w:r>
          </w:p>
        </w:tc>
        <w:tc>
          <w:tcPr>
            <w:tcW w:w="0" w:type="auto"/>
            <w:shd w:val="clear" w:color="auto" w:fill="FFFFFF"/>
            <w:tcMar>
              <w:top w:w="40" w:type="dxa"/>
              <w:left w:w="0" w:type="dxa"/>
              <w:bottom w:w="40" w:type="dxa"/>
              <w:right w:w="20" w:type="dxa"/>
            </w:tcMar>
            <w:vAlign w:val="bottom"/>
          </w:tcPr>
          <w:p w14:paraId="64303556" w14:textId="77777777" w:rsidR="009F6D8A" w:rsidRDefault="009F6D8A">
            <w:pPr>
              <w:jc w:val="right"/>
              <w:rPr>
                <w:rFonts w:ascii="宋体"/>
              </w:rPr>
            </w:pPr>
          </w:p>
        </w:tc>
      </w:tr>
      <w:tr w:rsidR="009F6D8A" w14:paraId="64303564" w14:textId="77777777">
        <w:tc>
          <w:tcPr>
            <w:tcW w:w="0" w:type="auto"/>
            <w:gridSpan w:val="3"/>
            <w:shd w:val="clear" w:color="auto" w:fill="E1E1E1"/>
            <w:tcMar>
              <w:top w:w="40" w:type="dxa"/>
              <w:left w:w="515" w:type="dxa"/>
              <w:bottom w:w="40" w:type="dxa"/>
              <w:right w:w="20" w:type="dxa"/>
            </w:tcMar>
            <w:vAlign w:val="bottom"/>
          </w:tcPr>
          <w:p w14:paraId="64303558" w14:textId="77777777" w:rsidR="009F6D8A" w:rsidRDefault="00C50974">
            <w:pPr>
              <w:textAlignment w:val="bottom"/>
            </w:pPr>
            <w:r>
              <w:rPr>
                <w:rFonts w:ascii="Arial" w:eastAsia="宋体" w:hAnsi="Arial" w:cs="Arial"/>
                <w:color w:val="000000"/>
                <w:sz w:val="18"/>
                <w:szCs w:val="18"/>
              </w:rPr>
              <w:t>General and administrative</w:t>
            </w:r>
          </w:p>
        </w:tc>
        <w:tc>
          <w:tcPr>
            <w:tcW w:w="0" w:type="auto"/>
            <w:gridSpan w:val="2"/>
            <w:shd w:val="clear" w:color="auto" w:fill="E1E1E1"/>
            <w:tcMar>
              <w:top w:w="40" w:type="dxa"/>
              <w:left w:w="20" w:type="dxa"/>
              <w:bottom w:w="40" w:type="dxa"/>
              <w:right w:w="0" w:type="dxa"/>
            </w:tcMar>
            <w:vAlign w:val="bottom"/>
          </w:tcPr>
          <w:p w14:paraId="64303559"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55A"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5B"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55C"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55D"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5E"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55F"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560"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61"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562" w14:textId="77777777" w:rsidR="009F6D8A" w:rsidRDefault="00C50974">
            <w:pPr>
              <w:jc w:val="right"/>
              <w:textAlignment w:val="bottom"/>
            </w:pPr>
            <w:r>
              <w:rPr>
                <w:rFonts w:ascii="Arial" w:eastAsia="宋体" w:hAnsi="Arial" w:cs="Arial"/>
                <w:color w:val="000000"/>
                <w:sz w:val="18"/>
                <w:szCs w:val="18"/>
              </w:rPr>
              <w:t>33 </w:t>
            </w:r>
          </w:p>
        </w:tc>
        <w:tc>
          <w:tcPr>
            <w:tcW w:w="0" w:type="auto"/>
            <w:shd w:val="clear" w:color="auto" w:fill="E1E1E1"/>
            <w:tcMar>
              <w:top w:w="40" w:type="dxa"/>
              <w:left w:w="0" w:type="dxa"/>
              <w:bottom w:w="40" w:type="dxa"/>
              <w:right w:w="20" w:type="dxa"/>
            </w:tcMar>
            <w:vAlign w:val="bottom"/>
          </w:tcPr>
          <w:p w14:paraId="64303563" w14:textId="77777777" w:rsidR="009F6D8A" w:rsidRDefault="009F6D8A">
            <w:pPr>
              <w:jc w:val="right"/>
              <w:rPr>
                <w:rFonts w:ascii="宋体"/>
              </w:rPr>
            </w:pPr>
          </w:p>
        </w:tc>
      </w:tr>
      <w:tr w:rsidR="009F6D8A" w14:paraId="64303571" w14:textId="77777777">
        <w:tc>
          <w:tcPr>
            <w:tcW w:w="0" w:type="auto"/>
            <w:gridSpan w:val="3"/>
            <w:shd w:val="clear" w:color="auto" w:fill="FFFFFF"/>
            <w:tcMar>
              <w:top w:w="40" w:type="dxa"/>
              <w:left w:w="515" w:type="dxa"/>
              <w:bottom w:w="40" w:type="dxa"/>
              <w:right w:w="20" w:type="dxa"/>
            </w:tcMar>
            <w:vAlign w:val="bottom"/>
          </w:tcPr>
          <w:p w14:paraId="64303565" w14:textId="77777777" w:rsidR="009F6D8A" w:rsidRDefault="00C50974">
            <w:pPr>
              <w:textAlignment w:val="bottom"/>
            </w:pPr>
            <w:r>
              <w:rPr>
                <w:rFonts w:ascii="Arial" w:eastAsia="宋体" w:hAnsi="Arial" w:cs="Arial"/>
                <w:color w:val="000000"/>
                <w:sz w:val="18"/>
                <w:szCs w:val="18"/>
              </w:rPr>
              <w:t>Provision for transaction losses</w:t>
            </w:r>
          </w:p>
        </w:tc>
        <w:tc>
          <w:tcPr>
            <w:tcW w:w="0" w:type="auto"/>
            <w:gridSpan w:val="2"/>
            <w:shd w:val="clear" w:color="auto" w:fill="FFFFFF"/>
            <w:tcMar>
              <w:top w:w="40" w:type="dxa"/>
              <w:left w:w="20" w:type="dxa"/>
              <w:bottom w:w="40" w:type="dxa"/>
              <w:right w:w="0" w:type="dxa"/>
            </w:tcMar>
            <w:vAlign w:val="bottom"/>
          </w:tcPr>
          <w:p w14:paraId="64303566"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56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56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569"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56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56B"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56C"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56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56E"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56F" w14:textId="77777777" w:rsidR="009F6D8A" w:rsidRDefault="00C50974">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64303570" w14:textId="77777777" w:rsidR="009F6D8A" w:rsidRDefault="009F6D8A">
            <w:pPr>
              <w:jc w:val="right"/>
              <w:rPr>
                <w:rFonts w:ascii="宋体"/>
              </w:rPr>
            </w:pPr>
          </w:p>
        </w:tc>
      </w:tr>
      <w:tr w:rsidR="009F6D8A" w14:paraId="6430357E" w14:textId="77777777">
        <w:tc>
          <w:tcPr>
            <w:tcW w:w="0" w:type="auto"/>
            <w:gridSpan w:val="3"/>
            <w:shd w:val="clear" w:color="auto" w:fill="E1E1E1"/>
            <w:tcMar>
              <w:top w:w="40" w:type="dxa"/>
              <w:left w:w="515" w:type="dxa"/>
              <w:bottom w:w="40" w:type="dxa"/>
              <w:right w:w="20" w:type="dxa"/>
            </w:tcMar>
            <w:vAlign w:val="bottom"/>
          </w:tcPr>
          <w:p w14:paraId="64303572" w14:textId="77777777" w:rsidR="009F6D8A" w:rsidRDefault="00C50974">
            <w:pPr>
              <w:textAlignment w:val="bottom"/>
            </w:pPr>
            <w:r>
              <w:rPr>
                <w:rFonts w:ascii="Arial" w:eastAsia="宋体" w:hAnsi="Arial" w:cs="Arial"/>
                <w:color w:val="000000"/>
                <w:sz w:val="18"/>
                <w:szCs w:val="18"/>
              </w:rPr>
              <w:t>Amortization of acquired intangible assets</w:t>
            </w:r>
          </w:p>
        </w:tc>
        <w:tc>
          <w:tcPr>
            <w:tcW w:w="0" w:type="auto"/>
            <w:gridSpan w:val="2"/>
            <w:shd w:val="clear" w:color="auto" w:fill="E1E1E1"/>
            <w:tcMar>
              <w:top w:w="40" w:type="dxa"/>
              <w:left w:w="20" w:type="dxa"/>
              <w:bottom w:w="40" w:type="dxa"/>
              <w:right w:w="0" w:type="dxa"/>
            </w:tcMar>
            <w:vAlign w:val="bottom"/>
          </w:tcPr>
          <w:p w14:paraId="64303573"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574"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75"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576"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577"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78"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579"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57A"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7B"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57C"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E1E1E1"/>
            <w:tcMar>
              <w:top w:w="40" w:type="dxa"/>
              <w:left w:w="0" w:type="dxa"/>
              <w:bottom w:w="40" w:type="dxa"/>
              <w:right w:w="20" w:type="dxa"/>
            </w:tcMar>
            <w:vAlign w:val="bottom"/>
          </w:tcPr>
          <w:p w14:paraId="6430357D" w14:textId="77777777" w:rsidR="009F6D8A" w:rsidRDefault="009F6D8A">
            <w:pPr>
              <w:jc w:val="right"/>
              <w:rPr>
                <w:rFonts w:ascii="宋体"/>
              </w:rPr>
            </w:pPr>
          </w:p>
        </w:tc>
      </w:tr>
      <w:tr w:rsidR="009F6D8A" w14:paraId="6430358B" w14:textId="77777777">
        <w:tc>
          <w:tcPr>
            <w:tcW w:w="0" w:type="auto"/>
            <w:gridSpan w:val="3"/>
            <w:shd w:val="clear" w:color="auto" w:fill="FFFFFF"/>
            <w:tcMar>
              <w:top w:w="40" w:type="dxa"/>
              <w:left w:w="875" w:type="dxa"/>
              <w:bottom w:w="40" w:type="dxa"/>
              <w:right w:w="20" w:type="dxa"/>
            </w:tcMar>
            <w:vAlign w:val="bottom"/>
          </w:tcPr>
          <w:p w14:paraId="6430357F" w14:textId="77777777" w:rsidR="009F6D8A" w:rsidRDefault="00C50974">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580"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58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582"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583"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58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585"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586"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58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588"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589" w14:textId="77777777" w:rsidR="009F6D8A" w:rsidRDefault="00C50974">
            <w:pPr>
              <w:jc w:val="right"/>
              <w:textAlignment w:val="bottom"/>
            </w:pPr>
            <w:r>
              <w:rPr>
                <w:rFonts w:ascii="Arial" w:eastAsia="宋体" w:hAnsi="Arial" w:cs="Arial"/>
                <w:color w:val="000000"/>
                <w:sz w:val="18"/>
                <w:szCs w:val="18"/>
              </w:rPr>
              <w:t>117 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58A" w14:textId="77777777" w:rsidR="009F6D8A" w:rsidRDefault="009F6D8A">
            <w:pPr>
              <w:jc w:val="right"/>
              <w:rPr>
                <w:rFonts w:ascii="宋体"/>
              </w:rPr>
            </w:pPr>
          </w:p>
        </w:tc>
      </w:tr>
      <w:tr w:rsidR="009F6D8A" w14:paraId="64303598" w14:textId="77777777">
        <w:tc>
          <w:tcPr>
            <w:tcW w:w="0" w:type="auto"/>
            <w:gridSpan w:val="3"/>
            <w:shd w:val="clear" w:color="auto" w:fill="E1E1E1"/>
            <w:tcMar>
              <w:top w:w="40" w:type="dxa"/>
              <w:left w:w="20" w:type="dxa"/>
              <w:bottom w:w="40" w:type="dxa"/>
              <w:right w:w="20" w:type="dxa"/>
            </w:tcMar>
            <w:vAlign w:val="bottom"/>
          </w:tcPr>
          <w:p w14:paraId="6430358C" w14:textId="77777777" w:rsidR="009F6D8A" w:rsidRDefault="00C50974">
            <w:pPr>
              <w:textAlignment w:val="bottom"/>
            </w:pPr>
            <w:r>
              <w:rPr>
                <w:rFonts w:ascii="Arial" w:eastAsia="宋体" w:hAnsi="Arial" w:cs="Arial"/>
                <w:color w:val="000000"/>
                <w:sz w:val="18"/>
                <w:szCs w:val="18"/>
              </w:rPr>
              <w:t>Income (loss) from operations of discontinued operations</w:t>
            </w:r>
          </w:p>
        </w:tc>
        <w:tc>
          <w:tcPr>
            <w:tcW w:w="0" w:type="auto"/>
            <w:gridSpan w:val="2"/>
            <w:shd w:val="clear" w:color="auto" w:fill="E1E1E1"/>
            <w:tcMar>
              <w:top w:w="40" w:type="dxa"/>
              <w:left w:w="20" w:type="dxa"/>
              <w:bottom w:w="40" w:type="dxa"/>
              <w:right w:w="0" w:type="dxa"/>
            </w:tcMar>
            <w:vAlign w:val="bottom"/>
          </w:tcPr>
          <w:p w14:paraId="6430358D"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58E"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8F"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590"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591"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92"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593"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594"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95"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596" w14:textId="77777777" w:rsidR="009F6D8A" w:rsidRDefault="00C50974">
            <w:pPr>
              <w:jc w:val="right"/>
              <w:textAlignment w:val="bottom"/>
            </w:pPr>
            <w:r>
              <w:rPr>
                <w:rFonts w:ascii="Arial" w:eastAsia="宋体" w:hAnsi="Arial" w:cs="Arial"/>
                <w:color w:val="000000"/>
                <w:sz w:val="18"/>
                <w:szCs w:val="18"/>
              </w:rPr>
              <w:t>(48)</w:t>
            </w:r>
          </w:p>
        </w:tc>
        <w:tc>
          <w:tcPr>
            <w:tcW w:w="0" w:type="auto"/>
            <w:shd w:val="clear" w:color="auto" w:fill="E1E1E1"/>
            <w:tcMar>
              <w:top w:w="40" w:type="dxa"/>
              <w:left w:w="0" w:type="dxa"/>
              <w:bottom w:w="40" w:type="dxa"/>
              <w:right w:w="20" w:type="dxa"/>
            </w:tcMar>
            <w:vAlign w:val="bottom"/>
          </w:tcPr>
          <w:p w14:paraId="64303597" w14:textId="77777777" w:rsidR="009F6D8A" w:rsidRDefault="009F6D8A">
            <w:pPr>
              <w:jc w:val="right"/>
              <w:rPr>
                <w:rFonts w:ascii="宋体"/>
              </w:rPr>
            </w:pPr>
          </w:p>
        </w:tc>
      </w:tr>
      <w:tr w:rsidR="009F6D8A" w14:paraId="643035A5" w14:textId="77777777">
        <w:tc>
          <w:tcPr>
            <w:tcW w:w="0" w:type="auto"/>
            <w:gridSpan w:val="3"/>
            <w:shd w:val="clear" w:color="auto" w:fill="FFFFFF"/>
            <w:tcMar>
              <w:top w:w="40" w:type="dxa"/>
              <w:left w:w="20" w:type="dxa"/>
              <w:bottom w:w="40" w:type="dxa"/>
              <w:right w:w="20" w:type="dxa"/>
            </w:tcMar>
            <w:vAlign w:val="bottom"/>
          </w:tcPr>
          <w:p w14:paraId="64303599" w14:textId="77777777" w:rsidR="009F6D8A" w:rsidRDefault="00C50974">
            <w:pPr>
              <w:textAlignment w:val="bottom"/>
            </w:pPr>
            <w:r>
              <w:rPr>
                <w:rFonts w:ascii="Arial" w:eastAsia="宋体" w:hAnsi="Arial" w:cs="Arial"/>
                <w:color w:val="000000"/>
                <w:sz w:val="18"/>
                <w:szCs w:val="18"/>
              </w:rPr>
              <w:t>Pre-tax gain on sale</w:t>
            </w:r>
          </w:p>
        </w:tc>
        <w:tc>
          <w:tcPr>
            <w:tcW w:w="0" w:type="auto"/>
            <w:gridSpan w:val="2"/>
            <w:shd w:val="clear" w:color="auto" w:fill="FFFFFF"/>
            <w:tcMar>
              <w:top w:w="40" w:type="dxa"/>
              <w:left w:w="20" w:type="dxa"/>
              <w:bottom w:w="40" w:type="dxa"/>
              <w:right w:w="0" w:type="dxa"/>
            </w:tcMar>
            <w:vAlign w:val="bottom"/>
          </w:tcPr>
          <w:p w14:paraId="6430359A" w14:textId="77777777" w:rsidR="009F6D8A" w:rsidRDefault="00C50974">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6430359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59C"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59D"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59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59F"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5A0" w14:textId="77777777" w:rsidR="009F6D8A" w:rsidRDefault="00C50974">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643035A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5A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5A3" w14:textId="77777777" w:rsidR="009F6D8A" w:rsidRDefault="00C50974">
            <w:pPr>
              <w:jc w:val="right"/>
              <w:textAlignment w:val="bottom"/>
            </w:pPr>
            <w:r>
              <w:rPr>
                <w:rFonts w:ascii="Arial" w:eastAsia="宋体" w:hAnsi="Arial" w:cs="Arial"/>
                <w:color w:val="000000"/>
                <w:sz w:val="18"/>
                <w:szCs w:val="18"/>
              </w:rPr>
              <w:t>3,876 </w:t>
            </w:r>
          </w:p>
        </w:tc>
        <w:tc>
          <w:tcPr>
            <w:tcW w:w="0" w:type="auto"/>
            <w:shd w:val="clear" w:color="auto" w:fill="FFFFFF"/>
            <w:tcMar>
              <w:top w:w="40" w:type="dxa"/>
              <w:left w:w="0" w:type="dxa"/>
              <w:bottom w:w="40" w:type="dxa"/>
              <w:right w:w="20" w:type="dxa"/>
            </w:tcMar>
            <w:vAlign w:val="bottom"/>
          </w:tcPr>
          <w:p w14:paraId="643035A4" w14:textId="77777777" w:rsidR="009F6D8A" w:rsidRDefault="009F6D8A">
            <w:pPr>
              <w:jc w:val="right"/>
              <w:rPr>
                <w:rFonts w:ascii="宋体"/>
              </w:rPr>
            </w:pPr>
          </w:p>
        </w:tc>
      </w:tr>
      <w:tr w:rsidR="009F6D8A" w14:paraId="643035B2" w14:textId="77777777">
        <w:tc>
          <w:tcPr>
            <w:tcW w:w="0" w:type="auto"/>
            <w:gridSpan w:val="3"/>
            <w:shd w:val="clear" w:color="auto" w:fill="E1E1E1"/>
            <w:tcMar>
              <w:top w:w="40" w:type="dxa"/>
              <w:left w:w="20" w:type="dxa"/>
              <w:bottom w:w="40" w:type="dxa"/>
              <w:right w:w="20" w:type="dxa"/>
            </w:tcMar>
            <w:vAlign w:val="bottom"/>
          </w:tcPr>
          <w:p w14:paraId="643035A6" w14:textId="77777777" w:rsidR="009F6D8A" w:rsidRDefault="00C50974">
            <w:pPr>
              <w:textAlignment w:val="bottom"/>
            </w:pPr>
            <w:r>
              <w:rPr>
                <w:rFonts w:ascii="Arial" w:eastAsia="宋体" w:hAnsi="Arial" w:cs="Arial"/>
                <w:color w:val="000000"/>
                <w:sz w:val="18"/>
                <w:szCs w:val="18"/>
              </w:rPr>
              <w:t>Income from discontinued operations before income taxes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5A7" w14:textId="77777777" w:rsidR="009F6D8A" w:rsidRDefault="00C50974">
            <w:pPr>
              <w:jc w:val="right"/>
              <w:textAlignment w:val="bottom"/>
            </w:pPr>
            <w:r>
              <w:rPr>
                <w:rFonts w:ascii="Arial" w:eastAsia="宋体" w:hAnsi="Arial" w:cs="Arial"/>
                <w:color w:val="000000"/>
                <w:sz w:val="18"/>
                <w:szCs w:val="18"/>
              </w:rPr>
              <w:t>12 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5A8"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A9"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5AA"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5AB"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AC"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5AD" w14:textId="77777777" w:rsidR="009F6D8A" w:rsidRDefault="00C50974">
            <w:pPr>
              <w:jc w:val="right"/>
              <w:textAlignment w:val="bottom"/>
            </w:pPr>
            <w:r>
              <w:rPr>
                <w:rFonts w:ascii="Arial" w:eastAsia="宋体" w:hAnsi="Arial" w:cs="Arial"/>
                <w:color w:val="000000"/>
                <w:sz w:val="18"/>
                <w:szCs w:val="18"/>
              </w:rPr>
              <w:t>12 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5AE"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AF"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5B0" w14:textId="77777777" w:rsidR="009F6D8A" w:rsidRDefault="00C50974">
            <w:pPr>
              <w:jc w:val="right"/>
              <w:textAlignment w:val="bottom"/>
            </w:pPr>
            <w:r>
              <w:rPr>
                <w:rFonts w:ascii="Arial" w:eastAsia="宋体" w:hAnsi="Arial" w:cs="Arial"/>
                <w:color w:val="000000"/>
                <w:sz w:val="18"/>
                <w:szCs w:val="18"/>
              </w:rPr>
              <w:t>3,828 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5B1" w14:textId="77777777" w:rsidR="009F6D8A" w:rsidRDefault="009F6D8A">
            <w:pPr>
              <w:jc w:val="right"/>
              <w:rPr>
                <w:rFonts w:ascii="宋体"/>
              </w:rPr>
            </w:pPr>
          </w:p>
        </w:tc>
      </w:tr>
      <w:tr w:rsidR="009F6D8A" w14:paraId="643035BF" w14:textId="77777777">
        <w:tc>
          <w:tcPr>
            <w:tcW w:w="0" w:type="auto"/>
            <w:gridSpan w:val="3"/>
            <w:shd w:val="clear" w:color="auto" w:fill="FFFFFF"/>
            <w:tcMar>
              <w:top w:w="40" w:type="dxa"/>
              <w:left w:w="20" w:type="dxa"/>
              <w:bottom w:w="40" w:type="dxa"/>
              <w:right w:w="20" w:type="dxa"/>
            </w:tcMar>
            <w:vAlign w:val="bottom"/>
          </w:tcPr>
          <w:p w14:paraId="643035B3" w14:textId="77777777" w:rsidR="009F6D8A" w:rsidRDefault="00C50974">
            <w:pPr>
              <w:textAlignment w:val="bottom"/>
            </w:pPr>
            <w:r>
              <w:rPr>
                <w:rFonts w:ascii="Arial" w:eastAsia="宋体" w:hAnsi="Arial" w:cs="Arial"/>
                <w:color w:val="000000"/>
                <w:sz w:val="18"/>
                <w:szCs w:val="18"/>
              </w:rPr>
              <w:t>Income tax benefit (provision)</w:t>
            </w:r>
          </w:p>
        </w:tc>
        <w:tc>
          <w:tcPr>
            <w:tcW w:w="0" w:type="auto"/>
            <w:gridSpan w:val="2"/>
            <w:shd w:val="clear" w:color="auto" w:fill="FFFFFF"/>
            <w:tcMar>
              <w:top w:w="40" w:type="dxa"/>
              <w:left w:w="20" w:type="dxa"/>
              <w:bottom w:w="40" w:type="dxa"/>
              <w:right w:w="0" w:type="dxa"/>
            </w:tcMar>
            <w:vAlign w:val="bottom"/>
          </w:tcPr>
          <w:p w14:paraId="643035B4" w14:textId="77777777" w:rsidR="009F6D8A" w:rsidRDefault="00C50974">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643035B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5B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5B7" w14:textId="77777777" w:rsidR="009F6D8A" w:rsidRDefault="00C50974">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643035B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5B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5BA" w14:textId="77777777" w:rsidR="009F6D8A" w:rsidRDefault="00C50974">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643035B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5BC"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5BD" w14:textId="77777777" w:rsidR="009F6D8A" w:rsidRDefault="00C50974">
            <w:pPr>
              <w:jc w:val="right"/>
              <w:textAlignment w:val="bottom"/>
            </w:pPr>
            <w:r>
              <w:rPr>
                <w:rFonts w:ascii="Arial" w:eastAsia="宋体" w:hAnsi="Arial" w:cs="Arial"/>
                <w:color w:val="000000"/>
                <w:sz w:val="18"/>
                <w:szCs w:val="18"/>
              </w:rPr>
              <w:t>(893)</w:t>
            </w:r>
          </w:p>
        </w:tc>
        <w:tc>
          <w:tcPr>
            <w:tcW w:w="0" w:type="auto"/>
            <w:shd w:val="clear" w:color="auto" w:fill="FFFFFF"/>
            <w:tcMar>
              <w:top w:w="40" w:type="dxa"/>
              <w:left w:w="0" w:type="dxa"/>
              <w:bottom w:w="40" w:type="dxa"/>
              <w:right w:w="20" w:type="dxa"/>
            </w:tcMar>
            <w:vAlign w:val="bottom"/>
          </w:tcPr>
          <w:p w14:paraId="643035BE" w14:textId="77777777" w:rsidR="009F6D8A" w:rsidRDefault="009F6D8A">
            <w:pPr>
              <w:jc w:val="right"/>
              <w:rPr>
                <w:rFonts w:ascii="宋体"/>
              </w:rPr>
            </w:pPr>
          </w:p>
        </w:tc>
      </w:tr>
      <w:tr w:rsidR="009F6D8A" w14:paraId="643035D0" w14:textId="77777777">
        <w:tc>
          <w:tcPr>
            <w:tcW w:w="0" w:type="auto"/>
            <w:gridSpan w:val="3"/>
            <w:shd w:val="clear" w:color="auto" w:fill="E1E1E1"/>
            <w:tcMar>
              <w:top w:w="40" w:type="dxa"/>
              <w:left w:w="20" w:type="dxa"/>
              <w:bottom w:w="40" w:type="dxa"/>
              <w:right w:w="20" w:type="dxa"/>
            </w:tcMar>
            <w:vAlign w:val="bottom"/>
          </w:tcPr>
          <w:p w14:paraId="643035C0" w14:textId="77777777" w:rsidR="009F6D8A" w:rsidRDefault="00C50974">
            <w:pPr>
              <w:textAlignment w:val="bottom"/>
            </w:pPr>
            <w:r>
              <w:rPr>
                <w:rFonts w:ascii="Arial" w:eastAsia="宋体" w:hAnsi="Arial" w:cs="Arial"/>
                <w:color w:val="000000"/>
                <w:sz w:val="18"/>
                <w:szCs w:val="18"/>
              </w:rPr>
              <w:t>Income from discontinued operations, net of income taxes</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5C1"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5C2" w14:textId="77777777" w:rsidR="009F6D8A" w:rsidRDefault="00C50974">
            <w:pPr>
              <w:jc w:val="right"/>
              <w:textAlignment w:val="bottom"/>
            </w:pPr>
            <w:r>
              <w:rPr>
                <w:rFonts w:ascii="Arial" w:eastAsia="宋体" w:hAnsi="Arial" w:cs="Arial"/>
                <w:color w:val="000000"/>
                <w:sz w:val="18"/>
                <w:szCs w:val="18"/>
              </w:rPr>
              <w:t>9 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5C3"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C4"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5C5"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5C6" w14:textId="77777777" w:rsidR="009F6D8A" w:rsidRDefault="00C50974">
            <w:pPr>
              <w:jc w:val="right"/>
              <w:textAlignment w:val="bottom"/>
            </w:pPr>
            <w:r>
              <w:rPr>
                <w:rFonts w:ascii="Arial" w:eastAsia="宋体" w:hAnsi="Arial" w:cs="Arial"/>
                <w:color w:val="000000"/>
                <w:sz w:val="18"/>
                <w:szCs w:val="18"/>
              </w:rPr>
              <w:t>7 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5C7"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C8"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5C9"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5CA" w14:textId="77777777" w:rsidR="009F6D8A" w:rsidRDefault="00C50974">
            <w:pPr>
              <w:jc w:val="right"/>
              <w:textAlignment w:val="bottom"/>
            </w:pPr>
            <w:r>
              <w:rPr>
                <w:rFonts w:ascii="Arial" w:eastAsia="宋体" w:hAnsi="Arial" w:cs="Arial"/>
                <w:color w:val="000000"/>
                <w:sz w:val="18"/>
                <w:szCs w:val="18"/>
              </w:rPr>
              <w:t>9 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5CB"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5CC"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5CD"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5CE" w14:textId="77777777" w:rsidR="009F6D8A" w:rsidRDefault="00C50974">
            <w:pPr>
              <w:jc w:val="right"/>
              <w:textAlignment w:val="bottom"/>
            </w:pPr>
            <w:r>
              <w:rPr>
                <w:rFonts w:ascii="Arial" w:eastAsia="宋体" w:hAnsi="Arial" w:cs="Arial"/>
                <w:color w:val="000000"/>
                <w:sz w:val="18"/>
                <w:szCs w:val="18"/>
              </w:rPr>
              <w:t>2,935 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5CF" w14:textId="77777777" w:rsidR="009F6D8A" w:rsidRDefault="009F6D8A">
            <w:pPr>
              <w:jc w:val="right"/>
              <w:rPr>
                <w:rFonts w:ascii="宋体"/>
              </w:rPr>
            </w:pPr>
          </w:p>
        </w:tc>
      </w:tr>
    </w:tbl>
    <w:p w14:paraId="643035D1" w14:textId="77777777" w:rsidR="009F6D8A" w:rsidRDefault="00C50974">
      <w:pPr>
        <w:ind w:hanging="180"/>
      </w:pPr>
      <w:r>
        <w:rPr>
          <w:rFonts w:ascii="Arial" w:eastAsia="宋体" w:hAnsi="Arial" w:cs="Arial"/>
          <w:color w:val="000000"/>
          <w:sz w:val="13"/>
          <w:szCs w:val="13"/>
        </w:rPr>
        <w:t xml:space="preserve">(1) </w:t>
      </w:r>
      <w:r>
        <w:rPr>
          <w:rFonts w:ascii="Arial" w:eastAsia="宋体" w:hAnsi="Arial" w:cs="Arial"/>
          <w:color w:val="000000"/>
          <w:sz w:val="16"/>
          <w:szCs w:val="16"/>
        </w:rPr>
        <w:t>Includes StubHub financial results from January 1, 2020 to February 13, 2020, and includes the gain on sale</w:t>
      </w:r>
      <w:r>
        <w:rPr>
          <w:rFonts w:ascii="Arial" w:eastAsia="宋体" w:hAnsi="Arial" w:cs="Arial"/>
          <w:color w:val="000000"/>
          <w:sz w:val="16"/>
          <w:szCs w:val="16"/>
        </w:rPr>
        <w:t xml:space="preserve"> recorded for the StubHub transaction.</w:t>
      </w:r>
    </w:p>
    <w:p w14:paraId="643035D2" w14:textId="77777777" w:rsidR="009F6D8A" w:rsidRDefault="009F6D8A">
      <w:pPr>
        <w:ind w:hanging="180"/>
      </w:pPr>
    </w:p>
    <w:p w14:paraId="643035D3" w14:textId="77777777" w:rsidR="009F6D8A" w:rsidRDefault="009F6D8A">
      <w:pPr>
        <w:jc w:val="center"/>
      </w:pPr>
    </w:p>
    <w:p w14:paraId="643035D4" w14:textId="77777777" w:rsidR="009F6D8A" w:rsidRDefault="00C50974">
      <w:pPr>
        <w:jc w:val="center"/>
      </w:pPr>
      <w:r>
        <w:rPr>
          <w:rFonts w:ascii="Arial" w:eastAsia="宋体" w:hAnsi="Arial" w:cs="Arial"/>
          <w:color w:val="000000"/>
          <w:sz w:val="20"/>
          <w:szCs w:val="20"/>
        </w:rPr>
        <w:t>15</w:t>
      </w:r>
    </w:p>
    <w:p w14:paraId="643035D5" w14:textId="77777777" w:rsidR="009F6D8A" w:rsidRDefault="00C50974">
      <w:r>
        <w:pict w14:anchorId="64305812">
          <v:rect id="_x0000_i1039" style="width:415.3pt;height:1.5pt" o:hralign="center" o:hrstd="t" o:hr="t" fillcolor="#a0a0a0" stroked="f"/>
        </w:pict>
      </w:r>
    </w:p>
    <w:p w14:paraId="643035D6" w14:textId="77777777" w:rsidR="009F6D8A" w:rsidRDefault="009F6D8A">
      <w:pPr>
        <w:jc w:val="center"/>
      </w:pPr>
    </w:p>
    <w:p w14:paraId="643035D7" w14:textId="77777777" w:rsidR="009F6D8A" w:rsidRDefault="00C50974">
      <w:pPr>
        <w:jc w:val="center"/>
      </w:pPr>
      <w:r>
        <w:rPr>
          <w:rFonts w:ascii="Arial" w:eastAsia="宋体" w:hAnsi="Arial" w:cs="Arial"/>
          <w:b/>
          <w:bCs/>
          <w:color w:val="000000"/>
          <w:sz w:val="20"/>
          <w:szCs w:val="20"/>
        </w:rPr>
        <w:t>eBay Inc.</w:t>
      </w:r>
    </w:p>
    <w:p w14:paraId="643035D8"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35D9" w14:textId="77777777" w:rsidR="009F6D8A" w:rsidRDefault="00C50974">
      <w:pPr>
        <w:spacing w:after="60"/>
        <w:ind w:firstLine="540"/>
        <w:jc w:val="both"/>
      </w:pPr>
      <w:r>
        <w:rPr>
          <w:rFonts w:ascii="Arial" w:eastAsia="宋体" w:hAnsi="Arial" w:cs="Arial"/>
          <w:color w:val="000000"/>
          <w:sz w:val="20"/>
          <w:szCs w:val="20"/>
        </w:rPr>
        <w:t xml:space="preserve">The financial results of Classifieds are presented as income from discontinued operations, net of income taxes on our </w:t>
      </w:r>
      <w:r>
        <w:rPr>
          <w:rFonts w:ascii="Arial" w:eastAsia="宋体" w:hAnsi="Arial" w:cs="Arial"/>
          <w:color w:val="000000"/>
          <w:sz w:val="20"/>
          <w:szCs w:val="20"/>
        </w:rPr>
        <w:t>condensed consolidated statement of income. Each period presented below includes the impact of intercompany revenue agreements that will continue with eBay subsequent to the completion of the transfer of the Classifieds business for a term of three years w</w:t>
      </w:r>
      <w:r>
        <w:rPr>
          <w:rFonts w:ascii="Arial" w:eastAsia="宋体" w:hAnsi="Arial" w:cs="Arial"/>
          <w:color w:val="000000"/>
          <w:sz w:val="20"/>
          <w:szCs w:val="20"/>
        </w:rPr>
        <w:t>ith an option to extend for 12 months. The impact of these intercompany revenue agreements to net revenues and cost of net revenues were $3 million and $3 million for the three months ended June 30, 2021 and 2020, respectively, and $5 million and $7 millio</w:t>
      </w:r>
      <w:r>
        <w:rPr>
          <w:rFonts w:ascii="Arial" w:eastAsia="宋体" w:hAnsi="Arial" w:cs="Arial"/>
          <w:color w:val="000000"/>
          <w:sz w:val="20"/>
          <w:szCs w:val="20"/>
        </w:rPr>
        <w:t>n for the six months ended June 30, 2021 and 2020, respectively. The expected continuing cash flows are not considered to be significant. The following table presents the financial results of Classifieds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4447"/>
        <w:gridCol w:w="39"/>
        <w:gridCol w:w="121"/>
        <w:gridCol w:w="746"/>
        <w:gridCol w:w="36"/>
        <w:gridCol w:w="36"/>
        <w:gridCol w:w="36"/>
        <w:gridCol w:w="36"/>
        <w:gridCol w:w="121"/>
        <w:gridCol w:w="704"/>
        <w:gridCol w:w="36"/>
        <w:gridCol w:w="36"/>
        <w:gridCol w:w="36"/>
        <w:gridCol w:w="36"/>
        <w:gridCol w:w="121"/>
        <w:gridCol w:w="704"/>
        <w:gridCol w:w="36"/>
        <w:gridCol w:w="36"/>
        <w:gridCol w:w="36"/>
        <w:gridCol w:w="36"/>
        <w:gridCol w:w="121"/>
        <w:gridCol w:w="704"/>
        <w:gridCol w:w="36"/>
      </w:tblGrid>
      <w:tr w:rsidR="009F6D8A" w14:paraId="643035F2" w14:textId="77777777">
        <w:tc>
          <w:tcPr>
            <w:tcW w:w="50" w:type="pct"/>
            <w:shd w:val="clear" w:color="auto" w:fill="auto"/>
            <w:vAlign w:val="bottom"/>
          </w:tcPr>
          <w:p w14:paraId="643035DA" w14:textId="77777777" w:rsidR="009F6D8A" w:rsidRDefault="009F6D8A">
            <w:pPr>
              <w:rPr>
                <w:rFonts w:ascii="宋体"/>
              </w:rPr>
            </w:pPr>
          </w:p>
        </w:tc>
        <w:tc>
          <w:tcPr>
            <w:tcW w:w="2700" w:type="pct"/>
            <w:shd w:val="clear" w:color="auto" w:fill="auto"/>
            <w:vAlign w:val="bottom"/>
          </w:tcPr>
          <w:p w14:paraId="643035DB" w14:textId="77777777" w:rsidR="009F6D8A" w:rsidRDefault="009F6D8A">
            <w:pPr>
              <w:rPr>
                <w:rFonts w:ascii="宋体"/>
              </w:rPr>
            </w:pPr>
          </w:p>
        </w:tc>
        <w:tc>
          <w:tcPr>
            <w:tcW w:w="5" w:type="pct"/>
            <w:shd w:val="clear" w:color="auto" w:fill="auto"/>
            <w:vAlign w:val="bottom"/>
          </w:tcPr>
          <w:p w14:paraId="643035DC" w14:textId="77777777" w:rsidR="009F6D8A" w:rsidRDefault="009F6D8A">
            <w:pPr>
              <w:rPr>
                <w:rFonts w:ascii="宋体"/>
              </w:rPr>
            </w:pPr>
          </w:p>
        </w:tc>
        <w:tc>
          <w:tcPr>
            <w:tcW w:w="50" w:type="pct"/>
            <w:shd w:val="clear" w:color="auto" w:fill="auto"/>
            <w:vAlign w:val="bottom"/>
          </w:tcPr>
          <w:p w14:paraId="643035DD" w14:textId="77777777" w:rsidR="009F6D8A" w:rsidRDefault="009F6D8A">
            <w:pPr>
              <w:rPr>
                <w:rFonts w:ascii="宋体"/>
              </w:rPr>
            </w:pPr>
          </w:p>
        </w:tc>
        <w:tc>
          <w:tcPr>
            <w:tcW w:w="478" w:type="pct"/>
            <w:shd w:val="clear" w:color="auto" w:fill="auto"/>
            <w:vAlign w:val="bottom"/>
          </w:tcPr>
          <w:p w14:paraId="643035DE" w14:textId="77777777" w:rsidR="009F6D8A" w:rsidRDefault="009F6D8A">
            <w:pPr>
              <w:rPr>
                <w:rFonts w:ascii="宋体"/>
              </w:rPr>
            </w:pPr>
          </w:p>
        </w:tc>
        <w:tc>
          <w:tcPr>
            <w:tcW w:w="5" w:type="pct"/>
            <w:shd w:val="clear" w:color="auto" w:fill="auto"/>
            <w:vAlign w:val="bottom"/>
          </w:tcPr>
          <w:p w14:paraId="643035DF" w14:textId="77777777" w:rsidR="009F6D8A" w:rsidRDefault="009F6D8A">
            <w:pPr>
              <w:rPr>
                <w:rFonts w:ascii="宋体"/>
              </w:rPr>
            </w:pPr>
          </w:p>
        </w:tc>
        <w:tc>
          <w:tcPr>
            <w:tcW w:w="5" w:type="pct"/>
            <w:shd w:val="clear" w:color="auto" w:fill="auto"/>
            <w:vAlign w:val="bottom"/>
          </w:tcPr>
          <w:p w14:paraId="643035E0" w14:textId="77777777" w:rsidR="009F6D8A" w:rsidRDefault="009F6D8A">
            <w:pPr>
              <w:rPr>
                <w:rFonts w:ascii="宋体"/>
              </w:rPr>
            </w:pPr>
          </w:p>
        </w:tc>
        <w:tc>
          <w:tcPr>
            <w:tcW w:w="26" w:type="pct"/>
            <w:shd w:val="clear" w:color="auto" w:fill="auto"/>
            <w:vAlign w:val="bottom"/>
          </w:tcPr>
          <w:p w14:paraId="643035E1" w14:textId="77777777" w:rsidR="009F6D8A" w:rsidRDefault="009F6D8A">
            <w:pPr>
              <w:rPr>
                <w:rFonts w:ascii="宋体"/>
              </w:rPr>
            </w:pPr>
          </w:p>
        </w:tc>
        <w:tc>
          <w:tcPr>
            <w:tcW w:w="5" w:type="pct"/>
            <w:shd w:val="clear" w:color="auto" w:fill="auto"/>
            <w:vAlign w:val="bottom"/>
          </w:tcPr>
          <w:p w14:paraId="643035E2" w14:textId="77777777" w:rsidR="009F6D8A" w:rsidRDefault="009F6D8A">
            <w:pPr>
              <w:rPr>
                <w:rFonts w:ascii="宋体"/>
              </w:rPr>
            </w:pPr>
          </w:p>
        </w:tc>
        <w:tc>
          <w:tcPr>
            <w:tcW w:w="50" w:type="pct"/>
            <w:shd w:val="clear" w:color="auto" w:fill="auto"/>
            <w:vAlign w:val="bottom"/>
          </w:tcPr>
          <w:p w14:paraId="643035E3" w14:textId="77777777" w:rsidR="009F6D8A" w:rsidRDefault="009F6D8A">
            <w:pPr>
              <w:rPr>
                <w:rFonts w:ascii="宋体"/>
              </w:rPr>
            </w:pPr>
          </w:p>
        </w:tc>
        <w:tc>
          <w:tcPr>
            <w:tcW w:w="478" w:type="pct"/>
            <w:shd w:val="clear" w:color="auto" w:fill="auto"/>
            <w:vAlign w:val="bottom"/>
          </w:tcPr>
          <w:p w14:paraId="643035E4" w14:textId="77777777" w:rsidR="009F6D8A" w:rsidRDefault="009F6D8A">
            <w:pPr>
              <w:rPr>
                <w:rFonts w:ascii="宋体"/>
              </w:rPr>
            </w:pPr>
          </w:p>
        </w:tc>
        <w:tc>
          <w:tcPr>
            <w:tcW w:w="5" w:type="pct"/>
            <w:shd w:val="clear" w:color="auto" w:fill="auto"/>
            <w:vAlign w:val="bottom"/>
          </w:tcPr>
          <w:p w14:paraId="643035E5" w14:textId="77777777" w:rsidR="009F6D8A" w:rsidRDefault="009F6D8A">
            <w:pPr>
              <w:rPr>
                <w:rFonts w:ascii="宋体"/>
              </w:rPr>
            </w:pPr>
          </w:p>
        </w:tc>
        <w:tc>
          <w:tcPr>
            <w:tcW w:w="5" w:type="pct"/>
            <w:shd w:val="clear" w:color="auto" w:fill="auto"/>
            <w:vAlign w:val="bottom"/>
          </w:tcPr>
          <w:p w14:paraId="643035E6" w14:textId="77777777" w:rsidR="009F6D8A" w:rsidRDefault="009F6D8A">
            <w:pPr>
              <w:rPr>
                <w:rFonts w:ascii="宋体"/>
              </w:rPr>
            </w:pPr>
          </w:p>
        </w:tc>
        <w:tc>
          <w:tcPr>
            <w:tcW w:w="26" w:type="pct"/>
            <w:shd w:val="clear" w:color="auto" w:fill="auto"/>
            <w:vAlign w:val="bottom"/>
          </w:tcPr>
          <w:p w14:paraId="643035E7" w14:textId="77777777" w:rsidR="009F6D8A" w:rsidRDefault="009F6D8A">
            <w:pPr>
              <w:rPr>
                <w:rFonts w:ascii="宋体"/>
              </w:rPr>
            </w:pPr>
          </w:p>
        </w:tc>
        <w:tc>
          <w:tcPr>
            <w:tcW w:w="5" w:type="pct"/>
            <w:shd w:val="clear" w:color="auto" w:fill="auto"/>
            <w:vAlign w:val="bottom"/>
          </w:tcPr>
          <w:p w14:paraId="643035E8" w14:textId="77777777" w:rsidR="009F6D8A" w:rsidRDefault="009F6D8A">
            <w:pPr>
              <w:rPr>
                <w:rFonts w:ascii="宋体"/>
              </w:rPr>
            </w:pPr>
          </w:p>
        </w:tc>
        <w:tc>
          <w:tcPr>
            <w:tcW w:w="50" w:type="pct"/>
            <w:shd w:val="clear" w:color="auto" w:fill="auto"/>
            <w:vAlign w:val="bottom"/>
          </w:tcPr>
          <w:p w14:paraId="643035E9" w14:textId="77777777" w:rsidR="009F6D8A" w:rsidRDefault="009F6D8A">
            <w:pPr>
              <w:rPr>
                <w:rFonts w:ascii="宋体"/>
              </w:rPr>
            </w:pPr>
          </w:p>
        </w:tc>
        <w:tc>
          <w:tcPr>
            <w:tcW w:w="478" w:type="pct"/>
            <w:shd w:val="clear" w:color="auto" w:fill="auto"/>
            <w:vAlign w:val="bottom"/>
          </w:tcPr>
          <w:p w14:paraId="643035EA" w14:textId="77777777" w:rsidR="009F6D8A" w:rsidRDefault="009F6D8A">
            <w:pPr>
              <w:rPr>
                <w:rFonts w:ascii="宋体"/>
              </w:rPr>
            </w:pPr>
          </w:p>
        </w:tc>
        <w:tc>
          <w:tcPr>
            <w:tcW w:w="5" w:type="pct"/>
            <w:shd w:val="clear" w:color="auto" w:fill="auto"/>
            <w:vAlign w:val="bottom"/>
          </w:tcPr>
          <w:p w14:paraId="643035EB" w14:textId="77777777" w:rsidR="009F6D8A" w:rsidRDefault="009F6D8A">
            <w:pPr>
              <w:rPr>
                <w:rFonts w:ascii="宋体"/>
              </w:rPr>
            </w:pPr>
          </w:p>
        </w:tc>
        <w:tc>
          <w:tcPr>
            <w:tcW w:w="5" w:type="pct"/>
            <w:shd w:val="clear" w:color="auto" w:fill="auto"/>
            <w:vAlign w:val="bottom"/>
          </w:tcPr>
          <w:p w14:paraId="643035EC" w14:textId="77777777" w:rsidR="009F6D8A" w:rsidRDefault="009F6D8A">
            <w:pPr>
              <w:rPr>
                <w:rFonts w:ascii="宋体"/>
              </w:rPr>
            </w:pPr>
          </w:p>
        </w:tc>
        <w:tc>
          <w:tcPr>
            <w:tcW w:w="26" w:type="pct"/>
            <w:shd w:val="clear" w:color="auto" w:fill="auto"/>
            <w:vAlign w:val="bottom"/>
          </w:tcPr>
          <w:p w14:paraId="643035ED" w14:textId="77777777" w:rsidR="009F6D8A" w:rsidRDefault="009F6D8A">
            <w:pPr>
              <w:rPr>
                <w:rFonts w:ascii="宋体"/>
              </w:rPr>
            </w:pPr>
          </w:p>
        </w:tc>
        <w:tc>
          <w:tcPr>
            <w:tcW w:w="5" w:type="pct"/>
            <w:shd w:val="clear" w:color="auto" w:fill="auto"/>
            <w:vAlign w:val="bottom"/>
          </w:tcPr>
          <w:p w14:paraId="643035EE" w14:textId="77777777" w:rsidR="009F6D8A" w:rsidRDefault="009F6D8A">
            <w:pPr>
              <w:rPr>
                <w:rFonts w:ascii="宋体"/>
              </w:rPr>
            </w:pPr>
          </w:p>
        </w:tc>
        <w:tc>
          <w:tcPr>
            <w:tcW w:w="50" w:type="pct"/>
            <w:shd w:val="clear" w:color="auto" w:fill="auto"/>
            <w:vAlign w:val="bottom"/>
          </w:tcPr>
          <w:p w14:paraId="643035EF" w14:textId="77777777" w:rsidR="009F6D8A" w:rsidRDefault="009F6D8A">
            <w:pPr>
              <w:rPr>
                <w:rFonts w:ascii="宋体"/>
              </w:rPr>
            </w:pPr>
          </w:p>
        </w:tc>
        <w:tc>
          <w:tcPr>
            <w:tcW w:w="478" w:type="pct"/>
            <w:shd w:val="clear" w:color="auto" w:fill="auto"/>
            <w:vAlign w:val="bottom"/>
          </w:tcPr>
          <w:p w14:paraId="643035F0" w14:textId="77777777" w:rsidR="009F6D8A" w:rsidRDefault="009F6D8A">
            <w:pPr>
              <w:rPr>
                <w:rFonts w:ascii="宋体"/>
              </w:rPr>
            </w:pPr>
          </w:p>
        </w:tc>
        <w:tc>
          <w:tcPr>
            <w:tcW w:w="5" w:type="pct"/>
            <w:shd w:val="clear" w:color="auto" w:fill="auto"/>
            <w:vAlign w:val="bottom"/>
          </w:tcPr>
          <w:p w14:paraId="643035F1" w14:textId="77777777" w:rsidR="009F6D8A" w:rsidRDefault="009F6D8A">
            <w:pPr>
              <w:rPr>
                <w:rFonts w:ascii="宋体"/>
              </w:rPr>
            </w:pPr>
          </w:p>
        </w:tc>
      </w:tr>
      <w:tr w:rsidR="009F6D8A" w14:paraId="643035F7" w14:textId="77777777">
        <w:tc>
          <w:tcPr>
            <w:tcW w:w="0" w:type="auto"/>
            <w:gridSpan w:val="3"/>
            <w:shd w:val="clear" w:color="auto" w:fill="auto"/>
            <w:tcMar>
              <w:top w:w="40" w:type="dxa"/>
              <w:left w:w="20" w:type="dxa"/>
              <w:bottom w:w="40" w:type="dxa"/>
              <w:right w:w="20" w:type="dxa"/>
            </w:tcMar>
            <w:vAlign w:val="bottom"/>
          </w:tcPr>
          <w:p w14:paraId="643035F3" w14:textId="77777777" w:rsidR="009F6D8A" w:rsidRDefault="00C50974">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643035F4" w14:textId="77777777" w:rsidR="009F6D8A" w:rsidRDefault="00C50974">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Mar>
              <w:top w:w="0" w:type="dxa"/>
              <w:left w:w="20" w:type="dxa"/>
              <w:bottom w:w="0" w:type="dxa"/>
              <w:right w:w="20" w:type="dxa"/>
            </w:tcMar>
            <w:vAlign w:val="bottom"/>
          </w:tcPr>
          <w:p w14:paraId="643035F5"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35F6" w14:textId="77777777" w:rsidR="009F6D8A" w:rsidRDefault="00C50974">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r>
      <w:tr w:rsidR="009F6D8A" w14:paraId="64303600" w14:textId="77777777">
        <w:tc>
          <w:tcPr>
            <w:tcW w:w="0" w:type="auto"/>
            <w:gridSpan w:val="3"/>
            <w:shd w:val="clear" w:color="auto" w:fill="auto"/>
            <w:tcMar>
              <w:top w:w="40" w:type="dxa"/>
              <w:left w:w="20" w:type="dxa"/>
              <w:bottom w:w="40" w:type="dxa"/>
              <w:right w:w="20" w:type="dxa"/>
            </w:tcMar>
            <w:vAlign w:val="bottom"/>
          </w:tcPr>
          <w:p w14:paraId="643035F8" w14:textId="77777777" w:rsidR="009F6D8A" w:rsidRDefault="00C50974">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5F9" w14:textId="77777777" w:rsidR="009F6D8A" w:rsidRDefault="00C50974">
            <w:pPr>
              <w:jc w:val="center"/>
              <w:textAlignment w:val="bottom"/>
            </w:pPr>
            <w:r>
              <w:rPr>
                <w:rFonts w:ascii="Arial" w:eastAsia="宋体" w:hAnsi="Arial" w:cs="Arial"/>
                <w:b/>
                <w:bCs/>
                <w:color w:val="000000"/>
                <w:sz w:val="16"/>
                <w:szCs w:val="16"/>
              </w:rPr>
              <w:t xml:space="preserve">2021 </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5FA"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5FB" w14:textId="77777777" w:rsidR="009F6D8A" w:rsidRDefault="00C50974">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43035FC"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5FD" w14:textId="77777777" w:rsidR="009F6D8A" w:rsidRDefault="00C50974">
            <w:pPr>
              <w:jc w:val="center"/>
              <w:textAlignment w:val="bottom"/>
            </w:pPr>
            <w:r>
              <w:rPr>
                <w:rFonts w:ascii="Arial" w:eastAsia="宋体" w:hAnsi="Arial" w:cs="Arial"/>
                <w:b/>
                <w:bCs/>
                <w:color w:val="000000"/>
                <w:sz w:val="16"/>
                <w:szCs w:val="16"/>
              </w:rPr>
              <w:t xml:space="preserve">2021 </w:t>
            </w:r>
            <w:r>
              <w:rPr>
                <w:rFonts w:ascii="Arial" w:eastAsia="宋体" w:hAnsi="Arial" w:cs="Arial"/>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643035FE"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5FF" w14:textId="77777777" w:rsidR="009F6D8A" w:rsidRDefault="00C50974">
            <w:pPr>
              <w:jc w:val="center"/>
              <w:textAlignment w:val="bottom"/>
            </w:pPr>
            <w:r>
              <w:rPr>
                <w:rFonts w:ascii="Arial" w:eastAsia="宋体" w:hAnsi="Arial" w:cs="Arial"/>
                <w:b/>
                <w:bCs/>
                <w:color w:val="000000"/>
                <w:sz w:val="16"/>
                <w:szCs w:val="16"/>
              </w:rPr>
              <w:t>2020</w:t>
            </w:r>
          </w:p>
        </w:tc>
      </w:tr>
      <w:tr w:rsidR="009F6D8A" w14:paraId="64303611" w14:textId="77777777">
        <w:tc>
          <w:tcPr>
            <w:tcW w:w="0" w:type="auto"/>
            <w:gridSpan w:val="3"/>
            <w:shd w:val="clear" w:color="auto" w:fill="E1E1E1"/>
            <w:tcMar>
              <w:top w:w="40" w:type="dxa"/>
              <w:left w:w="20" w:type="dxa"/>
              <w:bottom w:w="40" w:type="dxa"/>
              <w:right w:w="20" w:type="dxa"/>
            </w:tcMar>
            <w:vAlign w:val="bottom"/>
          </w:tcPr>
          <w:p w14:paraId="64303601" w14:textId="77777777" w:rsidR="009F6D8A" w:rsidRDefault="00C50974">
            <w:pPr>
              <w:textAlignment w:val="bottom"/>
            </w:pPr>
            <w:r>
              <w:rPr>
                <w:rFonts w:ascii="Arial" w:eastAsia="宋体" w:hAnsi="Arial" w:cs="Arial"/>
                <w:color w:val="000000"/>
                <w:sz w:val="18"/>
                <w:szCs w:val="18"/>
              </w:rPr>
              <w:t>Net revenues</w:t>
            </w:r>
          </w:p>
        </w:tc>
        <w:tc>
          <w:tcPr>
            <w:tcW w:w="0" w:type="auto"/>
            <w:tcBorders>
              <w:top w:val="single" w:sz="8" w:space="0" w:color="000000"/>
            </w:tcBorders>
            <w:shd w:val="clear" w:color="auto" w:fill="E1E1E1"/>
            <w:tcMar>
              <w:top w:w="40" w:type="dxa"/>
              <w:left w:w="20" w:type="dxa"/>
              <w:bottom w:w="40" w:type="dxa"/>
              <w:right w:w="0" w:type="dxa"/>
            </w:tcMar>
            <w:vAlign w:val="bottom"/>
          </w:tcPr>
          <w:p w14:paraId="64303602"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603" w14:textId="77777777" w:rsidR="009F6D8A" w:rsidRDefault="00C50974">
            <w:pPr>
              <w:jc w:val="right"/>
              <w:textAlignment w:val="bottom"/>
            </w:pPr>
            <w:r>
              <w:rPr>
                <w:rFonts w:ascii="Arial" w:eastAsia="宋体" w:hAnsi="Arial" w:cs="Arial"/>
                <w:color w:val="000000"/>
                <w:sz w:val="18"/>
                <w:szCs w:val="18"/>
              </w:rPr>
              <w:t>289 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604"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05"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606"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607" w14:textId="77777777" w:rsidR="009F6D8A" w:rsidRDefault="00C50974">
            <w:pPr>
              <w:jc w:val="right"/>
              <w:textAlignment w:val="bottom"/>
            </w:pPr>
            <w:r>
              <w:rPr>
                <w:rFonts w:ascii="Arial" w:eastAsia="宋体" w:hAnsi="Arial" w:cs="Arial"/>
                <w:color w:val="000000"/>
                <w:sz w:val="18"/>
                <w:szCs w:val="18"/>
              </w:rPr>
              <w:t>197 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608"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09"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60A"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60B" w14:textId="77777777" w:rsidR="009F6D8A" w:rsidRDefault="00C50974">
            <w:pPr>
              <w:jc w:val="right"/>
              <w:textAlignment w:val="bottom"/>
            </w:pPr>
            <w:r>
              <w:rPr>
                <w:rFonts w:ascii="Arial" w:eastAsia="宋体" w:hAnsi="Arial" w:cs="Arial"/>
                <w:color w:val="000000"/>
                <w:sz w:val="18"/>
                <w:szCs w:val="18"/>
              </w:rPr>
              <w:t>565 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60C"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0D"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60E"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60F" w14:textId="77777777" w:rsidR="009F6D8A" w:rsidRDefault="00C50974">
            <w:pPr>
              <w:jc w:val="right"/>
              <w:textAlignment w:val="bottom"/>
            </w:pPr>
            <w:r>
              <w:rPr>
                <w:rFonts w:ascii="Arial" w:eastAsia="宋体" w:hAnsi="Arial" w:cs="Arial"/>
                <w:color w:val="000000"/>
                <w:sz w:val="18"/>
                <w:szCs w:val="18"/>
              </w:rPr>
              <w:t>442 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610" w14:textId="77777777" w:rsidR="009F6D8A" w:rsidRDefault="009F6D8A">
            <w:pPr>
              <w:jc w:val="right"/>
              <w:rPr>
                <w:rFonts w:ascii="宋体"/>
              </w:rPr>
            </w:pPr>
          </w:p>
        </w:tc>
      </w:tr>
      <w:tr w:rsidR="009F6D8A" w14:paraId="6430361E" w14:textId="77777777">
        <w:tc>
          <w:tcPr>
            <w:tcW w:w="0" w:type="auto"/>
            <w:gridSpan w:val="3"/>
            <w:shd w:val="clear" w:color="auto" w:fill="FFFFFF"/>
            <w:tcMar>
              <w:top w:w="40" w:type="dxa"/>
              <w:left w:w="20" w:type="dxa"/>
              <w:bottom w:w="40" w:type="dxa"/>
              <w:right w:w="20" w:type="dxa"/>
            </w:tcMar>
            <w:vAlign w:val="bottom"/>
          </w:tcPr>
          <w:p w14:paraId="64303612" w14:textId="77777777" w:rsidR="009F6D8A" w:rsidRDefault="00C50974">
            <w:pPr>
              <w:textAlignment w:val="bottom"/>
            </w:pPr>
            <w:r>
              <w:rPr>
                <w:rFonts w:ascii="Arial" w:eastAsia="宋体" w:hAnsi="Arial" w:cs="Arial"/>
                <w:color w:val="000000"/>
                <w:sz w:val="18"/>
                <w:szCs w:val="18"/>
              </w:rPr>
              <w:t>Cost of net revenues</w:t>
            </w:r>
          </w:p>
        </w:tc>
        <w:tc>
          <w:tcPr>
            <w:tcW w:w="0" w:type="auto"/>
            <w:gridSpan w:val="2"/>
            <w:shd w:val="clear" w:color="auto" w:fill="FFFFFF"/>
            <w:tcMar>
              <w:top w:w="40" w:type="dxa"/>
              <w:left w:w="20" w:type="dxa"/>
              <w:bottom w:w="40" w:type="dxa"/>
              <w:right w:w="0" w:type="dxa"/>
            </w:tcMar>
            <w:vAlign w:val="bottom"/>
          </w:tcPr>
          <w:p w14:paraId="64303613" w14:textId="77777777" w:rsidR="009F6D8A" w:rsidRDefault="00C50974">
            <w:pPr>
              <w:jc w:val="right"/>
              <w:textAlignment w:val="bottom"/>
            </w:pPr>
            <w:r>
              <w:rPr>
                <w:rFonts w:ascii="Arial" w:eastAsia="宋体" w:hAnsi="Arial" w:cs="Arial"/>
                <w:color w:val="000000"/>
                <w:sz w:val="18"/>
                <w:szCs w:val="18"/>
              </w:rPr>
              <w:t>33 </w:t>
            </w:r>
          </w:p>
        </w:tc>
        <w:tc>
          <w:tcPr>
            <w:tcW w:w="0" w:type="auto"/>
            <w:shd w:val="clear" w:color="auto" w:fill="FFFFFF"/>
            <w:tcMar>
              <w:top w:w="40" w:type="dxa"/>
              <w:left w:w="0" w:type="dxa"/>
              <w:bottom w:w="40" w:type="dxa"/>
              <w:right w:w="20" w:type="dxa"/>
            </w:tcMar>
            <w:vAlign w:val="bottom"/>
          </w:tcPr>
          <w:p w14:paraId="6430361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1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616" w14:textId="77777777" w:rsidR="009F6D8A" w:rsidRDefault="00C50974">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6430361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1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619" w14:textId="77777777" w:rsidR="009F6D8A" w:rsidRDefault="00C50974">
            <w:pPr>
              <w:jc w:val="right"/>
              <w:textAlignment w:val="bottom"/>
            </w:pPr>
            <w:r>
              <w:rPr>
                <w:rFonts w:ascii="Arial" w:eastAsia="宋体" w:hAnsi="Arial" w:cs="Arial"/>
                <w:color w:val="000000"/>
                <w:sz w:val="18"/>
                <w:szCs w:val="18"/>
              </w:rPr>
              <w:t>63 </w:t>
            </w:r>
          </w:p>
        </w:tc>
        <w:tc>
          <w:tcPr>
            <w:tcW w:w="0" w:type="auto"/>
            <w:shd w:val="clear" w:color="auto" w:fill="FFFFFF"/>
            <w:tcMar>
              <w:top w:w="40" w:type="dxa"/>
              <w:left w:w="0" w:type="dxa"/>
              <w:bottom w:w="40" w:type="dxa"/>
              <w:right w:w="20" w:type="dxa"/>
            </w:tcMar>
            <w:vAlign w:val="bottom"/>
          </w:tcPr>
          <w:p w14:paraId="6430361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1B"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61C" w14:textId="77777777" w:rsidR="009F6D8A" w:rsidRDefault="00C50974">
            <w:pPr>
              <w:jc w:val="right"/>
              <w:textAlignment w:val="bottom"/>
            </w:pPr>
            <w:r>
              <w:rPr>
                <w:rFonts w:ascii="Arial" w:eastAsia="宋体" w:hAnsi="Arial" w:cs="Arial"/>
                <w:color w:val="000000"/>
                <w:sz w:val="18"/>
                <w:szCs w:val="18"/>
              </w:rPr>
              <w:t>49 </w:t>
            </w:r>
          </w:p>
        </w:tc>
        <w:tc>
          <w:tcPr>
            <w:tcW w:w="0" w:type="auto"/>
            <w:shd w:val="clear" w:color="auto" w:fill="FFFFFF"/>
            <w:tcMar>
              <w:top w:w="40" w:type="dxa"/>
              <w:left w:w="0" w:type="dxa"/>
              <w:bottom w:w="40" w:type="dxa"/>
              <w:right w:w="20" w:type="dxa"/>
            </w:tcMar>
            <w:vAlign w:val="bottom"/>
          </w:tcPr>
          <w:p w14:paraId="6430361D" w14:textId="77777777" w:rsidR="009F6D8A" w:rsidRDefault="009F6D8A">
            <w:pPr>
              <w:jc w:val="right"/>
              <w:rPr>
                <w:rFonts w:ascii="宋体"/>
              </w:rPr>
            </w:pPr>
          </w:p>
        </w:tc>
      </w:tr>
      <w:tr w:rsidR="009F6D8A" w14:paraId="6430362B" w14:textId="77777777">
        <w:tc>
          <w:tcPr>
            <w:tcW w:w="0" w:type="auto"/>
            <w:gridSpan w:val="3"/>
            <w:shd w:val="clear" w:color="auto" w:fill="E1E1E1"/>
            <w:tcMar>
              <w:top w:w="40" w:type="dxa"/>
              <w:left w:w="875" w:type="dxa"/>
              <w:bottom w:w="40" w:type="dxa"/>
              <w:right w:w="20" w:type="dxa"/>
            </w:tcMar>
            <w:vAlign w:val="bottom"/>
          </w:tcPr>
          <w:p w14:paraId="6430361F" w14:textId="77777777" w:rsidR="009F6D8A" w:rsidRDefault="00C50974">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620" w14:textId="77777777" w:rsidR="009F6D8A" w:rsidRDefault="00C50974">
            <w:pPr>
              <w:jc w:val="right"/>
              <w:textAlignment w:val="bottom"/>
            </w:pPr>
            <w:r>
              <w:rPr>
                <w:rFonts w:ascii="Arial" w:eastAsia="宋体" w:hAnsi="Arial" w:cs="Arial"/>
                <w:color w:val="000000"/>
                <w:sz w:val="18"/>
                <w:szCs w:val="18"/>
              </w:rPr>
              <w:t>256 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621"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22"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623" w14:textId="77777777" w:rsidR="009F6D8A" w:rsidRDefault="00C50974">
            <w:pPr>
              <w:jc w:val="right"/>
              <w:textAlignment w:val="bottom"/>
            </w:pPr>
            <w:r>
              <w:rPr>
                <w:rFonts w:ascii="Arial" w:eastAsia="宋体" w:hAnsi="Arial" w:cs="Arial"/>
                <w:color w:val="000000"/>
                <w:sz w:val="18"/>
                <w:szCs w:val="18"/>
              </w:rPr>
              <w:t>172 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624"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25"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626" w14:textId="77777777" w:rsidR="009F6D8A" w:rsidRDefault="00C50974">
            <w:pPr>
              <w:jc w:val="right"/>
              <w:textAlignment w:val="bottom"/>
            </w:pPr>
            <w:r>
              <w:rPr>
                <w:rFonts w:ascii="Arial" w:eastAsia="宋体" w:hAnsi="Arial" w:cs="Arial"/>
                <w:color w:val="000000"/>
                <w:sz w:val="18"/>
                <w:szCs w:val="18"/>
              </w:rPr>
              <w:t>502 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627"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28"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629" w14:textId="77777777" w:rsidR="009F6D8A" w:rsidRDefault="00C50974">
            <w:pPr>
              <w:jc w:val="right"/>
              <w:textAlignment w:val="bottom"/>
            </w:pPr>
            <w:r>
              <w:rPr>
                <w:rFonts w:ascii="Arial" w:eastAsia="宋体" w:hAnsi="Arial" w:cs="Arial"/>
                <w:color w:val="000000"/>
                <w:sz w:val="18"/>
                <w:szCs w:val="18"/>
              </w:rPr>
              <w:t>393 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62A" w14:textId="77777777" w:rsidR="009F6D8A" w:rsidRDefault="009F6D8A">
            <w:pPr>
              <w:jc w:val="right"/>
              <w:rPr>
                <w:rFonts w:ascii="宋体"/>
              </w:rPr>
            </w:pPr>
          </w:p>
        </w:tc>
      </w:tr>
      <w:tr w:rsidR="009F6D8A" w14:paraId="64303634" w14:textId="77777777">
        <w:tc>
          <w:tcPr>
            <w:tcW w:w="0" w:type="auto"/>
            <w:gridSpan w:val="3"/>
            <w:shd w:val="clear" w:color="auto" w:fill="FFFFFF"/>
            <w:tcMar>
              <w:top w:w="40" w:type="dxa"/>
              <w:left w:w="20" w:type="dxa"/>
              <w:bottom w:w="40" w:type="dxa"/>
              <w:right w:w="20" w:type="dxa"/>
            </w:tcMar>
            <w:vAlign w:val="bottom"/>
          </w:tcPr>
          <w:p w14:paraId="6430362C" w14:textId="77777777" w:rsidR="009F6D8A" w:rsidRDefault="00C50974">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362D"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62E"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362F"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630"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3631"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632"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3633" w14:textId="77777777" w:rsidR="009F6D8A" w:rsidRDefault="009F6D8A">
            <w:pPr>
              <w:rPr>
                <w:rFonts w:ascii="宋体"/>
              </w:rPr>
            </w:pPr>
          </w:p>
        </w:tc>
      </w:tr>
      <w:tr w:rsidR="009F6D8A" w14:paraId="64303641" w14:textId="77777777">
        <w:tc>
          <w:tcPr>
            <w:tcW w:w="0" w:type="auto"/>
            <w:gridSpan w:val="3"/>
            <w:shd w:val="clear" w:color="auto" w:fill="E1E1E1"/>
            <w:tcMar>
              <w:top w:w="40" w:type="dxa"/>
              <w:left w:w="515" w:type="dxa"/>
              <w:bottom w:w="40" w:type="dxa"/>
              <w:right w:w="20" w:type="dxa"/>
            </w:tcMar>
            <w:vAlign w:val="bottom"/>
          </w:tcPr>
          <w:p w14:paraId="64303635" w14:textId="77777777" w:rsidR="009F6D8A" w:rsidRDefault="00C50974">
            <w:pPr>
              <w:textAlignment w:val="bottom"/>
            </w:pPr>
            <w:r>
              <w:rPr>
                <w:rFonts w:ascii="Arial" w:eastAsia="宋体" w:hAnsi="Arial" w:cs="Arial"/>
                <w:color w:val="000000"/>
                <w:sz w:val="18"/>
                <w:szCs w:val="18"/>
              </w:rPr>
              <w:t>Sales and marketing</w:t>
            </w:r>
          </w:p>
        </w:tc>
        <w:tc>
          <w:tcPr>
            <w:tcW w:w="0" w:type="auto"/>
            <w:gridSpan w:val="2"/>
            <w:shd w:val="clear" w:color="auto" w:fill="E1E1E1"/>
            <w:tcMar>
              <w:top w:w="40" w:type="dxa"/>
              <w:left w:w="20" w:type="dxa"/>
              <w:bottom w:w="40" w:type="dxa"/>
              <w:right w:w="0" w:type="dxa"/>
            </w:tcMar>
            <w:vAlign w:val="bottom"/>
          </w:tcPr>
          <w:p w14:paraId="64303636" w14:textId="77777777" w:rsidR="009F6D8A" w:rsidRDefault="00C50974">
            <w:pPr>
              <w:jc w:val="right"/>
              <w:textAlignment w:val="bottom"/>
            </w:pPr>
            <w:r>
              <w:rPr>
                <w:rFonts w:ascii="Arial" w:eastAsia="宋体" w:hAnsi="Arial" w:cs="Arial"/>
                <w:color w:val="000000"/>
                <w:sz w:val="18"/>
                <w:szCs w:val="18"/>
              </w:rPr>
              <w:t>96 </w:t>
            </w:r>
          </w:p>
        </w:tc>
        <w:tc>
          <w:tcPr>
            <w:tcW w:w="0" w:type="auto"/>
            <w:shd w:val="clear" w:color="auto" w:fill="E1E1E1"/>
            <w:tcMar>
              <w:top w:w="40" w:type="dxa"/>
              <w:left w:w="0" w:type="dxa"/>
              <w:bottom w:w="40" w:type="dxa"/>
              <w:right w:w="20" w:type="dxa"/>
            </w:tcMar>
            <w:vAlign w:val="bottom"/>
          </w:tcPr>
          <w:p w14:paraId="64303637"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38"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639" w14:textId="77777777" w:rsidR="009F6D8A" w:rsidRDefault="00C50974">
            <w:pPr>
              <w:jc w:val="right"/>
              <w:textAlignment w:val="bottom"/>
            </w:pPr>
            <w:r>
              <w:rPr>
                <w:rFonts w:ascii="Arial" w:eastAsia="宋体" w:hAnsi="Arial" w:cs="Arial"/>
                <w:color w:val="000000"/>
                <w:sz w:val="18"/>
                <w:szCs w:val="18"/>
              </w:rPr>
              <w:t>61 </w:t>
            </w:r>
          </w:p>
        </w:tc>
        <w:tc>
          <w:tcPr>
            <w:tcW w:w="0" w:type="auto"/>
            <w:shd w:val="clear" w:color="auto" w:fill="E1E1E1"/>
            <w:tcMar>
              <w:top w:w="40" w:type="dxa"/>
              <w:left w:w="0" w:type="dxa"/>
              <w:bottom w:w="40" w:type="dxa"/>
              <w:right w:w="20" w:type="dxa"/>
            </w:tcMar>
            <w:vAlign w:val="bottom"/>
          </w:tcPr>
          <w:p w14:paraId="6430363A"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3B"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63C" w14:textId="77777777" w:rsidR="009F6D8A" w:rsidRDefault="00C50974">
            <w:pPr>
              <w:jc w:val="right"/>
              <w:textAlignment w:val="bottom"/>
            </w:pPr>
            <w:r>
              <w:rPr>
                <w:rFonts w:ascii="Arial" w:eastAsia="宋体" w:hAnsi="Arial" w:cs="Arial"/>
                <w:color w:val="000000"/>
                <w:sz w:val="18"/>
                <w:szCs w:val="18"/>
              </w:rPr>
              <w:t>183 </w:t>
            </w:r>
          </w:p>
        </w:tc>
        <w:tc>
          <w:tcPr>
            <w:tcW w:w="0" w:type="auto"/>
            <w:shd w:val="clear" w:color="auto" w:fill="E1E1E1"/>
            <w:tcMar>
              <w:top w:w="40" w:type="dxa"/>
              <w:left w:w="0" w:type="dxa"/>
              <w:bottom w:w="40" w:type="dxa"/>
              <w:right w:w="20" w:type="dxa"/>
            </w:tcMar>
            <w:vAlign w:val="bottom"/>
          </w:tcPr>
          <w:p w14:paraId="6430363D"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3E"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63F" w14:textId="77777777" w:rsidR="009F6D8A" w:rsidRDefault="00C50974">
            <w:pPr>
              <w:jc w:val="right"/>
              <w:textAlignment w:val="bottom"/>
            </w:pPr>
            <w:r>
              <w:rPr>
                <w:rFonts w:ascii="Arial" w:eastAsia="宋体" w:hAnsi="Arial" w:cs="Arial"/>
                <w:color w:val="000000"/>
                <w:sz w:val="18"/>
                <w:szCs w:val="18"/>
              </w:rPr>
              <w:t>148 </w:t>
            </w:r>
          </w:p>
        </w:tc>
        <w:tc>
          <w:tcPr>
            <w:tcW w:w="0" w:type="auto"/>
            <w:shd w:val="clear" w:color="auto" w:fill="E1E1E1"/>
            <w:tcMar>
              <w:top w:w="40" w:type="dxa"/>
              <w:left w:w="0" w:type="dxa"/>
              <w:bottom w:w="40" w:type="dxa"/>
              <w:right w:w="20" w:type="dxa"/>
            </w:tcMar>
            <w:vAlign w:val="bottom"/>
          </w:tcPr>
          <w:p w14:paraId="64303640" w14:textId="77777777" w:rsidR="009F6D8A" w:rsidRDefault="009F6D8A">
            <w:pPr>
              <w:jc w:val="right"/>
              <w:rPr>
                <w:rFonts w:ascii="宋体"/>
              </w:rPr>
            </w:pPr>
          </w:p>
        </w:tc>
      </w:tr>
      <w:tr w:rsidR="009F6D8A" w14:paraId="6430364E" w14:textId="77777777">
        <w:tc>
          <w:tcPr>
            <w:tcW w:w="0" w:type="auto"/>
            <w:gridSpan w:val="3"/>
            <w:shd w:val="clear" w:color="auto" w:fill="FFFFFF"/>
            <w:tcMar>
              <w:top w:w="40" w:type="dxa"/>
              <w:left w:w="515" w:type="dxa"/>
              <w:bottom w:w="40" w:type="dxa"/>
              <w:right w:w="20" w:type="dxa"/>
            </w:tcMar>
            <w:vAlign w:val="bottom"/>
          </w:tcPr>
          <w:p w14:paraId="64303642" w14:textId="77777777" w:rsidR="009F6D8A" w:rsidRDefault="00C50974">
            <w:pPr>
              <w:textAlignment w:val="bottom"/>
            </w:pPr>
            <w:r>
              <w:rPr>
                <w:rFonts w:ascii="Arial" w:eastAsia="宋体" w:hAnsi="Arial" w:cs="Arial"/>
                <w:color w:val="000000"/>
                <w:sz w:val="18"/>
                <w:szCs w:val="18"/>
              </w:rPr>
              <w:t>Product development</w:t>
            </w:r>
          </w:p>
        </w:tc>
        <w:tc>
          <w:tcPr>
            <w:tcW w:w="0" w:type="auto"/>
            <w:gridSpan w:val="2"/>
            <w:shd w:val="clear" w:color="auto" w:fill="FFFFFF"/>
            <w:tcMar>
              <w:top w:w="40" w:type="dxa"/>
              <w:left w:w="20" w:type="dxa"/>
              <w:bottom w:w="40" w:type="dxa"/>
              <w:right w:w="0" w:type="dxa"/>
            </w:tcMar>
            <w:vAlign w:val="bottom"/>
          </w:tcPr>
          <w:p w14:paraId="64303643" w14:textId="77777777" w:rsidR="009F6D8A" w:rsidRDefault="00C50974">
            <w:pPr>
              <w:jc w:val="right"/>
              <w:textAlignment w:val="bottom"/>
            </w:pPr>
            <w:r>
              <w:rPr>
                <w:rFonts w:ascii="Arial" w:eastAsia="宋体" w:hAnsi="Arial" w:cs="Arial"/>
                <w:color w:val="000000"/>
                <w:sz w:val="18"/>
                <w:szCs w:val="18"/>
              </w:rPr>
              <w:t>62 </w:t>
            </w:r>
          </w:p>
        </w:tc>
        <w:tc>
          <w:tcPr>
            <w:tcW w:w="0" w:type="auto"/>
            <w:shd w:val="clear" w:color="auto" w:fill="FFFFFF"/>
            <w:tcMar>
              <w:top w:w="40" w:type="dxa"/>
              <w:left w:w="0" w:type="dxa"/>
              <w:bottom w:w="40" w:type="dxa"/>
              <w:right w:w="20" w:type="dxa"/>
            </w:tcMar>
            <w:vAlign w:val="bottom"/>
          </w:tcPr>
          <w:p w14:paraId="6430364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4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646" w14:textId="77777777" w:rsidR="009F6D8A" w:rsidRDefault="00C50974">
            <w:pPr>
              <w:jc w:val="right"/>
              <w:textAlignment w:val="bottom"/>
            </w:pPr>
            <w:r>
              <w:rPr>
                <w:rFonts w:ascii="Arial" w:eastAsia="宋体" w:hAnsi="Arial" w:cs="Arial"/>
                <w:color w:val="000000"/>
                <w:sz w:val="18"/>
                <w:szCs w:val="18"/>
              </w:rPr>
              <w:t>39 </w:t>
            </w:r>
          </w:p>
        </w:tc>
        <w:tc>
          <w:tcPr>
            <w:tcW w:w="0" w:type="auto"/>
            <w:shd w:val="clear" w:color="auto" w:fill="FFFFFF"/>
            <w:tcMar>
              <w:top w:w="40" w:type="dxa"/>
              <w:left w:w="0" w:type="dxa"/>
              <w:bottom w:w="40" w:type="dxa"/>
              <w:right w:w="20" w:type="dxa"/>
            </w:tcMar>
            <w:vAlign w:val="bottom"/>
          </w:tcPr>
          <w:p w14:paraId="6430364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4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649" w14:textId="77777777" w:rsidR="009F6D8A" w:rsidRDefault="00C50974">
            <w:pPr>
              <w:jc w:val="right"/>
              <w:textAlignment w:val="bottom"/>
            </w:pPr>
            <w:r>
              <w:rPr>
                <w:rFonts w:ascii="Arial" w:eastAsia="宋体" w:hAnsi="Arial" w:cs="Arial"/>
                <w:color w:val="000000"/>
                <w:sz w:val="18"/>
                <w:szCs w:val="18"/>
              </w:rPr>
              <w:t>105 </w:t>
            </w:r>
          </w:p>
        </w:tc>
        <w:tc>
          <w:tcPr>
            <w:tcW w:w="0" w:type="auto"/>
            <w:shd w:val="clear" w:color="auto" w:fill="FFFFFF"/>
            <w:tcMar>
              <w:top w:w="40" w:type="dxa"/>
              <w:left w:w="0" w:type="dxa"/>
              <w:bottom w:w="40" w:type="dxa"/>
              <w:right w:w="20" w:type="dxa"/>
            </w:tcMar>
            <w:vAlign w:val="bottom"/>
          </w:tcPr>
          <w:p w14:paraId="6430364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4B"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64C" w14:textId="77777777" w:rsidR="009F6D8A" w:rsidRDefault="00C50974">
            <w:pPr>
              <w:jc w:val="right"/>
              <w:textAlignment w:val="bottom"/>
            </w:pPr>
            <w:r>
              <w:rPr>
                <w:rFonts w:ascii="Arial" w:eastAsia="宋体" w:hAnsi="Arial" w:cs="Arial"/>
                <w:color w:val="000000"/>
                <w:sz w:val="18"/>
                <w:szCs w:val="18"/>
              </w:rPr>
              <w:t>74 </w:t>
            </w:r>
          </w:p>
        </w:tc>
        <w:tc>
          <w:tcPr>
            <w:tcW w:w="0" w:type="auto"/>
            <w:shd w:val="clear" w:color="auto" w:fill="FFFFFF"/>
            <w:tcMar>
              <w:top w:w="40" w:type="dxa"/>
              <w:left w:w="0" w:type="dxa"/>
              <w:bottom w:w="40" w:type="dxa"/>
              <w:right w:w="20" w:type="dxa"/>
            </w:tcMar>
            <w:vAlign w:val="bottom"/>
          </w:tcPr>
          <w:p w14:paraId="6430364D" w14:textId="77777777" w:rsidR="009F6D8A" w:rsidRDefault="009F6D8A">
            <w:pPr>
              <w:jc w:val="right"/>
              <w:rPr>
                <w:rFonts w:ascii="宋体"/>
              </w:rPr>
            </w:pPr>
          </w:p>
        </w:tc>
      </w:tr>
      <w:tr w:rsidR="009F6D8A" w14:paraId="6430365B" w14:textId="77777777">
        <w:tc>
          <w:tcPr>
            <w:tcW w:w="0" w:type="auto"/>
            <w:gridSpan w:val="3"/>
            <w:shd w:val="clear" w:color="auto" w:fill="E1E1E1"/>
            <w:tcMar>
              <w:top w:w="40" w:type="dxa"/>
              <w:left w:w="515" w:type="dxa"/>
              <w:bottom w:w="40" w:type="dxa"/>
              <w:right w:w="20" w:type="dxa"/>
            </w:tcMar>
            <w:vAlign w:val="bottom"/>
          </w:tcPr>
          <w:p w14:paraId="6430364F" w14:textId="77777777" w:rsidR="009F6D8A" w:rsidRDefault="00C50974">
            <w:pPr>
              <w:textAlignment w:val="bottom"/>
            </w:pPr>
            <w:r>
              <w:rPr>
                <w:rFonts w:ascii="Arial" w:eastAsia="宋体" w:hAnsi="Arial" w:cs="Arial"/>
                <w:color w:val="000000"/>
                <w:sz w:val="18"/>
                <w:szCs w:val="18"/>
              </w:rPr>
              <w:t>General and administrative</w:t>
            </w:r>
          </w:p>
        </w:tc>
        <w:tc>
          <w:tcPr>
            <w:tcW w:w="0" w:type="auto"/>
            <w:gridSpan w:val="2"/>
            <w:shd w:val="clear" w:color="auto" w:fill="E1E1E1"/>
            <w:tcMar>
              <w:top w:w="40" w:type="dxa"/>
              <w:left w:w="20" w:type="dxa"/>
              <w:bottom w:w="40" w:type="dxa"/>
              <w:right w:w="0" w:type="dxa"/>
            </w:tcMar>
            <w:vAlign w:val="bottom"/>
          </w:tcPr>
          <w:p w14:paraId="64303650" w14:textId="77777777" w:rsidR="009F6D8A" w:rsidRDefault="00C50974">
            <w:pPr>
              <w:jc w:val="right"/>
              <w:textAlignment w:val="bottom"/>
            </w:pPr>
            <w:r>
              <w:rPr>
                <w:rFonts w:ascii="Arial" w:eastAsia="宋体" w:hAnsi="Arial" w:cs="Arial"/>
                <w:color w:val="000000"/>
                <w:sz w:val="18"/>
                <w:szCs w:val="18"/>
              </w:rPr>
              <w:t>40 </w:t>
            </w:r>
          </w:p>
        </w:tc>
        <w:tc>
          <w:tcPr>
            <w:tcW w:w="0" w:type="auto"/>
            <w:shd w:val="clear" w:color="auto" w:fill="E1E1E1"/>
            <w:tcMar>
              <w:top w:w="40" w:type="dxa"/>
              <w:left w:w="0" w:type="dxa"/>
              <w:bottom w:w="40" w:type="dxa"/>
              <w:right w:w="20" w:type="dxa"/>
            </w:tcMar>
            <w:vAlign w:val="bottom"/>
          </w:tcPr>
          <w:p w14:paraId="64303651"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52"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653" w14:textId="77777777" w:rsidR="009F6D8A" w:rsidRDefault="00C50974">
            <w:pPr>
              <w:jc w:val="right"/>
              <w:textAlignment w:val="bottom"/>
            </w:pPr>
            <w:r>
              <w:rPr>
                <w:rFonts w:ascii="Arial" w:eastAsia="宋体" w:hAnsi="Arial" w:cs="Arial"/>
                <w:color w:val="000000"/>
                <w:sz w:val="18"/>
                <w:szCs w:val="18"/>
              </w:rPr>
              <w:t>35 </w:t>
            </w:r>
          </w:p>
        </w:tc>
        <w:tc>
          <w:tcPr>
            <w:tcW w:w="0" w:type="auto"/>
            <w:shd w:val="clear" w:color="auto" w:fill="E1E1E1"/>
            <w:tcMar>
              <w:top w:w="40" w:type="dxa"/>
              <w:left w:w="0" w:type="dxa"/>
              <w:bottom w:w="40" w:type="dxa"/>
              <w:right w:w="20" w:type="dxa"/>
            </w:tcMar>
            <w:vAlign w:val="bottom"/>
          </w:tcPr>
          <w:p w14:paraId="64303654"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55"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656" w14:textId="77777777" w:rsidR="009F6D8A" w:rsidRDefault="00C50974">
            <w:pPr>
              <w:jc w:val="right"/>
              <w:textAlignment w:val="bottom"/>
            </w:pPr>
            <w:r>
              <w:rPr>
                <w:rFonts w:ascii="Arial" w:eastAsia="宋体" w:hAnsi="Arial" w:cs="Arial"/>
                <w:color w:val="000000"/>
                <w:sz w:val="18"/>
                <w:szCs w:val="18"/>
              </w:rPr>
              <w:t>67 </w:t>
            </w:r>
          </w:p>
        </w:tc>
        <w:tc>
          <w:tcPr>
            <w:tcW w:w="0" w:type="auto"/>
            <w:shd w:val="clear" w:color="auto" w:fill="E1E1E1"/>
            <w:tcMar>
              <w:top w:w="40" w:type="dxa"/>
              <w:left w:w="0" w:type="dxa"/>
              <w:bottom w:w="40" w:type="dxa"/>
              <w:right w:w="20" w:type="dxa"/>
            </w:tcMar>
            <w:vAlign w:val="bottom"/>
          </w:tcPr>
          <w:p w14:paraId="64303657"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58"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659" w14:textId="77777777" w:rsidR="009F6D8A" w:rsidRDefault="00C50974">
            <w:pPr>
              <w:jc w:val="right"/>
              <w:textAlignment w:val="bottom"/>
            </w:pPr>
            <w:r>
              <w:rPr>
                <w:rFonts w:ascii="Arial" w:eastAsia="宋体" w:hAnsi="Arial" w:cs="Arial"/>
                <w:color w:val="000000"/>
                <w:sz w:val="18"/>
                <w:szCs w:val="18"/>
              </w:rPr>
              <w:t>62 </w:t>
            </w:r>
          </w:p>
        </w:tc>
        <w:tc>
          <w:tcPr>
            <w:tcW w:w="0" w:type="auto"/>
            <w:shd w:val="clear" w:color="auto" w:fill="E1E1E1"/>
            <w:tcMar>
              <w:top w:w="40" w:type="dxa"/>
              <w:left w:w="0" w:type="dxa"/>
              <w:bottom w:w="40" w:type="dxa"/>
              <w:right w:w="20" w:type="dxa"/>
            </w:tcMar>
            <w:vAlign w:val="bottom"/>
          </w:tcPr>
          <w:p w14:paraId="6430365A" w14:textId="77777777" w:rsidR="009F6D8A" w:rsidRDefault="009F6D8A">
            <w:pPr>
              <w:jc w:val="right"/>
              <w:rPr>
                <w:rFonts w:ascii="宋体"/>
              </w:rPr>
            </w:pPr>
          </w:p>
        </w:tc>
      </w:tr>
      <w:tr w:rsidR="009F6D8A" w14:paraId="64303668" w14:textId="77777777">
        <w:tc>
          <w:tcPr>
            <w:tcW w:w="0" w:type="auto"/>
            <w:gridSpan w:val="3"/>
            <w:shd w:val="clear" w:color="auto" w:fill="FFFFFF"/>
            <w:tcMar>
              <w:top w:w="40" w:type="dxa"/>
              <w:left w:w="515" w:type="dxa"/>
              <w:bottom w:w="40" w:type="dxa"/>
              <w:right w:w="20" w:type="dxa"/>
            </w:tcMar>
            <w:vAlign w:val="bottom"/>
          </w:tcPr>
          <w:p w14:paraId="6430365C" w14:textId="77777777" w:rsidR="009F6D8A" w:rsidRDefault="00C50974">
            <w:pPr>
              <w:textAlignment w:val="bottom"/>
            </w:pPr>
            <w:r>
              <w:rPr>
                <w:rFonts w:ascii="Arial" w:eastAsia="宋体" w:hAnsi="Arial" w:cs="Arial"/>
                <w:color w:val="000000"/>
                <w:sz w:val="18"/>
                <w:szCs w:val="18"/>
              </w:rPr>
              <w:t>Provision for transaction losses</w:t>
            </w:r>
          </w:p>
        </w:tc>
        <w:tc>
          <w:tcPr>
            <w:tcW w:w="0" w:type="auto"/>
            <w:gridSpan w:val="2"/>
            <w:shd w:val="clear" w:color="auto" w:fill="FFFFFF"/>
            <w:tcMar>
              <w:top w:w="40" w:type="dxa"/>
              <w:left w:w="20" w:type="dxa"/>
              <w:bottom w:w="40" w:type="dxa"/>
              <w:right w:w="0" w:type="dxa"/>
            </w:tcMar>
            <w:vAlign w:val="bottom"/>
          </w:tcPr>
          <w:p w14:paraId="6430365D"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65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5F"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660" w14:textId="77777777" w:rsidR="009F6D8A" w:rsidRDefault="00C50974">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6430366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6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663" w14:textId="77777777" w:rsidR="009F6D8A" w:rsidRDefault="00C50974">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6430366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6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666" w14:textId="77777777" w:rsidR="009F6D8A" w:rsidRDefault="00C50974">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64303667" w14:textId="77777777" w:rsidR="009F6D8A" w:rsidRDefault="009F6D8A">
            <w:pPr>
              <w:jc w:val="right"/>
              <w:rPr>
                <w:rFonts w:ascii="宋体"/>
              </w:rPr>
            </w:pPr>
          </w:p>
        </w:tc>
      </w:tr>
      <w:tr w:rsidR="009F6D8A" w14:paraId="64303675" w14:textId="77777777">
        <w:tc>
          <w:tcPr>
            <w:tcW w:w="0" w:type="auto"/>
            <w:gridSpan w:val="3"/>
            <w:shd w:val="clear" w:color="auto" w:fill="E1E1E1"/>
            <w:tcMar>
              <w:top w:w="40" w:type="dxa"/>
              <w:left w:w="515" w:type="dxa"/>
              <w:bottom w:w="40" w:type="dxa"/>
              <w:right w:w="20" w:type="dxa"/>
            </w:tcMar>
            <w:vAlign w:val="bottom"/>
          </w:tcPr>
          <w:p w14:paraId="64303669" w14:textId="77777777" w:rsidR="009F6D8A" w:rsidRDefault="00C50974">
            <w:pPr>
              <w:textAlignment w:val="bottom"/>
            </w:pPr>
            <w:r>
              <w:rPr>
                <w:rFonts w:ascii="Arial" w:eastAsia="宋体" w:hAnsi="Arial" w:cs="Arial"/>
                <w:color w:val="000000"/>
                <w:sz w:val="18"/>
                <w:szCs w:val="18"/>
              </w:rPr>
              <w:t>Amortization of acquired intangible assets</w:t>
            </w:r>
          </w:p>
        </w:tc>
        <w:tc>
          <w:tcPr>
            <w:tcW w:w="0" w:type="auto"/>
            <w:gridSpan w:val="2"/>
            <w:shd w:val="clear" w:color="auto" w:fill="E1E1E1"/>
            <w:tcMar>
              <w:top w:w="40" w:type="dxa"/>
              <w:left w:w="20" w:type="dxa"/>
              <w:bottom w:w="40" w:type="dxa"/>
              <w:right w:w="0" w:type="dxa"/>
            </w:tcMar>
            <w:vAlign w:val="bottom"/>
          </w:tcPr>
          <w:p w14:paraId="6430366A"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66B"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6C"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66D" w14:textId="77777777" w:rsidR="009F6D8A" w:rsidRDefault="00C50974">
            <w:pPr>
              <w:jc w:val="right"/>
              <w:textAlignment w:val="bottom"/>
            </w:pPr>
            <w:r>
              <w:rPr>
                <w:rFonts w:ascii="Arial" w:eastAsia="宋体" w:hAnsi="Arial" w:cs="Arial"/>
                <w:color w:val="000000"/>
                <w:sz w:val="18"/>
                <w:szCs w:val="18"/>
              </w:rPr>
              <w:t>2 </w:t>
            </w:r>
          </w:p>
        </w:tc>
        <w:tc>
          <w:tcPr>
            <w:tcW w:w="0" w:type="auto"/>
            <w:shd w:val="clear" w:color="auto" w:fill="E1E1E1"/>
            <w:tcMar>
              <w:top w:w="40" w:type="dxa"/>
              <w:left w:w="0" w:type="dxa"/>
              <w:bottom w:w="40" w:type="dxa"/>
              <w:right w:w="20" w:type="dxa"/>
            </w:tcMar>
            <w:vAlign w:val="bottom"/>
          </w:tcPr>
          <w:p w14:paraId="6430366E"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6F"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670"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671"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72"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673" w14:textId="77777777" w:rsidR="009F6D8A" w:rsidRDefault="00C50974">
            <w:pPr>
              <w:jc w:val="right"/>
              <w:textAlignment w:val="bottom"/>
            </w:pPr>
            <w:r>
              <w:rPr>
                <w:rFonts w:ascii="Arial" w:eastAsia="宋体" w:hAnsi="Arial" w:cs="Arial"/>
                <w:color w:val="000000"/>
                <w:sz w:val="18"/>
                <w:szCs w:val="18"/>
              </w:rPr>
              <w:t>4 </w:t>
            </w:r>
          </w:p>
        </w:tc>
        <w:tc>
          <w:tcPr>
            <w:tcW w:w="0" w:type="auto"/>
            <w:shd w:val="clear" w:color="auto" w:fill="E1E1E1"/>
            <w:tcMar>
              <w:top w:w="40" w:type="dxa"/>
              <w:left w:w="0" w:type="dxa"/>
              <w:bottom w:w="40" w:type="dxa"/>
              <w:right w:w="20" w:type="dxa"/>
            </w:tcMar>
            <w:vAlign w:val="bottom"/>
          </w:tcPr>
          <w:p w14:paraId="64303674" w14:textId="77777777" w:rsidR="009F6D8A" w:rsidRDefault="009F6D8A">
            <w:pPr>
              <w:jc w:val="right"/>
              <w:rPr>
                <w:rFonts w:ascii="宋体"/>
              </w:rPr>
            </w:pPr>
          </w:p>
        </w:tc>
      </w:tr>
      <w:tr w:rsidR="009F6D8A" w14:paraId="64303682" w14:textId="77777777">
        <w:tc>
          <w:tcPr>
            <w:tcW w:w="0" w:type="auto"/>
            <w:gridSpan w:val="3"/>
            <w:shd w:val="clear" w:color="auto" w:fill="FFFFFF"/>
            <w:tcMar>
              <w:top w:w="40" w:type="dxa"/>
              <w:left w:w="875" w:type="dxa"/>
              <w:bottom w:w="40" w:type="dxa"/>
              <w:right w:w="20" w:type="dxa"/>
            </w:tcMar>
            <w:vAlign w:val="bottom"/>
          </w:tcPr>
          <w:p w14:paraId="64303676" w14:textId="77777777" w:rsidR="009F6D8A" w:rsidRDefault="00C50974">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677" w14:textId="77777777" w:rsidR="009F6D8A" w:rsidRDefault="00C50974">
            <w:pPr>
              <w:jc w:val="right"/>
              <w:textAlignment w:val="bottom"/>
            </w:pPr>
            <w:r>
              <w:rPr>
                <w:rFonts w:ascii="Arial" w:eastAsia="宋体" w:hAnsi="Arial" w:cs="Arial"/>
                <w:color w:val="000000"/>
                <w:sz w:val="18"/>
                <w:szCs w:val="18"/>
              </w:rPr>
              <w:t>198 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67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79"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67A" w14:textId="77777777" w:rsidR="009F6D8A" w:rsidRDefault="00C50974">
            <w:pPr>
              <w:jc w:val="right"/>
              <w:textAlignment w:val="bottom"/>
            </w:pPr>
            <w:r>
              <w:rPr>
                <w:rFonts w:ascii="Arial" w:eastAsia="宋体" w:hAnsi="Arial" w:cs="Arial"/>
                <w:color w:val="000000"/>
                <w:sz w:val="18"/>
                <w:szCs w:val="18"/>
              </w:rPr>
              <w:t>141 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67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7C"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67D" w14:textId="77777777" w:rsidR="009F6D8A" w:rsidRDefault="00C50974">
            <w:pPr>
              <w:jc w:val="right"/>
              <w:textAlignment w:val="bottom"/>
            </w:pPr>
            <w:r>
              <w:rPr>
                <w:rFonts w:ascii="Arial" w:eastAsia="宋体" w:hAnsi="Arial" w:cs="Arial"/>
                <w:color w:val="000000"/>
                <w:sz w:val="18"/>
                <w:szCs w:val="18"/>
              </w:rPr>
              <w:t>357 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67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7F"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680" w14:textId="77777777" w:rsidR="009F6D8A" w:rsidRDefault="00C50974">
            <w:pPr>
              <w:jc w:val="right"/>
              <w:textAlignment w:val="bottom"/>
            </w:pPr>
            <w:r>
              <w:rPr>
                <w:rFonts w:ascii="Arial" w:eastAsia="宋体" w:hAnsi="Arial" w:cs="Arial"/>
                <w:color w:val="000000"/>
                <w:sz w:val="18"/>
                <w:szCs w:val="18"/>
              </w:rPr>
              <w:t>298 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681" w14:textId="77777777" w:rsidR="009F6D8A" w:rsidRDefault="009F6D8A">
            <w:pPr>
              <w:jc w:val="right"/>
              <w:rPr>
                <w:rFonts w:ascii="宋体"/>
              </w:rPr>
            </w:pPr>
          </w:p>
        </w:tc>
      </w:tr>
      <w:tr w:rsidR="009F6D8A" w14:paraId="6430368F" w14:textId="77777777">
        <w:tc>
          <w:tcPr>
            <w:tcW w:w="0" w:type="auto"/>
            <w:gridSpan w:val="3"/>
            <w:shd w:val="clear" w:color="auto" w:fill="E1E1E1"/>
            <w:tcMar>
              <w:top w:w="40" w:type="dxa"/>
              <w:left w:w="20" w:type="dxa"/>
              <w:bottom w:w="40" w:type="dxa"/>
              <w:right w:w="20" w:type="dxa"/>
            </w:tcMar>
            <w:vAlign w:val="bottom"/>
          </w:tcPr>
          <w:p w14:paraId="64303683" w14:textId="77777777" w:rsidR="009F6D8A" w:rsidRDefault="00C50974">
            <w:pPr>
              <w:textAlignment w:val="bottom"/>
            </w:pPr>
            <w:r>
              <w:rPr>
                <w:rFonts w:ascii="Arial" w:eastAsia="宋体" w:hAnsi="Arial" w:cs="Arial"/>
                <w:color w:val="000000"/>
                <w:sz w:val="18"/>
                <w:szCs w:val="18"/>
              </w:rPr>
              <w:t>Income from operations of discontinued operations</w:t>
            </w:r>
          </w:p>
        </w:tc>
        <w:tc>
          <w:tcPr>
            <w:tcW w:w="0" w:type="auto"/>
            <w:gridSpan w:val="2"/>
            <w:shd w:val="clear" w:color="auto" w:fill="E1E1E1"/>
            <w:tcMar>
              <w:top w:w="40" w:type="dxa"/>
              <w:left w:w="20" w:type="dxa"/>
              <w:bottom w:w="40" w:type="dxa"/>
              <w:right w:w="0" w:type="dxa"/>
            </w:tcMar>
            <w:vAlign w:val="bottom"/>
          </w:tcPr>
          <w:p w14:paraId="64303684" w14:textId="77777777" w:rsidR="009F6D8A" w:rsidRDefault="00C50974">
            <w:pPr>
              <w:jc w:val="right"/>
              <w:textAlignment w:val="bottom"/>
            </w:pPr>
            <w:r>
              <w:rPr>
                <w:rFonts w:ascii="Arial" w:eastAsia="宋体" w:hAnsi="Arial" w:cs="Arial"/>
                <w:color w:val="000000"/>
                <w:sz w:val="18"/>
                <w:szCs w:val="18"/>
              </w:rPr>
              <w:t>58 </w:t>
            </w:r>
          </w:p>
        </w:tc>
        <w:tc>
          <w:tcPr>
            <w:tcW w:w="0" w:type="auto"/>
            <w:shd w:val="clear" w:color="auto" w:fill="E1E1E1"/>
            <w:tcMar>
              <w:top w:w="40" w:type="dxa"/>
              <w:left w:w="0" w:type="dxa"/>
              <w:bottom w:w="40" w:type="dxa"/>
              <w:right w:w="20" w:type="dxa"/>
            </w:tcMar>
            <w:vAlign w:val="bottom"/>
          </w:tcPr>
          <w:p w14:paraId="64303685"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86"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687" w14:textId="77777777" w:rsidR="009F6D8A" w:rsidRDefault="00C50974">
            <w:pPr>
              <w:jc w:val="right"/>
              <w:textAlignment w:val="bottom"/>
            </w:pPr>
            <w:r>
              <w:rPr>
                <w:rFonts w:ascii="Arial" w:eastAsia="宋体" w:hAnsi="Arial" w:cs="Arial"/>
                <w:color w:val="000000"/>
                <w:sz w:val="18"/>
                <w:szCs w:val="18"/>
              </w:rPr>
              <w:t>31 </w:t>
            </w:r>
          </w:p>
        </w:tc>
        <w:tc>
          <w:tcPr>
            <w:tcW w:w="0" w:type="auto"/>
            <w:shd w:val="clear" w:color="auto" w:fill="E1E1E1"/>
            <w:tcMar>
              <w:top w:w="40" w:type="dxa"/>
              <w:left w:w="0" w:type="dxa"/>
              <w:bottom w:w="40" w:type="dxa"/>
              <w:right w:w="20" w:type="dxa"/>
            </w:tcMar>
            <w:vAlign w:val="bottom"/>
          </w:tcPr>
          <w:p w14:paraId="64303688"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89"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68A" w14:textId="77777777" w:rsidR="009F6D8A" w:rsidRDefault="00C50974">
            <w:pPr>
              <w:jc w:val="right"/>
              <w:textAlignment w:val="bottom"/>
            </w:pPr>
            <w:r>
              <w:rPr>
                <w:rFonts w:ascii="Arial" w:eastAsia="宋体" w:hAnsi="Arial" w:cs="Arial"/>
                <w:color w:val="000000"/>
                <w:sz w:val="18"/>
                <w:szCs w:val="18"/>
              </w:rPr>
              <w:t>145 </w:t>
            </w:r>
          </w:p>
        </w:tc>
        <w:tc>
          <w:tcPr>
            <w:tcW w:w="0" w:type="auto"/>
            <w:shd w:val="clear" w:color="auto" w:fill="E1E1E1"/>
            <w:tcMar>
              <w:top w:w="40" w:type="dxa"/>
              <w:left w:w="0" w:type="dxa"/>
              <w:bottom w:w="40" w:type="dxa"/>
              <w:right w:w="20" w:type="dxa"/>
            </w:tcMar>
            <w:vAlign w:val="bottom"/>
          </w:tcPr>
          <w:p w14:paraId="6430368B"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8C"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68D" w14:textId="77777777" w:rsidR="009F6D8A" w:rsidRDefault="00C50974">
            <w:pPr>
              <w:jc w:val="right"/>
              <w:textAlignment w:val="bottom"/>
            </w:pPr>
            <w:r>
              <w:rPr>
                <w:rFonts w:ascii="Arial" w:eastAsia="宋体" w:hAnsi="Arial" w:cs="Arial"/>
                <w:color w:val="000000"/>
                <w:sz w:val="18"/>
                <w:szCs w:val="18"/>
              </w:rPr>
              <w:t>95 </w:t>
            </w:r>
          </w:p>
        </w:tc>
        <w:tc>
          <w:tcPr>
            <w:tcW w:w="0" w:type="auto"/>
            <w:shd w:val="clear" w:color="auto" w:fill="E1E1E1"/>
            <w:tcMar>
              <w:top w:w="40" w:type="dxa"/>
              <w:left w:w="0" w:type="dxa"/>
              <w:bottom w:w="40" w:type="dxa"/>
              <w:right w:w="20" w:type="dxa"/>
            </w:tcMar>
            <w:vAlign w:val="bottom"/>
          </w:tcPr>
          <w:p w14:paraId="6430368E" w14:textId="77777777" w:rsidR="009F6D8A" w:rsidRDefault="009F6D8A">
            <w:pPr>
              <w:jc w:val="right"/>
              <w:rPr>
                <w:rFonts w:ascii="宋体"/>
              </w:rPr>
            </w:pPr>
          </w:p>
        </w:tc>
      </w:tr>
      <w:tr w:rsidR="009F6D8A" w14:paraId="6430369C" w14:textId="77777777">
        <w:tc>
          <w:tcPr>
            <w:tcW w:w="0" w:type="auto"/>
            <w:gridSpan w:val="3"/>
            <w:shd w:val="clear" w:color="auto" w:fill="FFFFFF"/>
            <w:tcMar>
              <w:top w:w="40" w:type="dxa"/>
              <w:left w:w="20" w:type="dxa"/>
              <w:bottom w:w="40" w:type="dxa"/>
              <w:right w:w="20" w:type="dxa"/>
            </w:tcMar>
            <w:vAlign w:val="bottom"/>
          </w:tcPr>
          <w:p w14:paraId="64303690" w14:textId="77777777" w:rsidR="009F6D8A" w:rsidRDefault="00C50974">
            <w:pPr>
              <w:textAlignment w:val="bottom"/>
            </w:pPr>
            <w:r>
              <w:rPr>
                <w:rFonts w:ascii="Arial" w:eastAsia="宋体" w:hAnsi="Arial" w:cs="Arial"/>
                <w:color w:val="000000"/>
                <w:sz w:val="18"/>
                <w:szCs w:val="18"/>
              </w:rPr>
              <w:t>Interest and other, net</w:t>
            </w:r>
          </w:p>
        </w:tc>
        <w:tc>
          <w:tcPr>
            <w:tcW w:w="0" w:type="auto"/>
            <w:gridSpan w:val="2"/>
            <w:shd w:val="clear" w:color="auto" w:fill="FFFFFF"/>
            <w:tcMar>
              <w:top w:w="40" w:type="dxa"/>
              <w:left w:w="20" w:type="dxa"/>
              <w:bottom w:w="40" w:type="dxa"/>
              <w:right w:w="0" w:type="dxa"/>
            </w:tcMar>
            <w:vAlign w:val="bottom"/>
          </w:tcPr>
          <w:p w14:paraId="64303691" w14:textId="77777777" w:rsidR="009F6D8A" w:rsidRDefault="00C50974">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6430369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93"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694"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430369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9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697"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69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9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69A" w14:textId="77777777" w:rsidR="009F6D8A" w:rsidRDefault="00C50974">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6430369B" w14:textId="77777777" w:rsidR="009F6D8A" w:rsidRDefault="009F6D8A">
            <w:pPr>
              <w:jc w:val="right"/>
              <w:rPr>
                <w:rFonts w:ascii="宋体"/>
              </w:rPr>
            </w:pPr>
          </w:p>
        </w:tc>
      </w:tr>
      <w:tr w:rsidR="009F6D8A" w14:paraId="643036A9" w14:textId="77777777">
        <w:tc>
          <w:tcPr>
            <w:tcW w:w="0" w:type="auto"/>
            <w:gridSpan w:val="3"/>
            <w:shd w:val="clear" w:color="auto" w:fill="E1E1E1"/>
            <w:tcMar>
              <w:top w:w="40" w:type="dxa"/>
              <w:left w:w="20" w:type="dxa"/>
              <w:bottom w:w="40" w:type="dxa"/>
              <w:right w:w="20" w:type="dxa"/>
            </w:tcMar>
            <w:vAlign w:val="bottom"/>
          </w:tcPr>
          <w:p w14:paraId="6430369D" w14:textId="77777777" w:rsidR="009F6D8A" w:rsidRDefault="00C50974">
            <w:pPr>
              <w:textAlignment w:val="bottom"/>
            </w:pPr>
            <w:r>
              <w:rPr>
                <w:rFonts w:ascii="Arial" w:eastAsia="宋体" w:hAnsi="Arial" w:cs="Arial"/>
                <w:color w:val="000000"/>
                <w:sz w:val="18"/>
                <w:szCs w:val="18"/>
              </w:rPr>
              <w:t>Pre-tax gain (loss) on sale</w:t>
            </w:r>
          </w:p>
        </w:tc>
        <w:tc>
          <w:tcPr>
            <w:tcW w:w="0" w:type="auto"/>
            <w:gridSpan w:val="2"/>
            <w:shd w:val="clear" w:color="auto" w:fill="E1E1E1"/>
            <w:tcMar>
              <w:top w:w="40" w:type="dxa"/>
              <w:left w:w="20" w:type="dxa"/>
              <w:bottom w:w="40" w:type="dxa"/>
              <w:right w:w="0" w:type="dxa"/>
            </w:tcMar>
            <w:vAlign w:val="bottom"/>
          </w:tcPr>
          <w:p w14:paraId="6430369E" w14:textId="77777777" w:rsidR="009F6D8A" w:rsidRDefault="00C50974">
            <w:pPr>
              <w:jc w:val="right"/>
              <w:textAlignment w:val="bottom"/>
            </w:pPr>
            <w:r>
              <w:rPr>
                <w:rFonts w:ascii="Arial" w:eastAsia="宋体" w:hAnsi="Arial" w:cs="Arial"/>
                <w:color w:val="000000"/>
                <w:sz w:val="18"/>
                <w:szCs w:val="18"/>
              </w:rPr>
              <w:t>12,524 </w:t>
            </w:r>
          </w:p>
        </w:tc>
        <w:tc>
          <w:tcPr>
            <w:tcW w:w="0" w:type="auto"/>
            <w:shd w:val="clear" w:color="auto" w:fill="E1E1E1"/>
            <w:tcMar>
              <w:top w:w="40" w:type="dxa"/>
              <w:left w:w="0" w:type="dxa"/>
              <w:bottom w:w="40" w:type="dxa"/>
              <w:right w:w="20" w:type="dxa"/>
            </w:tcMar>
            <w:vAlign w:val="bottom"/>
          </w:tcPr>
          <w:p w14:paraId="6430369F"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A0"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6A1"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6A2"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A3"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6A4" w14:textId="77777777" w:rsidR="009F6D8A" w:rsidRDefault="00C50974">
            <w:pPr>
              <w:jc w:val="right"/>
              <w:textAlignment w:val="bottom"/>
            </w:pPr>
            <w:r>
              <w:rPr>
                <w:rFonts w:ascii="Arial" w:eastAsia="宋体" w:hAnsi="Arial" w:cs="Arial"/>
                <w:color w:val="000000"/>
                <w:sz w:val="18"/>
                <w:szCs w:val="18"/>
              </w:rPr>
              <w:t>12,524 </w:t>
            </w:r>
          </w:p>
        </w:tc>
        <w:tc>
          <w:tcPr>
            <w:tcW w:w="0" w:type="auto"/>
            <w:shd w:val="clear" w:color="auto" w:fill="E1E1E1"/>
            <w:tcMar>
              <w:top w:w="40" w:type="dxa"/>
              <w:left w:w="0" w:type="dxa"/>
              <w:bottom w:w="40" w:type="dxa"/>
              <w:right w:w="20" w:type="dxa"/>
            </w:tcMar>
            <w:vAlign w:val="bottom"/>
          </w:tcPr>
          <w:p w14:paraId="643036A5"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A6"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6A7"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6A8" w14:textId="77777777" w:rsidR="009F6D8A" w:rsidRDefault="009F6D8A">
            <w:pPr>
              <w:jc w:val="right"/>
              <w:rPr>
                <w:rFonts w:ascii="宋体"/>
              </w:rPr>
            </w:pPr>
          </w:p>
        </w:tc>
      </w:tr>
      <w:tr w:rsidR="009F6D8A" w14:paraId="643036B6" w14:textId="77777777">
        <w:tc>
          <w:tcPr>
            <w:tcW w:w="0" w:type="auto"/>
            <w:gridSpan w:val="3"/>
            <w:shd w:val="clear" w:color="auto" w:fill="FFFFFF"/>
            <w:tcMar>
              <w:top w:w="40" w:type="dxa"/>
              <w:left w:w="20" w:type="dxa"/>
              <w:bottom w:w="40" w:type="dxa"/>
              <w:right w:w="20" w:type="dxa"/>
            </w:tcMar>
            <w:vAlign w:val="bottom"/>
          </w:tcPr>
          <w:p w14:paraId="643036AA" w14:textId="77777777" w:rsidR="009F6D8A" w:rsidRDefault="00C50974">
            <w:pPr>
              <w:textAlignment w:val="bottom"/>
            </w:pPr>
            <w:r>
              <w:rPr>
                <w:rFonts w:ascii="Arial" w:eastAsia="宋体" w:hAnsi="Arial" w:cs="Arial"/>
                <w:color w:val="000000"/>
                <w:sz w:val="18"/>
                <w:szCs w:val="18"/>
              </w:rPr>
              <w:t>Income from discontinued operations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6AB" w14:textId="77777777" w:rsidR="009F6D8A" w:rsidRDefault="00C50974">
            <w:pPr>
              <w:jc w:val="right"/>
              <w:textAlignment w:val="bottom"/>
            </w:pPr>
            <w:r>
              <w:rPr>
                <w:rFonts w:ascii="Arial" w:eastAsia="宋体" w:hAnsi="Arial" w:cs="Arial"/>
                <w:color w:val="000000"/>
                <w:sz w:val="18"/>
                <w:szCs w:val="18"/>
              </w:rPr>
              <w:t>12,581 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6A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AD"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6AE" w14:textId="77777777" w:rsidR="009F6D8A" w:rsidRDefault="00C50974">
            <w:pPr>
              <w:jc w:val="right"/>
              <w:textAlignment w:val="bottom"/>
            </w:pPr>
            <w:r>
              <w:rPr>
                <w:rFonts w:ascii="Arial" w:eastAsia="宋体" w:hAnsi="Arial" w:cs="Arial"/>
                <w:color w:val="000000"/>
                <w:sz w:val="18"/>
                <w:szCs w:val="18"/>
              </w:rPr>
              <w:t>32 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6A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B0"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6B1" w14:textId="77777777" w:rsidR="009F6D8A" w:rsidRDefault="00C50974">
            <w:pPr>
              <w:jc w:val="right"/>
              <w:textAlignment w:val="bottom"/>
            </w:pPr>
            <w:r>
              <w:rPr>
                <w:rFonts w:ascii="Arial" w:eastAsia="宋体" w:hAnsi="Arial" w:cs="Arial"/>
                <w:color w:val="000000"/>
                <w:sz w:val="18"/>
                <w:szCs w:val="18"/>
              </w:rPr>
              <w:t>12,669 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6B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B3"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6B4" w14:textId="77777777" w:rsidR="009F6D8A" w:rsidRDefault="00C50974">
            <w:pPr>
              <w:jc w:val="right"/>
              <w:textAlignment w:val="bottom"/>
            </w:pPr>
            <w:r>
              <w:rPr>
                <w:rFonts w:ascii="Arial" w:eastAsia="宋体" w:hAnsi="Arial" w:cs="Arial"/>
                <w:color w:val="000000"/>
                <w:sz w:val="18"/>
                <w:szCs w:val="18"/>
              </w:rPr>
              <w:t>97 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6B5" w14:textId="77777777" w:rsidR="009F6D8A" w:rsidRDefault="009F6D8A">
            <w:pPr>
              <w:jc w:val="right"/>
              <w:rPr>
                <w:rFonts w:ascii="宋体"/>
              </w:rPr>
            </w:pPr>
          </w:p>
        </w:tc>
      </w:tr>
      <w:tr w:rsidR="009F6D8A" w14:paraId="643036C3" w14:textId="77777777">
        <w:tc>
          <w:tcPr>
            <w:tcW w:w="0" w:type="auto"/>
            <w:gridSpan w:val="3"/>
            <w:shd w:val="clear" w:color="auto" w:fill="E1E1E1"/>
            <w:tcMar>
              <w:top w:w="40" w:type="dxa"/>
              <w:left w:w="20" w:type="dxa"/>
              <w:bottom w:w="40" w:type="dxa"/>
              <w:right w:w="20" w:type="dxa"/>
            </w:tcMar>
            <w:vAlign w:val="bottom"/>
          </w:tcPr>
          <w:p w14:paraId="643036B7" w14:textId="77777777" w:rsidR="009F6D8A" w:rsidRDefault="00C50974">
            <w:pPr>
              <w:textAlignment w:val="bottom"/>
            </w:pPr>
            <w:r>
              <w:rPr>
                <w:rFonts w:ascii="Arial" w:eastAsia="宋体" w:hAnsi="Arial" w:cs="Arial"/>
                <w:color w:val="000000"/>
                <w:sz w:val="18"/>
                <w:szCs w:val="18"/>
              </w:rPr>
              <w:t>Income tax provision</w:t>
            </w:r>
          </w:p>
        </w:tc>
        <w:tc>
          <w:tcPr>
            <w:tcW w:w="0" w:type="auto"/>
            <w:gridSpan w:val="2"/>
            <w:shd w:val="clear" w:color="auto" w:fill="E1E1E1"/>
            <w:tcMar>
              <w:top w:w="40" w:type="dxa"/>
              <w:left w:w="20" w:type="dxa"/>
              <w:bottom w:w="40" w:type="dxa"/>
              <w:right w:w="0" w:type="dxa"/>
            </w:tcMar>
            <w:vAlign w:val="bottom"/>
          </w:tcPr>
          <w:p w14:paraId="643036B8" w14:textId="77777777" w:rsidR="009F6D8A" w:rsidRDefault="00C50974">
            <w:pPr>
              <w:jc w:val="right"/>
              <w:textAlignment w:val="bottom"/>
            </w:pPr>
            <w:r>
              <w:rPr>
                <w:rFonts w:ascii="Arial" w:eastAsia="宋体" w:hAnsi="Arial" w:cs="Arial"/>
                <w:color w:val="000000"/>
                <w:sz w:val="18"/>
                <w:szCs w:val="18"/>
              </w:rPr>
              <w:t>(2,153)</w:t>
            </w:r>
          </w:p>
        </w:tc>
        <w:tc>
          <w:tcPr>
            <w:tcW w:w="0" w:type="auto"/>
            <w:shd w:val="clear" w:color="auto" w:fill="E1E1E1"/>
            <w:tcMar>
              <w:top w:w="40" w:type="dxa"/>
              <w:left w:w="0" w:type="dxa"/>
              <w:bottom w:w="40" w:type="dxa"/>
              <w:right w:w="20" w:type="dxa"/>
            </w:tcMar>
            <w:vAlign w:val="bottom"/>
          </w:tcPr>
          <w:p w14:paraId="643036B9"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BA"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6BB" w14:textId="77777777" w:rsidR="009F6D8A" w:rsidRDefault="00C50974">
            <w:pPr>
              <w:jc w:val="right"/>
              <w:textAlignment w:val="bottom"/>
            </w:pPr>
            <w:r>
              <w:rPr>
                <w:rFonts w:ascii="Arial" w:eastAsia="宋体" w:hAnsi="Arial" w:cs="Arial"/>
                <w:color w:val="000000"/>
                <w:sz w:val="18"/>
                <w:szCs w:val="18"/>
              </w:rPr>
              <w:t>(1)</w:t>
            </w:r>
          </w:p>
        </w:tc>
        <w:tc>
          <w:tcPr>
            <w:tcW w:w="0" w:type="auto"/>
            <w:shd w:val="clear" w:color="auto" w:fill="E1E1E1"/>
            <w:tcMar>
              <w:top w:w="40" w:type="dxa"/>
              <w:left w:w="0" w:type="dxa"/>
              <w:bottom w:w="40" w:type="dxa"/>
              <w:right w:w="20" w:type="dxa"/>
            </w:tcMar>
            <w:vAlign w:val="bottom"/>
          </w:tcPr>
          <w:p w14:paraId="643036BC"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BD"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6BE" w14:textId="77777777" w:rsidR="009F6D8A" w:rsidRDefault="00C50974">
            <w:pPr>
              <w:jc w:val="right"/>
              <w:textAlignment w:val="bottom"/>
            </w:pPr>
            <w:r>
              <w:rPr>
                <w:rFonts w:ascii="Arial" w:eastAsia="宋体" w:hAnsi="Arial" w:cs="Arial"/>
                <w:color w:val="000000"/>
                <w:sz w:val="18"/>
                <w:szCs w:val="18"/>
              </w:rPr>
              <w:t>(2,169)</w:t>
            </w:r>
          </w:p>
        </w:tc>
        <w:tc>
          <w:tcPr>
            <w:tcW w:w="0" w:type="auto"/>
            <w:shd w:val="clear" w:color="auto" w:fill="E1E1E1"/>
            <w:tcMar>
              <w:top w:w="40" w:type="dxa"/>
              <w:left w:w="0" w:type="dxa"/>
              <w:bottom w:w="40" w:type="dxa"/>
              <w:right w:w="20" w:type="dxa"/>
            </w:tcMar>
            <w:vAlign w:val="bottom"/>
          </w:tcPr>
          <w:p w14:paraId="643036BF"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6C0"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6C1" w14:textId="77777777" w:rsidR="009F6D8A" w:rsidRDefault="00C50974">
            <w:pPr>
              <w:jc w:val="right"/>
              <w:textAlignment w:val="bottom"/>
            </w:pPr>
            <w:r>
              <w:rPr>
                <w:rFonts w:ascii="Arial" w:eastAsia="宋体" w:hAnsi="Arial" w:cs="Arial"/>
                <w:color w:val="000000"/>
                <w:sz w:val="18"/>
                <w:szCs w:val="18"/>
              </w:rPr>
              <w:t>(12)</w:t>
            </w:r>
          </w:p>
        </w:tc>
        <w:tc>
          <w:tcPr>
            <w:tcW w:w="0" w:type="auto"/>
            <w:shd w:val="clear" w:color="auto" w:fill="E1E1E1"/>
            <w:tcMar>
              <w:top w:w="40" w:type="dxa"/>
              <w:left w:w="0" w:type="dxa"/>
              <w:bottom w:w="40" w:type="dxa"/>
              <w:right w:w="20" w:type="dxa"/>
            </w:tcMar>
            <w:vAlign w:val="bottom"/>
          </w:tcPr>
          <w:p w14:paraId="643036C2" w14:textId="77777777" w:rsidR="009F6D8A" w:rsidRDefault="009F6D8A">
            <w:pPr>
              <w:jc w:val="right"/>
              <w:rPr>
                <w:rFonts w:ascii="宋体"/>
              </w:rPr>
            </w:pPr>
          </w:p>
        </w:tc>
      </w:tr>
      <w:tr w:rsidR="009F6D8A" w14:paraId="643036D4" w14:textId="77777777">
        <w:tc>
          <w:tcPr>
            <w:tcW w:w="0" w:type="auto"/>
            <w:gridSpan w:val="3"/>
            <w:shd w:val="clear" w:color="auto" w:fill="FFFFFF"/>
            <w:tcMar>
              <w:top w:w="40" w:type="dxa"/>
              <w:left w:w="20" w:type="dxa"/>
              <w:bottom w:w="40" w:type="dxa"/>
              <w:right w:w="20" w:type="dxa"/>
            </w:tcMar>
            <w:vAlign w:val="bottom"/>
          </w:tcPr>
          <w:p w14:paraId="643036C4" w14:textId="77777777" w:rsidR="009F6D8A" w:rsidRDefault="00C50974">
            <w:pPr>
              <w:textAlignment w:val="bottom"/>
            </w:pPr>
            <w:r>
              <w:rPr>
                <w:rFonts w:ascii="Arial" w:eastAsia="宋体" w:hAnsi="Arial" w:cs="Arial"/>
                <w:color w:val="000000"/>
                <w:sz w:val="18"/>
                <w:szCs w:val="18"/>
              </w:rPr>
              <w:t>Income from discontinued operations, net of income taxes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36C5"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36C6" w14:textId="77777777" w:rsidR="009F6D8A" w:rsidRDefault="00C50974">
            <w:pPr>
              <w:jc w:val="right"/>
              <w:textAlignment w:val="bottom"/>
            </w:pPr>
            <w:r>
              <w:rPr>
                <w:rFonts w:ascii="Arial" w:eastAsia="宋体" w:hAnsi="Arial" w:cs="Arial"/>
                <w:color w:val="000000"/>
                <w:sz w:val="18"/>
                <w:szCs w:val="18"/>
              </w:rPr>
              <w:t>10,428 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36C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C8"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36C9"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36CA" w14:textId="77777777" w:rsidR="009F6D8A" w:rsidRDefault="00C50974">
            <w:pPr>
              <w:jc w:val="right"/>
              <w:textAlignment w:val="bottom"/>
            </w:pPr>
            <w:r>
              <w:rPr>
                <w:rFonts w:ascii="Arial" w:eastAsia="宋体" w:hAnsi="Arial" w:cs="Arial"/>
                <w:color w:val="000000"/>
                <w:sz w:val="18"/>
                <w:szCs w:val="18"/>
              </w:rPr>
              <w:t>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36C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CC"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36CD"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36CE" w14:textId="77777777" w:rsidR="009F6D8A" w:rsidRDefault="00C50974">
            <w:pPr>
              <w:jc w:val="right"/>
              <w:textAlignment w:val="bottom"/>
            </w:pPr>
            <w:r>
              <w:rPr>
                <w:rFonts w:ascii="Arial" w:eastAsia="宋体" w:hAnsi="Arial" w:cs="Arial"/>
                <w:color w:val="000000"/>
                <w:sz w:val="18"/>
                <w:szCs w:val="18"/>
              </w:rPr>
              <w:t>10,500 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36C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6D0"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36D1"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36D2" w14:textId="77777777" w:rsidR="009F6D8A" w:rsidRDefault="00C50974">
            <w:pPr>
              <w:jc w:val="right"/>
              <w:textAlignment w:val="bottom"/>
            </w:pPr>
            <w:r>
              <w:rPr>
                <w:rFonts w:ascii="Arial" w:eastAsia="宋体" w:hAnsi="Arial" w:cs="Arial"/>
                <w:color w:val="000000"/>
                <w:sz w:val="18"/>
                <w:szCs w:val="18"/>
              </w:rPr>
              <w:t>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36D3" w14:textId="77777777" w:rsidR="009F6D8A" w:rsidRDefault="009F6D8A">
            <w:pPr>
              <w:jc w:val="right"/>
              <w:rPr>
                <w:rFonts w:ascii="宋体"/>
              </w:rPr>
            </w:pPr>
          </w:p>
        </w:tc>
      </w:tr>
    </w:tbl>
    <w:p w14:paraId="643036D5" w14:textId="77777777" w:rsidR="009F6D8A" w:rsidRDefault="00C50974">
      <w:pPr>
        <w:spacing w:after="120"/>
        <w:ind w:hanging="180"/>
      </w:pPr>
      <w:r>
        <w:rPr>
          <w:rFonts w:ascii="Arial" w:eastAsia="宋体" w:hAnsi="Arial" w:cs="Arial"/>
          <w:color w:val="000000"/>
          <w:sz w:val="13"/>
          <w:szCs w:val="13"/>
        </w:rPr>
        <w:t>(1)</w:t>
      </w:r>
      <w:r>
        <w:rPr>
          <w:rFonts w:ascii="Arial" w:eastAsia="宋体" w:hAnsi="Arial" w:cs="Arial"/>
          <w:color w:val="000000"/>
          <w:sz w:val="9"/>
          <w:szCs w:val="9"/>
        </w:rPr>
        <w:t xml:space="preserve"> </w:t>
      </w:r>
      <w:r>
        <w:rPr>
          <w:rFonts w:ascii="Arial" w:eastAsia="宋体" w:hAnsi="Arial" w:cs="Arial"/>
          <w:color w:val="000000"/>
          <w:sz w:val="16"/>
          <w:szCs w:val="16"/>
        </w:rPr>
        <w:t>Includes Classifieds financial results through the transaction close on June 24, 2021 and includes the gain</w:t>
      </w:r>
      <w:r>
        <w:rPr>
          <w:rFonts w:ascii="Arial" w:eastAsia="宋体" w:hAnsi="Arial" w:cs="Arial"/>
          <w:color w:val="000000"/>
          <w:sz w:val="16"/>
          <w:szCs w:val="16"/>
        </w:rPr>
        <w:t xml:space="preserve"> on sale recorded for the Classifieds transaction.</w:t>
      </w:r>
    </w:p>
    <w:p w14:paraId="643036D6" w14:textId="77777777" w:rsidR="009F6D8A" w:rsidRDefault="00C50974">
      <w:pPr>
        <w:spacing w:after="60"/>
        <w:ind w:firstLine="540"/>
        <w:jc w:val="both"/>
      </w:pPr>
      <w:r>
        <w:rPr>
          <w:rFonts w:ascii="Arial" w:eastAsia="宋体" w:hAnsi="Arial" w:cs="Arial"/>
          <w:color w:val="000000"/>
          <w:sz w:val="20"/>
          <w:szCs w:val="20"/>
        </w:rPr>
        <w:t>The financial results of eBay Korea are presented as income from discontinued operations, net of income taxes on our condensed consolidated statement of income. The following table presents the financial r</w:t>
      </w:r>
      <w:r>
        <w:rPr>
          <w:rFonts w:ascii="Arial" w:eastAsia="宋体" w:hAnsi="Arial" w:cs="Arial"/>
          <w:color w:val="000000"/>
          <w:sz w:val="20"/>
          <w:szCs w:val="20"/>
        </w:rPr>
        <w:t>esults of eBay Korea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4447"/>
        <w:gridCol w:w="39"/>
        <w:gridCol w:w="121"/>
        <w:gridCol w:w="746"/>
        <w:gridCol w:w="36"/>
        <w:gridCol w:w="36"/>
        <w:gridCol w:w="36"/>
        <w:gridCol w:w="36"/>
        <w:gridCol w:w="121"/>
        <w:gridCol w:w="704"/>
        <w:gridCol w:w="36"/>
        <w:gridCol w:w="36"/>
        <w:gridCol w:w="36"/>
        <w:gridCol w:w="36"/>
        <w:gridCol w:w="121"/>
        <w:gridCol w:w="704"/>
        <w:gridCol w:w="36"/>
        <w:gridCol w:w="36"/>
        <w:gridCol w:w="36"/>
        <w:gridCol w:w="36"/>
        <w:gridCol w:w="121"/>
        <w:gridCol w:w="704"/>
        <w:gridCol w:w="36"/>
      </w:tblGrid>
      <w:tr w:rsidR="009F6D8A" w14:paraId="643036EF" w14:textId="77777777">
        <w:tc>
          <w:tcPr>
            <w:tcW w:w="50" w:type="pct"/>
            <w:shd w:val="clear" w:color="auto" w:fill="auto"/>
            <w:vAlign w:val="bottom"/>
          </w:tcPr>
          <w:p w14:paraId="643036D7" w14:textId="77777777" w:rsidR="009F6D8A" w:rsidRDefault="009F6D8A">
            <w:pPr>
              <w:rPr>
                <w:rFonts w:ascii="宋体"/>
              </w:rPr>
            </w:pPr>
          </w:p>
        </w:tc>
        <w:tc>
          <w:tcPr>
            <w:tcW w:w="2700" w:type="pct"/>
            <w:shd w:val="clear" w:color="auto" w:fill="auto"/>
            <w:vAlign w:val="bottom"/>
          </w:tcPr>
          <w:p w14:paraId="643036D8" w14:textId="77777777" w:rsidR="009F6D8A" w:rsidRDefault="009F6D8A">
            <w:pPr>
              <w:rPr>
                <w:rFonts w:ascii="宋体"/>
              </w:rPr>
            </w:pPr>
          </w:p>
        </w:tc>
        <w:tc>
          <w:tcPr>
            <w:tcW w:w="5" w:type="pct"/>
            <w:shd w:val="clear" w:color="auto" w:fill="auto"/>
            <w:vAlign w:val="bottom"/>
          </w:tcPr>
          <w:p w14:paraId="643036D9" w14:textId="77777777" w:rsidR="009F6D8A" w:rsidRDefault="009F6D8A">
            <w:pPr>
              <w:rPr>
                <w:rFonts w:ascii="宋体"/>
              </w:rPr>
            </w:pPr>
          </w:p>
        </w:tc>
        <w:tc>
          <w:tcPr>
            <w:tcW w:w="50" w:type="pct"/>
            <w:shd w:val="clear" w:color="auto" w:fill="auto"/>
            <w:vAlign w:val="bottom"/>
          </w:tcPr>
          <w:p w14:paraId="643036DA" w14:textId="77777777" w:rsidR="009F6D8A" w:rsidRDefault="009F6D8A">
            <w:pPr>
              <w:rPr>
                <w:rFonts w:ascii="宋体"/>
              </w:rPr>
            </w:pPr>
          </w:p>
        </w:tc>
        <w:tc>
          <w:tcPr>
            <w:tcW w:w="478" w:type="pct"/>
            <w:shd w:val="clear" w:color="auto" w:fill="auto"/>
            <w:vAlign w:val="bottom"/>
          </w:tcPr>
          <w:p w14:paraId="643036DB" w14:textId="77777777" w:rsidR="009F6D8A" w:rsidRDefault="009F6D8A">
            <w:pPr>
              <w:rPr>
                <w:rFonts w:ascii="宋体"/>
              </w:rPr>
            </w:pPr>
          </w:p>
        </w:tc>
        <w:tc>
          <w:tcPr>
            <w:tcW w:w="5" w:type="pct"/>
            <w:shd w:val="clear" w:color="auto" w:fill="auto"/>
            <w:vAlign w:val="bottom"/>
          </w:tcPr>
          <w:p w14:paraId="643036DC" w14:textId="77777777" w:rsidR="009F6D8A" w:rsidRDefault="009F6D8A">
            <w:pPr>
              <w:rPr>
                <w:rFonts w:ascii="宋体"/>
              </w:rPr>
            </w:pPr>
          </w:p>
        </w:tc>
        <w:tc>
          <w:tcPr>
            <w:tcW w:w="5" w:type="pct"/>
            <w:shd w:val="clear" w:color="auto" w:fill="auto"/>
            <w:vAlign w:val="bottom"/>
          </w:tcPr>
          <w:p w14:paraId="643036DD" w14:textId="77777777" w:rsidR="009F6D8A" w:rsidRDefault="009F6D8A">
            <w:pPr>
              <w:rPr>
                <w:rFonts w:ascii="宋体"/>
              </w:rPr>
            </w:pPr>
          </w:p>
        </w:tc>
        <w:tc>
          <w:tcPr>
            <w:tcW w:w="26" w:type="pct"/>
            <w:shd w:val="clear" w:color="auto" w:fill="auto"/>
            <w:vAlign w:val="bottom"/>
          </w:tcPr>
          <w:p w14:paraId="643036DE" w14:textId="77777777" w:rsidR="009F6D8A" w:rsidRDefault="009F6D8A">
            <w:pPr>
              <w:rPr>
                <w:rFonts w:ascii="宋体"/>
              </w:rPr>
            </w:pPr>
          </w:p>
        </w:tc>
        <w:tc>
          <w:tcPr>
            <w:tcW w:w="5" w:type="pct"/>
            <w:shd w:val="clear" w:color="auto" w:fill="auto"/>
            <w:vAlign w:val="bottom"/>
          </w:tcPr>
          <w:p w14:paraId="643036DF" w14:textId="77777777" w:rsidR="009F6D8A" w:rsidRDefault="009F6D8A">
            <w:pPr>
              <w:rPr>
                <w:rFonts w:ascii="宋体"/>
              </w:rPr>
            </w:pPr>
          </w:p>
        </w:tc>
        <w:tc>
          <w:tcPr>
            <w:tcW w:w="50" w:type="pct"/>
            <w:shd w:val="clear" w:color="auto" w:fill="auto"/>
            <w:vAlign w:val="bottom"/>
          </w:tcPr>
          <w:p w14:paraId="643036E0" w14:textId="77777777" w:rsidR="009F6D8A" w:rsidRDefault="009F6D8A">
            <w:pPr>
              <w:rPr>
                <w:rFonts w:ascii="宋体"/>
              </w:rPr>
            </w:pPr>
          </w:p>
        </w:tc>
        <w:tc>
          <w:tcPr>
            <w:tcW w:w="478" w:type="pct"/>
            <w:shd w:val="clear" w:color="auto" w:fill="auto"/>
            <w:vAlign w:val="bottom"/>
          </w:tcPr>
          <w:p w14:paraId="643036E1" w14:textId="77777777" w:rsidR="009F6D8A" w:rsidRDefault="009F6D8A">
            <w:pPr>
              <w:rPr>
                <w:rFonts w:ascii="宋体"/>
              </w:rPr>
            </w:pPr>
          </w:p>
        </w:tc>
        <w:tc>
          <w:tcPr>
            <w:tcW w:w="5" w:type="pct"/>
            <w:shd w:val="clear" w:color="auto" w:fill="auto"/>
            <w:vAlign w:val="bottom"/>
          </w:tcPr>
          <w:p w14:paraId="643036E2" w14:textId="77777777" w:rsidR="009F6D8A" w:rsidRDefault="009F6D8A">
            <w:pPr>
              <w:rPr>
                <w:rFonts w:ascii="宋体"/>
              </w:rPr>
            </w:pPr>
          </w:p>
        </w:tc>
        <w:tc>
          <w:tcPr>
            <w:tcW w:w="5" w:type="pct"/>
            <w:shd w:val="clear" w:color="auto" w:fill="auto"/>
            <w:vAlign w:val="bottom"/>
          </w:tcPr>
          <w:p w14:paraId="643036E3" w14:textId="77777777" w:rsidR="009F6D8A" w:rsidRDefault="009F6D8A">
            <w:pPr>
              <w:rPr>
                <w:rFonts w:ascii="宋体"/>
              </w:rPr>
            </w:pPr>
          </w:p>
        </w:tc>
        <w:tc>
          <w:tcPr>
            <w:tcW w:w="26" w:type="pct"/>
            <w:shd w:val="clear" w:color="auto" w:fill="auto"/>
            <w:vAlign w:val="bottom"/>
          </w:tcPr>
          <w:p w14:paraId="643036E4" w14:textId="77777777" w:rsidR="009F6D8A" w:rsidRDefault="009F6D8A">
            <w:pPr>
              <w:rPr>
                <w:rFonts w:ascii="宋体"/>
              </w:rPr>
            </w:pPr>
          </w:p>
        </w:tc>
        <w:tc>
          <w:tcPr>
            <w:tcW w:w="5" w:type="pct"/>
            <w:shd w:val="clear" w:color="auto" w:fill="auto"/>
            <w:vAlign w:val="bottom"/>
          </w:tcPr>
          <w:p w14:paraId="643036E5" w14:textId="77777777" w:rsidR="009F6D8A" w:rsidRDefault="009F6D8A">
            <w:pPr>
              <w:rPr>
                <w:rFonts w:ascii="宋体"/>
              </w:rPr>
            </w:pPr>
          </w:p>
        </w:tc>
        <w:tc>
          <w:tcPr>
            <w:tcW w:w="50" w:type="pct"/>
            <w:shd w:val="clear" w:color="auto" w:fill="auto"/>
            <w:vAlign w:val="bottom"/>
          </w:tcPr>
          <w:p w14:paraId="643036E6" w14:textId="77777777" w:rsidR="009F6D8A" w:rsidRDefault="009F6D8A">
            <w:pPr>
              <w:rPr>
                <w:rFonts w:ascii="宋体"/>
              </w:rPr>
            </w:pPr>
          </w:p>
        </w:tc>
        <w:tc>
          <w:tcPr>
            <w:tcW w:w="478" w:type="pct"/>
            <w:shd w:val="clear" w:color="auto" w:fill="auto"/>
            <w:vAlign w:val="bottom"/>
          </w:tcPr>
          <w:p w14:paraId="643036E7" w14:textId="77777777" w:rsidR="009F6D8A" w:rsidRDefault="009F6D8A">
            <w:pPr>
              <w:rPr>
                <w:rFonts w:ascii="宋体"/>
              </w:rPr>
            </w:pPr>
          </w:p>
        </w:tc>
        <w:tc>
          <w:tcPr>
            <w:tcW w:w="5" w:type="pct"/>
            <w:shd w:val="clear" w:color="auto" w:fill="auto"/>
            <w:vAlign w:val="bottom"/>
          </w:tcPr>
          <w:p w14:paraId="643036E8" w14:textId="77777777" w:rsidR="009F6D8A" w:rsidRDefault="009F6D8A">
            <w:pPr>
              <w:rPr>
                <w:rFonts w:ascii="宋体"/>
              </w:rPr>
            </w:pPr>
          </w:p>
        </w:tc>
        <w:tc>
          <w:tcPr>
            <w:tcW w:w="5" w:type="pct"/>
            <w:shd w:val="clear" w:color="auto" w:fill="auto"/>
            <w:vAlign w:val="bottom"/>
          </w:tcPr>
          <w:p w14:paraId="643036E9" w14:textId="77777777" w:rsidR="009F6D8A" w:rsidRDefault="009F6D8A">
            <w:pPr>
              <w:rPr>
                <w:rFonts w:ascii="宋体"/>
              </w:rPr>
            </w:pPr>
          </w:p>
        </w:tc>
        <w:tc>
          <w:tcPr>
            <w:tcW w:w="26" w:type="pct"/>
            <w:shd w:val="clear" w:color="auto" w:fill="auto"/>
            <w:vAlign w:val="bottom"/>
          </w:tcPr>
          <w:p w14:paraId="643036EA" w14:textId="77777777" w:rsidR="009F6D8A" w:rsidRDefault="009F6D8A">
            <w:pPr>
              <w:rPr>
                <w:rFonts w:ascii="宋体"/>
              </w:rPr>
            </w:pPr>
          </w:p>
        </w:tc>
        <w:tc>
          <w:tcPr>
            <w:tcW w:w="5" w:type="pct"/>
            <w:shd w:val="clear" w:color="auto" w:fill="auto"/>
            <w:vAlign w:val="bottom"/>
          </w:tcPr>
          <w:p w14:paraId="643036EB" w14:textId="77777777" w:rsidR="009F6D8A" w:rsidRDefault="009F6D8A">
            <w:pPr>
              <w:rPr>
                <w:rFonts w:ascii="宋体"/>
              </w:rPr>
            </w:pPr>
          </w:p>
        </w:tc>
        <w:tc>
          <w:tcPr>
            <w:tcW w:w="50" w:type="pct"/>
            <w:shd w:val="clear" w:color="auto" w:fill="auto"/>
            <w:vAlign w:val="bottom"/>
          </w:tcPr>
          <w:p w14:paraId="643036EC" w14:textId="77777777" w:rsidR="009F6D8A" w:rsidRDefault="009F6D8A">
            <w:pPr>
              <w:rPr>
                <w:rFonts w:ascii="宋体"/>
              </w:rPr>
            </w:pPr>
          </w:p>
        </w:tc>
        <w:tc>
          <w:tcPr>
            <w:tcW w:w="478" w:type="pct"/>
            <w:shd w:val="clear" w:color="auto" w:fill="auto"/>
            <w:vAlign w:val="bottom"/>
          </w:tcPr>
          <w:p w14:paraId="643036ED" w14:textId="77777777" w:rsidR="009F6D8A" w:rsidRDefault="009F6D8A">
            <w:pPr>
              <w:rPr>
                <w:rFonts w:ascii="宋体"/>
              </w:rPr>
            </w:pPr>
          </w:p>
        </w:tc>
        <w:tc>
          <w:tcPr>
            <w:tcW w:w="5" w:type="pct"/>
            <w:shd w:val="clear" w:color="auto" w:fill="auto"/>
            <w:vAlign w:val="bottom"/>
          </w:tcPr>
          <w:p w14:paraId="643036EE" w14:textId="77777777" w:rsidR="009F6D8A" w:rsidRDefault="009F6D8A">
            <w:pPr>
              <w:rPr>
                <w:rFonts w:ascii="宋体"/>
              </w:rPr>
            </w:pPr>
          </w:p>
        </w:tc>
      </w:tr>
      <w:tr w:rsidR="009F6D8A" w14:paraId="643036F4" w14:textId="77777777">
        <w:tc>
          <w:tcPr>
            <w:tcW w:w="0" w:type="auto"/>
            <w:gridSpan w:val="3"/>
            <w:shd w:val="clear" w:color="auto" w:fill="auto"/>
            <w:tcMar>
              <w:top w:w="40" w:type="dxa"/>
              <w:left w:w="20" w:type="dxa"/>
              <w:bottom w:w="40" w:type="dxa"/>
              <w:right w:w="20" w:type="dxa"/>
            </w:tcMar>
            <w:vAlign w:val="bottom"/>
          </w:tcPr>
          <w:p w14:paraId="643036F0" w14:textId="77777777" w:rsidR="009F6D8A" w:rsidRDefault="00C50974">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643036F1" w14:textId="77777777" w:rsidR="009F6D8A" w:rsidRDefault="00C50974">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Mar>
              <w:top w:w="0" w:type="dxa"/>
              <w:left w:w="20" w:type="dxa"/>
              <w:bottom w:w="0" w:type="dxa"/>
              <w:right w:w="20" w:type="dxa"/>
            </w:tcMar>
            <w:vAlign w:val="bottom"/>
          </w:tcPr>
          <w:p w14:paraId="643036F2"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36F3" w14:textId="77777777" w:rsidR="009F6D8A" w:rsidRDefault="00C50974">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r>
      <w:tr w:rsidR="009F6D8A" w14:paraId="643036FD" w14:textId="77777777">
        <w:tc>
          <w:tcPr>
            <w:tcW w:w="0" w:type="auto"/>
            <w:gridSpan w:val="3"/>
            <w:shd w:val="clear" w:color="auto" w:fill="auto"/>
            <w:tcMar>
              <w:top w:w="40" w:type="dxa"/>
              <w:left w:w="20" w:type="dxa"/>
              <w:bottom w:w="40" w:type="dxa"/>
              <w:right w:w="20" w:type="dxa"/>
            </w:tcMar>
            <w:vAlign w:val="bottom"/>
          </w:tcPr>
          <w:p w14:paraId="643036F5" w14:textId="77777777" w:rsidR="009F6D8A" w:rsidRDefault="00C50974">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6F6"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6F7"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6F8" w14:textId="77777777" w:rsidR="009F6D8A" w:rsidRDefault="00C50974">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43036F9"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6FA"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643036FB"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6FC" w14:textId="77777777" w:rsidR="009F6D8A" w:rsidRDefault="00C50974">
            <w:pPr>
              <w:jc w:val="center"/>
              <w:textAlignment w:val="bottom"/>
            </w:pPr>
            <w:r>
              <w:rPr>
                <w:rFonts w:ascii="Arial" w:eastAsia="宋体" w:hAnsi="Arial" w:cs="Arial"/>
                <w:b/>
                <w:bCs/>
                <w:color w:val="000000"/>
                <w:sz w:val="16"/>
                <w:szCs w:val="16"/>
              </w:rPr>
              <w:t>2020</w:t>
            </w:r>
          </w:p>
        </w:tc>
      </w:tr>
      <w:tr w:rsidR="009F6D8A" w14:paraId="6430370E" w14:textId="77777777">
        <w:tc>
          <w:tcPr>
            <w:tcW w:w="0" w:type="auto"/>
            <w:gridSpan w:val="3"/>
            <w:shd w:val="clear" w:color="auto" w:fill="E1E1E1"/>
            <w:tcMar>
              <w:top w:w="40" w:type="dxa"/>
              <w:left w:w="20" w:type="dxa"/>
              <w:bottom w:w="40" w:type="dxa"/>
              <w:right w:w="20" w:type="dxa"/>
            </w:tcMar>
            <w:vAlign w:val="bottom"/>
          </w:tcPr>
          <w:p w14:paraId="643036FE" w14:textId="77777777" w:rsidR="009F6D8A" w:rsidRDefault="00C50974">
            <w:pPr>
              <w:textAlignment w:val="bottom"/>
            </w:pPr>
            <w:r>
              <w:rPr>
                <w:rFonts w:ascii="Arial" w:eastAsia="宋体" w:hAnsi="Arial" w:cs="Arial"/>
                <w:color w:val="000000"/>
                <w:sz w:val="18"/>
                <w:szCs w:val="18"/>
              </w:rPr>
              <w:t>Net revenues</w:t>
            </w:r>
          </w:p>
        </w:tc>
        <w:tc>
          <w:tcPr>
            <w:tcW w:w="0" w:type="auto"/>
            <w:tcBorders>
              <w:top w:val="single" w:sz="8" w:space="0" w:color="000000"/>
            </w:tcBorders>
            <w:shd w:val="clear" w:color="auto" w:fill="E1E1E1"/>
            <w:tcMar>
              <w:top w:w="40" w:type="dxa"/>
              <w:left w:w="20" w:type="dxa"/>
              <w:bottom w:w="40" w:type="dxa"/>
              <w:right w:w="0" w:type="dxa"/>
            </w:tcMar>
            <w:vAlign w:val="bottom"/>
          </w:tcPr>
          <w:p w14:paraId="643036F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700" w14:textId="77777777" w:rsidR="009F6D8A" w:rsidRDefault="00C50974">
            <w:pPr>
              <w:jc w:val="right"/>
              <w:textAlignment w:val="bottom"/>
            </w:pPr>
            <w:r>
              <w:rPr>
                <w:rFonts w:ascii="Arial" w:eastAsia="宋体" w:hAnsi="Arial" w:cs="Arial"/>
                <w:color w:val="000000"/>
                <w:sz w:val="18"/>
                <w:szCs w:val="18"/>
              </w:rPr>
              <w:t>398 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701"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02"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703"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704" w14:textId="77777777" w:rsidR="009F6D8A" w:rsidRDefault="00C50974">
            <w:pPr>
              <w:jc w:val="right"/>
              <w:textAlignment w:val="bottom"/>
            </w:pPr>
            <w:r>
              <w:rPr>
                <w:rFonts w:ascii="Arial" w:eastAsia="宋体" w:hAnsi="Arial" w:cs="Arial"/>
                <w:color w:val="000000"/>
                <w:sz w:val="18"/>
                <w:szCs w:val="18"/>
              </w:rPr>
              <w:t>331 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705"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06"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707"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708" w14:textId="77777777" w:rsidR="009F6D8A" w:rsidRDefault="00C50974">
            <w:pPr>
              <w:jc w:val="right"/>
              <w:textAlignment w:val="bottom"/>
            </w:pPr>
            <w:r>
              <w:rPr>
                <w:rFonts w:ascii="Arial" w:eastAsia="宋体" w:hAnsi="Arial" w:cs="Arial"/>
                <w:color w:val="000000"/>
                <w:sz w:val="18"/>
                <w:szCs w:val="18"/>
              </w:rPr>
              <w:t>783 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709"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0A"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70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70C" w14:textId="77777777" w:rsidR="009F6D8A" w:rsidRDefault="00C50974">
            <w:pPr>
              <w:jc w:val="right"/>
              <w:textAlignment w:val="bottom"/>
            </w:pPr>
            <w:r>
              <w:rPr>
                <w:rFonts w:ascii="Arial" w:eastAsia="宋体" w:hAnsi="Arial" w:cs="Arial"/>
                <w:color w:val="000000"/>
                <w:sz w:val="18"/>
                <w:szCs w:val="18"/>
              </w:rPr>
              <w:t>639 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70D" w14:textId="77777777" w:rsidR="009F6D8A" w:rsidRDefault="009F6D8A">
            <w:pPr>
              <w:jc w:val="right"/>
              <w:rPr>
                <w:rFonts w:ascii="宋体"/>
              </w:rPr>
            </w:pPr>
          </w:p>
        </w:tc>
      </w:tr>
      <w:tr w:rsidR="009F6D8A" w14:paraId="6430371B" w14:textId="77777777">
        <w:tc>
          <w:tcPr>
            <w:tcW w:w="0" w:type="auto"/>
            <w:gridSpan w:val="3"/>
            <w:shd w:val="clear" w:color="auto" w:fill="FFFFFF"/>
            <w:tcMar>
              <w:top w:w="40" w:type="dxa"/>
              <w:left w:w="20" w:type="dxa"/>
              <w:bottom w:w="40" w:type="dxa"/>
              <w:right w:w="20" w:type="dxa"/>
            </w:tcMar>
            <w:vAlign w:val="bottom"/>
          </w:tcPr>
          <w:p w14:paraId="6430370F" w14:textId="77777777" w:rsidR="009F6D8A" w:rsidRDefault="00C50974">
            <w:pPr>
              <w:textAlignment w:val="bottom"/>
            </w:pPr>
            <w:r>
              <w:rPr>
                <w:rFonts w:ascii="Arial" w:eastAsia="宋体" w:hAnsi="Arial" w:cs="Arial"/>
                <w:color w:val="000000"/>
                <w:sz w:val="18"/>
                <w:szCs w:val="18"/>
              </w:rPr>
              <w:t>Cost of net revenues</w:t>
            </w:r>
          </w:p>
        </w:tc>
        <w:tc>
          <w:tcPr>
            <w:tcW w:w="0" w:type="auto"/>
            <w:gridSpan w:val="2"/>
            <w:shd w:val="clear" w:color="auto" w:fill="FFFFFF"/>
            <w:tcMar>
              <w:top w:w="40" w:type="dxa"/>
              <w:left w:w="20" w:type="dxa"/>
              <w:bottom w:w="40" w:type="dxa"/>
              <w:right w:w="0" w:type="dxa"/>
            </w:tcMar>
            <w:vAlign w:val="bottom"/>
          </w:tcPr>
          <w:p w14:paraId="64303710" w14:textId="77777777" w:rsidR="009F6D8A" w:rsidRDefault="00C50974">
            <w:pPr>
              <w:jc w:val="right"/>
              <w:textAlignment w:val="bottom"/>
            </w:pPr>
            <w:r>
              <w:rPr>
                <w:rFonts w:ascii="Arial" w:eastAsia="宋体" w:hAnsi="Arial" w:cs="Arial"/>
                <w:color w:val="000000"/>
                <w:sz w:val="18"/>
                <w:szCs w:val="18"/>
              </w:rPr>
              <w:t>229 </w:t>
            </w:r>
          </w:p>
        </w:tc>
        <w:tc>
          <w:tcPr>
            <w:tcW w:w="0" w:type="auto"/>
            <w:shd w:val="clear" w:color="auto" w:fill="FFFFFF"/>
            <w:tcMar>
              <w:top w:w="40" w:type="dxa"/>
              <w:left w:w="0" w:type="dxa"/>
              <w:bottom w:w="40" w:type="dxa"/>
              <w:right w:w="20" w:type="dxa"/>
            </w:tcMar>
            <w:vAlign w:val="bottom"/>
          </w:tcPr>
          <w:p w14:paraId="6430371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71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713" w14:textId="77777777" w:rsidR="009F6D8A" w:rsidRDefault="00C50974">
            <w:pPr>
              <w:jc w:val="right"/>
              <w:textAlignment w:val="bottom"/>
            </w:pPr>
            <w:r>
              <w:rPr>
                <w:rFonts w:ascii="Arial" w:eastAsia="宋体" w:hAnsi="Arial" w:cs="Arial"/>
                <w:color w:val="000000"/>
                <w:sz w:val="18"/>
                <w:szCs w:val="18"/>
              </w:rPr>
              <w:t>156 </w:t>
            </w:r>
          </w:p>
        </w:tc>
        <w:tc>
          <w:tcPr>
            <w:tcW w:w="0" w:type="auto"/>
            <w:shd w:val="clear" w:color="auto" w:fill="FFFFFF"/>
            <w:tcMar>
              <w:top w:w="40" w:type="dxa"/>
              <w:left w:w="0" w:type="dxa"/>
              <w:bottom w:w="40" w:type="dxa"/>
              <w:right w:w="20" w:type="dxa"/>
            </w:tcMar>
            <w:vAlign w:val="bottom"/>
          </w:tcPr>
          <w:p w14:paraId="6430371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71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716" w14:textId="77777777" w:rsidR="009F6D8A" w:rsidRDefault="00C50974">
            <w:pPr>
              <w:jc w:val="right"/>
              <w:textAlignment w:val="bottom"/>
            </w:pPr>
            <w:r>
              <w:rPr>
                <w:rFonts w:ascii="Arial" w:eastAsia="宋体" w:hAnsi="Arial" w:cs="Arial"/>
                <w:color w:val="000000"/>
                <w:sz w:val="18"/>
                <w:szCs w:val="18"/>
              </w:rPr>
              <w:t>446 </w:t>
            </w:r>
          </w:p>
        </w:tc>
        <w:tc>
          <w:tcPr>
            <w:tcW w:w="0" w:type="auto"/>
            <w:shd w:val="clear" w:color="auto" w:fill="FFFFFF"/>
            <w:tcMar>
              <w:top w:w="40" w:type="dxa"/>
              <w:left w:w="0" w:type="dxa"/>
              <w:bottom w:w="40" w:type="dxa"/>
              <w:right w:w="20" w:type="dxa"/>
            </w:tcMar>
            <w:vAlign w:val="bottom"/>
          </w:tcPr>
          <w:p w14:paraId="6430371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71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719" w14:textId="77777777" w:rsidR="009F6D8A" w:rsidRDefault="00C50974">
            <w:pPr>
              <w:jc w:val="right"/>
              <w:textAlignment w:val="bottom"/>
            </w:pPr>
            <w:r>
              <w:rPr>
                <w:rFonts w:ascii="Arial" w:eastAsia="宋体" w:hAnsi="Arial" w:cs="Arial"/>
                <w:color w:val="000000"/>
                <w:sz w:val="18"/>
                <w:szCs w:val="18"/>
              </w:rPr>
              <w:t>304 </w:t>
            </w:r>
          </w:p>
        </w:tc>
        <w:tc>
          <w:tcPr>
            <w:tcW w:w="0" w:type="auto"/>
            <w:shd w:val="clear" w:color="auto" w:fill="FFFFFF"/>
            <w:tcMar>
              <w:top w:w="40" w:type="dxa"/>
              <w:left w:w="0" w:type="dxa"/>
              <w:bottom w:w="40" w:type="dxa"/>
              <w:right w:w="20" w:type="dxa"/>
            </w:tcMar>
            <w:vAlign w:val="bottom"/>
          </w:tcPr>
          <w:p w14:paraId="6430371A" w14:textId="77777777" w:rsidR="009F6D8A" w:rsidRDefault="009F6D8A">
            <w:pPr>
              <w:jc w:val="right"/>
              <w:rPr>
                <w:rFonts w:ascii="宋体"/>
              </w:rPr>
            </w:pPr>
          </w:p>
        </w:tc>
      </w:tr>
      <w:tr w:rsidR="009F6D8A" w14:paraId="64303728" w14:textId="77777777">
        <w:tc>
          <w:tcPr>
            <w:tcW w:w="0" w:type="auto"/>
            <w:gridSpan w:val="3"/>
            <w:shd w:val="clear" w:color="auto" w:fill="E1E1E1"/>
            <w:tcMar>
              <w:top w:w="40" w:type="dxa"/>
              <w:left w:w="875" w:type="dxa"/>
              <w:bottom w:w="40" w:type="dxa"/>
              <w:right w:w="20" w:type="dxa"/>
            </w:tcMar>
            <w:vAlign w:val="bottom"/>
          </w:tcPr>
          <w:p w14:paraId="6430371C" w14:textId="77777777" w:rsidR="009F6D8A" w:rsidRDefault="00C50974">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71D" w14:textId="77777777" w:rsidR="009F6D8A" w:rsidRDefault="00C50974">
            <w:pPr>
              <w:jc w:val="right"/>
              <w:textAlignment w:val="bottom"/>
            </w:pPr>
            <w:r>
              <w:rPr>
                <w:rFonts w:ascii="Arial" w:eastAsia="宋体" w:hAnsi="Arial" w:cs="Arial"/>
                <w:color w:val="000000"/>
                <w:sz w:val="18"/>
                <w:szCs w:val="18"/>
              </w:rPr>
              <w:t>169 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71E"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1F"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720" w14:textId="77777777" w:rsidR="009F6D8A" w:rsidRDefault="00C50974">
            <w:pPr>
              <w:jc w:val="right"/>
              <w:textAlignment w:val="bottom"/>
            </w:pPr>
            <w:r>
              <w:rPr>
                <w:rFonts w:ascii="Arial" w:eastAsia="宋体" w:hAnsi="Arial" w:cs="Arial"/>
                <w:color w:val="000000"/>
                <w:sz w:val="18"/>
                <w:szCs w:val="18"/>
              </w:rPr>
              <w:t>175 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721"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22"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723" w14:textId="77777777" w:rsidR="009F6D8A" w:rsidRDefault="00C50974">
            <w:pPr>
              <w:jc w:val="right"/>
              <w:textAlignment w:val="bottom"/>
            </w:pPr>
            <w:r>
              <w:rPr>
                <w:rFonts w:ascii="Arial" w:eastAsia="宋体" w:hAnsi="Arial" w:cs="Arial"/>
                <w:color w:val="000000"/>
                <w:sz w:val="18"/>
                <w:szCs w:val="18"/>
              </w:rPr>
              <w:t>337 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724"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25"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726" w14:textId="77777777" w:rsidR="009F6D8A" w:rsidRDefault="00C50974">
            <w:pPr>
              <w:jc w:val="right"/>
              <w:textAlignment w:val="bottom"/>
            </w:pPr>
            <w:r>
              <w:rPr>
                <w:rFonts w:ascii="Arial" w:eastAsia="宋体" w:hAnsi="Arial" w:cs="Arial"/>
                <w:color w:val="000000"/>
                <w:sz w:val="18"/>
                <w:szCs w:val="18"/>
              </w:rPr>
              <w:t>335 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727" w14:textId="77777777" w:rsidR="009F6D8A" w:rsidRDefault="009F6D8A">
            <w:pPr>
              <w:jc w:val="right"/>
              <w:rPr>
                <w:rFonts w:ascii="宋体"/>
              </w:rPr>
            </w:pPr>
          </w:p>
        </w:tc>
      </w:tr>
      <w:tr w:rsidR="009F6D8A" w14:paraId="64303731" w14:textId="77777777">
        <w:tc>
          <w:tcPr>
            <w:tcW w:w="0" w:type="auto"/>
            <w:gridSpan w:val="3"/>
            <w:shd w:val="clear" w:color="auto" w:fill="FFFFFF"/>
            <w:tcMar>
              <w:top w:w="40" w:type="dxa"/>
              <w:left w:w="20" w:type="dxa"/>
              <w:bottom w:w="40" w:type="dxa"/>
              <w:right w:w="20" w:type="dxa"/>
            </w:tcMar>
            <w:vAlign w:val="bottom"/>
          </w:tcPr>
          <w:p w14:paraId="64303729" w14:textId="77777777" w:rsidR="009F6D8A" w:rsidRDefault="00C50974">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372A"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72B"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372C"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72D"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372E"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72F"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3730" w14:textId="77777777" w:rsidR="009F6D8A" w:rsidRDefault="009F6D8A">
            <w:pPr>
              <w:rPr>
                <w:rFonts w:ascii="宋体"/>
              </w:rPr>
            </w:pPr>
          </w:p>
        </w:tc>
      </w:tr>
      <w:tr w:rsidR="009F6D8A" w14:paraId="6430373E" w14:textId="77777777">
        <w:tc>
          <w:tcPr>
            <w:tcW w:w="0" w:type="auto"/>
            <w:gridSpan w:val="3"/>
            <w:shd w:val="clear" w:color="auto" w:fill="E1E1E1"/>
            <w:tcMar>
              <w:top w:w="40" w:type="dxa"/>
              <w:left w:w="515" w:type="dxa"/>
              <w:bottom w:w="40" w:type="dxa"/>
              <w:right w:w="20" w:type="dxa"/>
            </w:tcMar>
            <w:vAlign w:val="bottom"/>
          </w:tcPr>
          <w:p w14:paraId="64303732" w14:textId="77777777" w:rsidR="009F6D8A" w:rsidRDefault="00C50974">
            <w:pPr>
              <w:textAlignment w:val="bottom"/>
            </w:pPr>
            <w:r>
              <w:rPr>
                <w:rFonts w:ascii="Arial" w:eastAsia="宋体" w:hAnsi="Arial" w:cs="Arial"/>
                <w:color w:val="000000"/>
                <w:sz w:val="18"/>
                <w:szCs w:val="18"/>
              </w:rPr>
              <w:t>Sales and marketing</w:t>
            </w:r>
          </w:p>
        </w:tc>
        <w:tc>
          <w:tcPr>
            <w:tcW w:w="0" w:type="auto"/>
            <w:gridSpan w:val="2"/>
            <w:shd w:val="clear" w:color="auto" w:fill="E1E1E1"/>
            <w:tcMar>
              <w:top w:w="40" w:type="dxa"/>
              <w:left w:w="20" w:type="dxa"/>
              <w:bottom w:w="40" w:type="dxa"/>
              <w:right w:w="0" w:type="dxa"/>
            </w:tcMar>
            <w:vAlign w:val="bottom"/>
          </w:tcPr>
          <w:p w14:paraId="64303733" w14:textId="77777777" w:rsidR="009F6D8A" w:rsidRDefault="00C50974">
            <w:pPr>
              <w:jc w:val="right"/>
              <w:textAlignment w:val="bottom"/>
            </w:pPr>
            <w:r>
              <w:rPr>
                <w:rFonts w:ascii="Arial" w:eastAsia="宋体" w:hAnsi="Arial" w:cs="Arial"/>
                <w:color w:val="000000"/>
                <w:sz w:val="18"/>
                <w:szCs w:val="18"/>
              </w:rPr>
              <w:t>141 </w:t>
            </w:r>
          </w:p>
        </w:tc>
        <w:tc>
          <w:tcPr>
            <w:tcW w:w="0" w:type="auto"/>
            <w:shd w:val="clear" w:color="auto" w:fill="E1E1E1"/>
            <w:tcMar>
              <w:top w:w="40" w:type="dxa"/>
              <w:left w:w="0" w:type="dxa"/>
              <w:bottom w:w="40" w:type="dxa"/>
              <w:right w:w="20" w:type="dxa"/>
            </w:tcMar>
            <w:vAlign w:val="bottom"/>
          </w:tcPr>
          <w:p w14:paraId="64303734"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35"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736" w14:textId="77777777" w:rsidR="009F6D8A" w:rsidRDefault="00C50974">
            <w:pPr>
              <w:jc w:val="right"/>
              <w:textAlignment w:val="bottom"/>
            </w:pPr>
            <w:r>
              <w:rPr>
                <w:rFonts w:ascii="Arial" w:eastAsia="宋体" w:hAnsi="Arial" w:cs="Arial"/>
                <w:color w:val="000000"/>
                <w:sz w:val="18"/>
                <w:szCs w:val="18"/>
              </w:rPr>
              <w:t>132 </w:t>
            </w:r>
          </w:p>
        </w:tc>
        <w:tc>
          <w:tcPr>
            <w:tcW w:w="0" w:type="auto"/>
            <w:shd w:val="clear" w:color="auto" w:fill="E1E1E1"/>
            <w:tcMar>
              <w:top w:w="40" w:type="dxa"/>
              <w:left w:w="0" w:type="dxa"/>
              <w:bottom w:w="40" w:type="dxa"/>
              <w:right w:w="20" w:type="dxa"/>
            </w:tcMar>
            <w:vAlign w:val="bottom"/>
          </w:tcPr>
          <w:p w14:paraId="64303737"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38"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739" w14:textId="77777777" w:rsidR="009F6D8A" w:rsidRDefault="00C50974">
            <w:pPr>
              <w:jc w:val="right"/>
              <w:textAlignment w:val="bottom"/>
            </w:pPr>
            <w:r>
              <w:rPr>
                <w:rFonts w:ascii="Arial" w:eastAsia="宋体" w:hAnsi="Arial" w:cs="Arial"/>
                <w:color w:val="000000"/>
                <w:sz w:val="18"/>
                <w:szCs w:val="18"/>
              </w:rPr>
              <w:t>282 </w:t>
            </w:r>
          </w:p>
        </w:tc>
        <w:tc>
          <w:tcPr>
            <w:tcW w:w="0" w:type="auto"/>
            <w:shd w:val="clear" w:color="auto" w:fill="E1E1E1"/>
            <w:tcMar>
              <w:top w:w="40" w:type="dxa"/>
              <w:left w:w="0" w:type="dxa"/>
              <w:bottom w:w="40" w:type="dxa"/>
              <w:right w:w="20" w:type="dxa"/>
            </w:tcMar>
            <w:vAlign w:val="bottom"/>
          </w:tcPr>
          <w:p w14:paraId="6430373A"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3B"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73C" w14:textId="77777777" w:rsidR="009F6D8A" w:rsidRDefault="00C50974">
            <w:pPr>
              <w:jc w:val="right"/>
              <w:textAlignment w:val="bottom"/>
            </w:pPr>
            <w:r>
              <w:rPr>
                <w:rFonts w:ascii="Arial" w:eastAsia="宋体" w:hAnsi="Arial" w:cs="Arial"/>
                <w:color w:val="000000"/>
                <w:sz w:val="18"/>
                <w:szCs w:val="18"/>
              </w:rPr>
              <w:t>258 </w:t>
            </w:r>
          </w:p>
        </w:tc>
        <w:tc>
          <w:tcPr>
            <w:tcW w:w="0" w:type="auto"/>
            <w:shd w:val="clear" w:color="auto" w:fill="E1E1E1"/>
            <w:tcMar>
              <w:top w:w="40" w:type="dxa"/>
              <w:left w:w="0" w:type="dxa"/>
              <w:bottom w:w="40" w:type="dxa"/>
              <w:right w:w="20" w:type="dxa"/>
            </w:tcMar>
            <w:vAlign w:val="bottom"/>
          </w:tcPr>
          <w:p w14:paraId="6430373D" w14:textId="77777777" w:rsidR="009F6D8A" w:rsidRDefault="009F6D8A">
            <w:pPr>
              <w:jc w:val="right"/>
              <w:rPr>
                <w:rFonts w:ascii="宋体"/>
              </w:rPr>
            </w:pPr>
          </w:p>
        </w:tc>
      </w:tr>
      <w:tr w:rsidR="009F6D8A" w14:paraId="6430374B" w14:textId="77777777">
        <w:tc>
          <w:tcPr>
            <w:tcW w:w="0" w:type="auto"/>
            <w:gridSpan w:val="3"/>
            <w:shd w:val="clear" w:color="auto" w:fill="FFFFFF"/>
            <w:tcMar>
              <w:top w:w="40" w:type="dxa"/>
              <w:left w:w="515" w:type="dxa"/>
              <w:bottom w:w="40" w:type="dxa"/>
              <w:right w:w="20" w:type="dxa"/>
            </w:tcMar>
            <w:vAlign w:val="bottom"/>
          </w:tcPr>
          <w:p w14:paraId="6430373F" w14:textId="77777777" w:rsidR="009F6D8A" w:rsidRDefault="00C50974">
            <w:pPr>
              <w:textAlignment w:val="bottom"/>
            </w:pPr>
            <w:r>
              <w:rPr>
                <w:rFonts w:ascii="Arial" w:eastAsia="宋体" w:hAnsi="Arial" w:cs="Arial"/>
                <w:color w:val="000000"/>
                <w:sz w:val="18"/>
                <w:szCs w:val="18"/>
              </w:rPr>
              <w:t>Product development</w:t>
            </w:r>
          </w:p>
        </w:tc>
        <w:tc>
          <w:tcPr>
            <w:tcW w:w="0" w:type="auto"/>
            <w:gridSpan w:val="2"/>
            <w:shd w:val="clear" w:color="auto" w:fill="FFFFFF"/>
            <w:tcMar>
              <w:top w:w="40" w:type="dxa"/>
              <w:left w:w="20" w:type="dxa"/>
              <w:bottom w:w="40" w:type="dxa"/>
              <w:right w:w="0" w:type="dxa"/>
            </w:tcMar>
            <w:vAlign w:val="bottom"/>
          </w:tcPr>
          <w:p w14:paraId="64303740" w14:textId="77777777" w:rsidR="009F6D8A" w:rsidRDefault="00C50974">
            <w:pPr>
              <w:jc w:val="right"/>
              <w:textAlignment w:val="bottom"/>
            </w:pPr>
            <w:r>
              <w:rPr>
                <w:rFonts w:ascii="Arial" w:eastAsia="宋体" w:hAnsi="Arial" w:cs="Arial"/>
                <w:color w:val="000000"/>
                <w:sz w:val="18"/>
                <w:szCs w:val="18"/>
              </w:rPr>
              <w:t>15 </w:t>
            </w:r>
          </w:p>
        </w:tc>
        <w:tc>
          <w:tcPr>
            <w:tcW w:w="0" w:type="auto"/>
            <w:shd w:val="clear" w:color="auto" w:fill="FFFFFF"/>
            <w:tcMar>
              <w:top w:w="40" w:type="dxa"/>
              <w:left w:w="0" w:type="dxa"/>
              <w:bottom w:w="40" w:type="dxa"/>
              <w:right w:w="20" w:type="dxa"/>
            </w:tcMar>
            <w:vAlign w:val="bottom"/>
          </w:tcPr>
          <w:p w14:paraId="6430374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74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743" w14:textId="77777777" w:rsidR="009F6D8A" w:rsidRDefault="00C50974">
            <w:pPr>
              <w:jc w:val="right"/>
              <w:textAlignment w:val="bottom"/>
            </w:pPr>
            <w:r>
              <w:rPr>
                <w:rFonts w:ascii="Arial" w:eastAsia="宋体" w:hAnsi="Arial" w:cs="Arial"/>
                <w:color w:val="000000"/>
                <w:sz w:val="18"/>
                <w:szCs w:val="18"/>
              </w:rPr>
              <w:t>13 </w:t>
            </w:r>
          </w:p>
        </w:tc>
        <w:tc>
          <w:tcPr>
            <w:tcW w:w="0" w:type="auto"/>
            <w:shd w:val="clear" w:color="auto" w:fill="FFFFFF"/>
            <w:tcMar>
              <w:top w:w="40" w:type="dxa"/>
              <w:left w:w="0" w:type="dxa"/>
              <w:bottom w:w="40" w:type="dxa"/>
              <w:right w:w="20" w:type="dxa"/>
            </w:tcMar>
            <w:vAlign w:val="bottom"/>
          </w:tcPr>
          <w:p w14:paraId="6430374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74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746" w14:textId="77777777" w:rsidR="009F6D8A" w:rsidRDefault="00C50974">
            <w:pPr>
              <w:jc w:val="right"/>
              <w:textAlignment w:val="bottom"/>
            </w:pPr>
            <w:r>
              <w:rPr>
                <w:rFonts w:ascii="Arial" w:eastAsia="宋体" w:hAnsi="Arial" w:cs="Arial"/>
                <w:color w:val="000000"/>
                <w:sz w:val="18"/>
                <w:szCs w:val="18"/>
              </w:rPr>
              <w:t>29 </w:t>
            </w:r>
          </w:p>
        </w:tc>
        <w:tc>
          <w:tcPr>
            <w:tcW w:w="0" w:type="auto"/>
            <w:shd w:val="clear" w:color="auto" w:fill="FFFFFF"/>
            <w:tcMar>
              <w:top w:w="40" w:type="dxa"/>
              <w:left w:w="0" w:type="dxa"/>
              <w:bottom w:w="40" w:type="dxa"/>
              <w:right w:w="20" w:type="dxa"/>
            </w:tcMar>
            <w:vAlign w:val="bottom"/>
          </w:tcPr>
          <w:p w14:paraId="6430374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74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749" w14:textId="77777777" w:rsidR="009F6D8A" w:rsidRDefault="00C50974">
            <w:pPr>
              <w:jc w:val="right"/>
              <w:textAlignment w:val="bottom"/>
            </w:pPr>
            <w:r>
              <w:rPr>
                <w:rFonts w:ascii="Arial" w:eastAsia="宋体" w:hAnsi="Arial" w:cs="Arial"/>
                <w:color w:val="000000"/>
                <w:sz w:val="18"/>
                <w:szCs w:val="18"/>
              </w:rPr>
              <w:t>27 </w:t>
            </w:r>
          </w:p>
        </w:tc>
        <w:tc>
          <w:tcPr>
            <w:tcW w:w="0" w:type="auto"/>
            <w:shd w:val="clear" w:color="auto" w:fill="FFFFFF"/>
            <w:tcMar>
              <w:top w:w="40" w:type="dxa"/>
              <w:left w:w="0" w:type="dxa"/>
              <w:bottom w:w="40" w:type="dxa"/>
              <w:right w:w="20" w:type="dxa"/>
            </w:tcMar>
            <w:vAlign w:val="bottom"/>
          </w:tcPr>
          <w:p w14:paraId="6430374A" w14:textId="77777777" w:rsidR="009F6D8A" w:rsidRDefault="009F6D8A">
            <w:pPr>
              <w:jc w:val="right"/>
              <w:rPr>
                <w:rFonts w:ascii="宋体"/>
              </w:rPr>
            </w:pPr>
          </w:p>
        </w:tc>
      </w:tr>
      <w:tr w:rsidR="009F6D8A" w14:paraId="64303758" w14:textId="77777777">
        <w:tc>
          <w:tcPr>
            <w:tcW w:w="0" w:type="auto"/>
            <w:gridSpan w:val="3"/>
            <w:shd w:val="clear" w:color="auto" w:fill="E1E1E1"/>
            <w:tcMar>
              <w:top w:w="40" w:type="dxa"/>
              <w:left w:w="515" w:type="dxa"/>
              <w:bottom w:w="40" w:type="dxa"/>
              <w:right w:w="20" w:type="dxa"/>
            </w:tcMar>
            <w:vAlign w:val="bottom"/>
          </w:tcPr>
          <w:p w14:paraId="6430374C" w14:textId="77777777" w:rsidR="009F6D8A" w:rsidRDefault="00C50974">
            <w:pPr>
              <w:textAlignment w:val="bottom"/>
            </w:pPr>
            <w:r>
              <w:rPr>
                <w:rFonts w:ascii="Arial" w:eastAsia="宋体" w:hAnsi="Arial" w:cs="Arial"/>
                <w:color w:val="000000"/>
                <w:sz w:val="18"/>
                <w:szCs w:val="18"/>
              </w:rPr>
              <w:t>General and administrative</w:t>
            </w:r>
          </w:p>
        </w:tc>
        <w:tc>
          <w:tcPr>
            <w:tcW w:w="0" w:type="auto"/>
            <w:gridSpan w:val="2"/>
            <w:shd w:val="clear" w:color="auto" w:fill="E1E1E1"/>
            <w:tcMar>
              <w:top w:w="40" w:type="dxa"/>
              <w:left w:w="20" w:type="dxa"/>
              <w:bottom w:w="40" w:type="dxa"/>
              <w:right w:w="0" w:type="dxa"/>
            </w:tcMar>
            <w:vAlign w:val="bottom"/>
          </w:tcPr>
          <w:p w14:paraId="6430374D" w14:textId="77777777" w:rsidR="009F6D8A" w:rsidRDefault="00C50974">
            <w:pPr>
              <w:jc w:val="right"/>
              <w:textAlignment w:val="bottom"/>
            </w:pPr>
            <w:r>
              <w:rPr>
                <w:rFonts w:ascii="Arial" w:eastAsia="宋体" w:hAnsi="Arial" w:cs="Arial"/>
                <w:color w:val="000000"/>
                <w:sz w:val="18"/>
                <w:szCs w:val="18"/>
              </w:rPr>
              <w:t>9 </w:t>
            </w:r>
          </w:p>
        </w:tc>
        <w:tc>
          <w:tcPr>
            <w:tcW w:w="0" w:type="auto"/>
            <w:shd w:val="clear" w:color="auto" w:fill="E1E1E1"/>
            <w:tcMar>
              <w:top w:w="40" w:type="dxa"/>
              <w:left w:w="0" w:type="dxa"/>
              <w:bottom w:w="40" w:type="dxa"/>
              <w:right w:w="20" w:type="dxa"/>
            </w:tcMar>
            <w:vAlign w:val="bottom"/>
          </w:tcPr>
          <w:p w14:paraId="6430374E"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4F"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750" w14:textId="77777777" w:rsidR="009F6D8A" w:rsidRDefault="00C50974">
            <w:pPr>
              <w:jc w:val="right"/>
              <w:textAlignment w:val="bottom"/>
            </w:pPr>
            <w:r>
              <w:rPr>
                <w:rFonts w:ascii="Arial" w:eastAsia="宋体" w:hAnsi="Arial" w:cs="Arial"/>
                <w:color w:val="000000"/>
                <w:sz w:val="18"/>
                <w:szCs w:val="18"/>
              </w:rPr>
              <w:t>4 </w:t>
            </w:r>
          </w:p>
        </w:tc>
        <w:tc>
          <w:tcPr>
            <w:tcW w:w="0" w:type="auto"/>
            <w:shd w:val="clear" w:color="auto" w:fill="E1E1E1"/>
            <w:tcMar>
              <w:top w:w="40" w:type="dxa"/>
              <w:left w:w="0" w:type="dxa"/>
              <w:bottom w:w="40" w:type="dxa"/>
              <w:right w:w="20" w:type="dxa"/>
            </w:tcMar>
            <w:vAlign w:val="bottom"/>
          </w:tcPr>
          <w:p w14:paraId="64303751"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52"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753" w14:textId="77777777" w:rsidR="009F6D8A" w:rsidRDefault="00C50974">
            <w:pPr>
              <w:jc w:val="right"/>
              <w:textAlignment w:val="bottom"/>
            </w:pPr>
            <w:r>
              <w:rPr>
                <w:rFonts w:ascii="Arial" w:eastAsia="宋体" w:hAnsi="Arial" w:cs="Arial"/>
                <w:color w:val="000000"/>
                <w:sz w:val="18"/>
                <w:szCs w:val="18"/>
              </w:rPr>
              <w:t>21 </w:t>
            </w:r>
          </w:p>
        </w:tc>
        <w:tc>
          <w:tcPr>
            <w:tcW w:w="0" w:type="auto"/>
            <w:shd w:val="clear" w:color="auto" w:fill="E1E1E1"/>
            <w:tcMar>
              <w:top w:w="40" w:type="dxa"/>
              <w:left w:w="0" w:type="dxa"/>
              <w:bottom w:w="40" w:type="dxa"/>
              <w:right w:w="20" w:type="dxa"/>
            </w:tcMar>
            <w:vAlign w:val="bottom"/>
          </w:tcPr>
          <w:p w14:paraId="64303754"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55"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756" w14:textId="77777777" w:rsidR="009F6D8A" w:rsidRDefault="00C50974">
            <w:pPr>
              <w:jc w:val="right"/>
              <w:textAlignment w:val="bottom"/>
            </w:pPr>
            <w:r>
              <w:rPr>
                <w:rFonts w:ascii="Arial" w:eastAsia="宋体" w:hAnsi="Arial" w:cs="Arial"/>
                <w:color w:val="000000"/>
                <w:sz w:val="18"/>
                <w:szCs w:val="18"/>
              </w:rPr>
              <w:t>8 </w:t>
            </w:r>
          </w:p>
        </w:tc>
        <w:tc>
          <w:tcPr>
            <w:tcW w:w="0" w:type="auto"/>
            <w:shd w:val="clear" w:color="auto" w:fill="E1E1E1"/>
            <w:tcMar>
              <w:top w:w="40" w:type="dxa"/>
              <w:left w:w="0" w:type="dxa"/>
              <w:bottom w:w="40" w:type="dxa"/>
              <w:right w:w="20" w:type="dxa"/>
            </w:tcMar>
            <w:vAlign w:val="bottom"/>
          </w:tcPr>
          <w:p w14:paraId="64303757" w14:textId="77777777" w:rsidR="009F6D8A" w:rsidRDefault="009F6D8A">
            <w:pPr>
              <w:jc w:val="right"/>
              <w:rPr>
                <w:rFonts w:ascii="宋体"/>
              </w:rPr>
            </w:pPr>
          </w:p>
        </w:tc>
      </w:tr>
      <w:tr w:rsidR="009F6D8A" w14:paraId="64303761" w14:textId="77777777">
        <w:trPr>
          <w:hidden/>
        </w:trPr>
        <w:tc>
          <w:tcPr>
            <w:tcW w:w="0" w:type="auto"/>
            <w:gridSpan w:val="3"/>
            <w:shd w:val="clear" w:color="auto" w:fill="auto"/>
            <w:vAlign w:val="bottom"/>
          </w:tcPr>
          <w:p w14:paraId="64303759" w14:textId="77777777" w:rsidR="009F6D8A" w:rsidRDefault="009F6D8A">
            <w:pPr>
              <w:rPr>
                <w:rFonts w:ascii="宋体"/>
                <w:vanish/>
              </w:rPr>
            </w:pPr>
          </w:p>
        </w:tc>
        <w:tc>
          <w:tcPr>
            <w:tcW w:w="0" w:type="auto"/>
            <w:gridSpan w:val="3"/>
            <w:shd w:val="clear" w:color="auto" w:fill="auto"/>
            <w:vAlign w:val="bottom"/>
          </w:tcPr>
          <w:p w14:paraId="6430375A" w14:textId="77777777" w:rsidR="009F6D8A" w:rsidRDefault="009F6D8A">
            <w:pPr>
              <w:rPr>
                <w:rFonts w:ascii="宋体"/>
                <w:vanish/>
              </w:rPr>
            </w:pPr>
          </w:p>
        </w:tc>
        <w:tc>
          <w:tcPr>
            <w:tcW w:w="0" w:type="auto"/>
            <w:gridSpan w:val="3"/>
            <w:shd w:val="clear" w:color="auto" w:fill="auto"/>
            <w:vAlign w:val="bottom"/>
          </w:tcPr>
          <w:p w14:paraId="6430375B" w14:textId="77777777" w:rsidR="009F6D8A" w:rsidRDefault="009F6D8A">
            <w:pPr>
              <w:rPr>
                <w:rFonts w:ascii="宋体"/>
                <w:vanish/>
              </w:rPr>
            </w:pPr>
          </w:p>
        </w:tc>
        <w:tc>
          <w:tcPr>
            <w:tcW w:w="0" w:type="auto"/>
            <w:gridSpan w:val="3"/>
            <w:shd w:val="clear" w:color="auto" w:fill="auto"/>
            <w:vAlign w:val="bottom"/>
          </w:tcPr>
          <w:p w14:paraId="6430375C" w14:textId="77777777" w:rsidR="009F6D8A" w:rsidRDefault="009F6D8A">
            <w:pPr>
              <w:rPr>
                <w:rFonts w:ascii="宋体"/>
                <w:vanish/>
              </w:rPr>
            </w:pPr>
          </w:p>
        </w:tc>
        <w:tc>
          <w:tcPr>
            <w:tcW w:w="0" w:type="auto"/>
            <w:gridSpan w:val="3"/>
            <w:shd w:val="clear" w:color="auto" w:fill="auto"/>
            <w:vAlign w:val="bottom"/>
          </w:tcPr>
          <w:p w14:paraId="6430375D" w14:textId="77777777" w:rsidR="009F6D8A" w:rsidRDefault="009F6D8A">
            <w:pPr>
              <w:rPr>
                <w:rFonts w:ascii="宋体"/>
                <w:vanish/>
              </w:rPr>
            </w:pPr>
          </w:p>
        </w:tc>
        <w:tc>
          <w:tcPr>
            <w:tcW w:w="0" w:type="auto"/>
            <w:gridSpan w:val="3"/>
            <w:shd w:val="clear" w:color="auto" w:fill="auto"/>
            <w:vAlign w:val="bottom"/>
          </w:tcPr>
          <w:p w14:paraId="6430375E" w14:textId="77777777" w:rsidR="009F6D8A" w:rsidRDefault="009F6D8A">
            <w:pPr>
              <w:rPr>
                <w:rFonts w:ascii="宋体"/>
                <w:vanish/>
              </w:rPr>
            </w:pPr>
          </w:p>
        </w:tc>
        <w:tc>
          <w:tcPr>
            <w:tcW w:w="0" w:type="auto"/>
            <w:gridSpan w:val="3"/>
            <w:shd w:val="clear" w:color="auto" w:fill="auto"/>
            <w:vAlign w:val="bottom"/>
          </w:tcPr>
          <w:p w14:paraId="6430375F" w14:textId="77777777" w:rsidR="009F6D8A" w:rsidRDefault="009F6D8A">
            <w:pPr>
              <w:rPr>
                <w:rFonts w:ascii="宋体"/>
                <w:vanish/>
              </w:rPr>
            </w:pPr>
          </w:p>
        </w:tc>
        <w:tc>
          <w:tcPr>
            <w:tcW w:w="0" w:type="auto"/>
            <w:gridSpan w:val="3"/>
            <w:shd w:val="clear" w:color="auto" w:fill="auto"/>
            <w:vAlign w:val="bottom"/>
          </w:tcPr>
          <w:p w14:paraId="64303760" w14:textId="77777777" w:rsidR="009F6D8A" w:rsidRDefault="009F6D8A">
            <w:pPr>
              <w:rPr>
                <w:rFonts w:ascii="宋体"/>
                <w:vanish/>
              </w:rPr>
            </w:pPr>
          </w:p>
        </w:tc>
      </w:tr>
      <w:tr w:rsidR="009F6D8A" w14:paraId="6430376A" w14:textId="77777777">
        <w:trPr>
          <w:hidden/>
        </w:trPr>
        <w:tc>
          <w:tcPr>
            <w:tcW w:w="0" w:type="auto"/>
            <w:gridSpan w:val="3"/>
            <w:shd w:val="clear" w:color="auto" w:fill="auto"/>
            <w:vAlign w:val="bottom"/>
          </w:tcPr>
          <w:p w14:paraId="64303762" w14:textId="77777777" w:rsidR="009F6D8A" w:rsidRDefault="009F6D8A">
            <w:pPr>
              <w:rPr>
                <w:rFonts w:ascii="宋体"/>
                <w:vanish/>
              </w:rPr>
            </w:pPr>
          </w:p>
        </w:tc>
        <w:tc>
          <w:tcPr>
            <w:tcW w:w="0" w:type="auto"/>
            <w:gridSpan w:val="3"/>
            <w:shd w:val="clear" w:color="auto" w:fill="auto"/>
            <w:vAlign w:val="bottom"/>
          </w:tcPr>
          <w:p w14:paraId="64303763" w14:textId="77777777" w:rsidR="009F6D8A" w:rsidRDefault="009F6D8A">
            <w:pPr>
              <w:rPr>
                <w:rFonts w:ascii="宋体"/>
                <w:vanish/>
              </w:rPr>
            </w:pPr>
          </w:p>
        </w:tc>
        <w:tc>
          <w:tcPr>
            <w:tcW w:w="0" w:type="auto"/>
            <w:gridSpan w:val="3"/>
            <w:shd w:val="clear" w:color="auto" w:fill="auto"/>
            <w:vAlign w:val="bottom"/>
          </w:tcPr>
          <w:p w14:paraId="64303764" w14:textId="77777777" w:rsidR="009F6D8A" w:rsidRDefault="009F6D8A">
            <w:pPr>
              <w:rPr>
                <w:rFonts w:ascii="宋体"/>
                <w:vanish/>
              </w:rPr>
            </w:pPr>
          </w:p>
        </w:tc>
        <w:tc>
          <w:tcPr>
            <w:tcW w:w="0" w:type="auto"/>
            <w:gridSpan w:val="3"/>
            <w:shd w:val="clear" w:color="auto" w:fill="auto"/>
            <w:vAlign w:val="bottom"/>
          </w:tcPr>
          <w:p w14:paraId="64303765" w14:textId="77777777" w:rsidR="009F6D8A" w:rsidRDefault="009F6D8A">
            <w:pPr>
              <w:rPr>
                <w:rFonts w:ascii="宋体"/>
                <w:vanish/>
              </w:rPr>
            </w:pPr>
          </w:p>
        </w:tc>
        <w:tc>
          <w:tcPr>
            <w:tcW w:w="0" w:type="auto"/>
            <w:gridSpan w:val="3"/>
            <w:shd w:val="clear" w:color="auto" w:fill="auto"/>
            <w:vAlign w:val="bottom"/>
          </w:tcPr>
          <w:p w14:paraId="64303766" w14:textId="77777777" w:rsidR="009F6D8A" w:rsidRDefault="009F6D8A">
            <w:pPr>
              <w:rPr>
                <w:rFonts w:ascii="宋体"/>
                <w:vanish/>
              </w:rPr>
            </w:pPr>
          </w:p>
        </w:tc>
        <w:tc>
          <w:tcPr>
            <w:tcW w:w="0" w:type="auto"/>
            <w:gridSpan w:val="3"/>
            <w:shd w:val="clear" w:color="auto" w:fill="auto"/>
            <w:vAlign w:val="bottom"/>
          </w:tcPr>
          <w:p w14:paraId="64303767" w14:textId="77777777" w:rsidR="009F6D8A" w:rsidRDefault="009F6D8A">
            <w:pPr>
              <w:rPr>
                <w:rFonts w:ascii="宋体"/>
                <w:vanish/>
              </w:rPr>
            </w:pPr>
          </w:p>
        </w:tc>
        <w:tc>
          <w:tcPr>
            <w:tcW w:w="0" w:type="auto"/>
            <w:gridSpan w:val="3"/>
            <w:shd w:val="clear" w:color="auto" w:fill="auto"/>
            <w:vAlign w:val="bottom"/>
          </w:tcPr>
          <w:p w14:paraId="64303768" w14:textId="77777777" w:rsidR="009F6D8A" w:rsidRDefault="009F6D8A">
            <w:pPr>
              <w:rPr>
                <w:rFonts w:ascii="宋体"/>
                <w:vanish/>
              </w:rPr>
            </w:pPr>
          </w:p>
        </w:tc>
        <w:tc>
          <w:tcPr>
            <w:tcW w:w="0" w:type="auto"/>
            <w:gridSpan w:val="3"/>
            <w:shd w:val="clear" w:color="auto" w:fill="auto"/>
            <w:vAlign w:val="bottom"/>
          </w:tcPr>
          <w:p w14:paraId="64303769" w14:textId="77777777" w:rsidR="009F6D8A" w:rsidRDefault="009F6D8A">
            <w:pPr>
              <w:rPr>
                <w:rFonts w:ascii="宋体"/>
                <w:vanish/>
              </w:rPr>
            </w:pPr>
          </w:p>
        </w:tc>
      </w:tr>
      <w:tr w:rsidR="009F6D8A" w14:paraId="64303777" w14:textId="77777777">
        <w:tc>
          <w:tcPr>
            <w:tcW w:w="0" w:type="auto"/>
            <w:gridSpan w:val="3"/>
            <w:shd w:val="clear" w:color="auto" w:fill="FFFFFF"/>
            <w:tcMar>
              <w:top w:w="40" w:type="dxa"/>
              <w:left w:w="875" w:type="dxa"/>
              <w:bottom w:w="40" w:type="dxa"/>
              <w:right w:w="20" w:type="dxa"/>
            </w:tcMar>
            <w:vAlign w:val="bottom"/>
          </w:tcPr>
          <w:p w14:paraId="6430376B" w14:textId="77777777" w:rsidR="009F6D8A" w:rsidRDefault="00C50974">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76C" w14:textId="77777777" w:rsidR="009F6D8A" w:rsidRDefault="00C50974">
            <w:pPr>
              <w:jc w:val="right"/>
              <w:textAlignment w:val="bottom"/>
            </w:pPr>
            <w:r>
              <w:rPr>
                <w:rFonts w:ascii="Arial" w:eastAsia="宋体" w:hAnsi="Arial" w:cs="Arial"/>
                <w:color w:val="000000"/>
                <w:sz w:val="18"/>
                <w:szCs w:val="18"/>
              </w:rPr>
              <w:t>165 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76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76E"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76F" w14:textId="77777777" w:rsidR="009F6D8A" w:rsidRDefault="00C50974">
            <w:pPr>
              <w:jc w:val="right"/>
              <w:textAlignment w:val="bottom"/>
            </w:pPr>
            <w:r>
              <w:rPr>
                <w:rFonts w:ascii="Arial" w:eastAsia="宋体" w:hAnsi="Arial" w:cs="Arial"/>
                <w:color w:val="000000"/>
                <w:sz w:val="18"/>
                <w:szCs w:val="18"/>
              </w:rPr>
              <w:t>149 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77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771"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772" w14:textId="77777777" w:rsidR="009F6D8A" w:rsidRDefault="00C50974">
            <w:pPr>
              <w:jc w:val="right"/>
              <w:textAlignment w:val="bottom"/>
            </w:pPr>
            <w:r>
              <w:rPr>
                <w:rFonts w:ascii="Arial" w:eastAsia="宋体" w:hAnsi="Arial" w:cs="Arial"/>
                <w:color w:val="000000"/>
                <w:sz w:val="18"/>
                <w:szCs w:val="18"/>
              </w:rPr>
              <w:t>332 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77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774"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3775" w14:textId="77777777" w:rsidR="009F6D8A" w:rsidRDefault="00C50974">
            <w:pPr>
              <w:jc w:val="right"/>
              <w:textAlignment w:val="bottom"/>
            </w:pPr>
            <w:r>
              <w:rPr>
                <w:rFonts w:ascii="Arial" w:eastAsia="宋体" w:hAnsi="Arial" w:cs="Arial"/>
                <w:color w:val="000000"/>
                <w:sz w:val="18"/>
                <w:szCs w:val="18"/>
              </w:rPr>
              <w:t>293 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776" w14:textId="77777777" w:rsidR="009F6D8A" w:rsidRDefault="009F6D8A">
            <w:pPr>
              <w:jc w:val="right"/>
              <w:rPr>
                <w:rFonts w:ascii="宋体"/>
              </w:rPr>
            </w:pPr>
          </w:p>
        </w:tc>
      </w:tr>
      <w:tr w:rsidR="009F6D8A" w14:paraId="64303784" w14:textId="77777777">
        <w:tc>
          <w:tcPr>
            <w:tcW w:w="0" w:type="auto"/>
            <w:gridSpan w:val="3"/>
            <w:shd w:val="clear" w:color="auto" w:fill="E1E1E1"/>
            <w:tcMar>
              <w:top w:w="40" w:type="dxa"/>
              <w:left w:w="20" w:type="dxa"/>
              <w:bottom w:w="40" w:type="dxa"/>
              <w:right w:w="20" w:type="dxa"/>
            </w:tcMar>
            <w:vAlign w:val="bottom"/>
          </w:tcPr>
          <w:p w14:paraId="64303778" w14:textId="77777777" w:rsidR="009F6D8A" w:rsidRDefault="00C50974">
            <w:pPr>
              <w:textAlignment w:val="bottom"/>
            </w:pPr>
            <w:r>
              <w:rPr>
                <w:rFonts w:ascii="Arial" w:eastAsia="宋体" w:hAnsi="Arial" w:cs="Arial"/>
                <w:color w:val="000000"/>
                <w:sz w:val="18"/>
                <w:szCs w:val="18"/>
              </w:rPr>
              <w:t>Income (loss) from operations of discontinued operations</w:t>
            </w:r>
          </w:p>
        </w:tc>
        <w:tc>
          <w:tcPr>
            <w:tcW w:w="0" w:type="auto"/>
            <w:gridSpan w:val="2"/>
            <w:shd w:val="clear" w:color="auto" w:fill="E1E1E1"/>
            <w:tcMar>
              <w:top w:w="40" w:type="dxa"/>
              <w:left w:w="20" w:type="dxa"/>
              <w:bottom w:w="40" w:type="dxa"/>
              <w:right w:w="0" w:type="dxa"/>
            </w:tcMar>
            <w:vAlign w:val="bottom"/>
          </w:tcPr>
          <w:p w14:paraId="64303779" w14:textId="77777777" w:rsidR="009F6D8A" w:rsidRDefault="00C50974">
            <w:pPr>
              <w:jc w:val="right"/>
              <w:textAlignment w:val="bottom"/>
            </w:pPr>
            <w:r>
              <w:rPr>
                <w:rFonts w:ascii="Arial" w:eastAsia="宋体" w:hAnsi="Arial" w:cs="Arial"/>
                <w:color w:val="000000"/>
                <w:sz w:val="18"/>
                <w:szCs w:val="18"/>
              </w:rPr>
              <w:t>4 </w:t>
            </w:r>
          </w:p>
        </w:tc>
        <w:tc>
          <w:tcPr>
            <w:tcW w:w="0" w:type="auto"/>
            <w:shd w:val="clear" w:color="auto" w:fill="E1E1E1"/>
            <w:tcMar>
              <w:top w:w="40" w:type="dxa"/>
              <w:left w:w="0" w:type="dxa"/>
              <w:bottom w:w="40" w:type="dxa"/>
              <w:right w:w="20" w:type="dxa"/>
            </w:tcMar>
            <w:vAlign w:val="bottom"/>
          </w:tcPr>
          <w:p w14:paraId="6430377A"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7B"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77C" w14:textId="77777777" w:rsidR="009F6D8A" w:rsidRDefault="00C50974">
            <w:pPr>
              <w:jc w:val="right"/>
              <w:textAlignment w:val="bottom"/>
            </w:pPr>
            <w:r>
              <w:rPr>
                <w:rFonts w:ascii="Arial" w:eastAsia="宋体" w:hAnsi="Arial" w:cs="Arial"/>
                <w:color w:val="000000"/>
                <w:sz w:val="18"/>
                <w:szCs w:val="18"/>
              </w:rPr>
              <w:t>26 </w:t>
            </w:r>
          </w:p>
        </w:tc>
        <w:tc>
          <w:tcPr>
            <w:tcW w:w="0" w:type="auto"/>
            <w:shd w:val="clear" w:color="auto" w:fill="E1E1E1"/>
            <w:tcMar>
              <w:top w:w="40" w:type="dxa"/>
              <w:left w:w="0" w:type="dxa"/>
              <w:bottom w:w="40" w:type="dxa"/>
              <w:right w:w="20" w:type="dxa"/>
            </w:tcMar>
            <w:vAlign w:val="bottom"/>
          </w:tcPr>
          <w:p w14:paraId="6430377D"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7E"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77F" w14:textId="77777777" w:rsidR="009F6D8A" w:rsidRDefault="00C50974">
            <w:pPr>
              <w:jc w:val="right"/>
              <w:textAlignment w:val="bottom"/>
            </w:pPr>
            <w:r>
              <w:rPr>
                <w:rFonts w:ascii="Arial" w:eastAsia="宋体" w:hAnsi="Arial" w:cs="Arial"/>
                <w:color w:val="000000"/>
                <w:sz w:val="18"/>
                <w:szCs w:val="18"/>
              </w:rPr>
              <w:t>5 </w:t>
            </w:r>
          </w:p>
        </w:tc>
        <w:tc>
          <w:tcPr>
            <w:tcW w:w="0" w:type="auto"/>
            <w:shd w:val="clear" w:color="auto" w:fill="E1E1E1"/>
            <w:tcMar>
              <w:top w:w="40" w:type="dxa"/>
              <w:left w:w="0" w:type="dxa"/>
              <w:bottom w:w="40" w:type="dxa"/>
              <w:right w:w="20" w:type="dxa"/>
            </w:tcMar>
            <w:vAlign w:val="bottom"/>
          </w:tcPr>
          <w:p w14:paraId="64303780"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81"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782" w14:textId="77777777" w:rsidR="009F6D8A" w:rsidRDefault="00C50974">
            <w:pPr>
              <w:jc w:val="right"/>
              <w:textAlignment w:val="bottom"/>
            </w:pPr>
            <w:r>
              <w:rPr>
                <w:rFonts w:ascii="Arial" w:eastAsia="宋体" w:hAnsi="Arial" w:cs="Arial"/>
                <w:color w:val="000000"/>
                <w:sz w:val="18"/>
                <w:szCs w:val="18"/>
              </w:rPr>
              <w:t>42 </w:t>
            </w:r>
          </w:p>
        </w:tc>
        <w:tc>
          <w:tcPr>
            <w:tcW w:w="0" w:type="auto"/>
            <w:shd w:val="clear" w:color="auto" w:fill="E1E1E1"/>
            <w:tcMar>
              <w:top w:w="40" w:type="dxa"/>
              <w:left w:w="0" w:type="dxa"/>
              <w:bottom w:w="40" w:type="dxa"/>
              <w:right w:w="20" w:type="dxa"/>
            </w:tcMar>
            <w:vAlign w:val="bottom"/>
          </w:tcPr>
          <w:p w14:paraId="64303783" w14:textId="77777777" w:rsidR="009F6D8A" w:rsidRDefault="009F6D8A">
            <w:pPr>
              <w:jc w:val="right"/>
              <w:rPr>
                <w:rFonts w:ascii="宋体"/>
              </w:rPr>
            </w:pPr>
          </w:p>
        </w:tc>
      </w:tr>
      <w:tr w:rsidR="009F6D8A" w14:paraId="64303791" w14:textId="77777777">
        <w:tc>
          <w:tcPr>
            <w:tcW w:w="0" w:type="auto"/>
            <w:gridSpan w:val="3"/>
            <w:shd w:val="clear" w:color="auto" w:fill="FFFFFF"/>
            <w:tcMar>
              <w:top w:w="40" w:type="dxa"/>
              <w:left w:w="20" w:type="dxa"/>
              <w:bottom w:w="40" w:type="dxa"/>
              <w:right w:w="20" w:type="dxa"/>
            </w:tcMar>
            <w:vAlign w:val="bottom"/>
          </w:tcPr>
          <w:p w14:paraId="64303785" w14:textId="77777777" w:rsidR="009F6D8A" w:rsidRDefault="00C50974">
            <w:pPr>
              <w:textAlignment w:val="bottom"/>
            </w:pPr>
            <w:r>
              <w:rPr>
                <w:rFonts w:ascii="Arial" w:eastAsia="宋体" w:hAnsi="Arial" w:cs="Arial"/>
                <w:color w:val="000000"/>
                <w:sz w:val="18"/>
                <w:szCs w:val="18"/>
              </w:rPr>
              <w:t>Interest and other, net</w:t>
            </w:r>
          </w:p>
        </w:tc>
        <w:tc>
          <w:tcPr>
            <w:tcW w:w="0" w:type="auto"/>
            <w:gridSpan w:val="2"/>
            <w:shd w:val="clear" w:color="auto" w:fill="FFFFFF"/>
            <w:tcMar>
              <w:top w:w="40" w:type="dxa"/>
              <w:left w:w="20" w:type="dxa"/>
              <w:bottom w:w="40" w:type="dxa"/>
              <w:right w:w="0" w:type="dxa"/>
            </w:tcMar>
            <w:vAlign w:val="bottom"/>
          </w:tcPr>
          <w:p w14:paraId="64303786"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430378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78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789"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78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78B"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78C"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430378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78E"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78F"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790" w14:textId="77777777" w:rsidR="009F6D8A" w:rsidRDefault="009F6D8A">
            <w:pPr>
              <w:jc w:val="right"/>
              <w:rPr>
                <w:rFonts w:ascii="宋体"/>
              </w:rPr>
            </w:pPr>
          </w:p>
        </w:tc>
      </w:tr>
      <w:tr w:rsidR="009F6D8A" w14:paraId="6430379E" w14:textId="77777777">
        <w:tc>
          <w:tcPr>
            <w:tcW w:w="0" w:type="auto"/>
            <w:gridSpan w:val="3"/>
            <w:shd w:val="clear" w:color="auto" w:fill="E1E1E1"/>
            <w:tcMar>
              <w:top w:w="40" w:type="dxa"/>
              <w:left w:w="20" w:type="dxa"/>
              <w:bottom w:w="40" w:type="dxa"/>
              <w:right w:w="20" w:type="dxa"/>
            </w:tcMar>
            <w:vAlign w:val="bottom"/>
          </w:tcPr>
          <w:p w14:paraId="64303792" w14:textId="77777777" w:rsidR="009F6D8A" w:rsidRDefault="00C50974">
            <w:pPr>
              <w:textAlignment w:val="bottom"/>
            </w:pPr>
            <w:r>
              <w:rPr>
                <w:rFonts w:ascii="Arial" w:eastAsia="宋体" w:hAnsi="Arial" w:cs="Arial"/>
                <w:color w:val="000000"/>
                <w:sz w:val="18"/>
                <w:szCs w:val="18"/>
              </w:rPr>
              <w:t>Income (loss) from discontinued operations before income taxes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793" w14:textId="77777777" w:rsidR="009F6D8A" w:rsidRDefault="00C50974">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794"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95"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796" w14:textId="77777777" w:rsidR="009F6D8A" w:rsidRDefault="00C50974">
            <w:pPr>
              <w:jc w:val="right"/>
              <w:textAlignment w:val="bottom"/>
            </w:pPr>
            <w:r>
              <w:rPr>
                <w:rFonts w:ascii="Arial" w:eastAsia="宋体" w:hAnsi="Arial" w:cs="Arial"/>
                <w:color w:val="000000"/>
                <w:sz w:val="18"/>
                <w:szCs w:val="18"/>
              </w:rPr>
              <w:t>26 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797"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98"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799" w14:textId="77777777" w:rsidR="009F6D8A" w:rsidRDefault="00C50974">
            <w:pPr>
              <w:jc w:val="right"/>
              <w:textAlignment w:val="bottom"/>
            </w:pPr>
            <w:r>
              <w:rPr>
                <w:rFonts w:ascii="Arial" w:eastAsia="宋体" w:hAnsi="Arial" w:cs="Arial"/>
                <w:color w:val="000000"/>
                <w:sz w:val="18"/>
                <w:szCs w:val="18"/>
              </w:rPr>
              <w:t>6 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79A"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9B"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379C" w14:textId="77777777" w:rsidR="009F6D8A" w:rsidRDefault="00C50974">
            <w:pPr>
              <w:jc w:val="right"/>
              <w:textAlignment w:val="bottom"/>
            </w:pPr>
            <w:r>
              <w:rPr>
                <w:rFonts w:ascii="Arial" w:eastAsia="宋体" w:hAnsi="Arial" w:cs="Arial"/>
                <w:color w:val="000000"/>
                <w:sz w:val="18"/>
                <w:szCs w:val="18"/>
              </w:rPr>
              <w:t>42 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79D" w14:textId="77777777" w:rsidR="009F6D8A" w:rsidRDefault="009F6D8A">
            <w:pPr>
              <w:jc w:val="right"/>
              <w:rPr>
                <w:rFonts w:ascii="宋体"/>
              </w:rPr>
            </w:pPr>
          </w:p>
        </w:tc>
      </w:tr>
      <w:tr w:rsidR="009F6D8A" w14:paraId="643037AB" w14:textId="77777777">
        <w:tc>
          <w:tcPr>
            <w:tcW w:w="0" w:type="auto"/>
            <w:gridSpan w:val="3"/>
            <w:shd w:val="clear" w:color="auto" w:fill="FFFFFF"/>
            <w:tcMar>
              <w:top w:w="40" w:type="dxa"/>
              <w:left w:w="20" w:type="dxa"/>
              <w:bottom w:w="40" w:type="dxa"/>
              <w:right w:w="20" w:type="dxa"/>
            </w:tcMar>
            <w:vAlign w:val="bottom"/>
          </w:tcPr>
          <w:p w14:paraId="6430379F" w14:textId="77777777" w:rsidR="009F6D8A" w:rsidRDefault="00C50974">
            <w:pPr>
              <w:textAlignment w:val="bottom"/>
            </w:pPr>
            <w:r>
              <w:rPr>
                <w:rFonts w:ascii="Arial" w:eastAsia="宋体" w:hAnsi="Arial" w:cs="Arial"/>
                <w:color w:val="000000"/>
                <w:sz w:val="18"/>
                <w:szCs w:val="18"/>
              </w:rPr>
              <w:t>Income tax benefit (provision)</w:t>
            </w:r>
          </w:p>
        </w:tc>
        <w:tc>
          <w:tcPr>
            <w:tcW w:w="0" w:type="auto"/>
            <w:gridSpan w:val="2"/>
            <w:shd w:val="clear" w:color="auto" w:fill="FFFFFF"/>
            <w:tcMar>
              <w:top w:w="40" w:type="dxa"/>
              <w:left w:w="20" w:type="dxa"/>
              <w:bottom w:w="40" w:type="dxa"/>
              <w:right w:w="0" w:type="dxa"/>
            </w:tcMar>
            <w:vAlign w:val="bottom"/>
          </w:tcPr>
          <w:p w14:paraId="643037A0" w14:textId="77777777" w:rsidR="009F6D8A" w:rsidRDefault="00C50974">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643037A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7A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7A3" w14:textId="77777777" w:rsidR="009F6D8A" w:rsidRDefault="00C50974">
            <w:pPr>
              <w:jc w:val="right"/>
              <w:textAlignment w:val="bottom"/>
            </w:pPr>
            <w:r>
              <w:rPr>
                <w:rFonts w:ascii="Arial" w:eastAsia="宋体"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643037A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7A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7A6" w14:textId="77777777" w:rsidR="009F6D8A" w:rsidRDefault="00C50974">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643037A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7A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7A9" w14:textId="77777777" w:rsidR="009F6D8A" w:rsidRDefault="00C50974">
            <w:pPr>
              <w:jc w:val="right"/>
              <w:textAlignment w:val="bottom"/>
            </w:pPr>
            <w:r>
              <w:rPr>
                <w:rFonts w:ascii="Arial" w:eastAsia="宋体" w:hAnsi="Arial" w:cs="Arial"/>
                <w:color w:val="000000"/>
                <w:sz w:val="18"/>
                <w:szCs w:val="18"/>
              </w:rPr>
              <w:t>(12)</w:t>
            </w:r>
          </w:p>
        </w:tc>
        <w:tc>
          <w:tcPr>
            <w:tcW w:w="0" w:type="auto"/>
            <w:shd w:val="clear" w:color="auto" w:fill="FFFFFF"/>
            <w:tcMar>
              <w:top w:w="40" w:type="dxa"/>
              <w:left w:w="0" w:type="dxa"/>
              <w:bottom w:w="40" w:type="dxa"/>
              <w:right w:w="20" w:type="dxa"/>
            </w:tcMar>
            <w:vAlign w:val="bottom"/>
          </w:tcPr>
          <w:p w14:paraId="643037AA" w14:textId="77777777" w:rsidR="009F6D8A" w:rsidRDefault="009F6D8A">
            <w:pPr>
              <w:jc w:val="right"/>
              <w:rPr>
                <w:rFonts w:ascii="宋体"/>
              </w:rPr>
            </w:pPr>
          </w:p>
        </w:tc>
      </w:tr>
      <w:tr w:rsidR="009F6D8A" w14:paraId="643037BC" w14:textId="77777777">
        <w:tc>
          <w:tcPr>
            <w:tcW w:w="0" w:type="auto"/>
            <w:gridSpan w:val="3"/>
            <w:shd w:val="clear" w:color="auto" w:fill="E1E1E1"/>
            <w:tcMar>
              <w:top w:w="40" w:type="dxa"/>
              <w:left w:w="20" w:type="dxa"/>
              <w:bottom w:w="40" w:type="dxa"/>
              <w:right w:w="20" w:type="dxa"/>
            </w:tcMar>
            <w:vAlign w:val="bottom"/>
          </w:tcPr>
          <w:p w14:paraId="643037AC" w14:textId="77777777" w:rsidR="009F6D8A" w:rsidRDefault="00C50974">
            <w:pPr>
              <w:textAlignment w:val="bottom"/>
            </w:pPr>
            <w:r>
              <w:rPr>
                <w:rFonts w:ascii="Arial" w:eastAsia="宋体" w:hAnsi="Arial" w:cs="Arial"/>
                <w:color w:val="000000"/>
                <w:sz w:val="18"/>
                <w:szCs w:val="18"/>
              </w:rPr>
              <w:t>Income (loss) from discontinued operations, net of income taxes</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7AD"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7AE" w14:textId="77777777" w:rsidR="009F6D8A" w:rsidRDefault="00C50974">
            <w:pPr>
              <w:jc w:val="right"/>
              <w:textAlignment w:val="bottom"/>
            </w:pPr>
            <w:r>
              <w:rPr>
                <w:rFonts w:ascii="Arial" w:eastAsia="宋体" w:hAnsi="Arial" w:cs="Arial"/>
                <w:color w:val="000000"/>
                <w:sz w:val="18"/>
                <w:szCs w:val="18"/>
              </w:rPr>
              <w:t>3 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7AF"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B0"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7B1"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7B2" w14:textId="77777777" w:rsidR="009F6D8A" w:rsidRDefault="00C50974">
            <w:pPr>
              <w:jc w:val="right"/>
              <w:textAlignment w:val="bottom"/>
            </w:pPr>
            <w:r>
              <w:rPr>
                <w:rFonts w:ascii="Arial" w:eastAsia="宋体" w:hAnsi="Arial" w:cs="Arial"/>
                <w:color w:val="000000"/>
                <w:sz w:val="18"/>
                <w:szCs w:val="18"/>
              </w:rPr>
              <w:t>20 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7B3"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B4"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7B5"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7B6" w14:textId="77777777" w:rsidR="009F6D8A" w:rsidRDefault="00C50974">
            <w:pPr>
              <w:jc w:val="right"/>
              <w:textAlignment w:val="bottom"/>
            </w:pPr>
            <w:r>
              <w:rPr>
                <w:rFonts w:ascii="Arial" w:eastAsia="宋体" w:hAnsi="Arial" w:cs="Arial"/>
                <w:color w:val="000000"/>
                <w:sz w:val="18"/>
                <w:szCs w:val="18"/>
              </w:rPr>
              <w:t>4 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7B7"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7B8"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7B9"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7BA" w14:textId="77777777" w:rsidR="009F6D8A" w:rsidRDefault="00C50974">
            <w:pPr>
              <w:jc w:val="right"/>
              <w:textAlignment w:val="bottom"/>
            </w:pPr>
            <w:r>
              <w:rPr>
                <w:rFonts w:ascii="Arial" w:eastAsia="宋体" w:hAnsi="Arial" w:cs="Arial"/>
                <w:color w:val="000000"/>
                <w:sz w:val="18"/>
                <w:szCs w:val="18"/>
              </w:rPr>
              <w:t>30 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7BB" w14:textId="77777777" w:rsidR="009F6D8A" w:rsidRDefault="009F6D8A">
            <w:pPr>
              <w:jc w:val="right"/>
              <w:rPr>
                <w:rFonts w:ascii="宋体"/>
              </w:rPr>
            </w:pPr>
          </w:p>
        </w:tc>
      </w:tr>
    </w:tbl>
    <w:p w14:paraId="643037BD" w14:textId="77777777" w:rsidR="009F6D8A" w:rsidRDefault="00C50974">
      <w:pPr>
        <w:ind w:firstLine="540"/>
        <w:jc w:val="both"/>
      </w:pPr>
      <w:r>
        <w:rPr>
          <w:rFonts w:ascii="Arial" w:eastAsia="宋体" w:hAnsi="Arial" w:cs="Arial"/>
          <w:color w:val="000000"/>
          <w:sz w:val="20"/>
          <w:szCs w:val="20"/>
        </w:rPr>
        <w:t xml:space="preserve">For the three and six months ended June 30, 2021 and 2020, the discontinued operations activity related to our </w:t>
      </w:r>
      <w:r>
        <w:rPr>
          <w:rFonts w:ascii="Arial" w:eastAsia="宋体" w:hAnsi="Arial" w:cs="Arial"/>
          <w:color w:val="000000"/>
          <w:sz w:val="20"/>
          <w:szCs w:val="20"/>
        </w:rPr>
        <w:t xml:space="preserve">former PayPal and Enterprise businesses was immaterial. </w:t>
      </w:r>
    </w:p>
    <w:p w14:paraId="643037BE" w14:textId="77777777" w:rsidR="009F6D8A" w:rsidRDefault="009F6D8A">
      <w:pPr>
        <w:jc w:val="center"/>
      </w:pPr>
    </w:p>
    <w:p w14:paraId="643037BF" w14:textId="77777777" w:rsidR="009F6D8A" w:rsidRDefault="00C50974">
      <w:pPr>
        <w:jc w:val="center"/>
      </w:pPr>
      <w:r>
        <w:rPr>
          <w:rFonts w:ascii="Arial" w:eastAsia="宋体" w:hAnsi="Arial" w:cs="Arial"/>
          <w:color w:val="000000"/>
          <w:sz w:val="20"/>
          <w:szCs w:val="20"/>
        </w:rPr>
        <w:t>16</w:t>
      </w:r>
    </w:p>
    <w:p w14:paraId="643037C0" w14:textId="77777777" w:rsidR="009F6D8A" w:rsidRDefault="00C50974">
      <w:r>
        <w:pict w14:anchorId="64305813">
          <v:rect id="_x0000_i1040" style="width:415.3pt;height:1.5pt" o:hralign="center" o:hrstd="t" o:hr="t" fillcolor="#a0a0a0" stroked="f"/>
        </w:pict>
      </w:r>
    </w:p>
    <w:p w14:paraId="643037C1" w14:textId="77777777" w:rsidR="009F6D8A" w:rsidRDefault="009F6D8A">
      <w:pPr>
        <w:jc w:val="center"/>
      </w:pPr>
    </w:p>
    <w:p w14:paraId="643037C2" w14:textId="77777777" w:rsidR="009F6D8A" w:rsidRDefault="00C50974">
      <w:pPr>
        <w:jc w:val="center"/>
      </w:pPr>
      <w:r>
        <w:rPr>
          <w:rFonts w:ascii="Arial" w:eastAsia="宋体" w:hAnsi="Arial" w:cs="Arial"/>
          <w:b/>
          <w:bCs/>
          <w:color w:val="000000"/>
          <w:sz w:val="20"/>
          <w:szCs w:val="20"/>
        </w:rPr>
        <w:t>eBay Inc.</w:t>
      </w:r>
    </w:p>
    <w:p w14:paraId="643037C3"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37C4" w14:textId="77777777" w:rsidR="009F6D8A" w:rsidRDefault="009F6D8A">
      <w:pPr>
        <w:ind w:firstLine="540"/>
        <w:jc w:val="both"/>
      </w:pPr>
    </w:p>
    <w:p w14:paraId="643037C5" w14:textId="77777777" w:rsidR="009F6D8A" w:rsidRDefault="00C50974">
      <w:pPr>
        <w:spacing w:after="60"/>
        <w:ind w:firstLine="540"/>
        <w:jc w:val="both"/>
      </w:pPr>
      <w:r>
        <w:rPr>
          <w:rFonts w:ascii="Arial" w:eastAsia="宋体" w:hAnsi="Arial" w:cs="Arial"/>
          <w:color w:val="000000"/>
          <w:sz w:val="20"/>
          <w:szCs w:val="20"/>
        </w:rPr>
        <w:t xml:space="preserve">The following table presents the aggregate carrying amounts of assets and liabilities of discontinued </w:t>
      </w:r>
      <w:r>
        <w:rPr>
          <w:rFonts w:ascii="Arial" w:eastAsia="宋体" w:hAnsi="Arial" w:cs="Arial"/>
          <w:color w:val="000000"/>
          <w:sz w:val="20"/>
          <w:szCs w:val="20"/>
        </w:rPr>
        <w:t>operations for Classifieds in the condensed consolidated balance sheet (in millions):</w:t>
      </w:r>
    </w:p>
    <w:tbl>
      <w:tblPr>
        <w:tblW w:w="5000" w:type="pct"/>
        <w:tblCellMar>
          <w:top w:w="15" w:type="dxa"/>
          <w:left w:w="15" w:type="dxa"/>
          <w:bottom w:w="15" w:type="dxa"/>
          <w:right w:w="15" w:type="dxa"/>
        </w:tblCellMar>
        <w:tblLook w:val="04A0" w:firstRow="1" w:lastRow="0" w:firstColumn="1" w:lastColumn="0" w:noHBand="0" w:noVBand="1"/>
      </w:tblPr>
      <w:tblGrid>
        <w:gridCol w:w="45"/>
        <w:gridCol w:w="7116"/>
        <w:gridCol w:w="37"/>
        <w:gridCol w:w="36"/>
        <w:gridCol w:w="36"/>
        <w:gridCol w:w="36"/>
        <w:gridCol w:w="36"/>
        <w:gridCol w:w="122"/>
        <w:gridCol w:w="836"/>
        <w:gridCol w:w="36"/>
      </w:tblGrid>
      <w:tr w:rsidR="009F6D8A" w14:paraId="643037D0" w14:textId="77777777">
        <w:tc>
          <w:tcPr>
            <w:tcW w:w="50" w:type="pct"/>
            <w:shd w:val="clear" w:color="auto" w:fill="auto"/>
            <w:vAlign w:val="bottom"/>
          </w:tcPr>
          <w:p w14:paraId="643037C6" w14:textId="77777777" w:rsidR="009F6D8A" w:rsidRDefault="009F6D8A">
            <w:pPr>
              <w:rPr>
                <w:rFonts w:ascii="宋体"/>
              </w:rPr>
            </w:pPr>
          </w:p>
        </w:tc>
        <w:tc>
          <w:tcPr>
            <w:tcW w:w="4309" w:type="pct"/>
            <w:shd w:val="clear" w:color="auto" w:fill="auto"/>
            <w:vAlign w:val="bottom"/>
          </w:tcPr>
          <w:p w14:paraId="643037C7" w14:textId="77777777" w:rsidR="009F6D8A" w:rsidRDefault="009F6D8A">
            <w:pPr>
              <w:rPr>
                <w:rFonts w:ascii="宋体"/>
              </w:rPr>
            </w:pPr>
          </w:p>
        </w:tc>
        <w:tc>
          <w:tcPr>
            <w:tcW w:w="5" w:type="pct"/>
            <w:shd w:val="clear" w:color="auto" w:fill="auto"/>
            <w:vAlign w:val="bottom"/>
          </w:tcPr>
          <w:p w14:paraId="643037C8" w14:textId="77777777" w:rsidR="009F6D8A" w:rsidRDefault="009F6D8A">
            <w:pPr>
              <w:rPr>
                <w:rFonts w:ascii="宋体"/>
              </w:rPr>
            </w:pPr>
          </w:p>
        </w:tc>
        <w:tc>
          <w:tcPr>
            <w:tcW w:w="0" w:type="auto"/>
            <w:shd w:val="clear" w:color="auto" w:fill="auto"/>
            <w:vAlign w:val="bottom"/>
          </w:tcPr>
          <w:p w14:paraId="643037C9" w14:textId="77777777" w:rsidR="009F6D8A" w:rsidRDefault="009F6D8A">
            <w:pPr>
              <w:rPr>
                <w:rFonts w:ascii="宋体"/>
                <w:vanish/>
              </w:rPr>
            </w:pPr>
          </w:p>
        </w:tc>
        <w:tc>
          <w:tcPr>
            <w:tcW w:w="5" w:type="pct"/>
            <w:shd w:val="clear" w:color="auto" w:fill="auto"/>
            <w:vAlign w:val="bottom"/>
          </w:tcPr>
          <w:p w14:paraId="643037CA" w14:textId="77777777" w:rsidR="009F6D8A" w:rsidRDefault="009F6D8A">
            <w:pPr>
              <w:rPr>
                <w:rFonts w:ascii="宋体"/>
              </w:rPr>
            </w:pPr>
          </w:p>
        </w:tc>
        <w:tc>
          <w:tcPr>
            <w:tcW w:w="41" w:type="pct"/>
            <w:shd w:val="clear" w:color="auto" w:fill="auto"/>
            <w:vAlign w:val="bottom"/>
          </w:tcPr>
          <w:p w14:paraId="643037CB" w14:textId="77777777" w:rsidR="009F6D8A" w:rsidRDefault="009F6D8A">
            <w:pPr>
              <w:rPr>
                <w:rFonts w:ascii="宋体"/>
              </w:rPr>
            </w:pPr>
          </w:p>
        </w:tc>
        <w:tc>
          <w:tcPr>
            <w:tcW w:w="5" w:type="pct"/>
            <w:shd w:val="clear" w:color="auto" w:fill="auto"/>
            <w:vAlign w:val="bottom"/>
          </w:tcPr>
          <w:p w14:paraId="643037CC" w14:textId="77777777" w:rsidR="009F6D8A" w:rsidRDefault="009F6D8A">
            <w:pPr>
              <w:rPr>
                <w:rFonts w:ascii="宋体"/>
              </w:rPr>
            </w:pPr>
          </w:p>
        </w:tc>
        <w:tc>
          <w:tcPr>
            <w:tcW w:w="50" w:type="pct"/>
            <w:shd w:val="clear" w:color="auto" w:fill="auto"/>
            <w:vAlign w:val="bottom"/>
          </w:tcPr>
          <w:p w14:paraId="643037CD" w14:textId="77777777" w:rsidR="009F6D8A" w:rsidRDefault="009F6D8A">
            <w:pPr>
              <w:rPr>
                <w:rFonts w:ascii="宋体"/>
              </w:rPr>
            </w:pPr>
          </w:p>
        </w:tc>
        <w:tc>
          <w:tcPr>
            <w:tcW w:w="529" w:type="pct"/>
            <w:shd w:val="clear" w:color="auto" w:fill="auto"/>
            <w:vAlign w:val="bottom"/>
          </w:tcPr>
          <w:p w14:paraId="643037CE" w14:textId="77777777" w:rsidR="009F6D8A" w:rsidRDefault="009F6D8A">
            <w:pPr>
              <w:rPr>
                <w:rFonts w:ascii="宋体"/>
              </w:rPr>
            </w:pPr>
          </w:p>
        </w:tc>
        <w:tc>
          <w:tcPr>
            <w:tcW w:w="5" w:type="pct"/>
            <w:shd w:val="clear" w:color="auto" w:fill="auto"/>
            <w:vAlign w:val="bottom"/>
          </w:tcPr>
          <w:p w14:paraId="643037CF" w14:textId="77777777" w:rsidR="009F6D8A" w:rsidRDefault="009F6D8A">
            <w:pPr>
              <w:rPr>
                <w:rFonts w:ascii="宋体"/>
              </w:rPr>
            </w:pPr>
          </w:p>
        </w:tc>
      </w:tr>
      <w:tr w:rsidR="009F6D8A" w14:paraId="643037D5" w14:textId="77777777">
        <w:tc>
          <w:tcPr>
            <w:tcW w:w="0" w:type="auto"/>
            <w:gridSpan w:val="3"/>
            <w:shd w:val="clear" w:color="auto" w:fill="auto"/>
            <w:tcMar>
              <w:top w:w="40" w:type="dxa"/>
              <w:left w:w="20" w:type="dxa"/>
              <w:bottom w:w="40" w:type="dxa"/>
              <w:right w:w="20" w:type="dxa"/>
            </w:tcMar>
            <w:vAlign w:val="bottom"/>
          </w:tcPr>
          <w:p w14:paraId="643037D1" w14:textId="77777777" w:rsidR="009F6D8A" w:rsidRDefault="00C50974">
            <w:pPr>
              <w:textAlignment w:val="bottom"/>
            </w:pPr>
            <w:r>
              <w:rPr>
                <w:rFonts w:ascii="Arial" w:eastAsia="宋体" w:hAnsi="Arial" w:cs="Arial"/>
                <w:b/>
                <w:bCs/>
                <w:color w:val="000000"/>
                <w:sz w:val="18"/>
                <w:szCs w:val="18"/>
              </w:rPr>
              <w:t> </w:t>
            </w:r>
          </w:p>
        </w:tc>
        <w:tc>
          <w:tcPr>
            <w:tcW w:w="0" w:type="auto"/>
            <w:shd w:val="clear" w:color="auto" w:fill="auto"/>
            <w:vAlign w:val="bottom"/>
          </w:tcPr>
          <w:p w14:paraId="643037D2" w14:textId="77777777" w:rsidR="009F6D8A" w:rsidRDefault="009F6D8A">
            <w:pPr>
              <w:rPr>
                <w:rFonts w:ascii="宋体"/>
                <w:vanish/>
              </w:rPr>
            </w:pPr>
          </w:p>
        </w:tc>
        <w:tc>
          <w:tcPr>
            <w:tcW w:w="0" w:type="auto"/>
            <w:gridSpan w:val="3"/>
            <w:shd w:val="clear" w:color="auto" w:fill="auto"/>
            <w:tcMar>
              <w:top w:w="0" w:type="dxa"/>
              <w:left w:w="20" w:type="dxa"/>
              <w:bottom w:w="0" w:type="dxa"/>
              <w:right w:w="20" w:type="dxa"/>
            </w:tcMar>
            <w:vAlign w:val="bottom"/>
          </w:tcPr>
          <w:p w14:paraId="643037D3"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37D4" w14:textId="77777777" w:rsidR="009F6D8A" w:rsidRDefault="00C50974">
            <w:pPr>
              <w:jc w:val="center"/>
              <w:textAlignment w:val="bottom"/>
            </w:pPr>
            <w:r>
              <w:rPr>
                <w:rFonts w:ascii="Arial" w:eastAsia="宋体" w:hAnsi="Arial" w:cs="Arial"/>
                <w:b/>
                <w:bCs/>
                <w:color w:val="000000"/>
                <w:sz w:val="16"/>
                <w:szCs w:val="16"/>
              </w:rPr>
              <w:t>December 31, 2020</w:t>
            </w:r>
          </w:p>
        </w:tc>
      </w:tr>
      <w:tr w:rsidR="009F6D8A" w14:paraId="643037DA" w14:textId="77777777">
        <w:tc>
          <w:tcPr>
            <w:tcW w:w="0" w:type="auto"/>
            <w:gridSpan w:val="3"/>
            <w:shd w:val="clear" w:color="auto" w:fill="E1E1E1"/>
            <w:tcMar>
              <w:top w:w="40" w:type="dxa"/>
              <w:left w:w="20" w:type="dxa"/>
              <w:bottom w:w="40" w:type="dxa"/>
              <w:right w:w="20" w:type="dxa"/>
            </w:tcMar>
            <w:vAlign w:val="bottom"/>
          </w:tcPr>
          <w:p w14:paraId="643037D6" w14:textId="77777777" w:rsidR="009F6D8A" w:rsidRDefault="00C50974">
            <w:pPr>
              <w:textAlignment w:val="bottom"/>
            </w:pPr>
            <w:r>
              <w:rPr>
                <w:rFonts w:ascii="Arial" w:eastAsia="宋体" w:hAnsi="Arial" w:cs="Arial"/>
                <w:color w:val="000000"/>
                <w:sz w:val="18"/>
                <w:szCs w:val="18"/>
              </w:rPr>
              <w:t>Carrying amounts of assets included as part of discontinued operations:</w:t>
            </w:r>
          </w:p>
        </w:tc>
        <w:tc>
          <w:tcPr>
            <w:tcW w:w="0" w:type="auto"/>
            <w:shd w:val="clear" w:color="auto" w:fill="auto"/>
            <w:vAlign w:val="bottom"/>
          </w:tcPr>
          <w:p w14:paraId="643037D7" w14:textId="77777777" w:rsidR="009F6D8A" w:rsidRDefault="009F6D8A">
            <w:pPr>
              <w:rPr>
                <w:rFonts w:ascii="宋体"/>
                <w:vanish/>
              </w:rPr>
            </w:pPr>
          </w:p>
        </w:tc>
        <w:tc>
          <w:tcPr>
            <w:tcW w:w="0" w:type="auto"/>
            <w:gridSpan w:val="3"/>
            <w:shd w:val="clear" w:color="auto" w:fill="E1E1E1"/>
            <w:tcMar>
              <w:top w:w="0" w:type="dxa"/>
              <w:left w:w="20" w:type="dxa"/>
              <w:bottom w:w="0" w:type="dxa"/>
              <w:right w:w="20" w:type="dxa"/>
            </w:tcMar>
            <w:vAlign w:val="bottom"/>
          </w:tcPr>
          <w:p w14:paraId="643037D8" w14:textId="77777777" w:rsidR="009F6D8A" w:rsidRDefault="009F6D8A">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43037D9" w14:textId="77777777" w:rsidR="009F6D8A" w:rsidRDefault="009F6D8A">
            <w:pPr>
              <w:rPr>
                <w:rFonts w:ascii="宋体"/>
              </w:rPr>
            </w:pPr>
          </w:p>
        </w:tc>
      </w:tr>
      <w:tr w:rsidR="009F6D8A" w14:paraId="643037E1" w14:textId="77777777">
        <w:tc>
          <w:tcPr>
            <w:tcW w:w="0" w:type="auto"/>
            <w:gridSpan w:val="3"/>
            <w:shd w:val="clear" w:color="auto" w:fill="FFFFFF"/>
            <w:tcMar>
              <w:top w:w="40" w:type="dxa"/>
              <w:left w:w="20" w:type="dxa"/>
              <w:bottom w:w="40" w:type="dxa"/>
              <w:right w:w="20" w:type="dxa"/>
            </w:tcMar>
            <w:vAlign w:val="bottom"/>
          </w:tcPr>
          <w:p w14:paraId="643037DB" w14:textId="77777777" w:rsidR="009F6D8A" w:rsidRDefault="00C50974">
            <w:pPr>
              <w:textAlignment w:val="bottom"/>
            </w:pPr>
            <w:r>
              <w:rPr>
                <w:rFonts w:ascii="Arial" w:eastAsia="宋体" w:hAnsi="Arial" w:cs="Arial"/>
                <w:color w:val="000000"/>
                <w:sz w:val="18"/>
                <w:szCs w:val="18"/>
              </w:rPr>
              <w:t>Cash and cash equivalents</w:t>
            </w:r>
          </w:p>
        </w:tc>
        <w:tc>
          <w:tcPr>
            <w:tcW w:w="0" w:type="auto"/>
            <w:shd w:val="clear" w:color="auto" w:fill="auto"/>
            <w:vAlign w:val="bottom"/>
          </w:tcPr>
          <w:p w14:paraId="643037DC" w14:textId="77777777" w:rsidR="009F6D8A" w:rsidRDefault="009F6D8A">
            <w:pPr>
              <w:rPr>
                <w:rFonts w:ascii="宋体"/>
                <w:vanish/>
              </w:rPr>
            </w:pPr>
          </w:p>
        </w:tc>
        <w:tc>
          <w:tcPr>
            <w:tcW w:w="0" w:type="auto"/>
            <w:gridSpan w:val="3"/>
            <w:shd w:val="clear" w:color="auto" w:fill="FFFFFF"/>
            <w:tcMar>
              <w:top w:w="0" w:type="dxa"/>
              <w:left w:w="20" w:type="dxa"/>
              <w:bottom w:w="0" w:type="dxa"/>
              <w:right w:w="20" w:type="dxa"/>
            </w:tcMar>
            <w:vAlign w:val="bottom"/>
          </w:tcPr>
          <w:p w14:paraId="643037DD"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7DE"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7DF" w14:textId="77777777" w:rsidR="009F6D8A" w:rsidRDefault="00C50974">
            <w:pPr>
              <w:jc w:val="right"/>
              <w:textAlignment w:val="bottom"/>
            </w:pPr>
            <w:r>
              <w:rPr>
                <w:rFonts w:ascii="Arial" w:eastAsia="宋体" w:hAnsi="Arial" w:cs="Arial"/>
                <w:color w:val="000000"/>
                <w:sz w:val="18"/>
                <w:szCs w:val="18"/>
              </w:rPr>
              <w:t>23 </w:t>
            </w:r>
          </w:p>
        </w:tc>
        <w:tc>
          <w:tcPr>
            <w:tcW w:w="0" w:type="auto"/>
            <w:shd w:val="clear" w:color="auto" w:fill="FFFFFF"/>
            <w:tcMar>
              <w:top w:w="40" w:type="dxa"/>
              <w:left w:w="0" w:type="dxa"/>
              <w:bottom w:w="40" w:type="dxa"/>
              <w:right w:w="20" w:type="dxa"/>
            </w:tcMar>
            <w:vAlign w:val="bottom"/>
          </w:tcPr>
          <w:p w14:paraId="643037E0" w14:textId="77777777" w:rsidR="009F6D8A" w:rsidRDefault="009F6D8A">
            <w:pPr>
              <w:jc w:val="right"/>
              <w:rPr>
                <w:rFonts w:ascii="宋体"/>
              </w:rPr>
            </w:pPr>
          </w:p>
        </w:tc>
      </w:tr>
      <w:tr w:rsidR="009F6D8A" w14:paraId="643037E7" w14:textId="77777777">
        <w:tc>
          <w:tcPr>
            <w:tcW w:w="0" w:type="auto"/>
            <w:gridSpan w:val="3"/>
            <w:shd w:val="clear" w:color="auto" w:fill="E1E1E1"/>
            <w:tcMar>
              <w:top w:w="40" w:type="dxa"/>
              <w:left w:w="20" w:type="dxa"/>
              <w:bottom w:w="40" w:type="dxa"/>
              <w:right w:w="20" w:type="dxa"/>
            </w:tcMar>
            <w:vAlign w:val="bottom"/>
          </w:tcPr>
          <w:p w14:paraId="643037E2" w14:textId="77777777" w:rsidR="009F6D8A" w:rsidRDefault="00C50974">
            <w:pPr>
              <w:textAlignment w:val="bottom"/>
            </w:pPr>
            <w:r>
              <w:rPr>
                <w:rFonts w:ascii="Arial" w:eastAsia="宋体" w:hAnsi="Arial" w:cs="Arial"/>
                <w:color w:val="000000"/>
                <w:sz w:val="18"/>
                <w:szCs w:val="18"/>
              </w:rPr>
              <w:t xml:space="preserve">Accounts </w:t>
            </w:r>
            <w:r>
              <w:rPr>
                <w:rFonts w:ascii="Arial" w:eastAsia="宋体" w:hAnsi="Arial" w:cs="Arial"/>
                <w:color w:val="000000"/>
                <w:sz w:val="18"/>
                <w:szCs w:val="18"/>
              </w:rPr>
              <w:t>receivable, net</w:t>
            </w:r>
          </w:p>
        </w:tc>
        <w:tc>
          <w:tcPr>
            <w:tcW w:w="0" w:type="auto"/>
            <w:shd w:val="clear" w:color="auto" w:fill="auto"/>
            <w:vAlign w:val="bottom"/>
          </w:tcPr>
          <w:p w14:paraId="643037E3" w14:textId="77777777" w:rsidR="009F6D8A" w:rsidRDefault="009F6D8A">
            <w:pPr>
              <w:rPr>
                <w:rFonts w:ascii="宋体"/>
                <w:vanish/>
              </w:rPr>
            </w:pPr>
          </w:p>
        </w:tc>
        <w:tc>
          <w:tcPr>
            <w:tcW w:w="0" w:type="auto"/>
            <w:gridSpan w:val="3"/>
            <w:shd w:val="clear" w:color="auto" w:fill="E1E1E1"/>
            <w:tcMar>
              <w:top w:w="0" w:type="dxa"/>
              <w:left w:w="20" w:type="dxa"/>
              <w:bottom w:w="0" w:type="dxa"/>
              <w:right w:w="20" w:type="dxa"/>
            </w:tcMar>
            <w:vAlign w:val="bottom"/>
          </w:tcPr>
          <w:p w14:paraId="643037E4"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7E5" w14:textId="77777777" w:rsidR="009F6D8A" w:rsidRDefault="00C50974">
            <w:pPr>
              <w:jc w:val="right"/>
              <w:textAlignment w:val="bottom"/>
            </w:pPr>
            <w:r>
              <w:rPr>
                <w:rFonts w:ascii="Arial" w:eastAsia="宋体" w:hAnsi="Arial" w:cs="Arial"/>
                <w:color w:val="000000"/>
                <w:sz w:val="18"/>
                <w:szCs w:val="18"/>
              </w:rPr>
              <w:t>117 </w:t>
            </w:r>
          </w:p>
        </w:tc>
        <w:tc>
          <w:tcPr>
            <w:tcW w:w="0" w:type="auto"/>
            <w:shd w:val="clear" w:color="auto" w:fill="E1E1E1"/>
            <w:tcMar>
              <w:top w:w="40" w:type="dxa"/>
              <w:left w:w="0" w:type="dxa"/>
              <w:bottom w:w="40" w:type="dxa"/>
              <w:right w:w="20" w:type="dxa"/>
            </w:tcMar>
            <w:vAlign w:val="bottom"/>
          </w:tcPr>
          <w:p w14:paraId="643037E6" w14:textId="77777777" w:rsidR="009F6D8A" w:rsidRDefault="009F6D8A">
            <w:pPr>
              <w:jc w:val="right"/>
              <w:rPr>
                <w:rFonts w:ascii="宋体"/>
              </w:rPr>
            </w:pPr>
          </w:p>
        </w:tc>
      </w:tr>
      <w:tr w:rsidR="009F6D8A" w14:paraId="643037ED" w14:textId="77777777">
        <w:tc>
          <w:tcPr>
            <w:tcW w:w="0" w:type="auto"/>
            <w:gridSpan w:val="3"/>
            <w:shd w:val="clear" w:color="auto" w:fill="FFFFFF"/>
            <w:tcMar>
              <w:top w:w="40" w:type="dxa"/>
              <w:left w:w="20" w:type="dxa"/>
              <w:bottom w:w="40" w:type="dxa"/>
              <w:right w:w="20" w:type="dxa"/>
            </w:tcMar>
            <w:vAlign w:val="bottom"/>
          </w:tcPr>
          <w:p w14:paraId="643037E8" w14:textId="77777777" w:rsidR="009F6D8A" w:rsidRDefault="00C50974">
            <w:pPr>
              <w:textAlignment w:val="bottom"/>
            </w:pPr>
            <w:r>
              <w:rPr>
                <w:rFonts w:ascii="Arial" w:eastAsia="宋体" w:hAnsi="Arial" w:cs="Arial"/>
                <w:color w:val="000000"/>
                <w:sz w:val="18"/>
                <w:szCs w:val="18"/>
              </w:rPr>
              <w:t>Other current assets</w:t>
            </w:r>
          </w:p>
        </w:tc>
        <w:tc>
          <w:tcPr>
            <w:tcW w:w="0" w:type="auto"/>
            <w:shd w:val="clear" w:color="auto" w:fill="auto"/>
            <w:vAlign w:val="bottom"/>
          </w:tcPr>
          <w:p w14:paraId="643037E9" w14:textId="77777777" w:rsidR="009F6D8A" w:rsidRDefault="009F6D8A">
            <w:pPr>
              <w:rPr>
                <w:rFonts w:ascii="宋体"/>
                <w:vanish/>
              </w:rPr>
            </w:pPr>
          </w:p>
        </w:tc>
        <w:tc>
          <w:tcPr>
            <w:tcW w:w="0" w:type="auto"/>
            <w:gridSpan w:val="3"/>
            <w:shd w:val="clear" w:color="auto" w:fill="FFFFFF"/>
            <w:tcMar>
              <w:top w:w="0" w:type="dxa"/>
              <w:left w:w="20" w:type="dxa"/>
              <w:bottom w:w="0" w:type="dxa"/>
              <w:right w:w="20" w:type="dxa"/>
            </w:tcMar>
            <w:vAlign w:val="bottom"/>
          </w:tcPr>
          <w:p w14:paraId="643037E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7EB" w14:textId="77777777" w:rsidR="009F6D8A" w:rsidRDefault="00C50974">
            <w:pPr>
              <w:jc w:val="right"/>
              <w:textAlignment w:val="bottom"/>
            </w:pPr>
            <w:r>
              <w:rPr>
                <w:rFonts w:ascii="Arial" w:eastAsia="宋体" w:hAnsi="Arial" w:cs="Arial"/>
                <w:color w:val="000000"/>
                <w:sz w:val="18"/>
                <w:szCs w:val="18"/>
              </w:rPr>
              <w:t>30 </w:t>
            </w:r>
          </w:p>
        </w:tc>
        <w:tc>
          <w:tcPr>
            <w:tcW w:w="0" w:type="auto"/>
            <w:shd w:val="clear" w:color="auto" w:fill="FFFFFF"/>
            <w:tcMar>
              <w:top w:w="40" w:type="dxa"/>
              <w:left w:w="0" w:type="dxa"/>
              <w:bottom w:w="40" w:type="dxa"/>
              <w:right w:w="20" w:type="dxa"/>
            </w:tcMar>
            <w:vAlign w:val="bottom"/>
          </w:tcPr>
          <w:p w14:paraId="643037EC" w14:textId="77777777" w:rsidR="009F6D8A" w:rsidRDefault="009F6D8A">
            <w:pPr>
              <w:jc w:val="right"/>
              <w:rPr>
                <w:rFonts w:ascii="宋体"/>
              </w:rPr>
            </w:pPr>
          </w:p>
        </w:tc>
      </w:tr>
      <w:tr w:rsidR="009F6D8A" w14:paraId="643037F3" w14:textId="77777777">
        <w:tc>
          <w:tcPr>
            <w:tcW w:w="0" w:type="auto"/>
            <w:gridSpan w:val="3"/>
            <w:shd w:val="clear" w:color="auto" w:fill="E1E1E1"/>
            <w:tcMar>
              <w:top w:w="40" w:type="dxa"/>
              <w:left w:w="20" w:type="dxa"/>
              <w:bottom w:w="40" w:type="dxa"/>
              <w:right w:w="20" w:type="dxa"/>
            </w:tcMar>
            <w:vAlign w:val="bottom"/>
          </w:tcPr>
          <w:p w14:paraId="643037EE" w14:textId="77777777" w:rsidR="009F6D8A" w:rsidRDefault="00C50974">
            <w:pPr>
              <w:textAlignment w:val="bottom"/>
            </w:pPr>
            <w:r>
              <w:rPr>
                <w:rFonts w:ascii="Arial" w:eastAsia="宋体" w:hAnsi="Arial" w:cs="Arial"/>
                <w:color w:val="000000"/>
                <w:sz w:val="18"/>
                <w:szCs w:val="18"/>
              </w:rPr>
              <w:t>Long-term investments</w:t>
            </w:r>
          </w:p>
        </w:tc>
        <w:tc>
          <w:tcPr>
            <w:tcW w:w="0" w:type="auto"/>
            <w:shd w:val="clear" w:color="auto" w:fill="auto"/>
            <w:vAlign w:val="bottom"/>
          </w:tcPr>
          <w:p w14:paraId="643037EF" w14:textId="77777777" w:rsidR="009F6D8A" w:rsidRDefault="009F6D8A">
            <w:pPr>
              <w:rPr>
                <w:rFonts w:ascii="宋体"/>
                <w:vanish/>
              </w:rPr>
            </w:pPr>
          </w:p>
        </w:tc>
        <w:tc>
          <w:tcPr>
            <w:tcW w:w="0" w:type="auto"/>
            <w:gridSpan w:val="3"/>
            <w:shd w:val="clear" w:color="auto" w:fill="E1E1E1"/>
            <w:tcMar>
              <w:top w:w="0" w:type="dxa"/>
              <w:left w:w="20" w:type="dxa"/>
              <w:bottom w:w="0" w:type="dxa"/>
              <w:right w:w="20" w:type="dxa"/>
            </w:tcMar>
            <w:vAlign w:val="bottom"/>
          </w:tcPr>
          <w:p w14:paraId="643037F0"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7F1" w14:textId="77777777" w:rsidR="009F6D8A" w:rsidRDefault="00C50974">
            <w:pPr>
              <w:jc w:val="right"/>
              <w:textAlignment w:val="bottom"/>
            </w:pPr>
            <w:r>
              <w:rPr>
                <w:rFonts w:ascii="Arial" w:eastAsia="宋体" w:hAnsi="Arial" w:cs="Arial"/>
                <w:color w:val="000000"/>
                <w:sz w:val="18"/>
                <w:szCs w:val="18"/>
              </w:rPr>
              <w:t>32 </w:t>
            </w:r>
          </w:p>
        </w:tc>
        <w:tc>
          <w:tcPr>
            <w:tcW w:w="0" w:type="auto"/>
            <w:shd w:val="clear" w:color="auto" w:fill="E1E1E1"/>
            <w:tcMar>
              <w:top w:w="40" w:type="dxa"/>
              <w:left w:w="0" w:type="dxa"/>
              <w:bottom w:w="40" w:type="dxa"/>
              <w:right w:w="20" w:type="dxa"/>
            </w:tcMar>
            <w:vAlign w:val="bottom"/>
          </w:tcPr>
          <w:p w14:paraId="643037F2" w14:textId="77777777" w:rsidR="009F6D8A" w:rsidRDefault="009F6D8A">
            <w:pPr>
              <w:jc w:val="right"/>
              <w:rPr>
                <w:rFonts w:ascii="宋体"/>
              </w:rPr>
            </w:pPr>
          </w:p>
        </w:tc>
      </w:tr>
      <w:tr w:rsidR="009F6D8A" w14:paraId="643037F9" w14:textId="77777777">
        <w:tc>
          <w:tcPr>
            <w:tcW w:w="0" w:type="auto"/>
            <w:gridSpan w:val="3"/>
            <w:shd w:val="clear" w:color="auto" w:fill="FFFFFF"/>
            <w:tcMar>
              <w:top w:w="40" w:type="dxa"/>
              <w:left w:w="20" w:type="dxa"/>
              <w:bottom w:w="40" w:type="dxa"/>
              <w:right w:w="20" w:type="dxa"/>
            </w:tcMar>
            <w:vAlign w:val="bottom"/>
          </w:tcPr>
          <w:p w14:paraId="643037F4" w14:textId="77777777" w:rsidR="009F6D8A" w:rsidRDefault="00C50974">
            <w:pPr>
              <w:textAlignment w:val="bottom"/>
            </w:pPr>
            <w:r>
              <w:rPr>
                <w:rFonts w:ascii="Arial" w:eastAsia="宋体" w:hAnsi="Arial" w:cs="Arial"/>
                <w:color w:val="000000"/>
                <w:sz w:val="18"/>
                <w:szCs w:val="18"/>
              </w:rPr>
              <w:t>Property and equipment, net</w:t>
            </w:r>
          </w:p>
        </w:tc>
        <w:tc>
          <w:tcPr>
            <w:tcW w:w="0" w:type="auto"/>
            <w:shd w:val="clear" w:color="auto" w:fill="auto"/>
            <w:vAlign w:val="bottom"/>
          </w:tcPr>
          <w:p w14:paraId="643037F5" w14:textId="77777777" w:rsidR="009F6D8A" w:rsidRDefault="009F6D8A">
            <w:pPr>
              <w:rPr>
                <w:rFonts w:ascii="宋体"/>
                <w:vanish/>
              </w:rPr>
            </w:pPr>
          </w:p>
        </w:tc>
        <w:tc>
          <w:tcPr>
            <w:tcW w:w="0" w:type="auto"/>
            <w:gridSpan w:val="3"/>
            <w:shd w:val="clear" w:color="auto" w:fill="FFFFFF"/>
            <w:tcMar>
              <w:top w:w="0" w:type="dxa"/>
              <w:left w:w="20" w:type="dxa"/>
              <w:bottom w:w="0" w:type="dxa"/>
              <w:right w:w="20" w:type="dxa"/>
            </w:tcMar>
            <w:vAlign w:val="bottom"/>
          </w:tcPr>
          <w:p w14:paraId="643037F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7F7" w14:textId="77777777" w:rsidR="009F6D8A" w:rsidRDefault="00C50974">
            <w:pPr>
              <w:jc w:val="right"/>
              <w:textAlignment w:val="bottom"/>
            </w:pPr>
            <w:r>
              <w:rPr>
                <w:rFonts w:ascii="Arial" w:eastAsia="宋体" w:hAnsi="Arial" w:cs="Arial"/>
                <w:color w:val="000000"/>
                <w:sz w:val="18"/>
                <w:szCs w:val="18"/>
              </w:rPr>
              <w:t>31 </w:t>
            </w:r>
          </w:p>
        </w:tc>
        <w:tc>
          <w:tcPr>
            <w:tcW w:w="0" w:type="auto"/>
            <w:shd w:val="clear" w:color="auto" w:fill="FFFFFF"/>
            <w:tcMar>
              <w:top w:w="40" w:type="dxa"/>
              <w:left w:w="0" w:type="dxa"/>
              <w:bottom w:w="40" w:type="dxa"/>
              <w:right w:w="20" w:type="dxa"/>
            </w:tcMar>
            <w:vAlign w:val="bottom"/>
          </w:tcPr>
          <w:p w14:paraId="643037F8" w14:textId="77777777" w:rsidR="009F6D8A" w:rsidRDefault="009F6D8A">
            <w:pPr>
              <w:jc w:val="right"/>
              <w:rPr>
                <w:rFonts w:ascii="宋体"/>
              </w:rPr>
            </w:pPr>
          </w:p>
        </w:tc>
      </w:tr>
      <w:tr w:rsidR="009F6D8A" w14:paraId="643037FF" w14:textId="77777777">
        <w:tc>
          <w:tcPr>
            <w:tcW w:w="0" w:type="auto"/>
            <w:gridSpan w:val="3"/>
            <w:shd w:val="clear" w:color="auto" w:fill="E1E1E1"/>
            <w:tcMar>
              <w:top w:w="40" w:type="dxa"/>
              <w:left w:w="20" w:type="dxa"/>
              <w:bottom w:w="40" w:type="dxa"/>
              <w:right w:w="20" w:type="dxa"/>
            </w:tcMar>
            <w:vAlign w:val="bottom"/>
          </w:tcPr>
          <w:p w14:paraId="643037FA" w14:textId="77777777" w:rsidR="009F6D8A" w:rsidRDefault="00C50974">
            <w:pPr>
              <w:textAlignment w:val="bottom"/>
            </w:pPr>
            <w:r>
              <w:rPr>
                <w:rFonts w:ascii="Arial" w:eastAsia="宋体" w:hAnsi="Arial" w:cs="Arial"/>
                <w:color w:val="000000"/>
                <w:sz w:val="18"/>
                <w:szCs w:val="18"/>
              </w:rPr>
              <w:t>Goodwill</w:t>
            </w:r>
          </w:p>
        </w:tc>
        <w:tc>
          <w:tcPr>
            <w:tcW w:w="0" w:type="auto"/>
            <w:shd w:val="clear" w:color="auto" w:fill="auto"/>
            <w:vAlign w:val="bottom"/>
          </w:tcPr>
          <w:p w14:paraId="643037FB" w14:textId="77777777" w:rsidR="009F6D8A" w:rsidRDefault="009F6D8A">
            <w:pPr>
              <w:rPr>
                <w:rFonts w:ascii="宋体"/>
                <w:vanish/>
              </w:rPr>
            </w:pPr>
          </w:p>
        </w:tc>
        <w:tc>
          <w:tcPr>
            <w:tcW w:w="0" w:type="auto"/>
            <w:gridSpan w:val="3"/>
            <w:shd w:val="clear" w:color="auto" w:fill="E1E1E1"/>
            <w:tcMar>
              <w:top w:w="0" w:type="dxa"/>
              <w:left w:w="20" w:type="dxa"/>
              <w:bottom w:w="0" w:type="dxa"/>
              <w:right w:w="20" w:type="dxa"/>
            </w:tcMar>
            <w:vAlign w:val="bottom"/>
          </w:tcPr>
          <w:p w14:paraId="643037FC"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7FD" w14:textId="77777777" w:rsidR="009F6D8A" w:rsidRDefault="00C50974">
            <w:pPr>
              <w:jc w:val="right"/>
              <w:textAlignment w:val="bottom"/>
            </w:pPr>
            <w:r>
              <w:rPr>
                <w:rFonts w:ascii="Arial" w:eastAsia="宋体" w:hAnsi="Arial" w:cs="Arial"/>
                <w:color w:val="000000"/>
                <w:sz w:val="18"/>
                <w:szCs w:val="18"/>
              </w:rPr>
              <w:t>465 </w:t>
            </w:r>
          </w:p>
        </w:tc>
        <w:tc>
          <w:tcPr>
            <w:tcW w:w="0" w:type="auto"/>
            <w:shd w:val="clear" w:color="auto" w:fill="E1E1E1"/>
            <w:tcMar>
              <w:top w:w="40" w:type="dxa"/>
              <w:left w:w="0" w:type="dxa"/>
              <w:bottom w:w="40" w:type="dxa"/>
              <w:right w:w="20" w:type="dxa"/>
            </w:tcMar>
            <w:vAlign w:val="bottom"/>
          </w:tcPr>
          <w:p w14:paraId="643037FE" w14:textId="77777777" w:rsidR="009F6D8A" w:rsidRDefault="009F6D8A">
            <w:pPr>
              <w:jc w:val="right"/>
              <w:rPr>
                <w:rFonts w:ascii="宋体"/>
              </w:rPr>
            </w:pPr>
          </w:p>
        </w:tc>
      </w:tr>
      <w:tr w:rsidR="009F6D8A" w14:paraId="64303805" w14:textId="77777777">
        <w:tc>
          <w:tcPr>
            <w:tcW w:w="0" w:type="auto"/>
            <w:gridSpan w:val="3"/>
            <w:shd w:val="clear" w:color="auto" w:fill="FFFFFF"/>
            <w:tcMar>
              <w:top w:w="40" w:type="dxa"/>
              <w:left w:w="20" w:type="dxa"/>
              <w:bottom w:w="40" w:type="dxa"/>
              <w:right w:w="20" w:type="dxa"/>
            </w:tcMar>
            <w:vAlign w:val="bottom"/>
          </w:tcPr>
          <w:p w14:paraId="64303800" w14:textId="77777777" w:rsidR="009F6D8A" w:rsidRDefault="00C50974">
            <w:pPr>
              <w:textAlignment w:val="bottom"/>
            </w:pPr>
            <w:r>
              <w:rPr>
                <w:rFonts w:ascii="Arial" w:eastAsia="宋体" w:hAnsi="Arial" w:cs="Arial"/>
                <w:color w:val="000000"/>
                <w:sz w:val="18"/>
                <w:szCs w:val="18"/>
              </w:rPr>
              <w:t>Intangible assets, net</w:t>
            </w:r>
          </w:p>
        </w:tc>
        <w:tc>
          <w:tcPr>
            <w:tcW w:w="0" w:type="auto"/>
            <w:shd w:val="clear" w:color="auto" w:fill="auto"/>
            <w:vAlign w:val="bottom"/>
          </w:tcPr>
          <w:p w14:paraId="64303801" w14:textId="77777777" w:rsidR="009F6D8A" w:rsidRDefault="009F6D8A">
            <w:pPr>
              <w:rPr>
                <w:rFonts w:ascii="宋体"/>
                <w:vanish/>
              </w:rPr>
            </w:pPr>
          </w:p>
        </w:tc>
        <w:tc>
          <w:tcPr>
            <w:tcW w:w="0" w:type="auto"/>
            <w:gridSpan w:val="3"/>
            <w:shd w:val="clear" w:color="auto" w:fill="FFFFFF"/>
            <w:tcMar>
              <w:top w:w="0" w:type="dxa"/>
              <w:left w:w="20" w:type="dxa"/>
              <w:bottom w:w="0" w:type="dxa"/>
              <w:right w:w="20" w:type="dxa"/>
            </w:tcMar>
            <w:vAlign w:val="bottom"/>
          </w:tcPr>
          <w:p w14:paraId="6430380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803" w14:textId="77777777" w:rsidR="009F6D8A" w:rsidRDefault="00C50974">
            <w:pPr>
              <w:jc w:val="right"/>
              <w:textAlignment w:val="bottom"/>
            </w:pPr>
            <w:r>
              <w:rPr>
                <w:rFonts w:ascii="Arial" w:eastAsia="宋体" w:hAnsi="Arial" w:cs="Arial"/>
                <w:color w:val="000000"/>
                <w:sz w:val="18"/>
                <w:szCs w:val="18"/>
              </w:rPr>
              <w:t>35 </w:t>
            </w:r>
          </w:p>
        </w:tc>
        <w:tc>
          <w:tcPr>
            <w:tcW w:w="0" w:type="auto"/>
            <w:shd w:val="clear" w:color="auto" w:fill="FFFFFF"/>
            <w:tcMar>
              <w:top w:w="40" w:type="dxa"/>
              <w:left w:w="0" w:type="dxa"/>
              <w:bottom w:w="40" w:type="dxa"/>
              <w:right w:w="20" w:type="dxa"/>
            </w:tcMar>
            <w:vAlign w:val="bottom"/>
          </w:tcPr>
          <w:p w14:paraId="64303804" w14:textId="77777777" w:rsidR="009F6D8A" w:rsidRDefault="009F6D8A">
            <w:pPr>
              <w:jc w:val="right"/>
              <w:rPr>
                <w:rFonts w:ascii="宋体"/>
              </w:rPr>
            </w:pPr>
          </w:p>
        </w:tc>
      </w:tr>
      <w:tr w:rsidR="009F6D8A" w14:paraId="6430380B" w14:textId="77777777">
        <w:tc>
          <w:tcPr>
            <w:tcW w:w="0" w:type="auto"/>
            <w:gridSpan w:val="3"/>
            <w:shd w:val="clear" w:color="auto" w:fill="E1E1E1"/>
            <w:tcMar>
              <w:top w:w="40" w:type="dxa"/>
              <w:left w:w="20" w:type="dxa"/>
              <w:bottom w:w="40" w:type="dxa"/>
              <w:right w:w="20" w:type="dxa"/>
            </w:tcMar>
            <w:vAlign w:val="bottom"/>
          </w:tcPr>
          <w:p w14:paraId="64303806" w14:textId="77777777" w:rsidR="009F6D8A" w:rsidRDefault="00C50974">
            <w:pPr>
              <w:textAlignment w:val="bottom"/>
            </w:pPr>
            <w:r>
              <w:rPr>
                <w:rFonts w:ascii="Arial" w:eastAsia="宋体" w:hAnsi="Arial" w:cs="Arial"/>
                <w:color w:val="000000"/>
                <w:sz w:val="18"/>
                <w:szCs w:val="18"/>
              </w:rPr>
              <w:t>Operating lease right-of-use assets</w:t>
            </w:r>
          </w:p>
        </w:tc>
        <w:tc>
          <w:tcPr>
            <w:tcW w:w="0" w:type="auto"/>
            <w:shd w:val="clear" w:color="auto" w:fill="auto"/>
            <w:vAlign w:val="bottom"/>
          </w:tcPr>
          <w:p w14:paraId="64303807" w14:textId="77777777" w:rsidR="009F6D8A" w:rsidRDefault="009F6D8A">
            <w:pPr>
              <w:rPr>
                <w:rFonts w:ascii="宋体"/>
                <w:vanish/>
              </w:rPr>
            </w:pPr>
          </w:p>
        </w:tc>
        <w:tc>
          <w:tcPr>
            <w:tcW w:w="0" w:type="auto"/>
            <w:gridSpan w:val="3"/>
            <w:shd w:val="clear" w:color="auto" w:fill="E1E1E1"/>
            <w:tcMar>
              <w:top w:w="0" w:type="dxa"/>
              <w:left w:w="20" w:type="dxa"/>
              <w:bottom w:w="0" w:type="dxa"/>
              <w:right w:w="20" w:type="dxa"/>
            </w:tcMar>
            <w:vAlign w:val="bottom"/>
          </w:tcPr>
          <w:p w14:paraId="64303808"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809" w14:textId="77777777" w:rsidR="009F6D8A" w:rsidRDefault="00C50974">
            <w:pPr>
              <w:jc w:val="right"/>
              <w:textAlignment w:val="bottom"/>
            </w:pPr>
            <w:r>
              <w:rPr>
                <w:rFonts w:ascii="Arial" w:eastAsia="宋体" w:hAnsi="Arial" w:cs="Arial"/>
                <w:color w:val="000000"/>
                <w:sz w:val="18"/>
                <w:szCs w:val="18"/>
              </w:rPr>
              <w:t>20 </w:t>
            </w:r>
          </w:p>
        </w:tc>
        <w:tc>
          <w:tcPr>
            <w:tcW w:w="0" w:type="auto"/>
            <w:shd w:val="clear" w:color="auto" w:fill="E1E1E1"/>
            <w:tcMar>
              <w:top w:w="40" w:type="dxa"/>
              <w:left w:w="0" w:type="dxa"/>
              <w:bottom w:w="40" w:type="dxa"/>
              <w:right w:w="20" w:type="dxa"/>
            </w:tcMar>
            <w:vAlign w:val="bottom"/>
          </w:tcPr>
          <w:p w14:paraId="6430380A" w14:textId="77777777" w:rsidR="009F6D8A" w:rsidRDefault="009F6D8A">
            <w:pPr>
              <w:jc w:val="right"/>
              <w:rPr>
                <w:rFonts w:ascii="宋体"/>
              </w:rPr>
            </w:pPr>
          </w:p>
        </w:tc>
      </w:tr>
      <w:tr w:rsidR="009F6D8A" w14:paraId="64303811" w14:textId="77777777">
        <w:tc>
          <w:tcPr>
            <w:tcW w:w="0" w:type="auto"/>
            <w:gridSpan w:val="3"/>
            <w:shd w:val="clear" w:color="auto" w:fill="FFFFFF"/>
            <w:tcMar>
              <w:top w:w="40" w:type="dxa"/>
              <w:left w:w="20" w:type="dxa"/>
              <w:bottom w:w="40" w:type="dxa"/>
              <w:right w:w="20" w:type="dxa"/>
            </w:tcMar>
            <w:vAlign w:val="bottom"/>
          </w:tcPr>
          <w:p w14:paraId="6430380C" w14:textId="77777777" w:rsidR="009F6D8A" w:rsidRDefault="00C50974">
            <w:pPr>
              <w:textAlignment w:val="bottom"/>
            </w:pPr>
            <w:r>
              <w:rPr>
                <w:rFonts w:ascii="Arial" w:eastAsia="宋体" w:hAnsi="Arial" w:cs="Arial"/>
                <w:color w:val="000000"/>
                <w:sz w:val="18"/>
                <w:szCs w:val="18"/>
              </w:rPr>
              <w:t>Deferred tax assets</w:t>
            </w:r>
          </w:p>
        </w:tc>
        <w:tc>
          <w:tcPr>
            <w:tcW w:w="0" w:type="auto"/>
            <w:shd w:val="clear" w:color="auto" w:fill="auto"/>
            <w:vAlign w:val="bottom"/>
          </w:tcPr>
          <w:p w14:paraId="6430380D" w14:textId="77777777" w:rsidR="009F6D8A" w:rsidRDefault="009F6D8A">
            <w:pPr>
              <w:rPr>
                <w:rFonts w:ascii="宋体"/>
                <w:vanish/>
              </w:rPr>
            </w:pPr>
          </w:p>
        </w:tc>
        <w:tc>
          <w:tcPr>
            <w:tcW w:w="0" w:type="auto"/>
            <w:gridSpan w:val="3"/>
            <w:shd w:val="clear" w:color="auto" w:fill="FFFFFF"/>
            <w:tcMar>
              <w:top w:w="0" w:type="dxa"/>
              <w:left w:w="20" w:type="dxa"/>
              <w:bottom w:w="0" w:type="dxa"/>
              <w:right w:w="20" w:type="dxa"/>
            </w:tcMar>
            <w:vAlign w:val="bottom"/>
          </w:tcPr>
          <w:p w14:paraId="6430380E"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80F" w14:textId="77777777" w:rsidR="009F6D8A" w:rsidRDefault="00C50974">
            <w:pPr>
              <w:jc w:val="right"/>
              <w:textAlignment w:val="bottom"/>
            </w:pPr>
            <w:r>
              <w:rPr>
                <w:rFonts w:ascii="Arial" w:eastAsia="宋体" w:hAnsi="Arial" w:cs="Arial"/>
                <w:color w:val="000000"/>
                <w:sz w:val="18"/>
                <w:szCs w:val="18"/>
              </w:rPr>
              <w:t>435 </w:t>
            </w:r>
          </w:p>
        </w:tc>
        <w:tc>
          <w:tcPr>
            <w:tcW w:w="0" w:type="auto"/>
            <w:shd w:val="clear" w:color="auto" w:fill="FFFFFF"/>
            <w:tcMar>
              <w:top w:w="40" w:type="dxa"/>
              <w:left w:w="0" w:type="dxa"/>
              <w:bottom w:w="40" w:type="dxa"/>
              <w:right w:w="20" w:type="dxa"/>
            </w:tcMar>
            <w:vAlign w:val="bottom"/>
          </w:tcPr>
          <w:p w14:paraId="64303810" w14:textId="77777777" w:rsidR="009F6D8A" w:rsidRDefault="009F6D8A">
            <w:pPr>
              <w:jc w:val="right"/>
              <w:rPr>
                <w:rFonts w:ascii="宋体"/>
              </w:rPr>
            </w:pPr>
          </w:p>
        </w:tc>
      </w:tr>
      <w:tr w:rsidR="009F6D8A" w14:paraId="64303816" w14:textId="77777777">
        <w:trPr>
          <w:hidden/>
        </w:trPr>
        <w:tc>
          <w:tcPr>
            <w:tcW w:w="0" w:type="auto"/>
            <w:gridSpan w:val="3"/>
            <w:shd w:val="clear" w:color="auto" w:fill="auto"/>
            <w:vAlign w:val="bottom"/>
          </w:tcPr>
          <w:p w14:paraId="64303812" w14:textId="77777777" w:rsidR="009F6D8A" w:rsidRDefault="009F6D8A">
            <w:pPr>
              <w:rPr>
                <w:rFonts w:ascii="宋体"/>
                <w:vanish/>
              </w:rPr>
            </w:pPr>
          </w:p>
        </w:tc>
        <w:tc>
          <w:tcPr>
            <w:tcW w:w="0" w:type="auto"/>
            <w:shd w:val="clear" w:color="auto" w:fill="auto"/>
            <w:vAlign w:val="bottom"/>
          </w:tcPr>
          <w:p w14:paraId="64303813" w14:textId="77777777" w:rsidR="009F6D8A" w:rsidRDefault="009F6D8A">
            <w:pPr>
              <w:rPr>
                <w:rFonts w:ascii="宋体"/>
                <w:vanish/>
              </w:rPr>
            </w:pPr>
          </w:p>
        </w:tc>
        <w:tc>
          <w:tcPr>
            <w:tcW w:w="0" w:type="auto"/>
            <w:gridSpan w:val="3"/>
            <w:shd w:val="clear" w:color="auto" w:fill="auto"/>
            <w:vAlign w:val="bottom"/>
          </w:tcPr>
          <w:p w14:paraId="64303814" w14:textId="77777777" w:rsidR="009F6D8A" w:rsidRDefault="009F6D8A">
            <w:pPr>
              <w:rPr>
                <w:rFonts w:ascii="宋体"/>
                <w:vanish/>
              </w:rPr>
            </w:pPr>
          </w:p>
        </w:tc>
        <w:tc>
          <w:tcPr>
            <w:tcW w:w="0" w:type="auto"/>
            <w:gridSpan w:val="3"/>
            <w:shd w:val="clear" w:color="auto" w:fill="auto"/>
            <w:vAlign w:val="bottom"/>
          </w:tcPr>
          <w:p w14:paraId="64303815" w14:textId="77777777" w:rsidR="009F6D8A" w:rsidRDefault="009F6D8A">
            <w:pPr>
              <w:rPr>
                <w:rFonts w:ascii="宋体"/>
                <w:vanish/>
              </w:rPr>
            </w:pPr>
          </w:p>
        </w:tc>
      </w:tr>
      <w:tr w:rsidR="009F6D8A" w14:paraId="6430381D" w14:textId="77777777">
        <w:tc>
          <w:tcPr>
            <w:tcW w:w="0" w:type="auto"/>
            <w:gridSpan w:val="3"/>
            <w:shd w:val="clear" w:color="auto" w:fill="E1E1E1"/>
            <w:tcMar>
              <w:top w:w="40" w:type="dxa"/>
              <w:left w:w="500" w:type="dxa"/>
              <w:bottom w:w="40" w:type="dxa"/>
              <w:right w:w="20" w:type="dxa"/>
            </w:tcMar>
            <w:vAlign w:val="bottom"/>
          </w:tcPr>
          <w:p w14:paraId="64303817" w14:textId="77777777" w:rsidR="009F6D8A" w:rsidRDefault="00C50974">
            <w:pPr>
              <w:textAlignment w:val="bottom"/>
            </w:pPr>
            <w:r>
              <w:rPr>
                <w:rFonts w:ascii="Arial" w:eastAsia="宋体" w:hAnsi="Arial" w:cs="Arial"/>
                <w:color w:val="000000"/>
                <w:sz w:val="18"/>
                <w:szCs w:val="18"/>
              </w:rPr>
              <w:t>Total assets classified as discontinued operations in the condensed consolidated balance sheet</w:t>
            </w:r>
          </w:p>
        </w:tc>
        <w:tc>
          <w:tcPr>
            <w:tcW w:w="0" w:type="auto"/>
            <w:shd w:val="clear" w:color="auto" w:fill="auto"/>
            <w:vAlign w:val="bottom"/>
          </w:tcPr>
          <w:p w14:paraId="64303818" w14:textId="77777777" w:rsidR="009F6D8A" w:rsidRDefault="009F6D8A">
            <w:pPr>
              <w:rPr>
                <w:rFonts w:ascii="宋体"/>
                <w:vanish/>
              </w:rPr>
            </w:pPr>
          </w:p>
        </w:tc>
        <w:tc>
          <w:tcPr>
            <w:tcW w:w="0" w:type="auto"/>
            <w:gridSpan w:val="3"/>
            <w:shd w:val="clear" w:color="auto" w:fill="E1E1E1"/>
            <w:tcMar>
              <w:top w:w="0" w:type="dxa"/>
              <w:left w:w="20" w:type="dxa"/>
              <w:bottom w:w="0" w:type="dxa"/>
              <w:right w:w="20" w:type="dxa"/>
            </w:tcMar>
            <w:vAlign w:val="bottom"/>
          </w:tcPr>
          <w:p w14:paraId="64303819"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81A"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81B" w14:textId="77777777" w:rsidR="009F6D8A" w:rsidRDefault="00C50974">
            <w:pPr>
              <w:jc w:val="right"/>
              <w:textAlignment w:val="bottom"/>
            </w:pPr>
            <w:r>
              <w:rPr>
                <w:rFonts w:ascii="Arial" w:eastAsia="宋体" w:hAnsi="Arial" w:cs="Arial"/>
                <w:color w:val="000000"/>
                <w:sz w:val="18"/>
                <w:szCs w:val="18"/>
              </w:rPr>
              <w:t>1,188 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81C" w14:textId="77777777" w:rsidR="009F6D8A" w:rsidRDefault="009F6D8A">
            <w:pPr>
              <w:jc w:val="right"/>
              <w:rPr>
                <w:rFonts w:ascii="宋体"/>
              </w:rPr>
            </w:pPr>
          </w:p>
        </w:tc>
      </w:tr>
      <w:tr w:rsidR="009F6D8A" w14:paraId="64303822" w14:textId="77777777">
        <w:trPr>
          <w:trHeight w:val="280"/>
        </w:trPr>
        <w:tc>
          <w:tcPr>
            <w:tcW w:w="0" w:type="auto"/>
            <w:gridSpan w:val="3"/>
            <w:shd w:val="clear" w:color="auto" w:fill="FFFFFF"/>
            <w:tcMar>
              <w:top w:w="0" w:type="dxa"/>
              <w:left w:w="20" w:type="dxa"/>
              <w:bottom w:w="0" w:type="dxa"/>
              <w:right w:w="20" w:type="dxa"/>
            </w:tcMar>
            <w:vAlign w:val="bottom"/>
          </w:tcPr>
          <w:p w14:paraId="6430381E" w14:textId="77777777" w:rsidR="009F6D8A" w:rsidRDefault="009F6D8A">
            <w:pPr>
              <w:rPr>
                <w:rFonts w:ascii="宋体"/>
              </w:rPr>
            </w:pPr>
          </w:p>
        </w:tc>
        <w:tc>
          <w:tcPr>
            <w:tcW w:w="0" w:type="auto"/>
            <w:shd w:val="clear" w:color="auto" w:fill="auto"/>
            <w:vAlign w:val="bottom"/>
          </w:tcPr>
          <w:p w14:paraId="6430381F" w14:textId="77777777" w:rsidR="009F6D8A" w:rsidRDefault="009F6D8A">
            <w:pPr>
              <w:rPr>
                <w:rFonts w:ascii="宋体"/>
                <w:vanish/>
              </w:rPr>
            </w:pPr>
          </w:p>
        </w:tc>
        <w:tc>
          <w:tcPr>
            <w:tcW w:w="0" w:type="auto"/>
            <w:gridSpan w:val="3"/>
            <w:shd w:val="clear" w:color="auto" w:fill="FFFFFF"/>
            <w:tcMar>
              <w:top w:w="0" w:type="dxa"/>
              <w:left w:w="20" w:type="dxa"/>
              <w:bottom w:w="0" w:type="dxa"/>
              <w:right w:w="20" w:type="dxa"/>
            </w:tcMar>
            <w:vAlign w:val="bottom"/>
          </w:tcPr>
          <w:p w14:paraId="64303820"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821" w14:textId="77777777" w:rsidR="009F6D8A" w:rsidRDefault="009F6D8A">
            <w:pPr>
              <w:rPr>
                <w:rFonts w:ascii="宋体"/>
              </w:rPr>
            </w:pPr>
          </w:p>
        </w:tc>
      </w:tr>
      <w:tr w:rsidR="009F6D8A" w14:paraId="64303827" w14:textId="77777777">
        <w:tc>
          <w:tcPr>
            <w:tcW w:w="0" w:type="auto"/>
            <w:gridSpan w:val="3"/>
            <w:shd w:val="clear" w:color="auto" w:fill="E1E1E1"/>
            <w:tcMar>
              <w:top w:w="40" w:type="dxa"/>
              <w:left w:w="20" w:type="dxa"/>
              <w:bottom w:w="40" w:type="dxa"/>
              <w:right w:w="20" w:type="dxa"/>
            </w:tcMar>
            <w:vAlign w:val="bottom"/>
          </w:tcPr>
          <w:p w14:paraId="64303823" w14:textId="77777777" w:rsidR="009F6D8A" w:rsidRDefault="00C50974">
            <w:pPr>
              <w:textAlignment w:val="bottom"/>
            </w:pPr>
            <w:r>
              <w:rPr>
                <w:rFonts w:ascii="Arial" w:eastAsia="宋体" w:hAnsi="Arial" w:cs="Arial"/>
                <w:color w:val="000000"/>
                <w:sz w:val="18"/>
                <w:szCs w:val="18"/>
              </w:rPr>
              <w:t>Carrying amounts of liabilities included as part of discontinued operations:</w:t>
            </w:r>
          </w:p>
        </w:tc>
        <w:tc>
          <w:tcPr>
            <w:tcW w:w="0" w:type="auto"/>
            <w:shd w:val="clear" w:color="auto" w:fill="auto"/>
            <w:vAlign w:val="bottom"/>
          </w:tcPr>
          <w:p w14:paraId="64303824" w14:textId="77777777" w:rsidR="009F6D8A" w:rsidRDefault="009F6D8A">
            <w:pPr>
              <w:rPr>
                <w:rFonts w:ascii="宋体"/>
                <w:vanish/>
              </w:rPr>
            </w:pPr>
          </w:p>
        </w:tc>
        <w:tc>
          <w:tcPr>
            <w:tcW w:w="0" w:type="auto"/>
            <w:gridSpan w:val="3"/>
            <w:shd w:val="clear" w:color="auto" w:fill="E1E1E1"/>
            <w:tcMar>
              <w:top w:w="0" w:type="dxa"/>
              <w:left w:w="20" w:type="dxa"/>
              <w:bottom w:w="0" w:type="dxa"/>
              <w:right w:w="20" w:type="dxa"/>
            </w:tcMar>
            <w:vAlign w:val="bottom"/>
          </w:tcPr>
          <w:p w14:paraId="64303825"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3826" w14:textId="77777777" w:rsidR="009F6D8A" w:rsidRDefault="009F6D8A">
            <w:pPr>
              <w:rPr>
                <w:rFonts w:ascii="宋体"/>
              </w:rPr>
            </w:pPr>
          </w:p>
        </w:tc>
      </w:tr>
      <w:tr w:rsidR="009F6D8A" w14:paraId="6430382C" w14:textId="77777777">
        <w:trPr>
          <w:hidden/>
        </w:trPr>
        <w:tc>
          <w:tcPr>
            <w:tcW w:w="0" w:type="auto"/>
            <w:gridSpan w:val="3"/>
            <w:shd w:val="clear" w:color="auto" w:fill="auto"/>
            <w:vAlign w:val="bottom"/>
          </w:tcPr>
          <w:p w14:paraId="64303828" w14:textId="77777777" w:rsidR="009F6D8A" w:rsidRDefault="009F6D8A">
            <w:pPr>
              <w:rPr>
                <w:rFonts w:ascii="宋体"/>
                <w:vanish/>
              </w:rPr>
            </w:pPr>
          </w:p>
        </w:tc>
        <w:tc>
          <w:tcPr>
            <w:tcW w:w="0" w:type="auto"/>
            <w:shd w:val="clear" w:color="auto" w:fill="auto"/>
            <w:vAlign w:val="bottom"/>
          </w:tcPr>
          <w:p w14:paraId="64303829" w14:textId="77777777" w:rsidR="009F6D8A" w:rsidRDefault="009F6D8A">
            <w:pPr>
              <w:rPr>
                <w:rFonts w:ascii="宋体"/>
                <w:vanish/>
              </w:rPr>
            </w:pPr>
          </w:p>
        </w:tc>
        <w:tc>
          <w:tcPr>
            <w:tcW w:w="0" w:type="auto"/>
            <w:gridSpan w:val="3"/>
            <w:shd w:val="clear" w:color="auto" w:fill="auto"/>
            <w:vAlign w:val="bottom"/>
          </w:tcPr>
          <w:p w14:paraId="6430382A" w14:textId="77777777" w:rsidR="009F6D8A" w:rsidRDefault="009F6D8A">
            <w:pPr>
              <w:rPr>
                <w:rFonts w:ascii="宋体"/>
                <w:vanish/>
              </w:rPr>
            </w:pPr>
          </w:p>
        </w:tc>
        <w:tc>
          <w:tcPr>
            <w:tcW w:w="0" w:type="auto"/>
            <w:gridSpan w:val="3"/>
            <w:shd w:val="clear" w:color="auto" w:fill="auto"/>
            <w:vAlign w:val="bottom"/>
          </w:tcPr>
          <w:p w14:paraId="6430382B" w14:textId="77777777" w:rsidR="009F6D8A" w:rsidRDefault="009F6D8A">
            <w:pPr>
              <w:rPr>
                <w:rFonts w:ascii="宋体"/>
                <w:vanish/>
              </w:rPr>
            </w:pPr>
          </w:p>
        </w:tc>
      </w:tr>
      <w:tr w:rsidR="009F6D8A" w14:paraId="64303833" w14:textId="77777777">
        <w:tc>
          <w:tcPr>
            <w:tcW w:w="0" w:type="auto"/>
            <w:gridSpan w:val="3"/>
            <w:shd w:val="clear" w:color="auto" w:fill="FFFFFF"/>
            <w:tcMar>
              <w:top w:w="40" w:type="dxa"/>
              <w:left w:w="20" w:type="dxa"/>
              <w:bottom w:w="40" w:type="dxa"/>
              <w:right w:w="20" w:type="dxa"/>
            </w:tcMar>
            <w:vAlign w:val="bottom"/>
          </w:tcPr>
          <w:p w14:paraId="6430382D" w14:textId="77777777" w:rsidR="009F6D8A" w:rsidRDefault="00C50974">
            <w:pPr>
              <w:textAlignment w:val="bottom"/>
            </w:pPr>
            <w:r>
              <w:rPr>
                <w:rFonts w:ascii="Arial" w:eastAsia="宋体" w:hAnsi="Arial" w:cs="Arial"/>
                <w:color w:val="000000"/>
                <w:sz w:val="18"/>
                <w:szCs w:val="18"/>
              </w:rPr>
              <w:t>Accounts payable</w:t>
            </w:r>
          </w:p>
        </w:tc>
        <w:tc>
          <w:tcPr>
            <w:tcW w:w="0" w:type="auto"/>
            <w:shd w:val="clear" w:color="auto" w:fill="auto"/>
            <w:vAlign w:val="bottom"/>
          </w:tcPr>
          <w:p w14:paraId="6430382E" w14:textId="77777777" w:rsidR="009F6D8A" w:rsidRDefault="009F6D8A">
            <w:pPr>
              <w:rPr>
                <w:rFonts w:ascii="宋体"/>
                <w:vanish/>
              </w:rPr>
            </w:pPr>
          </w:p>
        </w:tc>
        <w:tc>
          <w:tcPr>
            <w:tcW w:w="0" w:type="auto"/>
            <w:gridSpan w:val="3"/>
            <w:shd w:val="clear" w:color="auto" w:fill="FFFFFF"/>
            <w:tcMar>
              <w:top w:w="0" w:type="dxa"/>
              <w:left w:w="20" w:type="dxa"/>
              <w:bottom w:w="0" w:type="dxa"/>
              <w:right w:w="20" w:type="dxa"/>
            </w:tcMar>
            <w:vAlign w:val="bottom"/>
          </w:tcPr>
          <w:p w14:paraId="6430382F"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830"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831" w14:textId="77777777" w:rsidR="009F6D8A" w:rsidRDefault="00C50974">
            <w:pPr>
              <w:jc w:val="right"/>
              <w:textAlignment w:val="bottom"/>
            </w:pPr>
            <w:r>
              <w:rPr>
                <w:rFonts w:ascii="Arial" w:eastAsia="宋体" w:hAnsi="Arial" w:cs="Arial"/>
                <w:color w:val="000000"/>
                <w:sz w:val="18"/>
                <w:szCs w:val="18"/>
              </w:rPr>
              <w:t>18 </w:t>
            </w:r>
          </w:p>
        </w:tc>
        <w:tc>
          <w:tcPr>
            <w:tcW w:w="0" w:type="auto"/>
            <w:shd w:val="clear" w:color="auto" w:fill="FFFFFF"/>
            <w:tcMar>
              <w:top w:w="40" w:type="dxa"/>
              <w:left w:w="0" w:type="dxa"/>
              <w:bottom w:w="40" w:type="dxa"/>
              <w:right w:w="20" w:type="dxa"/>
            </w:tcMar>
            <w:vAlign w:val="bottom"/>
          </w:tcPr>
          <w:p w14:paraId="64303832" w14:textId="77777777" w:rsidR="009F6D8A" w:rsidRDefault="009F6D8A">
            <w:pPr>
              <w:jc w:val="right"/>
              <w:rPr>
                <w:rFonts w:ascii="宋体"/>
              </w:rPr>
            </w:pPr>
          </w:p>
        </w:tc>
      </w:tr>
      <w:tr w:rsidR="009F6D8A" w14:paraId="64303839" w14:textId="77777777">
        <w:tc>
          <w:tcPr>
            <w:tcW w:w="0" w:type="auto"/>
            <w:gridSpan w:val="3"/>
            <w:shd w:val="clear" w:color="auto" w:fill="E1E1E1"/>
            <w:tcMar>
              <w:top w:w="40" w:type="dxa"/>
              <w:left w:w="20" w:type="dxa"/>
              <w:bottom w:w="40" w:type="dxa"/>
              <w:right w:w="20" w:type="dxa"/>
            </w:tcMar>
            <w:vAlign w:val="bottom"/>
          </w:tcPr>
          <w:p w14:paraId="64303834" w14:textId="77777777" w:rsidR="009F6D8A" w:rsidRDefault="00C50974">
            <w:pPr>
              <w:textAlignment w:val="bottom"/>
            </w:pPr>
            <w:r>
              <w:rPr>
                <w:rFonts w:ascii="Arial" w:eastAsia="宋体" w:hAnsi="Arial" w:cs="Arial"/>
                <w:color w:val="000000"/>
                <w:sz w:val="18"/>
                <w:szCs w:val="18"/>
              </w:rPr>
              <w:t xml:space="preserve">Accrued expenses and </w:t>
            </w:r>
            <w:r>
              <w:rPr>
                <w:rFonts w:ascii="Arial" w:eastAsia="宋体" w:hAnsi="Arial" w:cs="Arial"/>
                <w:color w:val="000000"/>
                <w:sz w:val="18"/>
                <w:szCs w:val="18"/>
              </w:rPr>
              <w:t>other current liabilities</w:t>
            </w:r>
          </w:p>
        </w:tc>
        <w:tc>
          <w:tcPr>
            <w:tcW w:w="0" w:type="auto"/>
            <w:shd w:val="clear" w:color="auto" w:fill="auto"/>
            <w:vAlign w:val="bottom"/>
          </w:tcPr>
          <w:p w14:paraId="64303835" w14:textId="77777777" w:rsidR="009F6D8A" w:rsidRDefault="009F6D8A">
            <w:pPr>
              <w:rPr>
                <w:rFonts w:ascii="宋体"/>
                <w:vanish/>
              </w:rPr>
            </w:pPr>
          </w:p>
        </w:tc>
        <w:tc>
          <w:tcPr>
            <w:tcW w:w="0" w:type="auto"/>
            <w:gridSpan w:val="3"/>
            <w:shd w:val="clear" w:color="auto" w:fill="E1E1E1"/>
            <w:tcMar>
              <w:top w:w="0" w:type="dxa"/>
              <w:left w:w="20" w:type="dxa"/>
              <w:bottom w:w="0" w:type="dxa"/>
              <w:right w:w="20" w:type="dxa"/>
            </w:tcMar>
            <w:vAlign w:val="bottom"/>
          </w:tcPr>
          <w:p w14:paraId="64303836"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837" w14:textId="77777777" w:rsidR="009F6D8A" w:rsidRDefault="00C50974">
            <w:pPr>
              <w:jc w:val="right"/>
              <w:textAlignment w:val="bottom"/>
            </w:pPr>
            <w:r>
              <w:rPr>
                <w:rFonts w:ascii="Arial" w:eastAsia="宋体" w:hAnsi="Arial" w:cs="Arial"/>
                <w:color w:val="000000"/>
                <w:sz w:val="18"/>
                <w:szCs w:val="18"/>
              </w:rPr>
              <w:t>104 </w:t>
            </w:r>
          </w:p>
        </w:tc>
        <w:tc>
          <w:tcPr>
            <w:tcW w:w="0" w:type="auto"/>
            <w:shd w:val="clear" w:color="auto" w:fill="E1E1E1"/>
            <w:tcMar>
              <w:top w:w="40" w:type="dxa"/>
              <w:left w:w="0" w:type="dxa"/>
              <w:bottom w:w="40" w:type="dxa"/>
              <w:right w:w="20" w:type="dxa"/>
            </w:tcMar>
            <w:vAlign w:val="bottom"/>
          </w:tcPr>
          <w:p w14:paraId="64303838" w14:textId="77777777" w:rsidR="009F6D8A" w:rsidRDefault="009F6D8A">
            <w:pPr>
              <w:jc w:val="right"/>
              <w:rPr>
                <w:rFonts w:ascii="宋体"/>
              </w:rPr>
            </w:pPr>
          </w:p>
        </w:tc>
      </w:tr>
      <w:tr w:rsidR="009F6D8A" w14:paraId="6430383F" w14:textId="77777777">
        <w:tc>
          <w:tcPr>
            <w:tcW w:w="0" w:type="auto"/>
            <w:gridSpan w:val="3"/>
            <w:shd w:val="clear" w:color="auto" w:fill="FFFFFF"/>
            <w:tcMar>
              <w:top w:w="40" w:type="dxa"/>
              <w:left w:w="20" w:type="dxa"/>
              <w:bottom w:w="40" w:type="dxa"/>
              <w:right w:w="20" w:type="dxa"/>
            </w:tcMar>
            <w:vAlign w:val="bottom"/>
          </w:tcPr>
          <w:p w14:paraId="6430383A" w14:textId="77777777" w:rsidR="009F6D8A" w:rsidRDefault="00C50974">
            <w:pPr>
              <w:textAlignment w:val="bottom"/>
            </w:pPr>
            <w:r>
              <w:rPr>
                <w:rFonts w:ascii="Arial" w:eastAsia="宋体" w:hAnsi="Arial" w:cs="Arial"/>
                <w:color w:val="000000"/>
                <w:sz w:val="18"/>
                <w:szCs w:val="18"/>
              </w:rPr>
              <w:t>Deferred revenue</w:t>
            </w:r>
          </w:p>
        </w:tc>
        <w:tc>
          <w:tcPr>
            <w:tcW w:w="0" w:type="auto"/>
            <w:shd w:val="clear" w:color="auto" w:fill="auto"/>
            <w:vAlign w:val="bottom"/>
          </w:tcPr>
          <w:p w14:paraId="6430383B" w14:textId="77777777" w:rsidR="009F6D8A" w:rsidRDefault="009F6D8A">
            <w:pPr>
              <w:rPr>
                <w:rFonts w:ascii="宋体"/>
                <w:vanish/>
              </w:rPr>
            </w:pPr>
          </w:p>
        </w:tc>
        <w:tc>
          <w:tcPr>
            <w:tcW w:w="0" w:type="auto"/>
            <w:gridSpan w:val="3"/>
            <w:shd w:val="clear" w:color="auto" w:fill="FFFFFF"/>
            <w:tcMar>
              <w:top w:w="0" w:type="dxa"/>
              <w:left w:w="20" w:type="dxa"/>
              <w:bottom w:w="0" w:type="dxa"/>
              <w:right w:w="20" w:type="dxa"/>
            </w:tcMar>
            <w:vAlign w:val="bottom"/>
          </w:tcPr>
          <w:p w14:paraId="6430383C"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83D" w14:textId="77777777" w:rsidR="009F6D8A" w:rsidRDefault="00C50974">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6430383E" w14:textId="77777777" w:rsidR="009F6D8A" w:rsidRDefault="009F6D8A">
            <w:pPr>
              <w:jc w:val="right"/>
              <w:rPr>
                <w:rFonts w:ascii="宋体"/>
              </w:rPr>
            </w:pPr>
          </w:p>
        </w:tc>
      </w:tr>
      <w:tr w:rsidR="009F6D8A" w14:paraId="64303845" w14:textId="77777777">
        <w:tc>
          <w:tcPr>
            <w:tcW w:w="0" w:type="auto"/>
            <w:gridSpan w:val="3"/>
            <w:shd w:val="clear" w:color="auto" w:fill="E1E1E1"/>
            <w:tcMar>
              <w:top w:w="40" w:type="dxa"/>
              <w:left w:w="20" w:type="dxa"/>
              <w:bottom w:w="40" w:type="dxa"/>
              <w:right w:w="20" w:type="dxa"/>
            </w:tcMar>
            <w:vAlign w:val="bottom"/>
          </w:tcPr>
          <w:p w14:paraId="64303840" w14:textId="77777777" w:rsidR="009F6D8A" w:rsidRDefault="00C50974">
            <w:pPr>
              <w:textAlignment w:val="bottom"/>
            </w:pPr>
            <w:r>
              <w:rPr>
                <w:rFonts w:ascii="Arial" w:eastAsia="宋体" w:hAnsi="Arial" w:cs="Arial"/>
                <w:color w:val="000000"/>
                <w:sz w:val="18"/>
                <w:szCs w:val="18"/>
              </w:rPr>
              <w:t>Income taxes payable</w:t>
            </w:r>
          </w:p>
        </w:tc>
        <w:tc>
          <w:tcPr>
            <w:tcW w:w="0" w:type="auto"/>
            <w:shd w:val="clear" w:color="auto" w:fill="auto"/>
            <w:vAlign w:val="bottom"/>
          </w:tcPr>
          <w:p w14:paraId="64303841" w14:textId="77777777" w:rsidR="009F6D8A" w:rsidRDefault="009F6D8A">
            <w:pPr>
              <w:rPr>
                <w:rFonts w:ascii="宋体"/>
                <w:vanish/>
              </w:rPr>
            </w:pPr>
          </w:p>
        </w:tc>
        <w:tc>
          <w:tcPr>
            <w:tcW w:w="0" w:type="auto"/>
            <w:gridSpan w:val="3"/>
            <w:shd w:val="clear" w:color="auto" w:fill="E1E1E1"/>
            <w:tcMar>
              <w:top w:w="0" w:type="dxa"/>
              <w:left w:w="20" w:type="dxa"/>
              <w:bottom w:w="0" w:type="dxa"/>
              <w:right w:w="20" w:type="dxa"/>
            </w:tcMar>
            <w:vAlign w:val="bottom"/>
          </w:tcPr>
          <w:p w14:paraId="64303842"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843" w14:textId="77777777" w:rsidR="009F6D8A" w:rsidRDefault="00C50974">
            <w:pPr>
              <w:jc w:val="right"/>
              <w:textAlignment w:val="bottom"/>
            </w:pPr>
            <w:r>
              <w:rPr>
                <w:rFonts w:ascii="Arial" w:eastAsia="宋体" w:hAnsi="Arial" w:cs="Arial"/>
                <w:color w:val="000000"/>
                <w:sz w:val="18"/>
                <w:szCs w:val="18"/>
              </w:rPr>
              <w:t>35 </w:t>
            </w:r>
          </w:p>
        </w:tc>
        <w:tc>
          <w:tcPr>
            <w:tcW w:w="0" w:type="auto"/>
            <w:shd w:val="clear" w:color="auto" w:fill="E1E1E1"/>
            <w:tcMar>
              <w:top w:w="40" w:type="dxa"/>
              <w:left w:w="0" w:type="dxa"/>
              <w:bottom w:w="40" w:type="dxa"/>
              <w:right w:w="20" w:type="dxa"/>
            </w:tcMar>
            <w:vAlign w:val="bottom"/>
          </w:tcPr>
          <w:p w14:paraId="64303844" w14:textId="77777777" w:rsidR="009F6D8A" w:rsidRDefault="009F6D8A">
            <w:pPr>
              <w:jc w:val="right"/>
              <w:rPr>
                <w:rFonts w:ascii="宋体"/>
              </w:rPr>
            </w:pPr>
          </w:p>
        </w:tc>
      </w:tr>
      <w:tr w:rsidR="009F6D8A" w14:paraId="6430384B" w14:textId="77777777">
        <w:tc>
          <w:tcPr>
            <w:tcW w:w="0" w:type="auto"/>
            <w:gridSpan w:val="3"/>
            <w:shd w:val="clear" w:color="auto" w:fill="FFFFFF"/>
            <w:tcMar>
              <w:top w:w="40" w:type="dxa"/>
              <w:left w:w="20" w:type="dxa"/>
              <w:bottom w:w="40" w:type="dxa"/>
              <w:right w:w="20" w:type="dxa"/>
            </w:tcMar>
            <w:vAlign w:val="bottom"/>
          </w:tcPr>
          <w:p w14:paraId="64303846" w14:textId="77777777" w:rsidR="009F6D8A" w:rsidRDefault="00C50974">
            <w:pPr>
              <w:textAlignment w:val="bottom"/>
            </w:pPr>
            <w:r>
              <w:rPr>
                <w:rFonts w:ascii="Arial" w:eastAsia="宋体" w:hAnsi="Arial" w:cs="Arial"/>
                <w:color w:val="000000"/>
                <w:sz w:val="18"/>
                <w:szCs w:val="18"/>
              </w:rPr>
              <w:t>Operating lease liabilities</w:t>
            </w:r>
          </w:p>
        </w:tc>
        <w:tc>
          <w:tcPr>
            <w:tcW w:w="0" w:type="auto"/>
            <w:shd w:val="clear" w:color="auto" w:fill="auto"/>
            <w:vAlign w:val="bottom"/>
          </w:tcPr>
          <w:p w14:paraId="64303847" w14:textId="77777777" w:rsidR="009F6D8A" w:rsidRDefault="009F6D8A">
            <w:pPr>
              <w:rPr>
                <w:rFonts w:ascii="宋体"/>
                <w:vanish/>
              </w:rPr>
            </w:pPr>
          </w:p>
        </w:tc>
        <w:tc>
          <w:tcPr>
            <w:tcW w:w="0" w:type="auto"/>
            <w:gridSpan w:val="3"/>
            <w:shd w:val="clear" w:color="auto" w:fill="FFFFFF"/>
            <w:tcMar>
              <w:top w:w="0" w:type="dxa"/>
              <w:left w:w="20" w:type="dxa"/>
              <w:bottom w:w="0" w:type="dxa"/>
              <w:right w:w="20" w:type="dxa"/>
            </w:tcMar>
            <w:vAlign w:val="bottom"/>
          </w:tcPr>
          <w:p w14:paraId="6430384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849" w14:textId="77777777" w:rsidR="009F6D8A" w:rsidRDefault="00C50974">
            <w:pPr>
              <w:jc w:val="right"/>
              <w:textAlignment w:val="bottom"/>
            </w:pPr>
            <w:r>
              <w:rPr>
                <w:rFonts w:ascii="Arial" w:eastAsia="宋体" w:hAnsi="Arial" w:cs="Arial"/>
                <w:color w:val="000000"/>
                <w:sz w:val="18"/>
                <w:szCs w:val="18"/>
              </w:rPr>
              <w:t>11 </w:t>
            </w:r>
          </w:p>
        </w:tc>
        <w:tc>
          <w:tcPr>
            <w:tcW w:w="0" w:type="auto"/>
            <w:shd w:val="clear" w:color="auto" w:fill="FFFFFF"/>
            <w:tcMar>
              <w:top w:w="40" w:type="dxa"/>
              <w:left w:w="0" w:type="dxa"/>
              <w:bottom w:w="40" w:type="dxa"/>
              <w:right w:w="20" w:type="dxa"/>
            </w:tcMar>
            <w:vAlign w:val="bottom"/>
          </w:tcPr>
          <w:p w14:paraId="6430384A" w14:textId="77777777" w:rsidR="009F6D8A" w:rsidRDefault="009F6D8A">
            <w:pPr>
              <w:jc w:val="right"/>
              <w:rPr>
                <w:rFonts w:ascii="宋体"/>
              </w:rPr>
            </w:pPr>
          </w:p>
        </w:tc>
      </w:tr>
      <w:tr w:rsidR="009F6D8A" w14:paraId="64303851" w14:textId="77777777">
        <w:tc>
          <w:tcPr>
            <w:tcW w:w="0" w:type="auto"/>
            <w:gridSpan w:val="3"/>
            <w:shd w:val="clear" w:color="auto" w:fill="E1E1E1"/>
            <w:tcMar>
              <w:top w:w="40" w:type="dxa"/>
              <w:left w:w="20" w:type="dxa"/>
              <w:bottom w:w="40" w:type="dxa"/>
              <w:right w:w="20" w:type="dxa"/>
            </w:tcMar>
            <w:vAlign w:val="bottom"/>
          </w:tcPr>
          <w:p w14:paraId="6430384C" w14:textId="77777777" w:rsidR="009F6D8A" w:rsidRDefault="00C50974">
            <w:pPr>
              <w:textAlignment w:val="bottom"/>
            </w:pPr>
            <w:r>
              <w:rPr>
                <w:rFonts w:ascii="Arial" w:eastAsia="宋体" w:hAnsi="Arial" w:cs="Arial"/>
                <w:color w:val="000000"/>
                <w:sz w:val="18"/>
                <w:szCs w:val="18"/>
              </w:rPr>
              <w:t>Deferred tax liabilities</w:t>
            </w:r>
          </w:p>
        </w:tc>
        <w:tc>
          <w:tcPr>
            <w:tcW w:w="0" w:type="auto"/>
            <w:shd w:val="clear" w:color="auto" w:fill="auto"/>
            <w:vAlign w:val="bottom"/>
          </w:tcPr>
          <w:p w14:paraId="6430384D" w14:textId="77777777" w:rsidR="009F6D8A" w:rsidRDefault="009F6D8A">
            <w:pPr>
              <w:rPr>
                <w:rFonts w:ascii="宋体"/>
                <w:vanish/>
              </w:rPr>
            </w:pPr>
          </w:p>
        </w:tc>
        <w:tc>
          <w:tcPr>
            <w:tcW w:w="0" w:type="auto"/>
            <w:gridSpan w:val="3"/>
            <w:shd w:val="clear" w:color="auto" w:fill="E1E1E1"/>
            <w:tcMar>
              <w:top w:w="0" w:type="dxa"/>
              <w:left w:w="20" w:type="dxa"/>
              <w:bottom w:w="0" w:type="dxa"/>
              <w:right w:w="20" w:type="dxa"/>
            </w:tcMar>
            <w:vAlign w:val="bottom"/>
          </w:tcPr>
          <w:p w14:paraId="6430384E"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84F" w14:textId="77777777" w:rsidR="009F6D8A" w:rsidRDefault="00C50974">
            <w:pPr>
              <w:jc w:val="right"/>
              <w:textAlignment w:val="bottom"/>
            </w:pPr>
            <w:r>
              <w:rPr>
                <w:rFonts w:ascii="Arial" w:eastAsia="宋体" w:hAnsi="Arial" w:cs="Arial"/>
                <w:color w:val="000000"/>
                <w:sz w:val="18"/>
                <w:szCs w:val="18"/>
              </w:rPr>
              <w:t>278 </w:t>
            </w:r>
          </w:p>
        </w:tc>
        <w:tc>
          <w:tcPr>
            <w:tcW w:w="0" w:type="auto"/>
            <w:shd w:val="clear" w:color="auto" w:fill="E1E1E1"/>
            <w:tcMar>
              <w:top w:w="40" w:type="dxa"/>
              <w:left w:w="0" w:type="dxa"/>
              <w:bottom w:w="40" w:type="dxa"/>
              <w:right w:w="20" w:type="dxa"/>
            </w:tcMar>
            <w:vAlign w:val="bottom"/>
          </w:tcPr>
          <w:p w14:paraId="64303850" w14:textId="77777777" w:rsidR="009F6D8A" w:rsidRDefault="009F6D8A">
            <w:pPr>
              <w:jc w:val="right"/>
              <w:rPr>
                <w:rFonts w:ascii="宋体"/>
              </w:rPr>
            </w:pPr>
          </w:p>
        </w:tc>
      </w:tr>
      <w:tr w:rsidR="009F6D8A" w14:paraId="64303857" w14:textId="77777777">
        <w:tc>
          <w:tcPr>
            <w:tcW w:w="0" w:type="auto"/>
            <w:gridSpan w:val="3"/>
            <w:shd w:val="clear" w:color="auto" w:fill="FFFFFF"/>
            <w:tcMar>
              <w:top w:w="40" w:type="dxa"/>
              <w:left w:w="20" w:type="dxa"/>
              <w:bottom w:w="40" w:type="dxa"/>
              <w:right w:w="20" w:type="dxa"/>
            </w:tcMar>
            <w:vAlign w:val="bottom"/>
          </w:tcPr>
          <w:p w14:paraId="64303852" w14:textId="77777777" w:rsidR="009F6D8A" w:rsidRDefault="00C50974">
            <w:pPr>
              <w:textAlignment w:val="bottom"/>
            </w:pPr>
            <w:r>
              <w:rPr>
                <w:rFonts w:ascii="Arial" w:eastAsia="宋体" w:hAnsi="Arial" w:cs="Arial"/>
                <w:color w:val="000000"/>
                <w:sz w:val="18"/>
                <w:szCs w:val="18"/>
              </w:rPr>
              <w:t>Other liabilities</w:t>
            </w:r>
          </w:p>
        </w:tc>
        <w:tc>
          <w:tcPr>
            <w:tcW w:w="0" w:type="auto"/>
            <w:shd w:val="clear" w:color="auto" w:fill="auto"/>
            <w:vAlign w:val="bottom"/>
          </w:tcPr>
          <w:p w14:paraId="64303853" w14:textId="77777777" w:rsidR="009F6D8A" w:rsidRDefault="009F6D8A">
            <w:pPr>
              <w:rPr>
                <w:rFonts w:ascii="宋体"/>
                <w:vanish/>
              </w:rPr>
            </w:pPr>
          </w:p>
        </w:tc>
        <w:tc>
          <w:tcPr>
            <w:tcW w:w="0" w:type="auto"/>
            <w:gridSpan w:val="3"/>
            <w:shd w:val="clear" w:color="auto" w:fill="FFFFFF"/>
            <w:tcMar>
              <w:top w:w="0" w:type="dxa"/>
              <w:left w:w="20" w:type="dxa"/>
              <w:bottom w:w="0" w:type="dxa"/>
              <w:right w:w="20" w:type="dxa"/>
            </w:tcMar>
            <w:vAlign w:val="bottom"/>
          </w:tcPr>
          <w:p w14:paraId="6430385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855" w14:textId="77777777" w:rsidR="009F6D8A" w:rsidRDefault="00C50974">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64303856" w14:textId="77777777" w:rsidR="009F6D8A" w:rsidRDefault="009F6D8A">
            <w:pPr>
              <w:jc w:val="right"/>
              <w:rPr>
                <w:rFonts w:ascii="宋体"/>
              </w:rPr>
            </w:pPr>
          </w:p>
        </w:tc>
      </w:tr>
      <w:tr w:rsidR="009F6D8A" w14:paraId="6430385E" w14:textId="77777777">
        <w:tc>
          <w:tcPr>
            <w:tcW w:w="0" w:type="auto"/>
            <w:gridSpan w:val="3"/>
            <w:shd w:val="clear" w:color="auto" w:fill="E1E1E1"/>
            <w:tcMar>
              <w:top w:w="40" w:type="dxa"/>
              <w:left w:w="20" w:type="dxa"/>
              <w:bottom w:w="40" w:type="dxa"/>
              <w:right w:w="20" w:type="dxa"/>
            </w:tcMar>
            <w:vAlign w:val="bottom"/>
          </w:tcPr>
          <w:p w14:paraId="64303858" w14:textId="77777777" w:rsidR="009F6D8A" w:rsidRDefault="00C50974">
            <w:pPr>
              <w:textAlignment w:val="bottom"/>
            </w:pPr>
            <w:r>
              <w:rPr>
                <w:rFonts w:ascii="Arial" w:eastAsia="宋体" w:hAnsi="Arial" w:cs="Arial"/>
                <w:color w:val="000000"/>
                <w:sz w:val="18"/>
                <w:szCs w:val="18"/>
              </w:rPr>
              <w:t xml:space="preserve">Total liabilities classified as discontinued operations in the </w:t>
            </w:r>
            <w:r>
              <w:rPr>
                <w:rFonts w:ascii="Arial" w:eastAsia="宋体" w:hAnsi="Arial" w:cs="Arial"/>
                <w:color w:val="000000"/>
                <w:sz w:val="18"/>
                <w:szCs w:val="18"/>
              </w:rPr>
              <w:t>condensed consolidated balance sheet</w:t>
            </w:r>
          </w:p>
        </w:tc>
        <w:tc>
          <w:tcPr>
            <w:tcW w:w="0" w:type="auto"/>
            <w:shd w:val="clear" w:color="auto" w:fill="auto"/>
            <w:vAlign w:val="bottom"/>
          </w:tcPr>
          <w:p w14:paraId="64303859" w14:textId="77777777" w:rsidR="009F6D8A" w:rsidRDefault="009F6D8A">
            <w:pPr>
              <w:rPr>
                <w:rFonts w:ascii="宋体"/>
                <w:vanish/>
              </w:rPr>
            </w:pPr>
          </w:p>
        </w:tc>
        <w:tc>
          <w:tcPr>
            <w:tcW w:w="0" w:type="auto"/>
            <w:gridSpan w:val="3"/>
            <w:shd w:val="clear" w:color="auto" w:fill="E1E1E1"/>
            <w:tcMar>
              <w:top w:w="0" w:type="dxa"/>
              <w:left w:w="20" w:type="dxa"/>
              <w:bottom w:w="0" w:type="dxa"/>
              <w:right w:w="20" w:type="dxa"/>
            </w:tcMar>
            <w:vAlign w:val="bottom"/>
          </w:tcPr>
          <w:p w14:paraId="6430385A"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85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85C" w14:textId="77777777" w:rsidR="009F6D8A" w:rsidRDefault="00C50974">
            <w:pPr>
              <w:jc w:val="right"/>
              <w:textAlignment w:val="bottom"/>
            </w:pPr>
            <w:r>
              <w:rPr>
                <w:rFonts w:ascii="Arial" w:eastAsia="宋体" w:hAnsi="Arial" w:cs="Arial"/>
                <w:color w:val="000000"/>
                <w:sz w:val="18"/>
                <w:szCs w:val="18"/>
              </w:rPr>
              <w:t>452 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85D" w14:textId="77777777" w:rsidR="009F6D8A" w:rsidRDefault="009F6D8A">
            <w:pPr>
              <w:jc w:val="right"/>
              <w:rPr>
                <w:rFonts w:ascii="宋体"/>
              </w:rPr>
            </w:pPr>
          </w:p>
        </w:tc>
      </w:tr>
    </w:tbl>
    <w:p w14:paraId="6430385F" w14:textId="77777777" w:rsidR="009F6D8A" w:rsidRDefault="009F6D8A">
      <w:pPr>
        <w:jc w:val="both"/>
      </w:pPr>
    </w:p>
    <w:p w14:paraId="64303860" w14:textId="77777777" w:rsidR="009F6D8A" w:rsidRDefault="009F6D8A">
      <w:pPr>
        <w:spacing w:after="60"/>
        <w:ind w:firstLine="540"/>
        <w:jc w:val="both"/>
      </w:pPr>
    </w:p>
    <w:p w14:paraId="64303861" w14:textId="77777777" w:rsidR="009F6D8A" w:rsidRDefault="009F6D8A">
      <w:pPr>
        <w:spacing w:after="60"/>
        <w:ind w:firstLine="540"/>
        <w:jc w:val="both"/>
      </w:pPr>
    </w:p>
    <w:p w14:paraId="64303862" w14:textId="77777777" w:rsidR="009F6D8A" w:rsidRDefault="009F6D8A">
      <w:pPr>
        <w:spacing w:after="60"/>
        <w:ind w:firstLine="540"/>
        <w:jc w:val="both"/>
      </w:pPr>
    </w:p>
    <w:p w14:paraId="64303863" w14:textId="77777777" w:rsidR="009F6D8A" w:rsidRDefault="009F6D8A">
      <w:pPr>
        <w:spacing w:after="60"/>
        <w:ind w:firstLine="540"/>
        <w:jc w:val="both"/>
      </w:pPr>
    </w:p>
    <w:p w14:paraId="64303864" w14:textId="77777777" w:rsidR="009F6D8A" w:rsidRDefault="009F6D8A">
      <w:pPr>
        <w:spacing w:after="60"/>
        <w:ind w:firstLine="540"/>
        <w:jc w:val="both"/>
      </w:pPr>
    </w:p>
    <w:p w14:paraId="64303865" w14:textId="77777777" w:rsidR="009F6D8A" w:rsidRDefault="009F6D8A">
      <w:pPr>
        <w:spacing w:after="60"/>
        <w:ind w:firstLine="540"/>
        <w:jc w:val="both"/>
      </w:pPr>
    </w:p>
    <w:p w14:paraId="64303866" w14:textId="77777777" w:rsidR="009F6D8A" w:rsidRDefault="009F6D8A">
      <w:pPr>
        <w:spacing w:after="60"/>
        <w:ind w:firstLine="540"/>
        <w:jc w:val="both"/>
      </w:pPr>
    </w:p>
    <w:p w14:paraId="64303867" w14:textId="77777777" w:rsidR="009F6D8A" w:rsidRDefault="009F6D8A">
      <w:pPr>
        <w:spacing w:after="60"/>
        <w:ind w:firstLine="540"/>
        <w:jc w:val="both"/>
      </w:pPr>
    </w:p>
    <w:p w14:paraId="64303868" w14:textId="77777777" w:rsidR="009F6D8A" w:rsidRDefault="009F6D8A">
      <w:pPr>
        <w:spacing w:after="60"/>
        <w:ind w:firstLine="540"/>
        <w:jc w:val="both"/>
      </w:pPr>
    </w:p>
    <w:p w14:paraId="64303869" w14:textId="77777777" w:rsidR="009F6D8A" w:rsidRDefault="009F6D8A">
      <w:pPr>
        <w:spacing w:after="60"/>
        <w:ind w:firstLine="540"/>
        <w:jc w:val="both"/>
      </w:pPr>
    </w:p>
    <w:p w14:paraId="6430386A" w14:textId="77777777" w:rsidR="009F6D8A" w:rsidRDefault="009F6D8A">
      <w:pPr>
        <w:spacing w:after="60"/>
        <w:ind w:firstLine="540"/>
        <w:jc w:val="both"/>
      </w:pPr>
    </w:p>
    <w:p w14:paraId="6430386B" w14:textId="77777777" w:rsidR="009F6D8A" w:rsidRDefault="009F6D8A">
      <w:pPr>
        <w:spacing w:after="60"/>
        <w:ind w:firstLine="540"/>
        <w:jc w:val="both"/>
      </w:pPr>
    </w:p>
    <w:p w14:paraId="6430386C" w14:textId="77777777" w:rsidR="009F6D8A" w:rsidRDefault="009F6D8A">
      <w:pPr>
        <w:spacing w:after="60"/>
        <w:ind w:firstLine="540"/>
        <w:jc w:val="both"/>
      </w:pPr>
    </w:p>
    <w:p w14:paraId="6430386D" w14:textId="77777777" w:rsidR="009F6D8A" w:rsidRDefault="009F6D8A">
      <w:pPr>
        <w:spacing w:after="60"/>
        <w:ind w:firstLine="540"/>
        <w:jc w:val="both"/>
      </w:pPr>
    </w:p>
    <w:p w14:paraId="6430386E" w14:textId="77777777" w:rsidR="009F6D8A" w:rsidRDefault="009F6D8A">
      <w:pPr>
        <w:spacing w:after="60"/>
        <w:ind w:firstLine="540"/>
        <w:jc w:val="both"/>
      </w:pPr>
    </w:p>
    <w:p w14:paraId="6430386F" w14:textId="77777777" w:rsidR="009F6D8A" w:rsidRDefault="009F6D8A">
      <w:pPr>
        <w:spacing w:after="60"/>
        <w:ind w:firstLine="540"/>
        <w:jc w:val="both"/>
      </w:pPr>
    </w:p>
    <w:p w14:paraId="64303870" w14:textId="77777777" w:rsidR="009F6D8A" w:rsidRDefault="009F6D8A">
      <w:pPr>
        <w:spacing w:after="60"/>
        <w:ind w:firstLine="540"/>
        <w:jc w:val="both"/>
      </w:pPr>
    </w:p>
    <w:p w14:paraId="64303871" w14:textId="77777777" w:rsidR="009F6D8A" w:rsidRDefault="009F6D8A">
      <w:pPr>
        <w:spacing w:after="60"/>
        <w:ind w:firstLine="540"/>
        <w:jc w:val="both"/>
      </w:pPr>
    </w:p>
    <w:p w14:paraId="64303872" w14:textId="77777777" w:rsidR="009F6D8A" w:rsidRDefault="009F6D8A">
      <w:pPr>
        <w:spacing w:after="60"/>
        <w:ind w:firstLine="540"/>
        <w:jc w:val="both"/>
      </w:pPr>
    </w:p>
    <w:p w14:paraId="64303873" w14:textId="77777777" w:rsidR="009F6D8A" w:rsidRDefault="009F6D8A">
      <w:pPr>
        <w:spacing w:after="60"/>
        <w:ind w:firstLine="540"/>
        <w:jc w:val="both"/>
      </w:pPr>
    </w:p>
    <w:p w14:paraId="64303874" w14:textId="77777777" w:rsidR="009F6D8A" w:rsidRDefault="009F6D8A">
      <w:pPr>
        <w:jc w:val="center"/>
      </w:pPr>
    </w:p>
    <w:p w14:paraId="64303875" w14:textId="77777777" w:rsidR="009F6D8A" w:rsidRDefault="00C50974">
      <w:pPr>
        <w:jc w:val="center"/>
      </w:pPr>
      <w:r>
        <w:rPr>
          <w:rFonts w:ascii="Arial" w:eastAsia="宋体" w:hAnsi="Arial" w:cs="Arial"/>
          <w:color w:val="000000"/>
          <w:sz w:val="20"/>
          <w:szCs w:val="20"/>
        </w:rPr>
        <w:t>17</w:t>
      </w:r>
    </w:p>
    <w:p w14:paraId="64303876" w14:textId="77777777" w:rsidR="009F6D8A" w:rsidRDefault="00C50974">
      <w:r>
        <w:pict w14:anchorId="64305814">
          <v:rect id="_x0000_i1041" style="width:415.3pt;height:1.5pt" o:hralign="center" o:hrstd="t" o:hr="t" fillcolor="#a0a0a0" stroked="f"/>
        </w:pict>
      </w:r>
    </w:p>
    <w:p w14:paraId="64303877" w14:textId="77777777" w:rsidR="009F6D8A" w:rsidRDefault="009F6D8A">
      <w:pPr>
        <w:jc w:val="center"/>
      </w:pPr>
    </w:p>
    <w:p w14:paraId="64303878" w14:textId="77777777" w:rsidR="009F6D8A" w:rsidRDefault="00C50974">
      <w:pPr>
        <w:jc w:val="center"/>
      </w:pPr>
      <w:r>
        <w:rPr>
          <w:rFonts w:ascii="Arial" w:eastAsia="宋体" w:hAnsi="Arial" w:cs="Arial"/>
          <w:b/>
          <w:bCs/>
          <w:color w:val="000000"/>
          <w:sz w:val="20"/>
          <w:szCs w:val="20"/>
        </w:rPr>
        <w:t>eBay Inc.</w:t>
      </w:r>
    </w:p>
    <w:p w14:paraId="64303879"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387A" w14:textId="77777777" w:rsidR="009F6D8A" w:rsidRDefault="00C50974">
      <w:pPr>
        <w:spacing w:after="60"/>
        <w:ind w:firstLine="540"/>
        <w:jc w:val="both"/>
      </w:pPr>
      <w:r>
        <w:rPr>
          <w:rFonts w:ascii="Arial" w:eastAsia="宋体" w:hAnsi="Arial" w:cs="Arial"/>
          <w:color w:val="000000"/>
          <w:sz w:val="20"/>
          <w:szCs w:val="20"/>
        </w:rPr>
        <w:t xml:space="preserve">The following table presents the aggregate carrying amounts of held for sale assets and </w:t>
      </w:r>
      <w:r>
        <w:rPr>
          <w:rFonts w:ascii="Arial" w:eastAsia="宋体" w:hAnsi="Arial" w:cs="Arial"/>
          <w:color w:val="000000"/>
          <w:sz w:val="20"/>
          <w:szCs w:val="20"/>
        </w:rPr>
        <w:t>liabilities related to eBay Korea in the condensed consolidated balance sheet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6142"/>
        <w:gridCol w:w="38"/>
        <w:gridCol w:w="121"/>
        <w:gridCol w:w="840"/>
        <w:gridCol w:w="36"/>
        <w:gridCol w:w="36"/>
        <w:gridCol w:w="36"/>
        <w:gridCol w:w="36"/>
        <w:gridCol w:w="122"/>
        <w:gridCol w:w="829"/>
        <w:gridCol w:w="36"/>
      </w:tblGrid>
      <w:tr w:rsidR="009F6D8A" w14:paraId="64303887" w14:textId="77777777">
        <w:tc>
          <w:tcPr>
            <w:tcW w:w="50" w:type="pct"/>
            <w:shd w:val="clear" w:color="auto" w:fill="auto"/>
            <w:vAlign w:val="bottom"/>
          </w:tcPr>
          <w:p w14:paraId="6430387B" w14:textId="77777777" w:rsidR="009F6D8A" w:rsidRDefault="009F6D8A">
            <w:pPr>
              <w:rPr>
                <w:rFonts w:ascii="宋体"/>
              </w:rPr>
            </w:pPr>
          </w:p>
        </w:tc>
        <w:tc>
          <w:tcPr>
            <w:tcW w:w="3720" w:type="pct"/>
            <w:shd w:val="clear" w:color="auto" w:fill="auto"/>
            <w:vAlign w:val="bottom"/>
          </w:tcPr>
          <w:p w14:paraId="6430387C" w14:textId="77777777" w:rsidR="009F6D8A" w:rsidRDefault="009F6D8A">
            <w:pPr>
              <w:rPr>
                <w:rFonts w:ascii="宋体"/>
              </w:rPr>
            </w:pPr>
          </w:p>
        </w:tc>
        <w:tc>
          <w:tcPr>
            <w:tcW w:w="5" w:type="pct"/>
            <w:shd w:val="clear" w:color="auto" w:fill="auto"/>
            <w:vAlign w:val="bottom"/>
          </w:tcPr>
          <w:p w14:paraId="6430387D" w14:textId="77777777" w:rsidR="009F6D8A" w:rsidRDefault="009F6D8A">
            <w:pPr>
              <w:rPr>
                <w:rFonts w:ascii="宋体"/>
              </w:rPr>
            </w:pPr>
          </w:p>
        </w:tc>
        <w:tc>
          <w:tcPr>
            <w:tcW w:w="50" w:type="pct"/>
            <w:shd w:val="clear" w:color="auto" w:fill="auto"/>
            <w:vAlign w:val="bottom"/>
          </w:tcPr>
          <w:p w14:paraId="6430387E" w14:textId="77777777" w:rsidR="009F6D8A" w:rsidRDefault="009F6D8A">
            <w:pPr>
              <w:rPr>
                <w:rFonts w:ascii="宋体"/>
              </w:rPr>
            </w:pPr>
          </w:p>
        </w:tc>
        <w:tc>
          <w:tcPr>
            <w:tcW w:w="531" w:type="pct"/>
            <w:shd w:val="clear" w:color="auto" w:fill="auto"/>
            <w:vAlign w:val="bottom"/>
          </w:tcPr>
          <w:p w14:paraId="6430387F" w14:textId="77777777" w:rsidR="009F6D8A" w:rsidRDefault="009F6D8A">
            <w:pPr>
              <w:rPr>
                <w:rFonts w:ascii="宋体"/>
              </w:rPr>
            </w:pPr>
          </w:p>
        </w:tc>
        <w:tc>
          <w:tcPr>
            <w:tcW w:w="5" w:type="pct"/>
            <w:shd w:val="clear" w:color="auto" w:fill="auto"/>
            <w:vAlign w:val="bottom"/>
          </w:tcPr>
          <w:p w14:paraId="64303880" w14:textId="77777777" w:rsidR="009F6D8A" w:rsidRDefault="009F6D8A">
            <w:pPr>
              <w:rPr>
                <w:rFonts w:ascii="宋体"/>
              </w:rPr>
            </w:pPr>
          </w:p>
        </w:tc>
        <w:tc>
          <w:tcPr>
            <w:tcW w:w="5" w:type="pct"/>
            <w:shd w:val="clear" w:color="auto" w:fill="auto"/>
            <w:vAlign w:val="bottom"/>
          </w:tcPr>
          <w:p w14:paraId="64303881" w14:textId="77777777" w:rsidR="009F6D8A" w:rsidRDefault="009F6D8A">
            <w:pPr>
              <w:rPr>
                <w:rFonts w:ascii="宋体"/>
              </w:rPr>
            </w:pPr>
          </w:p>
        </w:tc>
        <w:tc>
          <w:tcPr>
            <w:tcW w:w="41" w:type="pct"/>
            <w:shd w:val="clear" w:color="auto" w:fill="auto"/>
            <w:vAlign w:val="bottom"/>
          </w:tcPr>
          <w:p w14:paraId="64303882" w14:textId="77777777" w:rsidR="009F6D8A" w:rsidRDefault="009F6D8A">
            <w:pPr>
              <w:rPr>
                <w:rFonts w:ascii="宋体"/>
              </w:rPr>
            </w:pPr>
          </w:p>
        </w:tc>
        <w:tc>
          <w:tcPr>
            <w:tcW w:w="5" w:type="pct"/>
            <w:shd w:val="clear" w:color="auto" w:fill="auto"/>
            <w:vAlign w:val="bottom"/>
          </w:tcPr>
          <w:p w14:paraId="64303883" w14:textId="77777777" w:rsidR="009F6D8A" w:rsidRDefault="009F6D8A">
            <w:pPr>
              <w:rPr>
                <w:rFonts w:ascii="宋体"/>
              </w:rPr>
            </w:pPr>
          </w:p>
        </w:tc>
        <w:tc>
          <w:tcPr>
            <w:tcW w:w="50" w:type="pct"/>
            <w:shd w:val="clear" w:color="auto" w:fill="auto"/>
            <w:vAlign w:val="bottom"/>
          </w:tcPr>
          <w:p w14:paraId="64303884" w14:textId="77777777" w:rsidR="009F6D8A" w:rsidRDefault="009F6D8A">
            <w:pPr>
              <w:rPr>
                <w:rFonts w:ascii="宋体"/>
              </w:rPr>
            </w:pPr>
          </w:p>
        </w:tc>
        <w:tc>
          <w:tcPr>
            <w:tcW w:w="531" w:type="pct"/>
            <w:shd w:val="clear" w:color="auto" w:fill="auto"/>
            <w:vAlign w:val="bottom"/>
          </w:tcPr>
          <w:p w14:paraId="64303885" w14:textId="77777777" w:rsidR="009F6D8A" w:rsidRDefault="009F6D8A">
            <w:pPr>
              <w:rPr>
                <w:rFonts w:ascii="宋体"/>
              </w:rPr>
            </w:pPr>
          </w:p>
        </w:tc>
        <w:tc>
          <w:tcPr>
            <w:tcW w:w="5" w:type="pct"/>
            <w:shd w:val="clear" w:color="auto" w:fill="auto"/>
            <w:vAlign w:val="bottom"/>
          </w:tcPr>
          <w:p w14:paraId="64303886" w14:textId="77777777" w:rsidR="009F6D8A" w:rsidRDefault="009F6D8A">
            <w:pPr>
              <w:rPr>
                <w:rFonts w:ascii="宋体"/>
              </w:rPr>
            </w:pPr>
          </w:p>
        </w:tc>
      </w:tr>
      <w:tr w:rsidR="009F6D8A" w14:paraId="6430388C" w14:textId="77777777">
        <w:tc>
          <w:tcPr>
            <w:tcW w:w="0" w:type="auto"/>
            <w:gridSpan w:val="3"/>
            <w:shd w:val="clear" w:color="auto" w:fill="auto"/>
            <w:tcMar>
              <w:top w:w="40" w:type="dxa"/>
              <w:left w:w="20" w:type="dxa"/>
              <w:bottom w:w="40" w:type="dxa"/>
              <w:right w:w="20" w:type="dxa"/>
            </w:tcMar>
            <w:vAlign w:val="bottom"/>
          </w:tcPr>
          <w:p w14:paraId="64303888" w14:textId="77777777" w:rsidR="009F6D8A" w:rsidRDefault="00C50974">
            <w:pPr>
              <w:textAlignment w:val="bottom"/>
            </w:pPr>
            <w:r>
              <w:rPr>
                <w:rFonts w:ascii="Arial" w:eastAsia="宋体" w:hAnsi="Arial" w:cs="Arial"/>
                <w:b/>
                <w:bCs/>
                <w:color w:val="000000"/>
                <w:sz w:val="18"/>
                <w:szCs w:val="18"/>
              </w:rPr>
              <w:t> </w:t>
            </w:r>
          </w:p>
        </w:tc>
        <w:tc>
          <w:tcPr>
            <w:tcW w:w="0" w:type="auto"/>
            <w:gridSpan w:val="3"/>
            <w:shd w:val="clear" w:color="auto" w:fill="auto"/>
            <w:tcMar>
              <w:top w:w="40" w:type="dxa"/>
              <w:left w:w="20" w:type="dxa"/>
              <w:bottom w:w="40" w:type="dxa"/>
              <w:right w:w="20" w:type="dxa"/>
            </w:tcMar>
            <w:vAlign w:val="bottom"/>
          </w:tcPr>
          <w:p w14:paraId="64303889" w14:textId="77777777" w:rsidR="009F6D8A" w:rsidRDefault="00C50974">
            <w:pPr>
              <w:jc w:val="center"/>
              <w:textAlignment w:val="bottom"/>
            </w:pPr>
            <w:r>
              <w:rPr>
                <w:rFonts w:ascii="Arial" w:eastAsia="宋体" w:hAnsi="Arial" w:cs="Arial"/>
                <w:b/>
                <w:bCs/>
                <w:color w:val="000000"/>
                <w:sz w:val="16"/>
                <w:szCs w:val="16"/>
              </w:rPr>
              <w:t>June 30, 2021</w:t>
            </w:r>
          </w:p>
        </w:tc>
        <w:tc>
          <w:tcPr>
            <w:tcW w:w="0" w:type="auto"/>
            <w:gridSpan w:val="3"/>
            <w:shd w:val="clear" w:color="auto" w:fill="auto"/>
            <w:tcMar>
              <w:top w:w="0" w:type="dxa"/>
              <w:left w:w="20" w:type="dxa"/>
              <w:bottom w:w="0" w:type="dxa"/>
              <w:right w:w="20" w:type="dxa"/>
            </w:tcMar>
            <w:vAlign w:val="bottom"/>
          </w:tcPr>
          <w:p w14:paraId="6430388A"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388B" w14:textId="77777777" w:rsidR="009F6D8A" w:rsidRDefault="00C50974">
            <w:pPr>
              <w:jc w:val="center"/>
              <w:textAlignment w:val="bottom"/>
            </w:pPr>
            <w:r>
              <w:rPr>
                <w:rFonts w:ascii="Arial" w:eastAsia="宋体" w:hAnsi="Arial" w:cs="Arial"/>
                <w:b/>
                <w:bCs/>
                <w:color w:val="000000"/>
                <w:sz w:val="16"/>
                <w:szCs w:val="16"/>
              </w:rPr>
              <w:t>December 31, 2020</w:t>
            </w:r>
          </w:p>
        </w:tc>
      </w:tr>
      <w:tr w:rsidR="009F6D8A" w14:paraId="64303891" w14:textId="77777777">
        <w:tc>
          <w:tcPr>
            <w:tcW w:w="0" w:type="auto"/>
            <w:gridSpan w:val="3"/>
            <w:shd w:val="clear" w:color="auto" w:fill="E1E1E1"/>
            <w:tcMar>
              <w:top w:w="40" w:type="dxa"/>
              <w:left w:w="20" w:type="dxa"/>
              <w:bottom w:w="40" w:type="dxa"/>
              <w:right w:w="20" w:type="dxa"/>
            </w:tcMar>
            <w:vAlign w:val="bottom"/>
          </w:tcPr>
          <w:p w14:paraId="6430388D" w14:textId="77777777" w:rsidR="009F6D8A" w:rsidRDefault="00C50974">
            <w:pPr>
              <w:textAlignment w:val="bottom"/>
            </w:pPr>
            <w:r>
              <w:rPr>
                <w:rFonts w:ascii="Arial" w:eastAsia="宋体" w:hAnsi="Arial" w:cs="Arial"/>
                <w:color w:val="000000"/>
                <w:sz w:val="18"/>
                <w:szCs w:val="18"/>
              </w:rPr>
              <w:t>Carrying amounts of assets included as part of held for sale:</w:t>
            </w: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430388E"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388F" w14:textId="77777777" w:rsidR="009F6D8A" w:rsidRDefault="009F6D8A">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4303890" w14:textId="77777777" w:rsidR="009F6D8A" w:rsidRDefault="009F6D8A">
            <w:pPr>
              <w:rPr>
                <w:rFonts w:ascii="宋体"/>
              </w:rPr>
            </w:pPr>
          </w:p>
        </w:tc>
      </w:tr>
      <w:tr w:rsidR="009F6D8A" w14:paraId="6430389A" w14:textId="77777777">
        <w:tc>
          <w:tcPr>
            <w:tcW w:w="0" w:type="auto"/>
            <w:gridSpan w:val="3"/>
            <w:shd w:val="clear" w:color="auto" w:fill="FFFFFF"/>
            <w:tcMar>
              <w:top w:w="40" w:type="dxa"/>
              <w:left w:w="20" w:type="dxa"/>
              <w:bottom w:w="40" w:type="dxa"/>
              <w:right w:w="20" w:type="dxa"/>
            </w:tcMar>
            <w:vAlign w:val="bottom"/>
          </w:tcPr>
          <w:p w14:paraId="64303892" w14:textId="77777777" w:rsidR="009F6D8A" w:rsidRDefault="00C50974">
            <w:pPr>
              <w:textAlignment w:val="bottom"/>
            </w:pPr>
            <w:r>
              <w:rPr>
                <w:rFonts w:ascii="Arial" w:eastAsia="宋体" w:hAnsi="Arial" w:cs="Arial"/>
                <w:color w:val="000000"/>
                <w:sz w:val="18"/>
                <w:szCs w:val="18"/>
              </w:rPr>
              <w:t>Cash and cash equivalents</w:t>
            </w:r>
          </w:p>
        </w:tc>
        <w:tc>
          <w:tcPr>
            <w:tcW w:w="0" w:type="auto"/>
            <w:shd w:val="clear" w:color="auto" w:fill="FFFFFF"/>
            <w:tcMar>
              <w:top w:w="40" w:type="dxa"/>
              <w:left w:w="20" w:type="dxa"/>
              <w:bottom w:w="40" w:type="dxa"/>
              <w:right w:w="0" w:type="dxa"/>
            </w:tcMar>
            <w:vAlign w:val="bottom"/>
          </w:tcPr>
          <w:p w14:paraId="64303893"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894" w14:textId="77777777" w:rsidR="009F6D8A" w:rsidRDefault="00C50974">
            <w:pPr>
              <w:jc w:val="right"/>
              <w:textAlignment w:val="bottom"/>
            </w:pPr>
            <w:r>
              <w:rPr>
                <w:rFonts w:ascii="Arial" w:eastAsia="宋体" w:hAnsi="Arial" w:cs="Arial"/>
                <w:color w:val="000000"/>
                <w:sz w:val="18"/>
                <w:szCs w:val="18"/>
              </w:rPr>
              <w:t>162 </w:t>
            </w:r>
          </w:p>
        </w:tc>
        <w:tc>
          <w:tcPr>
            <w:tcW w:w="0" w:type="auto"/>
            <w:shd w:val="clear" w:color="auto" w:fill="FFFFFF"/>
            <w:tcMar>
              <w:top w:w="40" w:type="dxa"/>
              <w:left w:w="0" w:type="dxa"/>
              <w:bottom w:w="40" w:type="dxa"/>
              <w:right w:w="20" w:type="dxa"/>
            </w:tcMar>
            <w:vAlign w:val="bottom"/>
          </w:tcPr>
          <w:p w14:paraId="6430389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896"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897"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898" w14:textId="77777777" w:rsidR="009F6D8A" w:rsidRDefault="00C50974">
            <w:pPr>
              <w:jc w:val="right"/>
              <w:textAlignment w:val="bottom"/>
            </w:pPr>
            <w:r>
              <w:rPr>
                <w:rFonts w:ascii="Arial" w:eastAsia="宋体" w:hAnsi="Arial" w:cs="Arial"/>
                <w:color w:val="000000"/>
                <w:sz w:val="18"/>
                <w:szCs w:val="18"/>
              </w:rPr>
              <w:t>327 </w:t>
            </w:r>
          </w:p>
        </w:tc>
        <w:tc>
          <w:tcPr>
            <w:tcW w:w="0" w:type="auto"/>
            <w:shd w:val="clear" w:color="auto" w:fill="FFFFFF"/>
            <w:tcMar>
              <w:top w:w="40" w:type="dxa"/>
              <w:left w:w="0" w:type="dxa"/>
              <w:bottom w:w="40" w:type="dxa"/>
              <w:right w:w="20" w:type="dxa"/>
            </w:tcMar>
            <w:vAlign w:val="bottom"/>
          </w:tcPr>
          <w:p w14:paraId="64303899" w14:textId="77777777" w:rsidR="009F6D8A" w:rsidRDefault="009F6D8A">
            <w:pPr>
              <w:jc w:val="right"/>
              <w:rPr>
                <w:rFonts w:ascii="宋体"/>
              </w:rPr>
            </w:pPr>
          </w:p>
        </w:tc>
      </w:tr>
      <w:tr w:rsidR="009F6D8A" w14:paraId="643038A1" w14:textId="77777777">
        <w:tc>
          <w:tcPr>
            <w:tcW w:w="0" w:type="auto"/>
            <w:gridSpan w:val="3"/>
            <w:shd w:val="clear" w:color="auto" w:fill="E1E1E1"/>
            <w:tcMar>
              <w:top w:w="40" w:type="dxa"/>
              <w:left w:w="20" w:type="dxa"/>
              <w:bottom w:w="40" w:type="dxa"/>
              <w:right w:w="20" w:type="dxa"/>
            </w:tcMar>
            <w:vAlign w:val="bottom"/>
          </w:tcPr>
          <w:p w14:paraId="6430389B" w14:textId="77777777" w:rsidR="009F6D8A" w:rsidRDefault="00C50974">
            <w:pPr>
              <w:textAlignment w:val="bottom"/>
            </w:pPr>
            <w:r>
              <w:rPr>
                <w:rFonts w:ascii="Arial" w:eastAsia="宋体" w:hAnsi="Arial" w:cs="Arial"/>
                <w:color w:val="000000"/>
                <w:sz w:val="18"/>
                <w:szCs w:val="18"/>
              </w:rPr>
              <w:t>Short-term investments</w:t>
            </w:r>
          </w:p>
        </w:tc>
        <w:tc>
          <w:tcPr>
            <w:tcW w:w="0" w:type="auto"/>
            <w:gridSpan w:val="2"/>
            <w:shd w:val="clear" w:color="auto" w:fill="E1E1E1"/>
            <w:tcMar>
              <w:top w:w="40" w:type="dxa"/>
              <w:left w:w="20" w:type="dxa"/>
              <w:bottom w:w="40" w:type="dxa"/>
              <w:right w:w="0" w:type="dxa"/>
            </w:tcMar>
            <w:vAlign w:val="bottom"/>
          </w:tcPr>
          <w:p w14:paraId="6430389C"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6430389D"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89E"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89F" w14:textId="77777777" w:rsidR="009F6D8A" w:rsidRDefault="00C50974">
            <w:pPr>
              <w:jc w:val="right"/>
              <w:textAlignment w:val="bottom"/>
            </w:pPr>
            <w:r>
              <w:rPr>
                <w:rFonts w:ascii="Arial" w:eastAsia="宋体" w:hAnsi="Arial" w:cs="Arial"/>
                <w:color w:val="000000"/>
                <w:sz w:val="18"/>
                <w:szCs w:val="18"/>
              </w:rPr>
              <w:t>6 </w:t>
            </w:r>
          </w:p>
        </w:tc>
        <w:tc>
          <w:tcPr>
            <w:tcW w:w="0" w:type="auto"/>
            <w:shd w:val="clear" w:color="auto" w:fill="E1E1E1"/>
            <w:tcMar>
              <w:top w:w="40" w:type="dxa"/>
              <w:left w:w="0" w:type="dxa"/>
              <w:bottom w:w="40" w:type="dxa"/>
              <w:right w:w="20" w:type="dxa"/>
            </w:tcMar>
            <w:vAlign w:val="bottom"/>
          </w:tcPr>
          <w:p w14:paraId="643038A0" w14:textId="77777777" w:rsidR="009F6D8A" w:rsidRDefault="009F6D8A">
            <w:pPr>
              <w:jc w:val="right"/>
              <w:rPr>
                <w:rFonts w:ascii="宋体"/>
              </w:rPr>
            </w:pPr>
          </w:p>
        </w:tc>
      </w:tr>
      <w:tr w:rsidR="009F6D8A" w14:paraId="643038A8" w14:textId="77777777">
        <w:tc>
          <w:tcPr>
            <w:tcW w:w="0" w:type="auto"/>
            <w:gridSpan w:val="3"/>
            <w:shd w:val="clear" w:color="auto" w:fill="FFFFFF"/>
            <w:tcMar>
              <w:top w:w="40" w:type="dxa"/>
              <w:left w:w="20" w:type="dxa"/>
              <w:bottom w:w="40" w:type="dxa"/>
              <w:right w:w="20" w:type="dxa"/>
            </w:tcMar>
            <w:vAlign w:val="bottom"/>
          </w:tcPr>
          <w:p w14:paraId="643038A2" w14:textId="77777777" w:rsidR="009F6D8A" w:rsidRDefault="00C50974">
            <w:pPr>
              <w:textAlignment w:val="bottom"/>
            </w:pPr>
            <w:r>
              <w:rPr>
                <w:rFonts w:ascii="Arial" w:eastAsia="宋体" w:hAnsi="Arial" w:cs="Arial"/>
                <w:color w:val="000000"/>
                <w:sz w:val="18"/>
                <w:szCs w:val="18"/>
              </w:rPr>
              <w:t>Accounts receivable, net</w:t>
            </w:r>
          </w:p>
        </w:tc>
        <w:tc>
          <w:tcPr>
            <w:tcW w:w="0" w:type="auto"/>
            <w:gridSpan w:val="2"/>
            <w:shd w:val="clear" w:color="auto" w:fill="FFFFFF"/>
            <w:tcMar>
              <w:top w:w="40" w:type="dxa"/>
              <w:left w:w="20" w:type="dxa"/>
              <w:bottom w:w="40" w:type="dxa"/>
              <w:right w:w="0" w:type="dxa"/>
            </w:tcMar>
            <w:vAlign w:val="bottom"/>
          </w:tcPr>
          <w:p w14:paraId="643038A3" w14:textId="77777777" w:rsidR="009F6D8A" w:rsidRDefault="00C50974">
            <w:pPr>
              <w:jc w:val="right"/>
              <w:textAlignment w:val="bottom"/>
            </w:pPr>
            <w:r>
              <w:rPr>
                <w:rFonts w:ascii="Arial" w:eastAsia="宋体" w:hAnsi="Arial" w:cs="Arial"/>
                <w:color w:val="000000"/>
                <w:sz w:val="18"/>
                <w:szCs w:val="18"/>
              </w:rPr>
              <w:t>49 </w:t>
            </w:r>
          </w:p>
        </w:tc>
        <w:tc>
          <w:tcPr>
            <w:tcW w:w="0" w:type="auto"/>
            <w:shd w:val="clear" w:color="auto" w:fill="FFFFFF"/>
            <w:tcMar>
              <w:top w:w="40" w:type="dxa"/>
              <w:left w:w="0" w:type="dxa"/>
              <w:bottom w:w="40" w:type="dxa"/>
              <w:right w:w="20" w:type="dxa"/>
            </w:tcMar>
            <w:vAlign w:val="bottom"/>
          </w:tcPr>
          <w:p w14:paraId="643038A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8A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8A6" w14:textId="77777777" w:rsidR="009F6D8A" w:rsidRDefault="00C50974">
            <w:pPr>
              <w:jc w:val="right"/>
              <w:textAlignment w:val="bottom"/>
            </w:pPr>
            <w:r>
              <w:rPr>
                <w:rFonts w:ascii="Arial" w:eastAsia="宋体" w:hAnsi="Arial" w:cs="Arial"/>
                <w:color w:val="000000"/>
                <w:sz w:val="18"/>
                <w:szCs w:val="18"/>
              </w:rPr>
              <w:t>50 </w:t>
            </w:r>
          </w:p>
        </w:tc>
        <w:tc>
          <w:tcPr>
            <w:tcW w:w="0" w:type="auto"/>
            <w:shd w:val="clear" w:color="auto" w:fill="FFFFFF"/>
            <w:tcMar>
              <w:top w:w="40" w:type="dxa"/>
              <w:left w:w="0" w:type="dxa"/>
              <w:bottom w:w="40" w:type="dxa"/>
              <w:right w:w="20" w:type="dxa"/>
            </w:tcMar>
            <w:vAlign w:val="bottom"/>
          </w:tcPr>
          <w:p w14:paraId="643038A7" w14:textId="77777777" w:rsidR="009F6D8A" w:rsidRDefault="009F6D8A">
            <w:pPr>
              <w:jc w:val="right"/>
              <w:rPr>
                <w:rFonts w:ascii="宋体"/>
              </w:rPr>
            </w:pPr>
          </w:p>
        </w:tc>
      </w:tr>
      <w:tr w:rsidR="009F6D8A" w14:paraId="643038AF" w14:textId="77777777">
        <w:tc>
          <w:tcPr>
            <w:tcW w:w="0" w:type="auto"/>
            <w:gridSpan w:val="3"/>
            <w:shd w:val="clear" w:color="auto" w:fill="E1E1E1"/>
            <w:tcMar>
              <w:top w:w="40" w:type="dxa"/>
              <w:left w:w="20" w:type="dxa"/>
              <w:bottom w:w="40" w:type="dxa"/>
              <w:right w:w="20" w:type="dxa"/>
            </w:tcMar>
            <w:vAlign w:val="bottom"/>
          </w:tcPr>
          <w:p w14:paraId="643038A9" w14:textId="77777777" w:rsidR="009F6D8A" w:rsidRDefault="00C50974">
            <w:pPr>
              <w:textAlignment w:val="bottom"/>
            </w:pPr>
            <w:r>
              <w:rPr>
                <w:rFonts w:ascii="Arial" w:eastAsia="宋体" w:hAnsi="Arial" w:cs="Arial"/>
                <w:color w:val="000000"/>
                <w:sz w:val="18"/>
                <w:szCs w:val="18"/>
              </w:rPr>
              <w:t>Customer accounts and funds receivable</w:t>
            </w:r>
          </w:p>
        </w:tc>
        <w:tc>
          <w:tcPr>
            <w:tcW w:w="0" w:type="auto"/>
            <w:gridSpan w:val="2"/>
            <w:shd w:val="clear" w:color="auto" w:fill="E1E1E1"/>
            <w:tcMar>
              <w:top w:w="40" w:type="dxa"/>
              <w:left w:w="20" w:type="dxa"/>
              <w:bottom w:w="40" w:type="dxa"/>
              <w:right w:w="0" w:type="dxa"/>
            </w:tcMar>
            <w:vAlign w:val="bottom"/>
          </w:tcPr>
          <w:p w14:paraId="643038AA" w14:textId="77777777" w:rsidR="009F6D8A" w:rsidRDefault="00C50974">
            <w:pPr>
              <w:jc w:val="right"/>
              <w:textAlignment w:val="bottom"/>
            </w:pPr>
            <w:r>
              <w:rPr>
                <w:rFonts w:ascii="Arial" w:eastAsia="宋体" w:hAnsi="Arial" w:cs="Arial"/>
                <w:color w:val="000000"/>
                <w:sz w:val="18"/>
                <w:szCs w:val="18"/>
              </w:rPr>
              <w:t>590 </w:t>
            </w:r>
          </w:p>
        </w:tc>
        <w:tc>
          <w:tcPr>
            <w:tcW w:w="0" w:type="auto"/>
            <w:shd w:val="clear" w:color="auto" w:fill="E1E1E1"/>
            <w:tcMar>
              <w:top w:w="40" w:type="dxa"/>
              <w:left w:w="0" w:type="dxa"/>
              <w:bottom w:w="40" w:type="dxa"/>
              <w:right w:w="20" w:type="dxa"/>
            </w:tcMar>
            <w:vAlign w:val="bottom"/>
          </w:tcPr>
          <w:p w14:paraId="643038AB"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8AC"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8AD" w14:textId="77777777" w:rsidR="009F6D8A" w:rsidRDefault="00C50974">
            <w:pPr>
              <w:jc w:val="right"/>
              <w:textAlignment w:val="bottom"/>
            </w:pPr>
            <w:r>
              <w:rPr>
                <w:rFonts w:ascii="Arial" w:eastAsia="宋体" w:hAnsi="Arial" w:cs="Arial"/>
                <w:color w:val="000000"/>
                <w:sz w:val="18"/>
                <w:szCs w:val="18"/>
              </w:rPr>
              <w:t>649 </w:t>
            </w:r>
          </w:p>
        </w:tc>
        <w:tc>
          <w:tcPr>
            <w:tcW w:w="0" w:type="auto"/>
            <w:shd w:val="clear" w:color="auto" w:fill="E1E1E1"/>
            <w:tcMar>
              <w:top w:w="40" w:type="dxa"/>
              <w:left w:w="0" w:type="dxa"/>
              <w:bottom w:w="40" w:type="dxa"/>
              <w:right w:w="20" w:type="dxa"/>
            </w:tcMar>
            <w:vAlign w:val="bottom"/>
          </w:tcPr>
          <w:p w14:paraId="643038AE" w14:textId="77777777" w:rsidR="009F6D8A" w:rsidRDefault="009F6D8A">
            <w:pPr>
              <w:jc w:val="right"/>
              <w:rPr>
                <w:rFonts w:ascii="宋体"/>
              </w:rPr>
            </w:pPr>
          </w:p>
        </w:tc>
      </w:tr>
      <w:tr w:rsidR="009F6D8A" w14:paraId="643038B6" w14:textId="77777777">
        <w:tc>
          <w:tcPr>
            <w:tcW w:w="0" w:type="auto"/>
            <w:gridSpan w:val="3"/>
            <w:shd w:val="clear" w:color="auto" w:fill="FFFFFF"/>
            <w:tcMar>
              <w:top w:w="40" w:type="dxa"/>
              <w:left w:w="20" w:type="dxa"/>
              <w:bottom w:w="40" w:type="dxa"/>
              <w:right w:w="20" w:type="dxa"/>
            </w:tcMar>
            <w:vAlign w:val="bottom"/>
          </w:tcPr>
          <w:p w14:paraId="643038B0" w14:textId="77777777" w:rsidR="009F6D8A" w:rsidRDefault="00C50974">
            <w:pPr>
              <w:textAlignment w:val="bottom"/>
            </w:pPr>
            <w:r>
              <w:rPr>
                <w:rFonts w:ascii="Arial" w:eastAsia="宋体" w:hAnsi="Arial" w:cs="Arial"/>
                <w:color w:val="000000"/>
                <w:sz w:val="18"/>
                <w:szCs w:val="18"/>
              </w:rPr>
              <w:t>Other current assets</w:t>
            </w:r>
          </w:p>
        </w:tc>
        <w:tc>
          <w:tcPr>
            <w:tcW w:w="0" w:type="auto"/>
            <w:gridSpan w:val="2"/>
            <w:shd w:val="clear" w:color="auto" w:fill="FFFFFF"/>
            <w:tcMar>
              <w:top w:w="40" w:type="dxa"/>
              <w:left w:w="20" w:type="dxa"/>
              <w:bottom w:w="40" w:type="dxa"/>
              <w:right w:w="0" w:type="dxa"/>
            </w:tcMar>
            <w:vAlign w:val="bottom"/>
          </w:tcPr>
          <w:p w14:paraId="643038B1" w14:textId="77777777" w:rsidR="009F6D8A" w:rsidRDefault="00C50974">
            <w:pPr>
              <w:jc w:val="right"/>
              <w:textAlignment w:val="bottom"/>
            </w:pPr>
            <w:r>
              <w:rPr>
                <w:rFonts w:ascii="Arial" w:eastAsia="宋体" w:hAnsi="Arial" w:cs="Arial"/>
                <w:color w:val="000000"/>
                <w:sz w:val="18"/>
                <w:szCs w:val="18"/>
              </w:rPr>
              <w:t>61 </w:t>
            </w:r>
          </w:p>
        </w:tc>
        <w:tc>
          <w:tcPr>
            <w:tcW w:w="0" w:type="auto"/>
            <w:shd w:val="clear" w:color="auto" w:fill="FFFFFF"/>
            <w:tcMar>
              <w:top w:w="40" w:type="dxa"/>
              <w:left w:w="0" w:type="dxa"/>
              <w:bottom w:w="40" w:type="dxa"/>
              <w:right w:w="20" w:type="dxa"/>
            </w:tcMar>
            <w:vAlign w:val="bottom"/>
          </w:tcPr>
          <w:p w14:paraId="643038B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8B3"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8B4" w14:textId="77777777" w:rsidR="009F6D8A" w:rsidRDefault="00C50974">
            <w:pPr>
              <w:jc w:val="right"/>
              <w:textAlignment w:val="bottom"/>
            </w:pPr>
            <w:r>
              <w:rPr>
                <w:rFonts w:ascii="Arial" w:eastAsia="宋体" w:hAnsi="Arial" w:cs="Arial"/>
                <w:color w:val="000000"/>
                <w:sz w:val="18"/>
                <w:szCs w:val="18"/>
              </w:rPr>
              <w:t>45 </w:t>
            </w:r>
          </w:p>
        </w:tc>
        <w:tc>
          <w:tcPr>
            <w:tcW w:w="0" w:type="auto"/>
            <w:shd w:val="clear" w:color="auto" w:fill="FFFFFF"/>
            <w:tcMar>
              <w:top w:w="40" w:type="dxa"/>
              <w:left w:w="0" w:type="dxa"/>
              <w:bottom w:w="40" w:type="dxa"/>
              <w:right w:w="20" w:type="dxa"/>
            </w:tcMar>
            <w:vAlign w:val="bottom"/>
          </w:tcPr>
          <w:p w14:paraId="643038B5" w14:textId="77777777" w:rsidR="009F6D8A" w:rsidRDefault="009F6D8A">
            <w:pPr>
              <w:jc w:val="right"/>
              <w:rPr>
                <w:rFonts w:ascii="宋体"/>
              </w:rPr>
            </w:pPr>
          </w:p>
        </w:tc>
      </w:tr>
      <w:tr w:rsidR="009F6D8A" w14:paraId="643038BB" w14:textId="77777777">
        <w:trPr>
          <w:hidden/>
        </w:trPr>
        <w:tc>
          <w:tcPr>
            <w:tcW w:w="0" w:type="auto"/>
            <w:gridSpan w:val="3"/>
            <w:shd w:val="clear" w:color="auto" w:fill="auto"/>
            <w:vAlign w:val="bottom"/>
          </w:tcPr>
          <w:p w14:paraId="643038B7" w14:textId="77777777" w:rsidR="009F6D8A" w:rsidRDefault="009F6D8A">
            <w:pPr>
              <w:rPr>
                <w:rFonts w:ascii="宋体"/>
                <w:vanish/>
              </w:rPr>
            </w:pPr>
          </w:p>
        </w:tc>
        <w:tc>
          <w:tcPr>
            <w:tcW w:w="0" w:type="auto"/>
            <w:gridSpan w:val="3"/>
            <w:shd w:val="clear" w:color="auto" w:fill="auto"/>
            <w:vAlign w:val="bottom"/>
          </w:tcPr>
          <w:p w14:paraId="643038B8" w14:textId="77777777" w:rsidR="009F6D8A" w:rsidRDefault="009F6D8A">
            <w:pPr>
              <w:rPr>
                <w:rFonts w:ascii="宋体"/>
                <w:vanish/>
              </w:rPr>
            </w:pPr>
          </w:p>
        </w:tc>
        <w:tc>
          <w:tcPr>
            <w:tcW w:w="0" w:type="auto"/>
            <w:gridSpan w:val="3"/>
            <w:shd w:val="clear" w:color="auto" w:fill="auto"/>
            <w:vAlign w:val="bottom"/>
          </w:tcPr>
          <w:p w14:paraId="643038B9" w14:textId="77777777" w:rsidR="009F6D8A" w:rsidRDefault="009F6D8A">
            <w:pPr>
              <w:rPr>
                <w:rFonts w:ascii="宋体"/>
                <w:vanish/>
              </w:rPr>
            </w:pPr>
          </w:p>
        </w:tc>
        <w:tc>
          <w:tcPr>
            <w:tcW w:w="0" w:type="auto"/>
            <w:gridSpan w:val="3"/>
            <w:shd w:val="clear" w:color="auto" w:fill="auto"/>
            <w:vAlign w:val="bottom"/>
          </w:tcPr>
          <w:p w14:paraId="643038BA" w14:textId="77777777" w:rsidR="009F6D8A" w:rsidRDefault="009F6D8A">
            <w:pPr>
              <w:rPr>
                <w:rFonts w:ascii="宋体"/>
                <w:vanish/>
              </w:rPr>
            </w:pPr>
          </w:p>
        </w:tc>
      </w:tr>
      <w:tr w:rsidR="009F6D8A" w14:paraId="643038C2" w14:textId="77777777">
        <w:tc>
          <w:tcPr>
            <w:tcW w:w="0" w:type="auto"/>
            <w:gridSpan w:val="3"/>
            <w:shd w:val="clear" w:color="auto" w:fill="E1E1E1"/>
            <w:tcMar>
              <w:top w:w="40" w:type="dxa"/>
              <w:left w:w="20" w:type="dxa"/>
              <w:bottom w:w="40" w:type="dxa"/>
              <w:right w:w="20" w:type="dxa"/>
            </w:tcMar>
            <w:vAlign w:val="bottom"/>
          </w:tcPr>
          <w:p w14:paraId="643038BC" w14:textId="77777777" w:rsidR="009F6D8A" w:rsidRDefault="00C50974">
            <w:pPr>
              <w:textAlignment w:val="bottom"/>
            </w:pPr>
            <w:r>
              <w:rPr>
                <w:rFonts w:ascii="Arial" w:eastAsia="宋体" w:hAnsi="Arial" w:cs="Arial"/>
                <w:color w:val="000000"/>
                <w:sz w:val="18"/>
                <w:szCs w:val="18"/>
              </w:rPr>
              <w:t>Property and equipment, net</w:t>
            </w:r>
          </w:p>
        </w:tc>
        <w:tc>
          <w:tcPr>
            <w:tcW w:w="0" w:type="auto"/>
            <w:gridSpan w:val="2"/>
            <w:shd w:val="clear" w:color="auto" w:fill="E1E1E1"/>
            <w:tcMar>
              <w:top w:w="40" w:type="dxa"/>
              <w:left w:w="20" w:type="dxa"/>
              <w:bottom w:w="40" w:type="dxa"/>
              <w:right w:w="0" w:type="dxa"/>
            </w:tcMar>
            <w:vAlign w:val="bottom"/>
          </w:tcPr>
          <w:p w14:paraId="643038BD" w14:textId="77777777" w:rsidR="009F6D8A" w:rsidRDefault="00C50974">
            <w:pPr>
              <w:jc w:val="right"/>
              <w:textAlignment w:val="bottom"/>
            </w:pPr>
            <w:r>
              <w:rPr>
                <w:rFonts w:ascii="Arial" w:eastAsia="宋体" w:hAnsi="Arial" w:cs="Arial"/>
                <w:color w:val="000000"/>
                <w:sz w:val="18"/>
                <w:szCs w:val="18"/>
              </w:rPr>
              <w:t>63 </w:t>
            </w:r>
          </w:p>
        </w:tc>
        <w:tc>
          <w:tcPr>
            <w:tcW w:w="0" w:type="auto"/>
            <w:shd w:val="clear" w:color="auto" w:fill="E1E1E1"/>
            <w:tcMar>
              <w:top w:w="40" w:type="dxa"/>
              <w:left w:w="0" w:type="dxa"/>
              <w:bottom w:w="40" w:type="dxa"/>
              <w:right w:w="20" w:type="dxa"/>
            </w:tcMar>
            <w:vAlign w:val="bottom"/>
          </w:tcPr>
          <w:p w14:paraId="643038BE"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8BF"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8C0" w14:textId="77777777" w:rsidR="009F6D8A" w:rsidRDefault="00C50974">
            <w:pPr>
              <w:jc w:val="right"/>
              <w:textAlignment w:val="bottom"/>
            </w:pPr>
            <w:r>
              <w:rPr>
                <w:rFonts w:ascii="Arial" w:eastAsia="宋体" w:hAnsi="Arial" w:cs="Arial"/>
                <w:color w:val="000000"/>
                <w:sz w:val="18"/>
                <w:szCs w:val="18"/>
              </w:rPr>
              <w:t>66 </w:t>
            </w:r>
          </w:p>
        </w:tc>
        <w:tc>
          <w:tcPr>
            <w:tcW w:w="0" w:type="auto"/>
            <w:shd w:val="clear" w:color="auto" w:fill="E1E1E1"/>
            <w:tcMar>
              <w:top w:w="40" w:type="dxa"/>
              <w:left w:w="0" w:type="dxa"/>
              <w:bottom w:w="40" w:type="dxa"/>
              <w:right w:w="20" w:type="dxa"/>
            </w:tcMar>
            <w:vAlign w:val="bottom"/>
          </w:tcPr>
          <w:p w14:paraId="643038C1" w14:textId="77777777" w:rsidR="009F6D8A" w:rsidRDefault="009F6D8A">
            <w:pPr>
              <w:jc w:val="right"/>
              <w:rPr>
                <w:rFonts w:ascii="宋体"/>
              </w:rPr>
            </w:pPr>
          </w:p>
        </w:tc>
      </w:tr>
      <w:tr w:rsidR="009F6D8A" w14:paraId="643038C9" w14:textId="77777777">
        <w:tc>
          <w:tcPr>
            <w:tcW w:w="0" w:type="auto"/>
            <w:gridSpan w:val="3"/>
            <w:shd w:val="clear" w:color="auto" w:fill="FFFFFF"/>
            <w:tcMar>
              <w:top w:w="40" w:type="dxa"/>
              <w:left w:w="20" w:type="dxa"/>
              <w:bottom w:w="40" w:type="dxa"/>
              <w:right w:w="20" w:type="dxa"/>
            </w:tcMar>
            <w:vAlign w:val="bottom"/>
          </w:tcPr>
          <w:p w14:paraId="643038C3" w14:textId="77777777" w:rsidR="009F6D8A" w:rsidRDefault="00C50974">
            <w:pPr>
              <w:textAlignment w:val="bottom"/>
            </w:pPr>
            <w:r>
              <w:rPr>
                <w:rFonts w:ascii="Arial" w:eastAsia="宋体" w:hAnsi="Arial" w:cs="Arial"/>
                <w:color w:val="000000"/>
                <w:sz w:val="18"/>
                <w:szCs w:val="18"/>
              </w:rPr>
              <w:t>Goodwill</w:t>
            </w:r>
          </w:p>
        </w:tc>
        <w:tc>
          <w:tcPr>
            <w:tcW w:w="0" w:type="auto"/>
            <w:gridSpan w:val="2"/>
            <w:shd w:val="clear" w:color="auto" w:fill="FFFFFF"/>
            <w:tcMar>
              <w:top w:w="40" w:type="dxa"/>
              <w:left w:w="20" w:type="dxa"/>
              <w:bottom w:w="40" w:type="dxa"/>
              <w:right w:w="0" w:type="dxa"/>
            </w:tcMar>
            <w:vAlign w:val="bottom"/>
          </w:tcPr>
          <w:p w14:paraId="643038C4" w14:textId="77777777" w:rsidR="009F6D8A" w:rsidRDefault="00C50974">
            <w:pPr>
              <w:jc w:val="right"/>
              <w:textAlignment w:val="bottom"/>
            </w:pPr>
            <w:r>
              <w:rPr>
                <w:rFonts w:ascii="Arial" w:eastAsia="宋体" w:hAnsi="Arial" w:cs="Arial"/>
                <w:color w:val="000000"/>
                <w:sz w:val="18"/>
                <w:szCs w:val="18"/>
              </w:rPr>
              <w:t>383 </w:t>
            </w:r>
          </w:p>
        </w:tc>
        <w:tc>
          <w:tcPr>
            <w:tcW w:w="0" w:type="auto"/>
            <w:shd w:val="clear" w:color="auto" w:fill="FFFFFF"/>
            <w:tcMar>
              <w:top w:w="40" w:type="dxa"/>
              <w:left w:w="0" w:type="dxa"/>
              <w:bottom w:w="40" w:type="dxa"/>
              <w:right w:w="20" w:type="dxa"/>
            </w:tcMar>
            <w:vAlign w:val="bottom"/>
          </w:tcPr>
          <w:p w14:paraId="643038C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8C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8C7" w14:textId="77777777" w:rsidR="009F6D8A" w:rsidRDefault="00C50974">
            <w:pPr>
              <w:jc w:val="right"/>
              <w:textAlignment w:val="bottom"/>
            </w:pPr>
            <w:r>
              <w:rPr>
                <w:rFonts w:ascii="Arial" w:eastAsia="宋体" w:hAnsi="Arial" w:cs="Arial"/>
                <w:color w:val="000000"/>
                <w:sz w:val="18"/>
                <w:szCs w:val="18"/>
              </w:rPr>
              <w:t>390 </w:t>
            </w:r>
          </w:p>
        </w:tc>
        <w:tc>
          <w:tcPr>
            <w:tcW w:w="0" w:type="auto"/>
            <w:shd w:val="clear" w:color="auto" w:fill="FFFFFF"/>
            <w:tcMar>
              <w:top w:w="40" w:type="dxa"/>
              <w:left w:w="0" w:type="dxa"/>
              <w:bottom w:w="40" w:type="dxa"/>
              <w:right w:w="20" w:type="dxa"/>
            </w:tcMar>
            <w:vAlign w:val="bottom"/>
          </w:tcPr>
          <w:p w14:paraId="643038C8" w14:textId="77777777" w:rsidR="009F6D8A" w:rsidRDefault="009F6D8A">
            <w:pPr>
              <w:jc w:val="right"/>
              <w:rPr>
                <w:rFonts w:ascii="宋体"/>
              </w:rPr>
            </w:pPr>
          </w:p>
        </w:tc>
      </w:tr>
      <w:tr w:rsidR="009F6D8A" w14:paraId="643038CE" w14:textId="77777777">
        <w:trPr>
          <w:hidden/>
        </w:trPr>
        <w:tc>
          <w:tcPr>
            <w:tcW w:w="0" w:type="auto"/>
            <w:gridSpan w:val="3"/>
            <w:shd w:val="clear" w:color="auto" w:fill="auto"/>
            <w:vAlign w:val="bottom"/>
          </w:tcPr>
          <w:p w14:paraId="643038CA" w14:textId="77777777" w:rsidR="009F6D8A" w:rsidRDefault="009F6D8A">
            <w:pPr>
              <w:rPr>
                <w:rFonts w:ascii="宋体"/>
                <w:vanish/>
              </w:rPr>
            </w:pPr>
          </w:p>
        </w:tc>
        <w:tc>
          <w:tcPr>
            <w:tcW w:w="0" w:type="auto"/>
            <w:gridSpan w:val="3"/>
            <w:shd w:val="clear" w:color="auto" w:fill="auto"/>
            <w:vAlign w:val="bottom"/>
          </w:tcPr>
          <w:p w14:paraId="643038CB" w14:textId="77777777" w:rsidR="009F6D8A" w:rsidRDefault="009F6D8A">
            <w:pPr>
              <w:rPr>
                <w:rFonts w:ascii="宋体"/>
                <w:vanish/>
              </w:rPr>
            </w:pPr>
          </w:p>
        </w:tc>
        <w:tc>
          <w:tcPr>
            <w:tcW w:w="0" w:type="auto"/>
            <w:gridSpan w:val="3"/>
            <w:shd w:val="clear" w:color="auto" w:fill="auto"/>
            <w:vAlign w:val="bottom"/>
          </w:tcPr>
          <w:p w14:paraId="643038CC" w14:textId="77777777" w:rsidR="009F6D8A" w:rsidRDefault="009F6D8A">
            <w:pPr>
              <w:rPr>
                <w:rFonts w:ascii="宋体"/>
                <w:vanish/>
              </w:rPr>
            </w:pPr>
          </w:p>
        </w:tc>
        <w:tc>
          <w:tcPr>
            <w:tcW w:w="0" w:type="auto"/>
            <w:gridSpan w:val="3"/>
            <w:shd w:val="clear" w:color="auto" w:fill="auto"/>
            <w:vAlign w:val="bottom"/>
          </w:tcPr>
          <w:p w14:paraId="643038CD" w14:textId="77777777" w:rsidR="009F6D8A" w:rsidRDefault="009F6D8A">
            <w:pPr>
              <w:rPr>
                <w:rFonts w:ascii="宋体"/>
                <w:vanish/>
              </w:rPr>
            </w:pPr>
          </w:p>
        </w:tc>
      </w:tr>
      <w:tr w:rsidR="009F6D8A" w14:paraId="643038D5" w14:textId="77777777">
        <w:tc>
          <w:tcPr>
            <w:tcW w:w="0" w:type="auto"/>
            <w:gridSpan w:val="3"/>
            <w:shd w:val="clear" w:color="auto" w:fill="E1E1E1"/>
            <w:tcMar>
              <w:top w:w="40" w:type="dxa"/>
              <w:left w:w="20" w:type="dxa"/>
              <w:bottom w:w="40" w:type="dxa"/>
              <w:right w:w="20" w:type="dxa"/>
            </w:tcMar>
            <w:vAlign w:val="bottom"/>
          </w:tcPr>
          <w:p w14:paraId="643038CF" w14:textId="77777777" w:rsidR="009F6D8A" w:rsidRDefault="00C50974">
            <w:pPr>
              <w:textAlignment w:val="bottom"/>
            </w:pPr>
            <w:r>
              <w:rPr>
                <w:rFonts w:ascii="Arial" w:eastAsia="宋体" w:hAnsi="Arial" w:cs="Arial"/>
                <w:color w:val="000000"/>
                <w:sz w:val="18"/>
                <w:szCs w:val="18"/>
              </w:rPr>
              <w:t xml:space="preserve">Operating lease </w:t>
            </w:r>
            <w:r>
              <w:rPr>
                <w:rFonts w:ascii="Arial" w:eastAsia="宋体" w:hAnsi="Arial" w:cs="Arial"/>
                <w:color w:val="000000"/>
                <w:sz w:val="18"/>
                <w:szCs w:val="18"/>
              </w:rPr>
              <w:t>right-of-use assets</w:t>
            </w:r>
          </w:p>
        </w:tc>
        <w:tc>
          <w:tcPr>
            <w:tcW w:w="0" w:type="auto"/>
            <w:gridSpan w:val="2"/>
            <w:shd w:val="clear" w:color="auto" w:fill="E1E1E1"/>
            <w:tcMar>
              <w:top w:w="40" w:type="dxa"/>
              <w:left w:w="20" w:type="dxa"/>
              <w:bottom w:w="40" w:type="dxa"/>
              <w:right w:w="0" w:type="dxa"/>
            </w:tcMar>
            <w:vAlign w:val="bottom"/>
          </w:tcPr>
          <w:p w14:paraId="643038D0" w14:textId="77777777" w:rsidR="009F6D8A" w:rsidRDefault="00C50974">
            <w:pPr>
              <w:jc w:val="right"/>
              <w:textAlignment w:val="bottom"/>
            </w:pPr>
            <w:r>
              <w:rPr>
                <w:rFonts w:ascii="Arial" w:eastAsia="宋体" w:hAnsi="Arial" w:cs="Arial"/>
                <w:color w:val="000000"/>
                <w:sz w:val="18"/>
                <w:szCs w:val="18"/>
              </w:rPr>
              <w:t>69 </w:t>
            </w:r>
          </w:p>
        </w:tc>
        <w:tc>
          <w:tcPr>
            <w:tcW w:w="0" w:type="auto"/>
            <w:shd w:val="clear" w:color="auto" w:fill="E1E1E1"/>
            <w:tcMar>
              <w:top w:w="40" w:type="dxa"/>
              <w:left w:w="0" w:type="dxa"/>
              <w:bottom w:w="40" w:type="dxa"/>
              <w:right w:w="20" w:type="dxa"/>
            </w:tcMar>
            <w:vAlign w:val="bottom"/>
          </w:tcPr>
          <w:p w14:paraId="643038D1"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8D2"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8D3" w14:textId="77777777" w:rsidR="009F6D8A" w:rsidRDefault="00C50974">
            <w:pPr>
              <w:jc w:val="right"/>
              <w:textAlignment w:val="bottom"/>
            </w:pPr>
            <w:r>
              <w:rPr>
                <w:rFonts w:ascii="Arial" w:eastAsia="宋体" w:hAnsi="Arial" w:cs="Arial"/>
                <w:color w:val="000000"/>
                <w:sz w:val="18"/>
                <w:szCs w:val="18"/>
              </w:rPr>
              <w:t>79 </w:t>
            </w:r>
          </w:p>
        </w:tc>
        <w:tc>
          <w:tcPr>
            <w:tcW w:w="0" w:type="auto"/>
            <w:shd w:val="clear" w:color="auto" w:fill="E1E1E1"/>
            <w:tcMar>
              <w:top w:w="40" w:type="dxa"/>
              <w:left w:w="0" w:type="dxa"/>
              <w:bottom w:w="40" w:type="dxa"/>
              <w:right w:w="20" w:type="dxa"/>
            </w:tcMar>
            <w:vAlign w:val="bottom"/>
          </w:tcPr>
          <w:p w14:paraId="643038D4" w14:textId="77777777" w:rsidR="009F6D8A" w:rsidRDefault="009F6D8A">
            <w:pPr>
              <w:jc w:val="right"/>
              <w:rPr>
                <w:rFonts w:ascii="宋体"/>
              </w:rPr>
            </w:pPr>
          </w:p>
        </w:tc>
      </w:tr>
      <w:tr w:rsidR="009F6D8A" w14:paraId="643038DC" w14:textId="77777777">
        <w:tc>
          <w:tcPr>
            <w:tcW w:w="0" w:type="auto"/>
            <w:gridSpan w:val="3"/>
            <w:shd w:val="clear" w:color="auto" w:fill="FFFFFF"/>
            <w:tcMar>
              <w:top w:w="40" w:type="dxa"/>
              <w:left w:w="20" w:type="dxa"/>
              <w:bottom w:w="40" w:type="dxa"/>
              <w:right w:w="20" w:type="dxa"/>
            </w:tcMar>
            <w:vAlign w:val="bottom"/>
          </w:tcPr>
          <w:p w14:paraId="643038D6" w14:textId="77777777" w:rsidR="009F6D8A" w:rsidRDefault="00C50974">
            <w:pPr>
              <w:textAlignment w:val="bottom"/>
            </w:pPr>
            <w:r>
              <w:rPr>
                <w:rFonts w:ascii="Arial" w:eastAsia="宋体" w:hAnsi="Arial" w:cs="Arial"/>
                <w:color w:val="000000"/>
                <w:sz w:val="18"/>
                <w:szCs w:val="18"/>
              </w:rPr>
              <w:t>Deferred tax assets</w:t>
            </w:r>
          </w:p>
        </w:tc>
        <w:tc>
          <w:tcPr>
            <w:tcW w:w="0" w:type="auto"/>
            <w:gridSpan w:val="2"/>
            <w:shd w:val="clear" w:color="auto" w:fill="FFFFFF"/>
            <w:tcMar>
              <w:top w:w="40" w:type="dxa"/>
              <w:left w:w="20" w:type="dxa"/>
              <w:bottom w:w="40" w:type="dxa"/>
              <w:right w:w="0" w:type="dxa"/>
            </w:tcMar>
            <w:vAlign w:val="bottom"/>
          </w:tcPr>
          <w:p w14:paraId="643038D7" w14:textId="77777777" w:rsidR="009F6D8A" w:rsidRDefault="00C50974">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643038D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8D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8DA"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8DB" w14:textId="77777777" w:rsidR="009F6D8A" w:rsidRDefault="009F6D8A">
            <w:pPr>
              <w:jc w:val="right"/>
              <w:rPr>
                <w:rFonts w:ascii="宋体"/>
              </w:rPr>
            </w:pPr>
          </w:p>
        </w:tc>
      </w:tr>
      <w:tr w:rsidR="009F6D8A" w14:paraId="643038E3" w14:textId="77777777">
        <w:tc>
          <w:tcPr>
            <w:tcW w:w="0" w:type="auto"/>
            <w:gridSpan w:val="3"/>
            <w:shd w:val="clear" w:color="auto" w:fill="E1E1E1"/>
            <w:tcMar>
              <w:top w:w="40" w:type="dxa"/>
              <w:left w:w="20" w:type="dxa"/>
              <w:bottom w:w="40" w:type="dxa"/>
              <w:right w:w="20" w:type="dxa"/>
            </w:tcMar>
            <w:vAlign w:val="bottom"/>
          </w:tcPr>
          <w:p w14:paraId="643038DD" w14:textId="77777777" w:rsidR="009F6D8A" w:rsidRDefault="00C50974">
            <w:pPr>
              <w:textAlignment w:val="bottom"/>
            </w:pPr>
            <w:r>
              <w:rPr>
                <w:rFonts w:ascii="Arial" w:eastAsia="宋体" w:hAnsi="Arial" w:cs="Arial"/>
                <w:color w:val="000000"/>
                <w:sz w:val="18"/>
                <w:szCs w:val="18"/>
              </w:rPr>
              <w:t>Other assets</w:t>
            </w:r>
          </w:p>
        </w:tc>
        <w:tc>
          <w:tcPr>
            <w:tcW w:w="0" w:type="auto"/>
            <w:gridSpan w:val="2"/>
            <w:shd w:val="clear" w:color="auto" w:fill="E1E1E1"/>
            <w:tcMar>
              <w:top w:w="40" w:type="dxa"/>
              <w:left w:w="20" w:type="dxa"/>
              <w:bottom w:w="40" w:type="dxa"/>
              <w:right w:w="0" w:type="dxa"/>
            </w:tcMar>
            <w:vAlign w:val="bottom"/>
          </w:tcPr>
          <w:p w14:paraId="643038DE" w14:textId="77777777" w:rsidR="009F6D8A" w:rsidRDefault="00C50974">
            <w:pPr>
              <w:jc w:val="right"/>
              <w:textAlignment w:val="bottom"/>
            </w:pPr>
            <w:r>
              <w:rPr>
                <w:rFonts w:ascii="Arial" w:eastAsia="宋体" w:hAnsi="Arial" w:cs="Arial"/>
                <w:color w:val="000000"/>
                <w:sz w:val="18"/>
                <w:szCs w:val="18"/>
              </w:rPr>
              <w:t>15 </w:t>
            </w:r>
          </w:p>
        </w:tc>
        <w:tc>
          <w:tcPr>
            <w:tcW w:w="0" w:type="auto"/>
            <w:shd w:val="clear" w:color="auto" w:fill="E1E1E1"/>
            <w:tcMar>
              <w:top w:w="40" w:type="dxa"/>
              <w:left w:w="0" w:type="dxa"/>
              <w:bottom w:w="40" w:type="dxa"/>
              <w:right w:w="20" w:type="dxa"/>
            </w:tcMar>
            <w:vAlign w:val="bottom"/>
          </w:tcPr>
          <w:p w14:paraId="643038DF"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8E0"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8E1" w14:textId="77777777" w:rsidR="009F6D8A" w:rsidRDefault="00C50974">
            <w:pPr>
              <w:jc w:val="right"/>
              <w:textAlignment w:val="bottom"/>
            </w:pPr>
            <w:r>
              <w:rPr>
                <w:rFonts w:ascii="Arial" w:eastAsia="宋体" w:hAnsi="Arial" w:cs="Arial"/>
                <w:color w:val="000000"/>
                <w:sz w:val="18"/>
                <w:szCs w:val="18"/>
              </w:rPr>
              <w:t>14 </w:t>
            </w:r>
          </w:p>
        </w:tc>
        <w:tc>
          <w:tcPr>
            <w:tcW w:w="0" w:type="auto"/>
            <w:shd w:val="clear" w:color="auto" w:fill="E1E1E1"/>
            <w:tcMar>
              <w:top w:w="40" w:type="dxa"/>
              <w:left w:w="0" w:type="dxa"/>
              <w:bottom w:w="40" w:type="dxa"/>
              <w:right w:w="20" w:type="dxa"/>
            </w:tcMar>
            <w:vAlign w:val="bottom"/>
          </w:tcPr>
          <w:p w14:paraId="643038E2" w14:textId="77777777" w:rsidR="009F6D8A" w:rsidRDefault="009F6D8A">
            <w:pPr>
              <w:jc w:val="right"/>
              <w:rPr>
                <w:rFonts w:ascii="宋体"/>
              </w:rPr>
            </w:pPr>
          </w:p>
        </w:tc>
      </w:tr>
      <w:tr w:rsidR="009F6D8A" w14:paraId="643038EC" w14:textId="77777777">
        <w:tc>
          <w:tcPr>
            <w:tcW w:w="0" w:type="auto"/>
            <w:gridSpan w:val="3"/>
            <w:shd w:val="clear" w:color="auto" w:fill="FFFFFF"/>
            <w:tcMar>
              <w:top w:w="40" w:type="dxa"/>
              <w:left w:w="500" w:type="dxa"/>
              <w:bottom w:w="40" w:type="dxa"/>
              <w:right w:w="20" w:type="dxa"/>
            </w:tcMar>
            <w:vAlign w:val="bottom"/>
          </w:tcPr>
          <w:p w14:paraId="643038E4" w14:textId="77777777" w:rsidR="009F6D8A" w:rsidRDefault="00C50974">
            <w:pPr>
              <w:textAlignment w:val="bottom"/>
            </w:pPr>
            <w:r>
              <w:rPr>
                <w:rFonts w:ascii="Arial" w:eastAsia="宋体" w:hAnsi="Arial" w:cs="Arial"/>
                <w:color w:val="000000"/>
                <w:sz w:val="18"/>
                <w:szCs w:val="18"/>
              </w:rPr>
              <w:t>Total assets classified as held for sale in the condensed consolidated balance sheet</w:t>
            </w:r>
          </w:p>
        </w:tc>
        <w:tc>
          <w:tcPr>
            <w:tcW w:w="0" w:type="auto"/>
            <w:tcBorders>
              <w:top w:val="single" w:sz="8" w:space="0" w:color="000000"/>
            </w:tcBorders>
            <w:shd w:val="clear" w:color="auto" w:fill="FFFFFF"/>
            <w:tcMar>
              <w:top w:w="40" w:type="dxa"/>
              <w:left w:w="20" w:type="dxa"/>
              <w:bottom w:w="40" w:type="dxa"/>
              <w:right w:w="0" w:type="dxa"/>
            </w:tcMar>
            <w:vAlign w:val="bottom"/>
          </w:tcPr>
          <w:p w14:paraId="643038E5"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8E6" w14:textId="77777777" w:rsidR="009F6D8A" w:rsidRDefault="00C50974">
            <w:pPr>
              <w:jc w:val="right"/>
              <w:textAlignment w:val="bottom"/>
            </w:pPr>
            <w:r>
              <w:rPr>
                <w:rFonts w:ascii="Arial" w:eastAsia="宋体" w:hAnsi="Arial" w:cs="Arial"/>
                <w:color w:val="000000"/>
                <w:sz w:val="18"/>
                <w:szCs w:val="18"/>
              </w:rPr>
              <w:t>1,414 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8E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8E8"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38E9"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8EA" w14:textId="77777777" w:rsidR="009F6D8A" w:rsidRDefault="00C50974">
            <w:pPr>
              <w:jc w:val="right"/>
              <w:textAlignment w:val="bottom"/>
            </w:pPr>
            <w:r>
              <w:rPr>
                <w:rFonts w:ascii="Arial" w:eastAsia="宋体" w:hAnsi="Arial" w:cs="Arial"/>
                <w:color w:val="000000"/>
                <w:sz w:val="18"/>
                <w:szCs w:val="18"/>
              </w:rPr>
              <w:t>1,626 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8EB" w14:textId="77777777" w:rsidR="009F6D8A" w:rsidRDefault="009F6D8A">
            <w:pPr>
              <w:jc w:val="right"/>
              <w:rPr>
                <w:rFonts w:ascii="宋体"/>
              </w:rPr>
            </w:pPr>
          </w:p>
        </w:tc>
      </w:tr>
      <w:tr w:rsidR="009F6D8A" w14:paraId="643038F1" w14:textId="77777777">
        <w:trPr>
          <w:trHeight w:val="280"/>
        </w:trPr>
        <w:tc>
          <w:tcPr>
            <w:tcW w:w="0" w:type="auto"/>
            <w:gridSpan w:val="3"/>
            <w:shd w:val="clear" w:color="auto" w:fill="E1E1E1"/>
            <w:tcMar>
              <w:top w:w="0" w:type="dxa"/>
              <w:left w:w="20" w:type="dxa"/>
              <w:bottom w:w="0" w:type="dxa"/>
              <w:right w:w="20" w:type="dxa"/>
            </w:tcMar>
            <w:vAlign w:val="bottom"/>
          </w:tcPr>
          <w:p w14:paraId="643038ED" w14:textId="77777777" w:rsidR="009F6D8A" w:rsidRDefault="009F6D8A">
            <w:pPr>
              <w:rPr>
                <w:rFonts w:ascii="宋体"/>
              </w:rPr>
            </w:pPr>
          </w:p>
        </w:tc>
        <w:tc>
          <w:tcPr>
            <w:tcW w:w="0" w:type="auto"/>
            <w:gridSpan w:val="3"/>
            <w:tcBorders>
              <w:top w:val="double" w:sz="6" w:space="0" w:color="000000"/>
            </w:tcBorders>
            <w:shd w:val="clear" w:color="auto" w:fill="E1E1E1"/>
            <w:tcMar>
              <w:top w:w="0" w:type="dxa"/>
              <w:left w:w="20" w:type="dxa"/>
              <w:bottom w:w="0" w:type="dxa"/>
              <w:right w:w="20" w:type="dxa"/>
            </w:tcMar>
            <w:vAlign w:val="bottom"/>
          </w:tcPr>
          <w:p w14:paraId="643038EE"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38EF" w14:textId="77777777" w:rsidR="009F6D8A" w:rsidRDefault="009F6D8A">
            <w:pPr>
              <w:rPr>
                <w:rFonts w:ascii="宋体"/>
              </w:rPr>
            </w:pPr>
          </w:p>
        </w:tc>
        <w:tc>
          <w:tcPr>
            <w:tcW w:w="0" w:type="auto"/>
            <w:gridSpan w:val="3"/>
            <w:tcBorders>
              <w:top w:val="double" w:sz="6" w:space="0" w:color="000000"/>
            </w:tcBorders>
            <w:shd w:val="clear" w:color="auto" w:fill="E1E1E1"/>
            <w:tcMar>
              <w:top w:w="0" w:type="dxa"/>
              <w:left w:w="20" w:type="dxa"/>
              <w:bottom w:w="0" w:type="dxa"/>
              <w:right w:w="20" w:type="dxa"/>
            </w:tcMar>
            <w:vAlign w:val="bottom"/>
          </w:tcPr>
          <w:p w14:paraId="643038F0" w14:textId="77777777" w:rsidR="009F6D8A" w:rsidRDefault="009F6D8A">
            <w:pPr>
              <w:rPr>
                <w:rFonts w:ascii="宋体"/>
              </w:rPr>
            </w:pPr>
          </w:p>
        </w:tc>
      </w:tr>
      <w:tr w:rsidR="009F6D8A" w14:paraId="643038F6" w14:textId="77777777">
        <w:tc>
          <w:tcPr>
            <w:tcW w:w="0" w:type="auto"/>
            <w:gridSpan w:val="3"/>
            <w:shd w:val="clear" w:color="auto" w:fill="FFFFFF"/>
            <w:tcMar>
              <w:top w:w="40" w:type="dxa"/>
              <w:left w:w="20" w:type="dxa"/>
              <w:bottom w:w="40" w:type="dxa"/>
              <w:right w:w="20" w:type="dxa"/>
            </w:tcMar>
            <w:vAlign w:val="bottom"/>
          </w:tcPr>
          <w:p w14:paraId="643038F2" w14:textId="77777777" w:rsidR="009F6D8A" w:rsidRDefault="00C50974">
            <w:pPr>
              <w:textAlignment w:val="bottom"/>
            </w:pPr>
            <w:r>
              <w:rPr>
                <w:rFonts w:ascii="Arial" w:eastAsia="宋体" w:hAnsi="Arial" w:cs="Arial"/>
                <w:color w:val="000000"/>
                <w:sz w:val="18"/>
                <w:szCs w:val="18"/>
              </w:rPr>
              <w:t xml:space="preserve">Carrying amounts of liabilities included as part of </w:t>
            </w:r>
            <w:r>
              <w:rPr>
                <w:rFonts w:ascii="Arial" w:eastAsia="宋体" w:hAnsi="Arial" w:cs="Arial"/>
                <w:color w:val="000000"/>
                <w:sz w:val="18"/>
                <w:szCs w:val="18"/>
              </w:rPr>
              <w:t>held for sale:</w:t>
            </w:r>
          </w:p>
        </w:tc>
        <w:tc>
          <w:tcPr>
            <w:tcW w:w="0" w:type="auto"/>
            <w:gridSpan w:val="3"/>
            <w:shd w:val="clear" w:color="auto" w:fill="FFFFFF"/>
            <w:tcMar>
              <w:top w:w="0" w:type="dxa"/>
              <w:left w:w="20" w:type="dxa"/>
              <w:bottom w:w="0" w:type="dxa"/>
              <w:right w:w="20" w:type="dxa"/>
            </w:tcMar>
            <w:vAlign w:val="bottom"/>
          </w:tcPr>
          <w:p w14:paraId="643038F3"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8F4"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8F5" w14:textId="77777777" w:rsidR="009F6D8A" w:rsidRDefault="009F6D8A">
            <w:pPr>
              <w:rPr>
                <w:rFonts w:ascii="宋体"/>
              </w:rPr>
            </w:pPr>
          </w:p>
        </w:tc>
      </w:tr>
      <w:tr w:rsidR="009F6D8A" w14:paraId="643038FB" w14:textId="77777777">
        <w:trPr>
          <w:hidden/>
        </w:trPr>
        <w:tc>
          <w:tcPr>
            <w:tcW w:w="0" w:type="auto"/>
            <w:gridSpan w:val="3"/>
            <w:shd w:val="clear" w:color="auto" w:fill="auto"/>
            <w:vAlign w:val="bottom"/>
          </w:tcPr>
          <w:p w14:paraId="643038F7" w14:textId="77777777" w:rsidR="009F6D8A" w:rsidRDefault="009F6D8A">
            <w:pPr>
              <w:rPr>
                <w:rFonts w:ascii="宋体"/>
                <w:vanish/>
              </w:rPr>
            </w:pPr>
          </w:p>
        </w:tc>
        <w:tc>
          <w:tcPr>
            <w:tcW w:w="0" w:type="auto"/>
            <w:gridSpan w:val="3"/>
            <w:shd w:val="clear" w:color="auto" w:fill="auto"/>
            <w:vAlign w:val="bottom"/>
          </w:tcPr>
          <w:p w14:paraId="643038F8" w14:textId="77777777" w:rsidR="009F6D8A" w:rsidRDefault="009F6D8A">
            <w:pPr>
              <w:rPr>
                <w:rFonts w:ascii="宋体"/>
                <w:vanish/>
              </w:rPr>
            </w:pPr>
          </w:p>
        </w:tc>
        <w:tc>
          <w:tcPr>
            <w:tcW w:w="0" w:type="auto"/>
            <w:gridSpan w:val="3"/>
            <w:shd w:val="clear" w:color="auto" w:fill="auto"/>
            <w:vAlign w:val="bottom"/>
          </w:tcPr>
          <w:p w14:paraId="643038F9" w14:textId="77777777" w:rsidR="009F6D8A" w:rsidRDefault="009F6D8A">
            <w:pPr>
              <w:rPr>
                <w:rFonts w:ascii="宋体"/>
                <w:vanish/>
              </w:rPr>
            </w:pPr>
          </w:p>
        </w:tc>
        <w:tc>
          <w:tcPr>
            <w:tcW w:w="0" w:type="auto"/>
            <w:gridSpan w:val="3"/>
            <w:shd w:val="clear" w:color="auto" w:fill="auto"/>
            <w:vAlign w:val="bottom"/>
          </w:tcPr>
          <w:p w14:paraId="643038FA" w14:textId="77777777" w:rsidR="009F6D8A" w:rsidRDefault="009F6D8A">
            <w:pPr>
              <w:rPr>
                <w:rFonts w:ascii="宋体"/>
                <w:vanish/>
              </w:rPr>
            </w:pPr>
          </w:p>
        </w:tc>
      </w:tr>
      <w:tr w:rsidR="009F6D8A" w14:paraId="64303904" w14:textId="77777777">
        <w:tc>
          <w:tcPr>
            <w:tcW w:w="0" w:type="auto"/>
            <w:gridSpan w:val="3"/>
            <w:shd w:val="clear" w:color="auto" w:fill="E1E1E1"/>
            <w:tcMar>
              <w:top w:w="40" w:type="dxa"/>
              <w:left w:w="20" w:type="dxa"/>
              <w:bottom w:w="40" w:type="dxa"/>
              <w:right w:w="20" w:type="dxa"/>
            </w:tcMar>
            <w:vAlign w:val="bottom"/>
          </w:tcPr>
          <w:p w14:paraId="643038FC" w14:textId="77777777" w:rsidR="009F6D8A" w:rsidRDefault="00C50974">
            <w:pPr>
              <w:textAlignment w:val="bottom"/>
            </w:pPr>
            <w:r>
              <w:rPr>
                <w:rFonts w:ascii="Arial" w:eastAsia="宋体" w:hAnsi="Arial" w:cs="Arial"/>
                <w:color w:val="000000"/>
                <w:sz w:val="18"/>
                <w:szCs w:val="18"/>
              </w:rPr>
              <w:t>Short-term debt</w:t>
            </w:r>
          </w:p>
        </w:tc>
        <w:tc>
          <w:tcPr>
            <w:tcW w:w="0" w:type="auto"/>
            <w:shd w:val="clear" w:color="auto" w:fill="E1E1E1"/>
            <w:tcMar>
              <w:top w:w="40" w:type="dxa"/>
              <w:left w:w="20" w:type="dxa"/>
              <w:bottom w:w="40" w:type="dxa"/>
              <w:right w:w="0" w:type="dxa"/>
            </w:tcMar>
            <w:vAlign w:val="bottom"/>
          </w:tcPr>
          <w:p w14:paraId="643038FD"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43038FE" w14:textId="77777777" w:rsidR="009F6D8A" w:rsidRDefault="00C50974">
            <w:pPr>
              <w:jc w:val="right"/>
              <w:textAlignment w:val="bottom"/>
            </w:pPr>
            <w:r>
              <w:rPr>
                <w:rFonts w:ascii="Arial" w:eastAsia="宋体" w:hAnsi="Arial" w:cs="Arial"/>
                <w:color w:val="000000"/>
                <w:sz w:val="18"/>
                <w:szCs w:val="18"/>
              </w:rPr>
              <w:t>11 </w:t>
            </w:r>
          </w:p>
        </w:tc>
        <w:tc>
          <w:tcPr>
            <w:tcW w:w="0" w:type="auto"/>
            <w:shd w:val="clear" w:color="auto" w:fill="E1E1E1"/>
            <w:tcMar>
              <w:top w:w="40" w:type="dxa"/>
              <w:left w:w="0" w:type="dxa"/>
              <w:bottom w:w="40" w:type="dxa"/>
              <w:right w:w="20" w:type="dxa"/>
            </w:tcMar>
            <w:vAlign w:val="bottom"/>
          </w:tcPr>
          <w:p w14:paraId="643038FF"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900"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3901"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4303902" w14:textId="77777777" w:rsidR="009F6D8A" w:rsidRDefault="00C50974">
            <w:pPr>
              <w:jc w:val="right"/>
              <w:textAlignment w:val="bottom"/>
            </w:pPr>
            <w:r>
              <w:rPr>
                <w:rFonts w:ascii="Arial" w:eastAsia="宋体" w:hAnsi="Arial" w:cs="Arial"/>
                <w:color w:val="000000"/>
                <w:sz w:val="18"/>
                <w:szCs w:val="18"/>
              </w:rPr>
              <w:t>12 </w:t>
            </w:r>
          </w:p>
        </w:tc>
        <w:tc>
          <w:tcPr>
            <w:tcW w:w="0" w:type="auto"/>
            <w:shd w:val="clear" w:color="auto" w:fill="E1E1E1"/>
            <w:tcMar>
              <w:top w:w="40" w:type="dxa"/>
              <w:left w:w="0" w:type="dxa"/>
              <w:bottom w:w="40" w:type="dxa"/>
              <w:right w:w="20" w:type="dxa"/>
            </w:tcMar>
            <w:vAlign w:val="bottom"/>
          </w:tcPr>
          <w:p w14:paraId="64303903" w14:textId="77777777" w:rsidR="009F6D8A" w:rsidRDefault="009F6D8A">
            <w:pPr>
              <w:jc w:val="right"/>
              <w:rPr>
                <w:rFonts w:ascii="宋体"/>
              </w:rPr>
            </w:pPr>
          </w:p>
        </w:tc>
      </w:tr>
      <w:tr w:rsidR="009F6D8A" w14:paraId="6430390B" w14:textId="77777777">
        <w:tc>
          <w:tcPr>
            <w:tcW w:w="0" w:type="auto"/>
            <w:gridSpan w:val="3"/>
            <w:shd w:val="clear" w:color="auto" w:fill="FFFFFF"/>
            <w:tcMar>
              <w:top w:w="40" w:type="dxa"/>
              <w:left w:w="20" w:type="dxa"/>
              <w:bottom w:w="40" w:type="dxa"/>
              <w:right w:w="20" w:type="dxa"/>
            </w:tcMar>
            <w:vAlign w:val="bottom"/>
          </w:tcPr>
          <w:p w14:paraId="64303905" w14:textId="77777777" w:rsidR="009F6D8A" w:rsidRDefault="00C50974">
            <w:pPr>
              <w:textAlignment w:val="bottom"/>
            </w:pPr>
            <w:r>
              <w:rPr>
                <w:rFonts w:ascii="Arial" w:eastAsia="宋体" w:hAnsi="Arial" w:cs="Arial"/>
                <w:color w:val="000000"/>
                <w:sz w:val="18"/>
                <w:szCs w:val="18"/>
              </w:rPr>
              <w:t>Accounts payable</w:t>
            </w:r>
          </w:p>
        </w:tc>
        <w:tc>
          <w:tcPr>
            <w:tcW w:w="0" w:type="auto"/>
            <w:gridSpan w:val="2"/>
            <w:shd w:val="clear" w:color="auto" w:fill="FFFFFF"/>
            <w:tcMar>
              <w:top w:w="40" w:type="dxa"/>
              <w:left w:w="20" w:type="dxa"/>
              <w:bottom w:w="40" w:type="dxa"/>
              <w:right w:w="0" w:type="dxa"/>
            </w:tcMar>
            <w:vAlign w:val="bottom"/>
          </w:tcPr>
          <w:p w14:paraId="64303906" w14:textId="77777777" w:rsidR="009F6D8A" w:rsidRDefault="00C50974">
            <w:pPr>
              <w:jc w:val="right"/>
              <w:textAlignment w:val="bottom"/>
            </w:pPr>
            <w:r>
              <w:rPr>
                <w:rFonts w:ascii="Arial" w:eastAsia="宋体" w:hAnsi="Arial" w:cs="Arial"/>
                <w:color w:val="000000"/>
                <w:sz w:val="18"/>
                <w:szCs w:val="18"/>
              </w:rPr>
              <w:t>58 </w:t>
            </w:r>
          </w:p>
        </w:tc>
        <w:tc>
          <w:tcPr>
            <w:tcW w:w="0" w:type="auto"/>
            <w:shd w:val="clear" w:color="auto" w:fill="FFFFFF"/>
            <w:tcMar>
              <w:top w:w="40" w:type="dxa"/>
              <w:left w:w="0" w:type="dxa"/>
              <w:bottom w:w="40" w:type="dxa"/>
              <w:right w:w="20" w:type="dxa"/>
            </w:tcMar>
            <w:vAlign w:val="bottom"/>
          </w:tcPr>
          <w:p w14:paraId="6430390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90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909" w14:textId="77777777" w:rsidR="009F6D8A" w:rsidRDefault="00C50974">
            <w:pPr>
              <w:jc w:val="right"/>
              <w:textAlignment w:val="bottom"/>
            </w:pPr>
            <w:r>
              <w:rPr>
                <w:rFonts w:ascii="Arial" w:eastAsia="宋体" w:hAnsi="Arial" w:cs="Arial"/>
                <w:color w:val="000000"/>
                <w:sz w:val="18"/>
                <w:szCs w:val="18"/>
              </w:rPr>
              <w:t>54 </w:t>
            </w:r>
          </w:p>
        </w:tc>
        <w:tc>
          <w:tcPr>
            <w:tcW w:w="0" w:type="auto"/>
            <w:shd w:val="clear" w:color="auto" w:fill="FFFFFF"/>
            <w:tcMar>
              <w:top w:w="40" w:type="dxa"/>
              <w:left w:w="0" w:type="dxa"/>
              <w:bottom w:w="40" w:type="dxa"/>
              <w:right w:w="20" w:type="dxa"/>
            </w:tcMar>
            <w:vAlign w:val="bottom"/>
          </w:tcPr>
          <w:p w14:paraId="6430390A" w14:textId="77777777" w:rsidR="009F6D8A" w:rsidRDefault="009F6D8A">
            <w:pPr>
              <w:jc w:val="right"/>
              <w:rPr>
                <w:rFonts w:ascii="宋体"/>
              </w:rPr>
            </w:pPr>
          </w:p>
        </w:tc>
      </w:tr>
      <w:tr w:rsidR="009F6D8A" w14:paraId="64303912" w14:textId="77777777">
        <w:tc>
          <w:tcPr>
            <w:tcW w:w="0" w:type="auto"/>
            <w:gridSpan w:val="3"/>
            <w:shd w:val="clear" w:color="auto" w:fill="E1E1E1"/>
            <w:tcMar>
              <w:top w:w="40" w:type="dxa"/>
              <w:left w:w="20" w:type="dxa"/>
              <w:bottom w:w="40" w:type="dxa"/>
              <w:right w:w="20" w:type="dxa"/>
            </w:tcMar>
            <w:vAlign w:val="bottom"/>
          </w:tcPr>
          <w:p w14:paraId="6430390C" w14:textId="77777777" w:rsidR="009F6D8A" w:rsidRDefault="00C50974">
            <w:pPr>
              <w:textAlignment w:val="bottom"/>
            </w:pPr>
            <w:r>
              <w:rPr>
                <w:rFonts w:ascii="Arial" w:eastAsia="宋体" w:hAnsi="Arial" w:cs="Arial"/>
                <w:color w:val="000000"/>
                <w:sz w:val="18"/>
                <w:szCs w:val="18"/>
              </w:rPr>
              <w:t>Customer accounts and funds payable</w:t>
            </w:r>
          </w:p>
        </w:tc>
        <w:tc>
          <w:tcPr>
            <w:tcW w:w="0" w:type="auto"/>
            <w:gridSpan w:val="2"/>
            <w:shd w:val="clear" w:color="auto" w:fill="E1E1E1"/>
            <w:tcMar>
              <w:top w:w="40" w:type="dxa"/>
              <w:left w:w="20" w:type="dxa"/>
              <w:bottom w:w="40" w:type="dxa"/>
              <w:right w:w="0" w:type="dxa"/>
            </w:tcMar>
            <w:vAlign w:val="bottom"/>
          </w:tcPr>
          <w:p w14:paraId="6430390D" w14:textId="77777777" w:rsidR="009F6D8A" w:rsidRDefault="00C50974">
            <w:pPr>
              <w:jc w:val="right"/>
              <w:textAlignment w:val="bottom"/>
            </w:pPr>
            <w:r>
              <w:rPr>
                <w:rFonts w:ascii="Arial" w:eastAsia="宋体" w:hAnsi="Arial" w:cs="Arial"/>
                <w:color w:val="000000"/>
                <w:sz w:val="18"/>
                <w:szCs w:val="18"/>
              </w:rPr>
              <w:t>559 </w:t>
            </w:r>
          </w:p>
        </w:tc>
        <w:tc>
          <w:tcPr>
            <w:tcW w:w="0" w:type="auto"/>
            <w:shd w:val="clear" w:color="auto" w:fill="E1E1E1"/>
            <w:tcMar>
              <w:top w:w="40" w:type="dxa"/>
              <w:left w:w="0" w:type="dxa"/>
              <w:bottom w:w="40" w:type="dxa"/>
              <w:right w:w="20" w:type="dxa"/>
            </w:tcMar>
            <w:vAlign w:val="bottom"/>
          </w:tcPr>
          <w:p w14:paraId="6430390E"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90F"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910" w14:textId="77777777" w:rsidR="009F6D8A" w:rsidRDefault="00C50974">
            <w:pPr>
              <w:jc w:val="right"/>
              <w:textAlignment w:val="bottom"/>
            </w:pPr>
            <w:r>
              <w:rPr>
                <w:rFonts w:ascii="Arial" w:eastAsia="宋体" w:hAnsi="Arial" w:cs="Arial"/>
                <w:color w:val="000000"/>
                <w:sz w:val="18"/>
                <w:szCs w:val="18"/>
              </w:rPr>
              <w:t>673 </w:t>
            </w:r>
          </w:p>
        </w:tc>
        <w:tc>
          <w:tcPr>
            <w:tcW w:w="0" w:type="auto"/>
            <w:shd w:val="clear" w:color="auto" w:fill="E1E1E1"/>
            <w:tcMar>
              <w:top w:w="40" w:type="dxa"/>
              <w:left w:w="0" w:type="dxa"/>
              <w:bottom w:w="40" w:type="dxa"/>
              <w:right w:w="20" w:type="dxa"/>
            </w:tcMar>
            <w:vAlign w:val="bottom"/>
          </w:tcPr>
          <w:p w14:paraId="64303911" w14:textId="77777777" w:rsidR="009F6D8A" w:rsidRDefault="009F6D8A">
            <w:pPr>
              <w:jc w:val="right"/>
              <w:rPr>
                <w:rFonts w:ascii="宋体"/>
              </w:rPr>
            </w:pPr>
          </w:p>
        </w:tc>
      </w:tr>
      <w:tr w:rsidR="009F6D8A" w14:paraId="64303919" w14:textId="77777777">
        <w:tc>
          <w:tcPr>
            <w:tcW w:w="0" w:type="auto"/>
            <w:gridSpan w:val="3"/>
            <w:shd w:val="clear" w:color="auto" w:fill="FFFFFF"/>
            <w:tcMar>
              <w:top w:w="40" w:type="dxa"/>
              <w:left w:w="20" w:type="dxa"/>
              <w:bottom w:w="40" w:type="dxa"/>
              <w:right w:w="20" w:type="dxa"/>
            </w:tcMar>
            <w:vAlign w:val="bottom"/>
          </w:tcPr>
          <w:p w14:paraId="64303913" w14:textId="77777777" w:rsidR="009F6D8A" w:rsidRDefault="00C50974">
            <w:pPr>
              <w:textAlignment w:val="bottom"/>
            </w:pPr>
            <w:r>
              <w:rPr>
                <w:rFonts w:ascii="Arial" w:eastAsia="宋体" w:hAnsi="Arial" w:cs="Arial"/>
                <w:color w:val="000000"/>
                <w:sz w:val="18"/>
                <w:szCs w:val="18"/>
              </w:rPr>
              <w:t>Accrued expenses and other current liabilities</w:t>
            </w:r>
          </w:p>
        </w:tc>
        <w:tc>
          <w:tcPr>
            <w:tcW w:w="0" w:type="auto"/>
            <w:gridSpan w:val="2"/>
            <w:shd w:val="clear" w:color="auto" w:fill="FFFFFF"/>
            <w:tcMar>
              <w:top w:w="40" w:type="dxa"/>
              <w:left w:w="20" w:type="dxa"/>
              <w:bottom w:w="40" w:type="dxa"/>
              <w:right w:w="0" w:type="dxa"/>
            </w:tcMar>
            <w:vAlign w:val="bottom"/>
          </w:tcPr>
          <w:p w14:paraId="64303914" w14:textId="77777777" w:rsidR="009F6D8A" w:rsidRDefault="00C50974">
            <w:pPr>
              <w:jc w:val="right"/>
              <w:textAlignment w:val="bottom"/>
            </w:pPr>
            <w:r>
              <w:rPr>
                <w:rFonts w:ascii="Arial" w:eastAsia="宋体" w:hAnsi="Arial" w:cs="Arial"/>
                <w:color w:val="000000"/>
                <w:sz w:val="18"/>
                <w:szCs w:val="18"/>
              </w:rPr>
              <w:t>70 </w:t>
            </w:r>
          </w:p>
        </w:tc>
        <w:tc>
          <w:tcPr>
            <w:tcW w:w="0" w:type="auto"/>
            <w:shd w:val="clear" w:color="auto" w:fill="FFFFFF"/>
            <w:tcMar>
              <w:top w:w="40" w:type="dxa"/>
              <w:left w:w="0" w:type="dxa"/>
              <w:bottom w:w="40" w:type="dxa"/>
              <w:right w:w="20" w:type="dxa"/>
            </w:tcMar>
            <w:vAlign w:val="bottom"/>
          </w:tcPr>
          <w:p w14:paraId="6430391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91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917" w14:textId="77777777" w:rsidR="009F6D8A" w:rsidRDefault="00C50974">
            <w:pPr>
              <w:jc w:val="right"/>
              <w:textAlignment w:val="bottom"/>
            </w:pPr>
            <w:r>
              <w:rPr>
                <w:rFonts w:ascii="Arial" w:eastAsia="宋体" w:hAnsi="Arial" w:cs="Arial"/>
                <w:color w:val="000000"/>
                <w:sz w:val="18"/>
                <w:szCs w:val="18"/>
              </w:rPr>
              <w:t>91 </w:t>
            </w:r>
          </w:p>
        </w:tc>
        <w:tc>
          <w:tcPr>
            <w:tcW w:w="0" w:type="auto"/>
            <w:shd w:val="clear" w:color="auto" w:fill="FFFFFF"/>
            <w:tcMar>
              <w:top w:w="40" w:type="dxa"/>
              <w:left w:w="0" w:type="dxa"/>
              <w:bottom w:w="40" w:type="dxa"/>
              <w:right w:w="20" w:type="dxa"/>
            </w:tcMar>
            <w:vAlign w:val="bottom"/>
          </w:tcPr>
          <w:p w14:paraId="64303918" w14:textId="77777777" w:rsidR="009F6D8A" w:rsidRDefault="009F6D8A">
            <w:pPr>
              <w:jc w:val="right"/>
              <w:rPr>
                <w:rFonts w:ascii="宋体"/>
              </w:rPr>
            </w:pPr>
          </w:p>
        </w:tc>
      </w:tr>
      <w:tr w:rsidR="009F6D8A" w14:paraId="64303920" w14:textId="77777777">
        <w:tc>
          <w:tcPr>
            <w:tcW w:w="0" w:type="auto"/>
            <w:gridSpan w:val="3"/>
            <w:shd w:val="clear" w:color="auto" w:fill="E1E1E1"/>
            <w:tcMar>
              <w:top w:w="40" w:type="dxa"/>
              <w:left w:w="20" w:type="dxa"/>
              <w:bottom w:w="40" w:type="dxa"/>
              <w:right w:w="20" w:type="dxa"/>
            </w:tcMar>
            <w:vAlign w:val="bottom"/>
          </w:tcPr>
          <w:p w14:paraId="6430391A" w14:textId="77777777" w:rsidR="009F6D8A" w:rsidRDefault="00C50974">
            <w:pPr>
              <w:textAlignment w:val="bottom"/>
            </w:pPr>
            <w:r>
              <w:rPr>
                <w:rFonts w:ascii="Arial" w:eastAsia="宋体" w:hAnsi="Arial" w:cs="Arial"/>
                <w:color w:val="000000"/>
                <w:sz w:val="18"/>
                <w:szCs w:val="18"/>
              </w:rPr>
              <w:t>Deferred revenue</w:t>
            </w:r>
          </w:p>
        </w:tc>
        <w:tc>
          <w:tcPr>
            <w:tcW w:w="0" w:type="auto"/>
            <w:gridSpan w:val="2"/>
            <w:shd w:val="clear" w:color="auto" w:fill="E1E1E1"/>
            <w:tcMar>
              <w:top w:w="40" w:type="dxa"/>
              <w:left w:w="20" w:type="dxa"/>
              <w:bottom w:w="40" w:type="dxa"/>
              <w:right w:w="0" w:type="dxa"/>
            </w:tcMar>
            <w:vAlign w:val="bottom"/>
          </w:tcPr>
          <w:p w14:paraId="6430391B" w14:textId="77777777" w:rsidR="009F6D8A" w:rsidRDefault="00C50974">
            <w:pPr>
              <w:jc w:val="right"/>
              <w:textAlignment w:val="bottom"/>
            </w:pPr>
            <w:r>
              <w:rPr>
                <w:rFonts w:ascii="Arial" w:eastAsia="宋体" w:hAnsi="Arial" w:cs="Arial"/>
                <w:color w:val="000000"/>
                <w:sz w:val="18"/>
                <w:szCs w:val="18"/>
              </w:rPr>
              <w:t>11 </w:t>
            </w:r>
          </w:p>
        </w:tc>
        <w:tc>
          <w:tcPr>
            <w:tcW w:w="0" w:type="auto"/>
            <w:shd w:val="clear" w:color="auto" w:fill="E1E1E1"/>
            <w:tcMar>
              <w:top w:w="40" w:type="dxa"/>
              <w:left w:w="0" w:type="dxa"/>
              <w:bottom w:w="40" w:type="dxa"/>
              <w:right w:w="20" w:type="dxa"/>
            </w:tcMar>
            <w:vAlign w:val="bottom"/>
          </w:tcPr>
          <w:p w14:paraId="6430391C"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91D"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91E" w14:textId="77777777" w:rsidR="009F6D8A" w:rsidRDefault="00C50974">
            <w:pPr>
              <w:jc w:val="right"/>
              <w:textAlignment w:val="bottom"/>
            </w:pPr>
            <w:r>
              <w:rPr>
                <w:rFonts w:ascii="Arial" w:eastAsia="宋体" w:hAnsi="Arial" w:cs="Arial"/>
                <w:color w:val="000000"/>
                <w:sz w:val="18"/>
                <w:szCs w:val="18"/>
              </w:rPr>
              <w:t>12 </w:t>
            </w:r>
          </w:p>
        </w:tc>
        <w:tc>
          <w:tcPr>
            <w:tcW w:w="0" w:type="auto"/>
            <w:shd w:val="clear" w:color="auto" w:fill="E1E1E1"/>
            <w:tcMar>
              <w:top w:w="40" w:type="dxa"/>
              <w:left w:w="0" w:type="dxa"/>
              <w:bottom w:w="40" w:type="dxa"/>
              <w:right w:w="20" w:type="dxa"/>
            </w:tcMar>
            <w:vAlign w:val="bottom"/>
          </w:tcPr>
          <w:p w14:paraId="6430391F" w14:textId="77777777" w:rsidR="009F6D8A" w:rsidRDefault="009F6D8A">
            <w:pPr>
              <w:jc w:val="right"/>
              <w:rPr>
                <w:rFonts w:ascii="宋体"/>
              </w:rPr>
            </w:pPr>
          </w:p>
        </w:tc>
      </w:tr>
      <w:tr w:rsidR="009F6D8A" w14:paraId="64303927" w14:textId="77777777">
        <w:tc>
          <w:tcPr>
            <w:tcW w:w="0" w:type="auto"/>
            <w:gridSpan w:val="3"/>
            <w:shd w:val="clear" w:color="auto" w:fill="FFFFFF"/>
            <w:tcMar>
              <w:top w:w="40" w:type="dxa"/>
              <w:left w:w="20" w:type="dxa"/>
              <w:bottom w:w="40" w:type="dxa"/>
              <w:right w:w="20" w:type="dxa"/>
            </w:tcMar>
            <w:vAlign w:val="bottom"/>
          </w:tcPr>
          <w:p w14:paraId="64303921" w14:textId="77777777" w:rsidR="009F6D8A" w:rsidRDefault="00C50974">
            <w:pPr>
              <w:textAlignment w:val="bottom"/>
            </w:pPr>
            <w:r>
              <w:rPr>
                <w:rFonts w:ascii="Arial" w:eastAsia="宋体" w:hAnsi="Arial" w:cs="Arial"/>
                <w:color w:val="000000"/>
                <w:sz w:val="18"/>
                <w:szCs w:val="18"/>
              </w:rPr>
              <w:t>Income taxes payable</w:t>
            </w:r>
          </w:p>
        </w:tc>
        <w:tc>
          <w:tcPr>
            <w:tcW w:w="0" w:type="auto"/>
            <w:gridSpan w:val="2"/>
            <w:shd w:val="clear" w:color="auto" w:fill="FFFFFF"/>
            <w:tcMar>
              <w:top w:w="40" w:type="dxa"/>
              <w:left w:w="20" w:type="dxa"/>
              <w:bottom w:w="40" w:type="dxa"/>
              <w:right w:w="0" w:type="dxa"/>
            </w:tcMar>
            <w:vAlign w:val="bottom"/>
          </w:tcPr>
          <w:p w14:paraId="64303922" w14:textId="77777777" w:rsidR="009F6D8A" w:rsidRDefault="00C50974">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6430392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92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925" w14:textId="77777777" w:rsidR="009F6D8A" w:rsidRDefault="00C50974">
            <w:pPr>
              <w:jc w:val="right"/>
              <w:textAlignment w:val="bottom"/>
            </w:pPr>
            <w:r>
              <w:rPr>
                <w:rFonts w:ascii="Arial" w:eastAsia="宋体" w:hAnsi="Arial" w:cs="Arial"/>
                <w:color w:val="000000"/>
                <w:sz w:val="18"/>
                <w:szCs w:val="18"/>
              </w:rPr>
              <w:t>13 </w:t>
            </w:r>
          </w:p>
        </w:tc>
        <w:tc>
          <w:tcPr>
            <w:tcW w:w="0" w:type="auto"/>
            <w:shd w:val="clear" w:color="auto" w:fill="FFFFFF"/>
            <w:tcMar>
              <w:top w:w="40" w:type="dxa"/>
              <w:left w:w="0" w:type="dxa"/>
              <w:bottom w:w="40" w:type="dxa"/>
              <w:right w:w="20" w:type="dxa"/>
            </w:tcMar>
            <w:vAlign w:val="bottom"/>
          </w:tcPr>
          <w:p w14:paraId="64303926" w14:textId="77777777" w:rsidR="009F6D8A" w:rsidRDefault="009F6D8A">
            <w:pPr>
              <w:jc w:val="right"/>
              <w:rPr>
                <w:rFonts w:ascii="宋体"/>
              </w:rPr>
            </w:pPr>
          </w:p>
        </w:tc>
      </w:tr>
      <w:tr w:rsidR="009F6D8A" w14:paraId="6430392E" w14:textId="77777777">
        <w:tc>
          <w:tcPr>
            <w:tcW w:w="0" w:type="auto"/>
            <w:gridSpan w:val="3"/>
            <w:shd w:val="clear" w:color="auto" w:fill="E1E1E1"/>
            <w:tcMar>
              <w:top w:w="40" w:type="dxa"/>
              <w:left w:w="20" w:type="dxa"/>
              <w:bottom w:w="40" w:type="dxa"/>
              <w:right w:w="20" w:type="dxa"/>
            </w:tcMar>
            <w:vAlign w:val="bottom"/>
          </w:tcPr>
          <w:p w14:paraId="64303928" w14:textId="77777777" w:rsidR="009F6D8A" w:rsidRDefault="00C50974">
            <w:pPr>
              <w:textAlignment w:val="bottom"/>
            </w:pPr>
            <w:r>
              <w:rPr>
                <w:rFonts w:ascii="Arial" w:eastAsia="宋体" w:hAnsi="Arial" w:cs="Arial"/>
                <w:color w:val="000000"/>
                <w:sz w:val="18"/>
                <w:szCs w:val="18"/>
              </w:rPr>
              <w:t>Operating lease liabilities</w:t>
            </w:r>
          </w:p>
        </w:tc>
        <w:tc>
          <w:tcPr>
            <w:tcW w:w="0" w:type="auto"/>
            <w:gridSpan w:val="2"/>
            <w:shd w:val="clear" w:color="auto" w:fill="E1E1E1"/>
            <w:tcMar>
              <w:top w:w="40" w:type="dxa"/>
              <w:left w:w="20" w:type="dxa"/>
              <w:bottom w:w="40" w:type="dxa"/>
              <w:right w:w="0" w:type="dxa"/>
            </w:tcMar>
            <w:vAlign w:val="bottom"/>
          </w:tcPr>
          <w:p w14:paraId="64303929" w14:textId="77777777" w:rsidR="009F6D8A" w:rsidRDefault="00C50974">
            <w:pPr>
              <w:jc w:val="right"/>
              <w:textAlignment w:val="bottom"/>
            </w:pPr>
            <w:r>
              <w:rPr>
                <w:rFonts w:ascii="Arial" w:eastAsia="宋体" w:hAnsi="Arial" w:cs="Arial"/>
                <w:color w:val="000000"/>
                <w:sz w:val="18"/>
                <w:szCs w:val="18"/>
              </w:rPr>
              <w:t>54 </w:t>
            </w:r>
          </w:p>
        </w:tc>
        <w:tc>
          <w:tcPr>
            <w:tcW w:w="0" w:type="auto"/>
            <w:shd w:val="clear" w:color="auto" w:fill="E1E1E1"/>
            <w:tcMar>
              <w:top w:w="40" w:type="dxa"/>
              <w:left w:w="0" w:type="dxa"/>
              <w:bottom w:w="40" w:type="dxa"/>
              <w:right w:w="20" w:type="dxa"/>
            </w:tcMar>
            <w:vAlign w:val="bottom"/>
          </w:tcPr>
          <w:p w14:paraId="6430392A"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92B"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92C" w14:textId="77777777" w:rsidR="009F6D8A" w:rsidRDefault="00C50974">
            <w:pPr>
              <w:jc w:val="right"/>
              <w:textAlignment w:val="bottom"/>
            </w:pPr>
            <w:r>
              <w:rPr>
                <w:rFonts w:ascii="Arial" w:eastAsia="宋体" w:hAnsi="Arial" w:cs="Arial"/>
                <w:color w:val="000000"/>
                <w:sz w:val="18"/>
                <w:szCs w:val="18"/>
              </w:rPr>
              <w:t>64 </w:t>
            </w:r>
          </w:p>
        </w:tc>
        <w:tc>
          <w:tcPr>
            <w:tcW w:w="0" w:type="auto"/>
            <w:shd w:val="clear" w:color="auto" w:fill="E1E1E1"/>
            <w:tcMar>
              <w:top w:w="40" w:type="dxa"/>
              <w:left w:w="0" w:type="dxa"/>
              <w:bottom w:w="40" w:type="dxa"/>
              <w:right w:w="20" w:type="dxa"/>
            </w:tcMar>
            <w:vAlign w:val="bottom"/>
          </w:tcPr>
          <w:p w14:paraId="6430392D" w14:textId="77777777" w:rsidR="009F6D8A" w:rsidRDefault="009F6D8A">
            <w:pPr>
              <w:jc w:val="right"/>
              <w:rPr>
                <w:rFonts w:ascii="宋体"/>
              </w:rPr>
            </w:pPr>
          </w:p>
        </w:tc>
      </w:tr>
      <w:tr w:rsidR="009F6D8A" w14:paraId="64303935" w14:textId="77777777">
        <w:tc>
          <w:tcPr>
            <w:tcW w:w="0" w:type="auto"/>
            <w:gridSpan w:val="3"/>
            <w:shd w:val="clear" w:color="auto" w:fill="FFFFFF"/>
            <w:tcMar>
              <w:top w:w="40" w:type="dxa"/>
              <w:left w:w="20" w:type="dxa"/>
              <w:bottom w:w="40" w:type="dxa"/>
              <w:right w:w="20" w:type="dxa"/>
            </w:tcMar>
            <w:vAlign w:val="bottom"/>
          </w:tcPr>
          <w:p w14:paraId="6430392F" w14:textId="77777777" w:rsidR="009F6D8A" w:rsidRDefault="00C50974">
            <w:pPr>
              <w:textAlignment w:val="bottom"/>
            </w:pPr>
            <w:r>
              <w:rPr>
                <w:rFonts w:ascii="Arial" w:eastAsia="宋体" w:hAnsi="Arial" w:cs="Arial"/>
                <w:color w:val="000000"/>
                <w:sz w:val="18"/>
                <w:szCs w:val="18"/>
              </w:rPr>
              <w:t>Deferred tax liabilities</w:t>
            </w:r>
          </w:p>
        </w:tc>
        <w:tc>
          <w:tcPr>
            <w:tcW w:w="0" w:type="auto"/>
            <w:gridSpan w:val="2"/>
            <w:shd w:val="clear" w:color="auto" w:fill="FFFFFF"/>
            <w:tcMar>
              <w:top w:w="40" w:type="dxa"/>
              <w:left w:w="20" w:type="dxa"/>
              <w:bottom w:w="40" w:type="dxa"/>
              <w:right w:w="0" w:type="dxa"/>
            </w:tcMar>
            <w:vAlign w:val="bottom"/>
          </w:tcPr>
          <w:p w14:paraId="64303930" w14:textId="77777777" w:rsidR="009F6D8A" w:rsidRDefault="00C50974">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6430393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93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933" w14:textId="77777777" w:rsidR="009F6D8A" w:rsidRDefault="00C50974">
            <w:pPr>
              <w:jc w:val="right"/>
              <w:textAlignment w:val="bottom"/>
            </w:pPr>
            <w:r>
              <w:rPr>
                <w:rFonts w:ascii="Arial" w:eastAsia="宋体" w:hAnsi="Arial" w:cs="Arial"/>
                <w:color w:val="000000"/>
                <w:sz w:val="18"/>
                <w:szCs w:val="18"/>
              </w:rPr>
              <w:t>(9)</w:t>
            </w:r>
          </w:p>
        </w:tc>
        <w:tc>
          <w:tcPr>
            <w:tcW w:w="0" w:type="auto"/>
            <w:shd w:val="clear" w:color="auto" w:fill="FFFFFF"/>
            <w:tcMar>
              <w:top w:w="40" w:type="dxa"/>
              <w:left w:w="0" w:type="dxa"/>
              <w:bottom w:w="40" w:type="dxa"/>
              <w:right w:w="20" w:type="dxa"/>
            </w:tcMar>
            <w:vAlign w:val="bottom"/>
          </w:tcPr>
          <w:p w14:paraId="64303934" w14:textId="77777777" w:rsidR="009F6D8A" w:rsidRDefault="009F6D8A">
            <w:pPr>
              <w:jc w:val="right"/>
              <w:rPr>
                <w:rFonts w:ascii="宋体"/>
              </w:rPr>
            </w:pPr>
          </w:p>
        </w:tc>
      </w:tr>
      <w:tr w:rsidR="009F6D8A" w14:paraId="6430393C" w14:textId="77777777">
        <w:tc>
          <w:tcPr>
            <w:tcW w:w="0" w:type="auto"/>
            <w:gridSpan w:val="3"/>
            <w:shd w:val="clear" w:color="auto" w:fill="E1E1E1"/>
            <w:tcMar>
              <w:top w:w="40" w:type="dxa"/>
              <w:left w:w="20" w:type="dxa"/>
              <w:bottom w:w="40" w:type="dxa"/>
              <w:right w:w="20" w:type="dxa"/>
            </w:tcMar>
            <w:vAlign w:val="bottom"/>
          </w:tcPr>
          <w:p w14:paraId="64303936" w14:textId="77777777" w:rsidR="009F6D8A" w:rsidRDefault="00C50974">
            <w:pPr>
              <w:textAlignment w:val="bottom"/>
            </w:pPr>
            <w:r>
              <w:rPr>
                <w:rFonts w:ascii="Arial" w:eastAsia="宋体" w:hAnsi="Arial" w:cs="Arial"/>
                <w:color w:val="000000"/>
                <w:sz w:val="18"/>
                <w:szCs w:val="18"/>
              </w:rPr>
              <w:t>Long-term debt</w:t>
            </w:r>
          </w:p>
        </w:tc>
        <w:tc>
          <w:tcPr>
            <w:tcW w:w="0" w:type="auto"/>
            <w:gridSpan w:val="2"/>
            <w:shd w:val="clear" w:color="auto" w:fill="E1E1E1"/>
            <w:tcMar>
              <w:top w:w="40" w:type="dxa"/>
              <w:left w:w="20" w:type="dxa"/>
              <w:bottom w:w="40" w:type="dxa"/>
              <w:right w:w="0" w:type="dxa"/>
            </w:tcMar>
            <w:vAlign w:val="bottom"/>
          </w:tcPr>
          <w:p w14:paraId="64303937"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E1E1E1"/>
            <w:tcMar>
              <w:top w:w="40" w:type="dxa"/>
              <w:left w:w="0" w:type="dxa"/>
              <w:bottom w:w="40" w:type="dxa"/>
              <w:right w:w="20" w:type="dxa"/>
            </w:tcMar>
            <w:vAlign w:val="bottom"/>
          </w:tcPr>
          <w:p w14:paraId="64303938"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939"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393A" w14:textId="77777777" w:rsidR="009F6D8A" w:rsidRDefault="00C50974">
            <w:pPr>
              <w:jc w:val="right"/>
              <w:textAlignment w:val="bottom"/>
            </w:pPr>
            <w:r>
              <w:rPr>
                <w:rFonts w:ascii="Arial" w:eastAsia="宋体" w:hAnsi="Arial" w:cs="Arial"/>
                <w:color w:val="000000"/>
                <w:sz w:val="18"/>
                <w:szCs w:val="18"/>
              </w:rPr>
              <w:t>5 </w:t>
            </w:r>
          </w:p>
        </w:tc>
        <w:tc>
          <w:tcPr>
            <w:tcW w:w="0" w:type="auto"/>
            <w:shd w:val="clear" w:color="auto" w:fill="E1E1E1"/>
            <w:tcMar>
              <w:top w:w="40" w:type="dxa"/>
              <w:left w:w="0" w:type="dxa"/>
              <w:bottom w:w="40" w:type="dxa"/>
              <w:right w:w="20" w:type="dxa"/>
            </w:tcMar>
            <w:vAlign w:val="bottom"/>
          </w:tcPr>
          <w:p w14:paraId="6430393B" w14:textId="77777777" w:rsidR="009F6D8A" w:rsidRDefault="009F6D8A">
            <w:pPr>
              <w:jc w:val="right"/>
              <w:rPr>
                <w:rFonts w:ascii="宋体"/>
              </w:rPr>
            </w:pPr>
          </w:p>
        </w:tc>
      </w:tr>
      <w:tr w:rsidR="009F6D8A" w14:paraId="64303943" w14:textId="77777777">
        <w:tc>
          <w:tcPr>
            <w:tcW w:w="0" w:type="auto"/>
            <w:gridSpan w:val="3"/>
            <w:shd w:val="clear" w:color="auto" w:fill="FFFFFF"/>
            <w:tcMar>
              <w:top w:w="40" w:type="dxa"/>
              <w:left w:w="20" w:type="dxa"/>
              <w:bottom w:w="40" w:type="dxa"/>
              <w:right w:w="20" w:type="dxa"/>
            </w:tcMar>
            <w:vAlign w:val="bottom"/>
          </w:tcPr>
          <w:p w14:paraId="6430393D" w14:textId="77777777" w:rsidR="009F6D8A" w:rsidRDefault="00C50974">
            <w:pPr>
              <w:textAlignment w:val="bottom"/>
            </w:pPr>
            <w:r>
              <w:rPr>
                <w:rFonts w:ascii="Arial" w:eastAsia="宋体" w:hAnsi="Arial" w:cs="Arial"/>
                <w:color w:val="000000"/>
                <w:sz w:val="18"/>
                <w:szCs w:val="18"/>
              </w:rPr>
              <w:t>Other liabilities</w:t>
            </w:r>
          </w:p>
        </w:tc>
        <w:tc>
          <w:tcPr>
            <w:tcW w:w="0" w:type="auto"/>
            <w:gridSpan w:val="2"/>
            <w:shd w:val="clear" w:color="auto" w:fill="FFFFFF"/>
            <w:tcMar>
              <w:top w:w="40" w:type="dxa"/>
              <w:left w:w="20" w:type="dxa"/>
              <w:bottom w:w="40" w:type="dxa"/>
              <w:right w:w="0" w:type="dxa"/>
            </w:tcMar>
            <w:vAlign w:val="bottom"/>
          </w:tcPr>
          <w:p w14:paraId="6430393E" w14:textId="77777777" w:rsidR="009F6D8A" w:rsidRDefault="00C50974">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6430393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940"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941" w14:textId="77777777" w:rsidR="009F6D8A" w:rsidRDefault="00C50974">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64303942" w14:textId="77777777" w:rsidR="009F6D8A" w:rsidRDefault="009F6D8A">
            <w:pPr>
              <w:jc w:val="right"/>
              <w:rPr>
                <w:rFonts w:ascii="宋体"/>
              </w:rPr>
            </w:pPr>
          </w:p>
        </w:tc>
      </w:tr>
      <w:tr w:rsidR="009F6D8A" w14:paraId="6430394C" w14:textId="77777777">
        <w:tc>
          <w:tcPr>
            <w:tcW w:w="0" w:type="auto"/>
            <w:gridSpan w:val="3"/>
            <w:shd w:val="clear" w:color="auto" w:fill="E1E1E1"/>
            <w:tcMar>
              <w:top w:w="40" w:type="dxa"/>
              <w:left w:w="20" w:type="dxa"/>
              <w:bottom w:w="40" w:type="dxa"/>
              <w:right w:w="20" w:type="dxa"/>
            </w:tcMar>
            <w:vAlign w:val="bottom"/>
          </w:tcPr>
          <w:p w14:paraId="64303944" w14:textId="77777777" w:rsidR="009F6D8A" w:rsidRDefault="00C50974">
            <w:pPr>
              <w:textAlignment w:val="bottom"/>
            </w:pPr>
            <w:r>
              <w:rPr>
                <w:rFonts w:ascii="Arial" w:eastAsia="宋体" w:hAnsi="Arial" w:cs="Arial"/>
                <w:color w:val="000000"/>
                <w:sz w:val="18"/>
                <w:szCs w:val="18"/>
              </w:rPr>
              <w:t>Total liabilities classified as held for sale in the condensed consolidated balance sheet</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945"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946" w14:textId="77777777" w:rsidR="009F6D8A" w:rsidRDefault="00C50974">
            <w:pPr>
              <w:jc w:val="right"/>
              <w:textAlignment w:val="bottom"/>
            </w:pPr>
            <w:r>
              <w:rPr>
                <w:rFonts w:ascii="Arial" w:eastAsia="宋体" w:hAnsi="Arial" w:cs="Arial"/>
                <w:color w:val="000000"/>
                <w:sz w:val="18"/>
                <w:szCs w:val="18"/>
              </w:rPr>
              <w:t>786 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947"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948"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949"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94A" w14:textId="77777777" w:rsidR="009F6D8A" w:rsidRDefault="00C50974">
            <w:pPr>
              <w:jc w:val="right"/>
              <w:textAlignment w:val="bottom"/>
            </w:pPr>
            <w:r>
              <w:rPr>
                <w:rFonts w:ascii="Arial" w:eastAsia="宋体" w:hAnsi="Arial" w:cs="Arial"/>
                <w:color w:val="000000"/>
                <w:sz w:val="18"/>
                <w:szCs w:val="18"/>
              </w:rPr>
              <w:t>918 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94B" w14:textId="77777777" w:rsidR="009F6D8A" w:rsidRDefault="009F6D8A">
            <w:pPr>
              <w:jc w:val="right"/>
              <w:rPr>
                <w:rFonts w:ascii="宋体"/>
              </w:rPr>
            </w:pPr>
          </w:p>
        </w:tc>
      </w:tr>
    </w:tbl>
    <w:p w14:paraId="6430394D" w14:textId="77777777" w:rsidR="009F6D8A" w:rsidRDefault="009F6D8A">
      <w:pPr>
        <w:spacing w:after="120"/>
      </w:pPr>
    </w:p>
    <w:p w14:paraId="6430394E" w14:textId="77777777" w:rsidR="009F6D8A" w:rsidRDefault="00C50974">
      <w:r>
        <w:rPr>
          <w:rFonts w:ascii="Arial" w:eastAsia="宋体" w:hAnsi="Arial" w:cs="Arial"/>
          <w:b/>
          <w:bCs/>
          <w:color w:val="000000"/>
          <w:sz w:val="20"/>
          <w:szCs w:val="20"/>
        </w:rPr>
        <w:t xml:space="preserve">Note 4 — Goodwill </w:t>
      </w:r>
    </w:p>
    <w:p w14:paraId="6430394F" w14:textId="77777777" w:rsidR="009F6D8A" w:rsidRDefault="009F6D8A"/>
    <w:p w14:paraId="64303950" w14:textId="77777777" w:rsidR="009F6D8A" w:rsidRDefault="00C50974">
      <w:pPr>
        <w:ind w:firstLine="90"/>
      </w:pPr>
      <w:r>
        <w:rPr>
          <w:rFonts w:ascii="Arial" w:eastAsia="宋体" w:hAnsi="Arial" w:cs="Arial"/>
          <w:b/>
          <w:bCs/>
          <w:i/>
          <w:iCs/>
          <w:color w:val="000000"/>
          <w:sz w:val="20"/>
          <w:szCs w:val="20"/>
        </w:rPr>
        <w:t>Goodwill</w:t>
      </w:r>
    </w:p>
    <w:p w14:paraId="64303951" w14:textId="77777777" w:rsidR="009F6D8A" w:rsidRDefault="009F6D8A"/>
    <w:p w14:paraId="64303952" w14:textId="77777777" w:rsidR="009F6D8A" w:rsidRDefault="00C50974">
      <w:pPr>
        <w:spacing w:after="120"/>
        <w:ind w:firstLine="540"/>
      </w:pPr>
      <w:r>
        <w:rPr>
          <w:rFonts w:ascii="Arial" w:eastAsia="宋体" w:hAnsi="Arial" w:cs="Arial"/>
          <w:color w:val="000000"/>
          <w:sz w:val="20"/>
          <w:szCs w:val="20"/>
        </w:rPr>
        <w:t xml:space="preserve">The following table presents goodwill activity during the six months ended June 30, 2021 (in millions): </w:t>
      </w:r>
    </w:p>
    <w:tbl>
      <w:tblPr>
        <w:tblW w:w="4993" w:type="pct"/>
        <w:tblCellMar>
          <w:top w:w="15" w:type="dxa"/>
          <w:left w:w="15" w:type="dxa"/>
          <w:bottom w:w="15" w:type="dxa"/>
          <w:right w:w="15" w:type="dxa"/>
        </w:tblCellMar>
        <w:tblLook w:val="04A0" w:firstRow="1" w:lastRow="0" w:firstColumn="1" w:lastColumn="0" w:noHBand="0" w:noVBand="1"/>
      </w:tblPr>
      <w:tblGrid>
        <w:gridCol w:w="37"/>
        <w:gridCol w:w="3754"/>
        <w:gridCol w:w="36"/>
        <w:gridCol w:w="122"/>
        <w:gridCol w:w="918"/>
        <w:gridCol w:w="36"/>
        <w:gridCol w:w="36"/>
        <w:gridCol w:w="36"/>
        <w:gridCol w:w="36"/>
        <w:gridCol w:w="122"/>
        <w:gridCol w:w="874"/>
        <w:gridCol w:w="36"/>
        <w:gridCol w:w="36"/>
        <w:gridCol w:w="36"/>
        <w:gridCol w:w="36"/>
        <w:gridCol w:w="122"/>
        <w:gridCol w:w="922"/>
        <w:gridCol w:w="36"/>
        <w:gridCol w:w="36"/>
        <w:gridCol w:w="36"/>
        <w:gridCol w:w="36"/>
        <w:gridCol w:w="121"/>
        <w:gridCol w:w="828"/>
        <w:gridCol w:w="36"/>
      </w:tblGrid>
      <w:tr w:rsidR="009F6D8A" w14:paraId="6430396B" w14:textId="77777777">
        <w:tc>
          <w:tcPr>
            <w:tcW w:w="50" w:type="pct"/>
            <w:shd w:val="clear" w:color="auto" w:fill="auto"/>
            <w:vAlign w:val="bottom"/>
          </w:tcPr>
          <w:p w14:paraId="64303953" w14:textId="77777777" w:rsidR="009F6D8A" w:rsidRDefault="009F6D8A">
            <w:pPr>
              <w:rPr>
                <w:rFonts w:ascii="宋体"/>
              </w:rPr>
            </w:pPr>
          </w:p>
        </w:tc>
        <w:tc>
          <w:tcPr>
            <w:tcW w:w="2287" w:type="pct"/>
            <w:shd w:val="clear" w:color="auto" w:fill="auto"/>
            <w:vAlign w:val="bottom"/>
          </w:tcPr>
          <w:p w14:paraId="64303954" w14:textId="77777777" w:rsidR="009F6D8A" w:rsidRDefault="009F6D8A">
            <w:pPr>
              <w:rPr>
                <w:rFonts w:ascii="宋体"/>
              </w:rPr>
            </w:pPr>
          </w:p>
        </w:tc>
        <w:tc>
          <w:tcPr>
            <w:tcW w:w="5" w:type="pct"/>
            <w:shd w:val="clear" w:color="auto" w:fill="auto"/>
            <w:vAlign w:val="bottom"/>
          </w:tcPr>
          <w:p w14:paraId="64303955" w14:textId="77777777" w:rsidR="009F6D8A" w:rsidRDefault="009F6D8A">
            <w:pPr>
              <w:rPr>
                <w:rFonts w:ascii="宋体"/>
              </w:rPr>
            </w:pPr>
          </w:p>
        </w:tc>
        <w:tc>
          <w:tcPr>
            <w:tcW w:w="50" w:type="pct"/>
            <w:shd w:val="clear" w:color="auto" w:fill="auto"/>
            <w:vAlign w:val="bottom"/>
          </w:tcPr>
          <w:p w14:paraId="64303956" w14:textId="77777777" w:rsidR="009F6D8A" w:rsidRDefault="009F6D8A">
            <w:pPr>
              <w:rPr>
                <w:rFonts w:ascii="宋体"/>
              </w:rPr>
            </w:pPr>
          </w:p>
        </w:tc>
        <w:tc>
          <w:tcPr>
            <w:tcW w:w="581" w:type="pct"/>
            <w:shd w:val="clear" w:color="auto" w:fill="auto"/>
            <w:vAlign w:val="bottom"/>
          </w:tcPr>
          <w:p w14:paraId="64303957" w14:textId="77777777" w:rsidR="009F6D8A" w:rsidRDefault="009F6D8A">
            <w:pPr>
              <w:rPr>
                <w:rFonts w:ascii="宋体"/>
              </w:rPr>
            </w:pPr>
          </w:p>
        </w:tc>
        <w:tc>
          <w:tcPr>
            <w:tcW w:w="5" w:type="pct"/>
            <w:shd w:val="clear" w:color="auto" w:fill="auto"/>
            <w:vAlign w:val="bottom"/>
          </w:tcPr>
          <w:p w14:paraId="64303958" w14:textId="77777777" w:rsidR="009F6D8A" w:rsidRDefault="009F6D8A">
            <w:pPr>
              <w:rPr>
                <w:rFonts w:ascii="宋体"/>
              </w:rPr>
            </w:pPr>
          </w:p>
        </w:tc>
        <w:tc>
          <w:tcPr>
            <w:tcW w:w="5" w:type="pct"/>
            <w:shd w:val="clear" w:color="auto" w:fill="auto"/>
            <w:vAlign w:val="bottom"/>
          </w:tcPr>
          <w:p w14:paraId="64303959" w14:textId="77777777" w:rsidR="009F6D8A" w:rsidRDefault="009F6D8A">
            <w:pPr>
              <w:rPr>
                <w:rFonts w:ascii="宋体"/>
              </w:rPr>
            </w:pPr>
          </w:p>
        </w:tc>
        <w:tc>
          <w:tcPr>
            <w:tcW w:w="26" w:type="pct"/>
            <w:shd w:val="clear" w:color="auto" w:fill="auto"/>
            <w:vAlign w:val="bottom"/>
          </w:tcPr>
          <w:p w14:paraId="6430395A" w14:textId="77777777" w:rsidR="009F6D8A" w:rsidRDefault="009F6D8A">
            <w:pPr>
              <w:rPr>
                <w:rFonts w:ascii="宋体"/>
              </w:rPr>
            </w:pPr>
          </w:p>
        </w:tc>
        <w:tc>
          <w:tcPr>
            <w:tcW w:w="5" w:type="pct"/>
            <w:shd w:val="clear" w:color="auto" w:fill="auto"/>
            <w:vAlign w:val="bottom"/>
          </w:tcPr>
          <w:p w14:paraId="6430395B" w14:textId="77777777" w:rsidR="009F6D8A" w:rsidRDefault="009F6D8A">
            <w:pPr>
              <w:rPr>
                <w:rFonts w:ascii="宋体"/>
              </w:rPr>
            </w:pPr>
          </w:p>
        </w:tc>
        <w:tc>
          <w:tcPr>
            <w:tcW w:w="50" w:type="pct"/>
            <w:shd w:val="clear" w:color="auto" w:fill="auto"/>
            <w:vAlign w:val="bottom"/>
          </w:tcPr>
          <w:p w14:paraId="6430395C" w14:textId="77777777" w:rsidR="009F6D8A" w:rsidRDefault="009F6D8A">
            <w:pPr>
              <w:rPr>
                <w:rFonts w:ascii="宋体"/>
              </w:rPr>
            </w:pPr>
          </w:p>
        </w:tc>
        <w:tc>
          <w:tcPr>
            <w:tcW w:w="581" w:type="pct"/>
            <w:shd w:val="clear" w:color="auto" w:fill="auto"/>
            <w:vAlign w:val="bottom"/>
          </w:tcPr>
          <w:p w14:paraId="6430395D" w14:textId="77777777" w:rsidR="009F6D8A" w:rsidRDefault="009F6D8A">
            <w:pPr>
              <w:rPr>
                <w:rFonts w:ascii="宋体"/>
              </w:rPr>
            </w:pPr>
          </w:p>
        </w:tc>
        <w:tc>
          <w:tcPr>
            <w:tcW w:w="5" w:type="pct"/>
            <w:shd w:val="clear" w:color="auto" w:fill="auto"/>
            <w:vAlign w:val="bottom"/>
          </w:tcPr>
          <w:p w14:paraId="6430395E" w14:textId="77777777" w:rsidR="009F6D8A" w:rsidRDefault="009F6D8A">
            <w:pPr>
              <w:rPr>
                <w:rFonts w:ascii="宋体"/>
              </w:rPr>
            </w:pPr>
          </w:p>
        </w:tc>
        <w:tc>
          <w:tcPr>
            <w:tcW w:w="5" w:type="pct"/>
            <w:shd w:val="clear" w:color="auto" w:fill="auto"/>
            <w:vAlign w:val="bottom"/>
          </w:tcPr>
          <w:p w14:paraId="6430395F" w14:textId="77777777" w:rsidR="009F6D8A" w:rsidRDefault="009F6D8A">
            <w:pPr>
              <w:rPr>
                <w:rFonts w:ascii="宋体"/>
              </w:rPr>
            </w:pPr>
          </w:p>
        </w:tc>
        <w:tc>
          <w:tcPr>
            <w:tcW w:w="26" w:type="pct"/>
            <w:shd w:val="clear" w:color="auto" w:fill="auto"/>
            <w:vAlign w:val="bottom"/>
          </w:tcPr>
          <w:p w14:paraId="64303960" w14:textId="77777777" w:rsidR="009F6D8A" w:rsidRDefault="009F6D8A">
            <w:pPr>
              <w:rPr>
                <w:rFonts w:ascii="宋体"/>
              </w:rPr>
            </w:pPr>
          </w:p>
        </w:tc>
        <w:tc>
          <w:tcPr>
            <w:tcW w:w="5" w:type="pct"/>
            <w:shd w:val="clear" w:color="auto" w:fill="auto"/>
            <w:vAlign w:val="bottom"/>
          </w:tcPr>
          <w:p w14:paraId="64303961" w14:textId="77777777" w:rsidR="009F6D8A" w:rsidRDefault="009F6D8A">
            <w:pPr>
              <w:rPr>
                <w:rFonts w:ascii="宋体"/>
              </w:rPr>
            </w:pPr>
          </w:p>
        </w:tc>
        <w:tc>
          <w:tcPr>
            <w:tcW w:w="50" w:type="pct"/>
            <w:shd w:val="clear" w:color="auto" w:fill="auto"/>
            <w:vAlign w:val="bottom"/>
          </w:tcPr>
          <w:p w14:paraId="64303962" w14:textId="77777777" w:rsidR="009F6D8A" w:rsidRDefault="009F6D8A">
            <w:pPr>
              <w:rPr>
                <w:rFonts w:ascii="宋体"/>
              </w:rPr>
            </w:pPr>
          </w:p>
        </w:tc>
        <w:tc>
          <w:tcPr>
            <w:tcW w:w="581" w:type="pct"/>
            <w:shd w:val="clear" w:color="auto" w:fill="auto"/>
            <w:vAlign w:val="bottom"/>
          </w:tcPr>
          <w:p w14:paraId="64303963" w14:textId="77777777" w:rsidR="009F6D8A" w:rsidRDefault="009F6D8A">
            <w:pPr>
              <w:rPr>
                <w:rFonts w:ascii="宋体"/>
              </w:rPr>
            </w:pPr>
          </w:p>
        </w:tc>
        <w:tc>
          <w:tcPr>
            <w:tcW w:w="5" w:type="pct"/>
            <w:shd w:val="clear" w:color="auto" w:fill="auto"/>
            <w:vAlign w:val="bottom"/>
          </w:tcPr>
          <w:p w14:paraId="64303964" w14:textId="77777777" w:rsidR="009F6D8A" w:rsidRDefault="009F6D8A">
            <w:pPr>
              <w:rPr>
                <w:rFonts w:ascii="宋体"/>
              </w:rPr>
            </w:pPr>
          </w:p>
        </w:tc>
        <w:tc>
          <w:tcPr>
            <w:tcW w:w="5" w:type="pct"/>
            <w:shd w:val="clear" w:color="auto" w:fill="auto"/>
            <w:vAlign w:val="bottom"/>
          </w:tcPr>
          <w:p w14:paraId="64303965" w14:textId="77777777" w:rsidR="009F6D8A" w:rsidRDefault="009F6D8A">
            <w:pPr>
              <w:rPr>
                <w:rFonts w:ascii="宋体"/>
              </w:rPr>
            </w:pPr>
          </w:p>
        </w:tc>
        <w:tc>
          <w:tcPr>
            <w:tcW w:w="26" w:type="pct"/>
            <w:shd w:val="clear" w:color="auto" w:fill="auto"/>
            <w:vAlign w:val="bottom"/>
          </w:tcPr>
          <w:p w14:paraId="64303966" w14:textId="77777777" w:rsidR="009F6D8A" w:rsidRDefault="009F6D8A">
            <w:pPr>
              <w:rPr>
                <w:rFonts w:ascii="宋体"/>
              </w:rPr>
            </w:pPr>
          </w:p>
        </w:tc>
        <w:tc>
          <w:tcPr>
            <w:tcW w:w="5" w:type="pct"/>
            <w:shd w:val="clear" w:color="auto" w:fill="auto"/>
            <w:vAlign w:val="bottom"/>
          </w:tcPr>
          <w:p w14:paraId="64303967" w14:textId="77777777" w:rsidR="009F6D8A" w:rsidRDefault="009F6D8A">
            <w:pPr>
              <w:rPr>
                <w:rFonts w:ascii="宋体"/>
              </w:rPr>
            </w:pPr>
          </w:p>
        </w:tc>
        <w:tc>
          <w:tcPr>
            <w:tcW w:w="50" w:type="pct"/>
            <w:shd w:val="clear" w:color="auto" w:fill="auto"/>
            <w:vAlign w:val="bottom"/>
          </w:tcPr>
          <w:p w14:paraId="64303968" w14:textId="77777777" w:rsidR="009F6D8A" w:rsidRDefault="009F6D8A">
            <w:pPr>
              <w:rPr>
                <w:rFonts w:ascii="宋体"/>
              </w:rPr>
            </w:pPr>
          </w:p>
        </w:tc>
        <w:tc>
          <w:tcPr>
            <w:tcW w:w="582" w:type="pct"/>
            <w:shd w:val="clear" w:color="auto" w:fill="auto"/>
            <w:vAlign w:val="bottom"/>
          </w:tcPr>
          <w:p w14:paraId="64303969" w14:textId="77777777" w:rsidR="009F6D8A" w:rsidRDefault="009F6D8A">
            <w:pPr>
              <w:rPr>
                <w:rFonts w:ascii="宋体"/>
              </w:rPr>
            </w:pPr>
          </w:p>
        </w:tc>
        <w:tc>
          <w:tcPr>
            <w:tcW w:w="5" w:type="pct"/>
            <w:shd w:val="clear" w:color="auto" w:fill="auto"/>
            <w:vAlign w:val="bottom"/>
          </w:tcPr>
          <w:p w14:paraId="6430396A" w14:textId="77777777" w:rsidR="009F6D8A" w:rsidRDefault="009F6D8A">
            <w:pPr>
              <w:rPr>
                <w:rFonts w:ascii="宋体"/>
              </w:rPr>
            </w:pPr>
          </w:p>
        </w:tc>
      </w:tr>
      <w:tr w:rsidR="009F6D8A" w14:paraId="64303974" w14:textId="77777777">
        <w:tc>
          <w:tcPr>
            <w:tcW w:w="0" w:type="auto"/>
            <w:gridSpan w:val="3"/>
            <w:shd w:val="clear" w:color="auto" w:fill="auto"/>
            <w:tcMar>
              <w:top w:w="40" w:type="dxa"/>
              <w:left w:w="20" w:type="dxa"/>
              <w:bottom w:w="40" w:type="dxa"/>
              <w:right w:w="20" w:type="dxa"/>
            </w:tcMar>
            <w:vAlign w:val="bottom"/>
          </w:tcPr>
          <w:p w14:paraId="6430396C" w14:textId="77777777" w:rsidR="009F6D8A" w:rsidRDefault="00C50974">
            <w:pPr>
              <w:jc w:val="cente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30396D" w14:textId="77777777" w:rsidR="009F6D8A" w:rsidRDefault="00C50974">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2020</w:t>
            </w:r>
          </w:p>
        </w:tc>
        <w:tc>
          <w:tcPr>
            <w:tcW w:w="0" w:type="auto"/>
            <w:gridSpan w:val="3"/>
            <w:shd w:val="clear" w:color="auto" w:fill="auto"/>
            <w:tcMar>
              <w:top w:w="0" w:type="dxa"/>
              <w:left w:w="20" w:type="dxa"/>
              <w:bottom w:w="0" w:type="dxa"/>
              <w:right w:w="20" w:type="dxa"/>
            </w:tcMar>
            <w:vAlign w:val="bottom"/>
          </w:tcPr>
          <w:p w14:paraId="6430396E"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396F" w14:textId="77777777" w:rsidR="009F6D8A" w:rsidRDefault="00C50974">
            <w:pPr>
              <w:jc w:val="center"/>
              <w:textAlignment w:val="bottom"/>
            </w:pPr>
            <w:r>
              <w:rPr>
                <w:rFonts w:ascii="Arial" w:eastAsia="宋体" w:hAnsi="Arial" w:cs="Arial"/>
                <w:b/>
                <w:bCs/>
                <w:color w:val="000000"/>
                <w:sz w:val="16"/>
                <w:szCs w:val="16"/>
              </w:rPr>
              <w:t>Goodwill</w:t>
            </w:r>
            <w:r>
              <w:rPr>
                <w:rFonts w:ascii="Arial" w:eastAsia="宋体" w:hAnsi="Arial" w:cs="Arial"/>
                <w:b/>
                <w:bCs/>
                <w:color w:val="000000"/>
                <w:sz w:val="16"/>
                <w:szCs w:val="16"/>
              </w:rPr>
              <w:br/>
              <w:t>Acquired</w:t>
            </w:r>
          </w:p>
        </w:tc>
        <w:tc>
          <w:tcPr>
            <w:tcW w:w="0" w:type="auto"/>
            <w:gridSpan w:val="3"/>
            <w:shd w:val="clear" w:color="auto" w:fill="auto"/>
            <w:tcMar>
              <w:top w:w="40" w:type="dxa"/>
              <w:left w:w="20" w:type="dxa"/>
              <w:bottom w:w="40" w:type="dxa"/>
              <w:right w:w="20" w:type="dxa"/>
            </w:tcMar>
            <w:vAlign w:val="bottom"/>
          </w:tcPr>
          <w:p w14:paraId="64303970" w14:textId="77777777" w:rsidR="009F6D8A" w:rsidRDefault="00C50974">
            <w:pPr>
              <w:jc w:val="center"/>
              <w:textAlignment w:val="bottom"/>
            </w:pPr>
            <w:r>
              <w:rPr>
                <w:rFonts w:ascii="Arial" w:eastAsia="宋体" w:hAnsi="Arial" w:cs="Arial"/>
                <w:b/>
                <w:bCs/>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303971" w14:textId="77777777" w:rsidR="009F6D8A" w:rsidRDefault="00C50974">
            <w:pPr>
              <w:jc w:val="center"/>
              <w:textAlignment w:val="bottom"/>
            </w:pPr>
            <w:r>
              <w:rPr>
                <w:rFonts w:ascii="Arial" w:eastAsia="宋体" w:hAnsi="Arial" w:cs="Arial"/>
                <w:b/>
                <w:bCs/>
                <w:color w:val="000000"/>
                <w:sz w:val="16"/>
                <w:szCs w:val="16"/>
              </w:rPr>
              <w:t>Adjustments</w:t>
            </w:r>
          </w:p>
        </w:tc>
        <w:tc>
          <w:tcPr>
            <w:tcW w:w="0" w:type="auto"/>
            <w:gridSpan w:val="3"/>
            <w:shd w:val="clear" w:color="auto" w:fill="auto"/>
            <w:tcMar>
              <w:top w:w="40" w:type="dxa"/>
              <w:left w:w="20" w:type="dxa"/>
              <w:bottom w:w="40" w:type="dxa"/>
              <w:right w:w="20" w:type="dxa"/>
            </w:tcMar>
            <w:vAlign w:val="bottom"/>
          </w:tcPr>
          <w:p w14:paraId="64303972" w14:textId="77777777" w:rsidR="009F6D8A" w:rsidRDefault="00C50974">
            <w:pPr>
              <w:jc w:val="center"/>
              <w:textAlignment w:val="bottom"/>
            </w:pPr>
            <w:r>
              <w:rPr>
                <w:rFonts w:ascii="Arial" w:eastAsia="宋体" w:hAnsi="Arial" w:cs="Arial"/>
                <w:b/>
                <w:bCs/>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303973" w14:textId="77777777" w:rsidR="009F6D8A" w:rsidRDefault="00C50974">
            <w:pPr>
              <w:jc w:val="center"/>
              <w:textAlignment w:val="bottom"/>
            </w:pPr>
            <w:r>
              <w:rPr>
                <w:rFonts w:ascii="Arial" w:eastAsia="宋体" w:hAnsi="Arial" w:cs="Arial"/>
                <w:b/>
                <w:bCs/>
                <w:color w:val="000000"/>
                <w:sz w:val="16"/>
                <w:szCs w:val="16"/>
              </w:rPr>
              <w:t>June 30,</w:t>
            </w:r>
            <w:r>
              <w:rPr>
                <w:rFonts w:ascii="Arial" w:eastAsia="宋体" w:hAnsi="Arial" w:cs="Arial"/>
                <w:b/>
                <w:bCs/>
                <w:color w:val="000000"/>
                <w:sz w:val="16"/>
                <w:szCs w:val="16"/>
              </w:rPr>
              <w:br/>
              <w:t>2021</w:t>
            </w:r>
          </w:p>
        </w:tc>
      </w:tr>
      <w:tr w:rsidR="009F6D8A" w14:paraId="64303985" w14:textId="77777777">
        <w:tc>
          <w:tcPr>
            <w:tcW w:w="0" w:type="auto"/>
            <w:gridSpan w:val="3"/>
            <w:shd w:val="clear" w:color="auto" w:fill="E2E2E2"/>
            <w:tcMar>
              <w:top w:w="40" w:type="dxa"/>
              <w:left w:w="20" w:type="dxa"/>
              <w:bottom w:w="40" w:type="dxa"/>
              <w:right w:w="20" w:type="dxa"/>
            </w:tcMar>
            <w:vAlign w:val="bottom"/>
          </w:tcPr>
          <w:p w14:paraId="64303975" w14:textId="77777777" w:rsidR="009F6D8A" w:rsidRDefault="00C50974">
            <w:pPr>
              <w:textAlignment w:val="bottom"/>
            </w:pPr>
            <w:r>
              <w:rPr>
                <w:rFonts w:ascii="Arial" w:eastAsia="宋体" w:hAnsi="Arial" w:cs="Arial"/>
                <w:color w:val="000000"/>
                <w:sz w:val="18"/>
                <w:szCs w:val="18"/>
              </w:rPr>
              <w:t>Goodwill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976"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977" w14:textId="77777777" w:rsidR="009F6D8A" w:rsidRDefault="00C50974">
            <w:pPr>
              <w:jc w:val="right"/>
              <w:textAlignment w:val="bottom"/>
            </w:pPr>
            <w:r>
              <w:rPr>
                <w:rFonts w:ascii="Arial" w:eastAsia="宋体" w:hAnsi="Arial" w:cs="Arial"/>
                <w:color w:val="000000"/>
                <w:sz w:val="18"/>
                <w:szCs w:val="18"/>
              </w:rPr>
              <w:t>4,285 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97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979"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97A"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97B"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97C"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97D"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97E"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97F" w14:textId="77777777" w:rsidR="009F6D8A" w:rsidRDefault="00C50974">
            <w:pPr>
              <w:jc w:val="right"/>
              <w:textAlignment w:val="bottom"/>
            </w:pPr>
            <w:r>
              <w:rPr>
                <w:rFonts w:ascii="Arial" w:eastAsia="宋体" w:hAnsi="Arial" w:cs="Arial"/>
                <w:color w:val="000000"/>
                <w:sz w:val="18"/>
                <w:szCs w:val="18"/>
              </w:rPr>
              <w:t>(73)</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980"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981"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982"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983" w14:textId="77777777" w:rsidR="009F6D8A" w:rsidRDefault="00C50974">
            <w:pPr>
              <w:jc w:val="right"/>
              <w:textAlignment w:val="bottom"/>
            </w:pPr>
            <w:r>
              <w:rPr>
                <w:rFonts w:ascii="Arial" w:eastAsia="宋体" w:hAnsi="Arial" w:cs="Arial"/>
                <w:color w:val="000000"/>
                <w:sz w:val="18"/>
                <w:szCs w:val="18"/>
              </w:rPr>
              <w:t>4,212 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984" w14:textId="77777777" w:rsidR="009F6D8A" w:rsidRDefault="009F6D8A">
            <w:pPr>
              <w:jc w:val="right"/>
              <w:rPr>
                <w:rFonts w:ascii="宋体"/>
              </w:rPr>
            </w:pPr>
          </w:p>
        </w:tc>
      </w:tr>
      <w:tr w:rsidR="009F6D8A" w14:paraId="6430398E" w14:textId="77777777">
        <w:trPr>
          <w:hidden/>
        </w:trPr>
        <w:tc>
          <w:tcPr>
            <w:tcW w:w="0" w:type="auto"/>
            <w:gridSpan w:val="3"/>
            <w:shd w:val="clear" w:color="auto" w:fill="auto"/>
            <w:vAlign w:val="bottom"/>
          </w:tcPr>
          <w:p w14:paraId="64303986" w14:textId="77777777" w:rsidR="009F6D8A" w:rsidRDefault="009F6D8A">
            <w:pPr>
              <w:rPr>
                <w:rFonts w:ascii="宋体"/>
                <w:vanish/>
              </w:rPr>
            </w:pPr>
          </w:p>
        </w:tc>
        <w:tc>
          <w:tcPr>
            <w:tcW w:w="0" w:type="auto"/>
            <w:gridSpan w:val="3"/>
            <w:shd w:val="clear" w:color="auto" w:fill="auto"/>
            <w:vAlign w:val="bottom"/>
          </w:tcPr>
          <w:p w14:paraId="64303987" w14:textId="77777777" w:rsidR="009F6D8A" w:rsidRDefault="009F6D8A">
            <w:pPr>
              <w:rPr>
                <w:rFonts w:ascii="宋体"/>
                <w:vanish/>
              </w:rPr>
            </w:pPr>
          </w:p>
        </w:tc>
        <w:tc>
          <w:tcPr>
            <w:tcW w:w="0" w:type="auto"/>
            <w:gridSpan w:val="3"/>
            <w:shd w:val="clear" w:color="auto" w:fill="auto"/>
            <w:vAlign w:val="bottom"/>
          </w:tcPr>
          <w:p w14:paraId="64303988" w14:textId="77777777" w:rsidR="009F6D8A" w:rsidRDefault="009F6D8A">
            <w:pPr>
              <w:rPr>
                <w:rFonts w:ascii="宋体"/>
                <w:vanish/>
              </w:rPr>
            </w:pPr>
          </w:p>
        </w:tc>
        <w:tc>
          <w:tcPr>
            <w:tcW w:w="0" w:type="auto"/>
            <w:gridSpan w:val="3"/>
            <w:shd w:val="clear" w:color="auto" w:fill="auto"/>
            <w:vAlign w:val="bottom"/>
          </w:tcPr>
          <w:p w14:paraId="64303989" w14:textId="77777777" w:rsidR="009F6D8A" w:rsidRDefault="009F6D8A">
            <w:pPr>
              <w:rPr>
                <w:rFonts w:ascii="宋体"/>
                <w:vanish/>
              </w:rPr>
            </w:pPr>
          </w:p>
        </w:tc>
        <w:tc>
          <w:tcPr>
            <w:tcW w:w="0" w:type="auto"/>
            <w:gridSpan w:val="3"/>
            <w:shd w:val="clear" w:color="auto" w:fill="auto"/>
            <w:vAlign w:val="bottom"/>
          </w:tcPr>
          <w:p w14:paraId="6430398A" w14:textId="77777777" w:rsidR="009F6D8A" w:rsidRDefault="009F6D8A">
            <w:pPr>
              <w:rPr>
                <w:rFonts w:ascii="宋体"/>
                <w:vanish/>
              </w:rPr>
            </w:pPr>
          </w:p>
        </w:tc>
        <w:tc>
          <w:tcPr>
            <w:tcW w:w="0" w:type="auto"/>
            <w:gridSpan w:val="3"/>
            <w:shd w:val="clear" w:color="auto" w:fill="auto"/>
            <w:vAlign w:val="bottom"/>
          </w:tcPr>
          <w:p w14:paraId="6430398B" w14:textId="77777777" w:rsidR="009F6D8A" w:rsidRDefault="009F6D8A">
            <w:pPr>
              <w:rPr>
                <w:rFonts w:ascii="宋体"/>
                <w:vanish/>
              </w:rPr>
            </w:pPr>
          </w:p>
        </w:tc>
        <w:tc>
          <w:tcPr>
            <w:tcW w:w="0" w:type="auto"/>
            <w:gridSpan w:val="3"/>
            <w:shd w:val="clear" w:color="auto" w:fill="auto"/>
            <w:vAlign w:val="bottom"/>
          </w:tcPr>
          <w:p w14:paraId="6430398C" w14:textId="77777777" w:rsidR="009F6D8A" w:rsidRDefault="009F6D8A">
            <w:pPr>
              <w:rPr>
                <w:rFonts w:ascii="宋体"/>
                <w:vanish/>
              </w:rPr>
            </w:pPr>
          </w:p>
        </w:tc>
        <w:tc>
          <w:tcPr>
            <w:tcW w:w="0" w:type="auto"/>
            <w:gridSpan w:val="3"/>
            <w:shd w:val="clear" w:color="auto" w:fill="auto"/>
            <w:vAlign w:val="bottom"/>
          </w:tcPr>
          <w:p w14:paraId="6430398D" w14:textId="77777777" w:rsidR="009F6D8A" w:rsidRDefault="009F6D8A">
            <w:pPr>
              <w:rPr>
                <w:rFonts w:ascii="宋体"/>
                <w:vanish/>
              </w:rPr>
            </w:pPr>
          </w:p>
        </w:tc>
      </w:tr>
      <w:tr w:rsidR="009F6D8A" w14:paraId="64303997" w14:textId="77777777">
        <w:trPr>
          <w:hidden/>
        </w:trPr>
        <w:tc>
          <w:tcPr>
            <w:tcW w:w="0" w:type="auto"/>
            <w:gridSpan w:val="3"/>
            <w:shd w:val="clear" w:color="auto" w:fill="auto"/>
            <w:vAlign w:val="bottom"/>
          </w:tcPr>
          <w:p w14:paraId="6430398F" w14:textId="77777777" w:rsidR="009F6D8A" w:rsidRDefault="009F6D8A">
            <w:pPr>
              <w:rPr>
                <w:rFonts w:ascii="宋体"/>
                <w:vanish/>
              </w:rPr>
            </w:pPr>
          </w:p>
        </w:tc>
        <w:tc>
          <w:tcPr>
            <w:tcW w:w="0" w:type="auto"/>
            <w:gridSpan w:val="3"/>
            <w:shd w:val="clear" w:color="auto" w:fill="auto"/>
            <w:vAlign w:val="bottom"/>
          </w:tcPr>
          <w:p w14:paraId="64303990" w14:textId="77777777" w:rsidR="009F6D8A" w:rsidRDefault="009F6D8A">
            <w:pPr>
              <w:rPr>
                <w:rFonts w:ascii="宋体"/>
                <w:vanish/>
              </w:rPr>
            </w:pPr>
          </w:p>
        </w:tc>
        <w:tc>
          <w:tcPr>
            <w:tcW w:w="0" w:type="auto"/>
            <w:gridSpan w:val="3"/>
            <w:shd w:val="clear" w:color="auto" w:fill="auto"/>
            <w:vAlign w:val="bottom"/>
          </w:tcPr>
          <w:p w14:paraId="64303991" w14:textId="77777777" w:rsidR="009F6D8A" w:rsidRDefault="009F6D8A">
            <w:pPr>
              <w:rPr>
                <w:rFonts w:ascii="宋体"/>
                <w:vanish/>
              </w:rPr>
            </w:pPr>
          </w:p>
        </w:tc>
        <w:tc>
          <w:tcPr>
            <w:tcW w:w="0" w:type="auto"/>
            <w:gridSpan w:val="3"/>
            <w:shd w:val="clear" w:color="auto" w:fill="auto"/>
            <w:vAlign w:val="bottom"/>
          </w:tcPr>
          <w:p w14:paraId="64303992" w14:textId="77777777" w:rsidR="009F6D8A" w:rsidRDefault="009F6D8A">
            <w:pPr>
              <w:rPr>
                <w:rFonts w:ascii="宋体"/>
                <w:vanish/>
              </w:rPr>
            </w:pPr>
          </w:p>
        </w:tc>
        <w:tc>
          <w:tcPr>
            <w:tcW w:w="0" w:type="auto"/>
            <w:gridSpan w:val="3"/>
            <w:shd w:val="clear" w:color="auto" w:fill="auto"/>
            <w:vAlign w:val="bottom"/>
          </w:tcPr>
          <w:p w14:paraId="64303993" w14:textId="77777777" w:rsidR="009F6D8A" w:rsidRDefault="009F6D8A">
            <w:pPr>
              <w:rPr>
                <w:rFonts w:ascii="宋体"/>
                <w:vanish/>
              </w:rPr>
            </w:pPr>
          </w:p>
        </w:tc>
        <w:tc>
          <w:tcPr>
            <w:tcW w:w="0" w:type="auto"/>
            <w:gridSpan w:val="3"/>
            <w:shd w:val="clear" w:color="auto" w:fill="auto"/>
            <w:vAlign w:val="bottom"/>
          </w:tcPr>
          <w:p w14:paraId="64303994" w14:textId="77777777" w:rsidR="009F6D8A" w:rsidRDefault="009F6D8A">
            <w:pPr>
              <w:rPr>
                <w:rFonts w:ascii="宋体"/>
                <w:vanish/>
              </w:rPr>
            </w:pPr>
          </w:p>
        </w:tc>
        <w:tc>
          <w:tcPr>
            <w:tcW w:w="0" w:type="auto"/>
            <w:gridSpan w:val="3"/>
            <w:shd w:val="clear" w:color="auto" w:fill="auto"/>
            <w:vAlign w:val="bottom"/>
          </w:tcPr>
          <w:p w14:paraId="64303995" w14:textId="77777777" w:rsidR="009F6D8A" w:rsidRDefault="009F6D8A">
            <w:pPr>
              <w:rPr>
                <w:rFonts w:ascii="宋体"/>
                <w:vanish/>
              </w:rPr>
            </w:pPr>
          </w:p>
        </w:tc>
        <w:tc>
          <w:tcPr>
            <w:tcW w:w="0" w:type="auto"/>
            <w:gridSpan w:val="3"/>
            <w:shd w:val="clear" w:color="auto" w:fill="auto"/>
            <w:vAlign w:val="bottom"/>
          </w:tcPr>
          <w:p w14:paraId="64303996" w14:textId="77777777" w:rsidR="009F6D8A" w:rsidRDefault="009F6D8A">
            <w:pPr>
              <w:rPr>
                <w:rFonts w:ascii="宋体"/>
                <w:vanish/>
              </w:rPr>
            </w:pPr>
          </w:p>
        </w:tc>
      </w:tr>
      <w:tr w:rsidR="009F6D8A" w14:paraId="643039A0" w14:textId="77777777">
        <w:trPr>
          <w:hidden/>
        </w:trPr>
        <w:tc>
          <w:tcPr>
            <w:tcW w:w="0" w:type="auto"/>
            <w:gridSpan w:val="3"/>
            <w:shd w:val="clear" w:color="auto" w:fill="auto"/>
            <w:vAlign w:val="bottom"/>
          </w:tcPr>
          <w:p w14:paraId="64303998" w14:textId="77777777" w:rsidR="009F6D8A" w:rsidRDefault="009F6D8A">
            <w:pPr>
              <w:rPr>
                <w:rFonts w:ascii="宋体"/>
                <w:vanish/>
              </w:rPr>
            </w:pPr>
          </w:p>
        </w:tc>
        <w:tc>
          <w:tcPr>
            <w:tcW w:w="0" w:type="auto"/>
            <w:gridSpan w:val="3"/>
            <w:shd w:val="clear" w:color="auto" w:fill="auto"/>
            <w:vAlign w:val="bottom"/>
          </w:tcPr>
          <w:p w14:paraId="64303999" w14:textId="77777777" w:rsidR="009F6D8A" w:rsidRDefault="009F6D8A">
            <w:pPr>
              <w:rPr>
                <w:rFonts w:ascii="宋体"/>
                <w:vanish/>
              </w:rPr>
            </w:pPr>
          </w:p>
        </w:tc>
        <w:tc>
          <w:tcPr>
            <w:tcW w:w="0" w:type="auto"/>
            <w:gridSpan w:val="3"/>
            <w:shd w:val="clear" w:color="auto" w:fill="auto"/>
            <w:vAlign w:val="bottom"/>
          </w:tcPr>
          <w:p w14:paraId="6430399A" w14:textId="77777777" w:rsidR="009F6D8A" w:rsidRDefault="009F6D8A">
            <w:pPr>
              <w:rPr>
                <w:rFonts w:ascii="宋体"/>
                <w:vanish/>
              </w:rPr>
            </w:pPr>
          </w:p>
        </w:tc>
        <w:tc>
          <w:tcPr>
            <w:tcW w:w="0" w:type="auto"/>
            <w:gridSpan w:val="3"/>
            <w:shd w:val="clear" w:color="auto" w:fill="auto"/>
            <w:vAlign w:val="bottom"/>
          </w:tcPr>
          <w:p w14:paraId="6430399B" w14:textId="77777777" w:rsidR="009F6D8A" w:rsidRDefault="009F6D8A">
            <w:pPr>
              <w:rPr>
                <w:rFonts w:ascii="宋体"/>
                <w:vanish/>
              </w:rPr>
            </w:pPr>
          </w:p>
        </w:tc>
        <w:tc>
          <w:tcPr>
            <w:tcW w:w="0" w:type="auto"/>
            <w:gridSpan w:val="3"/>
            <w:shd w:val="clear" w:color="auto" w:fill="auto"/>
            <w:vAlign w:val="bottom"/>
          </w:tcPr>
          <w:p w14:paraId="6430399C" w14:textId="77777777" w:rsidR="009F6D8A" w:rsidRDefault="009F6D8A">
            <w:pPr>
              <w:rPr>
                <w:rFonts w:ascii="宋体"/>
                <w:vanish/>
              </w:rPr>
            </w:pPr>
          </w:p>
        </w:tc>
        <w:tc>
          <w:tcPr>
            <w:tcW w:w="0" w:type="auto"/>
            <w:gridSpan w:val="3"/>
            <w:shd w:val="clear" w:color="auto" w:fill="auto"/>
            <w:vAlign w:val="bottom"/>
          </w:tcPr>
          <w:p w14:paraId="6430399D" w14:textId="77777777" w:rsidR="009F6D8A" w:rsidRDefault="009F6D8A">
            <w:pPr>
              <w:rPr>
                <w:rFonts w:ascii="宋体"/>
                <w:vanish/>
              </w:rPr>
            </w:pPr>
          </w:p>
        </w:tc>
        <w:tc>
          <w:tcPr>
            <w:tcW w:w="0" w:type="auto"/>
            <w:gridSpan w:val="3"/>
            <w:shd w:val="clear" w:color="auto" w:fill="auto"/>
            <w:vAlign w:val="bottom"/>
          </w:tcPr>
          <w:p w14:paraId="6430399E" w14:textId="77777777" w:rsidR="009F6D8A" w:rsidRDefault="009F6D8A">
            <w:pPr>
              <w:rPr>
                <w:rFonts w:ascii="宋体"/>
                <w:vanish/>
              </w:rPr>
            </w:pPr>
          </w:p>
        </w:tc>
        <w:tc>
          <w:tcPr>
            <w:tcW w:w="0" w:type="auto"/>
            <w:gridSpan w:val="3"/>
            <w:shd w:val="clear" w:color="auto" w:fill="auto"/>
            <w:vAlign w:val="bottom"/>
          </w:tcPr>
          <w:p w14:paraId="6430399F" w14:textId="77777777" w:rsidR="009F6D8A" w:rsidRDefault="009F6D8A">
            <w:pPr>
              <w:rPr>
                <w:rFonts w:ascii="宋体"/>
                <w:vanish/>
              </w:rPr>
            </w:pPr>
          </w:p>
        </w:tc>
      </w:tr>
    </w:tbl>
    <w:p w14:paraId="643039A1" w14:textId="77777777" w:rsidR="009F6D8A" w:rsidRDefault="009F6D8A">
      <w:pPr>
        <w:jc w:val="center"/>
      </w:pPr>
    </w:p>
    <w:p w14:paraId="643039A2" w14:textId="77777777" w:rsidR="009F6D8A" w:rsidRDefault="00C50974">
      <w:pPr>
        <w:ind w:firstLine="540"/>
      </w:pPr>
      <w:r>
        <w:rPr>
          <w:rFonts w:ascii="Arial" w:eastAsia="宋体" w:hAnsi="Arial" w:cs="Arial"/>
          <w:color w:val="000000"/>
          <w:sz w:val="20"/>
          <w:szCs w:val="20"/>
        </w:rPr>
        <w:t xml:space="preserve">The adjustments to goodwill during the six months ended June 30, 2021 were primarily due to foreign currency translation. </w:t>
      </w:r>
    </w:p>
    <w:p w14:paraId="643039A3" w14:textId="77777777" w:rsidR="009F6D8A" w:rsidRDefault="009F6D8A">
      <w:pPr>
        <w:ind w:firstLine="360"/>
      </w:pPr>
    </w:p>
    <w:p w14:paraId="643039A4" w14:textId="77777777" w:rsidR="009F6D8A" w:rsidRDefault="009F6D8A">
      <w:pPr>
        <w:jc w:val="center"/>
      </w:pPr>
    </w:p>
    <w:p w14:paraId="643039A5" w14:textId="77777777" w:rsidR="009F6D8A" w:rsidRDefault="00C50974">
      <w:pPr>
        <w:jc w:val="center"/>
      </w:pPr>
      <w:r>
        <w:rPr>
          <w:rFonts w:ascii="Arial" w:eastAsia="宋体" w:hAnsi="Arial" w:cs="Arial"/>
          <w:color w:val="000000"/>
          <w:sz w:val="20"/>
          <w:szCs w:val="20"/>
        </w:rPr>
        <w:t>18</w:t>
      </w:r>
    </w:p>
    <w:p w14:paraId="643039A6" w14:textId="77777777" w:rsidR="009F6D8A" w:rsidRDefault="00C50974">
      <w:r>
        <w:pict w14:anchorId="64305815">
          <v:rect id="_x0000_i1042" style="width:415.3pt;height:1.5pt" o:hralign="center" o:hrstd="t" o:hr="t" fillcolor="#a0a0a0" stroked="f"/>
        </w:pict>
      </w:r>
    </w:p>
    <w:p w14:paraId="643039A7" w14:textId="77777777" w:rsidR="009F6D8A" w:rsidRDefault="009F6D8A">
      <w:pPr>
        <w:jc w:val="center"/>
      </w:pPr>
    </w:p>
    <w:p w14:paraId="643039A8" w14:textId="77777777" w:rsidR="009F6D8A" w:rsidRDefault="00C50974">
      <w:pPr>
        <w:jc w:val="center"/>
      </w:pPr>
      <w:r>
        <w:rPr>
          <w:rFonts w:ascii="Arial" w:eastAsia="宋体" w:hAnsi="Arial" w:cs="Arial"/>
          <w:b/>
          <w:bCs/>
          <w:color w:val="000000"/>
          <w:sz w:val="20"/>
          <w:szCs w:val="20"/>
        </w:rPr>
        <w:t>eBay Inc.</w:t>
      </w:r>
    </w:p>
    <w:p w14:paraId="643039A9"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39AA" w14:textId="77777777" w:rsidR="009F6D8A" w:rsidRDefault="00C50974">
      <w:r>
        <w:rPr>
          <w:rFonts w:ascii="Arial" w:eastAsia="宋体" w:hAnsi="Arial" w:cs="Arial"/>
          <w:b/>
          <w:bCs/>
          <w:color w:val="000000"/>
          <w:sz w:val="20"/>
          <w:szCs w:val="20"/>
        </w:rPr>
        <w:t>Note 5 — Segments</w:t>
      </w:r>
    </w:p>
    <w:p w14:paraId="643039AB" w14:textId="77777777" w:rsidR="009F6D8A" w:rsidRDefault="009F6D8A"/>
    <w:p w14:paraId="643039AC" w14:textId="77777777" w:rsidR="009F6D8A" w:rsidRDefault="00C50974">
      <w:pPr>
        <w:ind w:firstLine="540"/>
        <w:jc w:val="both"/>
      </w:pPr>
      <w:r>
        <w:rPr>
          <w:rFonts w:ascii="Arial" w:eastAsia="宋体" w:hAnsi="Arial" w:cs="Arial"/>
          <w:color w:val="000000"/>
          <w:sz w:val="20"/>
          <w:szCs w:val="20"/>
        </w:rPr>
        <w:t>We have one operating and reportable segment. Our reportable segment is Marketplace, which includes our online marketplace located at www.ebay.com, its localized counterparts and the eBay suite of mobile apps. Our management and our CODM review financial i</w:t>
      </w:r>
      <w:r>
        <w:rPr>
          <w:rFonts w:ascii="Arial" w:eastAsia="宋体" w:hAnsi="Arial" w:cs="Arial"/>
          <w:color w:val="000000"/>
          <w:sz w:val="20"/>
          <w:szCs w:val="20"/>
        </w:rPr>
        <w:t>nformation presented on a consolidated basis for purposes of allocating resources and evaluating performance and do not evaluate using asset information. The accounting policies of our segment are the same as those described in “Note 1 – The Company and Su</w:t>
      </w:r>
      <w:r>
        <w:rPr>
          <w:rFonts w:ascii="Arial" w:eastAsia="宋体" w:hAnsi="Arial" w:cs="Arial"/>
          <w:color w:val="000000"/>
          <w:sz w:val="20"/>
          <w:szCs w:val="20"/>
        </w:rPr>
        <w:t xml:space="preserve">mmary of Significant Accounting Policies”. </w:t>
      </w:r>
    </w:p>
    <w:p w14:paraId="643039AD" w14:textId="77777777" w:rsidR="009F6D8A" w:rsidRDefault="009F6D8A">
      <w:pPr>
        <w:ind w:firstLine="540"/>
        <w:jc w:val="both"/>
      </w:pPr>
    </w:p>
    <w:p w14:paraId="643039AE" w14:textId="77777777" w:rsidR="009F6D8A" w:rsidRDefault="00C50974">
      <w:pPr>
        <w:spacing w:after="120"/>
        <w:ind w:firstLine="540"/>
        <w:jc w:val="both"/>
      </w:pPr>
      <w:r>
        <w:rPr>
          <w:rFonts w:ascii="Arial" w:eastAsia="宋体" w:hAnsi="Arial" w:cs="Arial"/>
          <w:color w:val="000000"/>
          <w:sz w:val="20"/>
          <w:szCs w:val="20"/>
        </w:rPr>
        <w:t>The following table summarizes net revenues by type for the periods presented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3765"/>
        <w:gridCol w:w="37"/>
        <w:gridCol w:w="121"/>
        <w:gridCol w:w="918"/>
        <w:gridCol w:w="36"/>
        <w:gridCol w:w="36"/>
        <w:gridCol w:w="36"/>
        <w:gridCol w:w="36"/>
        <w:gridCol w:w="121"/>
        <w:gridCol w:w="874"/>
        <w:gridCol w:w="36"/>
        <w:gridCol w:w="36"/>
        <w:gridCol w:w="36"/>
        <w:gridCol w:w="36"/>
        <w:gridCol w:w="121"/>
        <w:gridCol w:w="874"/>
        <w:gridCol w:w="36"/>
        <w:gridCol w:w="36"/>
        <w:gridCol w:w="36"/>
        <w:gridCol w:w="36"/>
        <w:gridCol w:w="121"/>
        <w:gridCol w:w="877"/>
        <w:gridCol w:w="36"/>
      </w:tblGrid>
      <w:tr w:rsidR="009F6D8A" w14:paraId="643039C7" w14:textId="77777777">
        <w:tc>
          <w:tcPr>
            <w:tcW w:w="50" w:type="pct"/>
            <w:shd w:val="clear" w:color="auto" w:fill="auto"/>
            <w:vAlign w:val="bottom"/>
          </w:tcPr>
          <w:p w14:paraId="643039AF" w14:textId="77777777" w:rsidR="009F6D8A" w:rsidRDefault="009F6D8A">
            <w:pPr>
              <w:rPr>
                <w:rFonts w:ascii="宋体"/>
              </w:rPr>
            </w:pPr>
          </w:p>
        </w:tc>
        <w:tc>
          <w:tcPr>
            <w:tcW w:w="2291" w:type="pct"/>
            <w:shd w:val="clear" w:color="auto" w:fill="auto"/>
            <w:vAlign w:val="bottom"/>
          </w:tcPr>
          <w:p w14:paraId="643039B0" w14:textId="77777777" w:rsidR="009F6D8A" w:rsidRDefault="009F6D8A">
            <w:pPr>
              <w:rPr>
                <w:rFonts w:ascii="宋体"/>
              </w:rPr>
            </w:pPr>
          </w:p>
        </w:tc>
        <w:tc>
          <w:tcPr>
            <w:tcW w:w="5" w:type="pct"/>
            <w:shd w:val="clear" w:color="auto" w:fill="auto"/>
            <w:vAlign w:val="bottom"/>
          </w:tcPr>
          <w:p w14:paraId="643039B1" w14:textId="77777777" w:rsidR="009F6D8A" w:rsidRDefault="009F6D8A">
            <w:pPr>
              <w:rPr>
                <w:rFonts w:ascii="宋体"/>
              </w:rPr>
            </w:pPr>
          </w:p>
        </w:tc>
        <w:tc>
          <w:tcPr>
            <w:tcW w:w="50" w:type="pct"/>
            <w:shd w:val="clear" w:color="auto" w:fill="auto"/>
            <w:vAlign w:val="bottom"/>
          </w:tcPr>
          <w:p w14:paraId="643039B2" w14:textId="77777777" w:rsidR="009F6D8A" w:rsidRDefault="009F6D8A">
            <w:pPr>
              <w:rPr>
                <w:rFonts w:ascii="宋体"/>
              </w:rPr>
            </w:pPr>
          </w:p>
        </w:tc>
        <w:tc>
          <w:tcPr>
            <w:tcW w:w="580" w:type="pct"/>
            <w:shd w:val="clear" w:color="auto" w:fill="auto"/>
            <w:vAlign w:val="bottom"/>
          </w:tcPr>
          <w:p w14:paraId="643039B3" w14:textId="77777777" w:rsidR="009F6D8A" w:rsidRDefault="009F6D8A">
            <w:pPr>
              <w:rPr>
                <w:rFonts w:ascii="宋体"/>
              </w:rPr>
            </w:pPr>
          </w:p>
        </w:tc>
        <w:tc>
          <w:tcPr>
            <w:tcW w:w="5" w:type="pct"/>
            <w:shd w:val="clear" w:color="auto" w:fill="auto"/>
            <w:vAlign w:val="bottom"/>
          </w:tcPr>
          <w:p w14:paraId="643039B4" w14:textId="77777777" w:rsidR="009F6D8A" w:rsidRDefault="009F6D8A">
            <w:pPr>
              <w:rPr>
                <w:rFonts w:ascii="宋体"/>
              </w:rPr>
            </w:pPr>
          </w:p>
        </w:tc>
        <w:tc>
          <w:tcPr>
            <w:tcW w:w="5" w:type="pct"/>
            <w:shd w:val="clear" w:color="auto" w:fill="auto"/>
            <w:vAlign w:val="bottom"/>
          </w:tcPr>
          <w:p w14:paraId="643039B5" w14:textId="77777777" w:rsidR="009F6D8A" w:rsidRDefault="009F6D8A">
            <w:pPr>
              <w:rPr>
                <w:rFonts w:ascii="宋体"/>
              </w:rPr>
            </w:pPr>
          </w:p>
        </w:tc>
        <w:tc>
          <w:tcPr>
            <w:tcW w:w="26" w:type="pct"/>
            <w:shd w:val="clear" w:color="auto" w:fill="auto"/>
            <w:vAlign w:val="bottom"/>
          </w:tcPr>
          <w:p w14:paraId="643039B6" w14:textId="77777777" w:rsidR="009F6D8A" w:rsidRDefault="009F6D8A">
            <w:pPr>
              <w:rPr>
                <w:rFonts w:ascii="宋体"/>
              </w:rPr>
            </w:pPr>
          </w:p>
        </w:tc>
        <w:tc>
          <w:tcPr>
            <w:tcW w:w="5" w:type="pct"/>
            <w:shd w:val="clear" w:color="auto" w:fill="auto"/>
            <w:vAlign w:val="bottom"/>
          </w:tcPr>
          <w:p w14:paraId="643039B7" w14:textId="77777777" w:rsidR="009F6D8A" w:rsidRDefault="009F6D8A">
            <w:pPr>
              <w:rPr>
                <w:rFonts w:ascii="宋体"/>
              </w:rPr>
            </w:pPr>
          </w:p>
        </w:tc>
        <w:tc>
          <w:tcPr>
            <w:tcW w:w="50" w:type="pct"/>
            <w:shd w:val="clear" w:color="auto" w:fill="auto"/>
            <w:vAlign w:val="bottom"/>
          </w:tcPr>
          <w:p w14:paraId="643039B8" w14:textId="77777777" w:rsidR="009F6D8A" w:rsidRDefault="009F6D8A">
            <w:pPr>
              <w:rPr>
                <w:rFonts w:ascii="宋体"/>
              </w:rPr>
            </w:pPr>
          </w:p>
        </w:tc>
        <w:tc>
          <w:tcPr>
            <w:tcW w:w="580" w:type="pct"/>
            <w:shd w:val="clear" w:color="auto" w:fill="auto"/>
            <w:vAlign w:val="bottom"/>
          </w:tcPr>
          <w:p w14:paraId="643039B9" w14:textId="77777777" w:rsidR="009F6D8A" w:rsidRDefault="009F6D8A">
            <w:pPr>
              <w:rPr>
                <w:rFonts w:ascii="宋体"/>
              </w:rPr>
            </w:pPr>
          </w:p>
        </w:tc>
        <w:tc>
          <w:tcPr>
            <w:tcW w:w="5" w:type="pct"/>
            <w:shd w:val="clear" w:color="auto" w:fill="auto"/>
            <w:vAlign w:val="bottom"/>
          </w:tcPr>
          <w:p w14:paraId="643039BA" w14:textId="77777777" w:rsidR="009F6D8A" w:rsidRDefault="009F6D8A">
            <w:pPr>
              <w:rPr>
                <w:rFonts w:ascii="宋体"/>
              </w:rPr>
            </w:pPr>
          </w:p>
        </w:tc>
        <w:tc>
          <w:tcPr>
            <w:tcW w:w="5" w:type="pct"/>
            <w:shd w:val="clear" w:color="auto" w:fill="auto"/>
            <w:vAlign w:val="bottom"/>
          </w:tcPr>
          <w:p w14:paraId="643039BB" w14:textId="77777777" w:rsidR="009F6D8A" w:rsidRDefault="009F6D8A">
            <w:pPr>
              <w:rPr>
                <w:rFonts w:ascii="宋体"/>
              </w:rPr>
            </w:pPr>
          </w:p>
        </w:tc>
        <w:tc>
          <w:tcPr>
            <w:tcW w:w="26" w:type="pct"/>
            <w:shd w:val="clear" w:color="auto" w:fill="auto"/>
            <w:vAlign w:val="bottom"/>
          </w:tcPr>
          <w:p w14:paraId="643039BC" w14:textId="77777777" w:rsidR="009F6D8A" w:rsidRDefault="009F6D8A">
            <w:pPr>
              <w:rPr>
                <w:rFonts w:ascii="宋体"/>
              </w:rPr>
            </w:pPr>
          </w:p>
        </w:tc>
        <w:tc>
          <w:tcPr>
            <w:tcW w:w="5" w:type="pct"/>
            <w:shd w:val="clear" w:color="auto" w:fill="auto"/>
            <w:vAlign w:val="bottom"/>
          </w:tcPr>
          <w:p w14:paraId="643039BD" w14:textId="77777777" w:rsidR="009F6D8A" w:rsidRDefault="009F6D8A">
            <w:pPr>
              <w:rPr>
                <w:rFonts w:ascii="宋体"/>
              </w:rPr>
            </w:pPr>
          </w:p>
        </w:tc>
        <w:tc>
          <w:tcPr>
            <w:tcW w:w="50" w:type="pct"/>
            <w:shd w:val="clear" w:color="auto" w:fill="auto"/>
            <w:vAlign w:val="bottom"/>
          </w:tcPr>
          <w:p w14:paraId="643039BE" w14:textId="77777777" w:rsidR="009F6D8A" w:rsidRDefault="009F6D8A">
            <w:pPr>
              <w:rPr>
                <w:rFonts w:ascii="宋体"/>
              </w:rPr>
            </w:pPr>
          </w:p>
        </w:tc>
        <w:tc>
          <w:tcPr>
            <w:tcW w:w="580" w:type="pct"/>
            <w:shd w:val="clear" w:color="auto" w:fill="auto"/>
            <w:vAlign w:val="bottom"/>
          </w:tcPr>
          <w:p w14:paraId="643039BF" w14:textId="77777777" w:rsidR="009F6D8A" w:rsidRDefault="009F6D8A">
            <w:pPr>
              <w:rPr>
                <w:rFonts w:ascii="宋体"/>
              </w:rPr>
            </w:pPr>
          </w:p>
        </w:tc>
        <w:tc>
          <w:tcPr>
            <w:tcW w:w="5" w:type="pct"/>
            <w:shd w:val="clear" w:color="auto" w:fill="auto"/>
            <w:vAlign w:val="bottom"/>
          </w:tcPr>
          <w:p w14:paraId="643039C0" w14:textId="77777777" w:rsidR="009F6D8A" w:rsidRDefault="009F6D8A">
            <w:pPr>
              <w:rPr>
                <w:rFonts w:ascii="宋体"/>
              </w:rPr>
            </w:pPr>
          </w:p>
        </w:tc>
        <w:tc>
          <w:tcPr>
            <w:tcW w:w="5" w:type="pct"/>
            <w:shd w:val="clear" w:color="auto" w:fill="auto"/>
            <w:vAlign w:val="bottom"/>
          </w:tcPr>
          <w:p w14:paraId="643039C1" w14:textId="77777777" w:rsidR="009F6D8A" w:rsidRDefault="009F6D8A">
            <w:pPr>
              <w:rPr>
                <w:rFonts w:ascii="宋体"/>
              </w:rPr>
            </w:pPr>
          </w:p>
        </w:tc>
        <w:tc>
          <w:tcPr>
            <w:tcW w:w="26" w:type="pct"/>
            <w:shd w:val="clear" w:color="auto" w:fill="auto"/>
            <w:vAlign w:val="bottom"/>
          </w:tcPr>
          <w:p w14:paraId="643039C2" w14:textId="77777777" w:rsidR="009F6D8A" w:rsidRDefault="009F6D8A">
            <w:pPr>
              <w:rPr>
                <w:rFonts w:ascii="宋体"/>
              </w:rPr>
            </w:pPr>
          </w:p>
        </w:tc>
        <w:tc>
          <w:tcPr>
            <w:tcW w:w="5" w:type="pct"/>
            <w:shd w:val="clear" w:color="auto" w:fill="auto"/>
            <w:vAlign w:val="bottom"/>
          </w:tcPr>
          <w:p w14:paraId="643039C3" w14:textId="77777777" w:rsidR="009F6D8A" w:rsidRDefault="009F6D8A">
            <w:pPr>
              <w:rPr>
                <w:rFonts w:ascii="宋体"/>
              </w:rPr>
            </w:pPr>
          </w:p>
        </w:tc>
        <w:tc>
          <w:tcPr>
            <w:tcW w:w="50" w:type="pct"/>
            <w:shd w:val="clear" w:color="auto" w:fill="auto"/>
            <w:vAlign w:val="bottom"/>
          </w:tcPr>
          <w:p w14:paraId="643039C4" w14:textId="77777777" w:rsidR="009F6D8A" w:rsidRDefault="009F6D8A">
            <w:pPr>
              <w:rPr>
                <w:rFonts w:ascii="宋体"/>
              </w:rPr>
            </w:pPr>
          </w:p>
        </w:tc>
        <w:tc>
          <w:tcPr>
            <w:tcW w:w="581" w:type="pct"/>
            <w:shd w:val="clear" w:color="auto" w:fill="auto"/>
            <w:vAlign w:val="bottom"/>
          </w:tcPr>
          <w:p w14:paraId="643039C5" w14:textId="77777777" w:rsidR="009F6D8A" w:rsidRDefault="009F6D8A">
            <w:pPr>
              <w:rPr>
                <w:rFonts w:ascii="宋体"/>
              </w:rPr>
            </w:pPr>
          </w:p>
        </w:tc>
        <w:tc>
          <w:tcPr>
            <w:tcW w:w="5" w:type="pct"/>
            <w:shd w:val="clear" w:color="auto" w:fill="auto"/>
            <w:vAlign w:val="bottom"/>
          </w:tcPr>
          <w:p w14:paraId="643039C6" w14:textId="77777777" w:rsidR="009F6D8A" w:rsidRDefault="009F6D8A">
            <w:pPr>
              <w:rPr>
                <w:rFonts w:ascii="宋体"/>
              </w:rPr>
            </w:pPr>
          </w:p>
        </w:tc>
      </w:tr>
      <w:tr w:rsidR="009F6D8A" w14:paraId="643039CC" w14:textId="77777777">
        <w:tc>
          <w:tcPr>
            <w:tcW w:w="0" w:type="auto"/>
            <w:gridSpan w:val="3"/>
            <w:shd w:val="clear" w:color="auto" w:fill="auto"/>
            <w:tcMar>
              <w:top w:w="40" w:type="dxa"/>
              <w:left w:w="155" w:type="dxa"/>
              <w:bottom w:w="40" w:type="dxa"/>
              <w:right w:w="20" w:type="dxa"/>
            </w:tcMar>
            <w:vAlign w:val="bottom"/>
          </w:tcPr>
          <w:p w14:paraId="643039C8" w14:textId="77777777" w:rsidR="009F6D8A" w:rsidRDefault="00C50974">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643039C9" w14:textId="77777777" w:rsidR="009F6D8A" w:rsidRDefault="00C50974">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Mar>
              <w:top w:w="0" w:type="dxa"/>
              <w:left w:w="20" w:type="dxa"/>
              <w:bottom w:w="0" w:type="dxa"/>
              <w:right w:w="20" w:type="dxa"/>
            </w:tcMar>
            <w:vAlign w:val="bottom"/>
          </w:tcPr>
          <w:p w14:paraId="643039CA"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39CB" w14:textId="77777777" w:rsidR="009F6D8A" w:rsidRDefault="00C50974">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r>
      <w:tr w:rsidR="009F6D8A" w14:paraId="643039D5" w14:textId="77777777">
        <w:tc>
          <w:tcPr>
            <w:tcW w:w="0" w:type="auto"/>
            <w:gridSpan w:val="3"/>
            <w:shd w:val="clear" w:color="auto" w:fill="auto"/>
            <w:tcMar>
              <w:top w:w="40" w:type="dxa"/>
              <w:left w:w="20" w:type="dxa"/>
              <w:bottom w:w="40" w:type="dxa"/>
              <w:right w:w="20" w:type="dxa"/>
            </w:tcMar>
            <w:vAlign w:val="bottom"/>
          </w:tcPr>
          <w:p w14:paraId="643039CD" w14:textId="77777777" w:rsidR="009F6D8A" w:rsidRDefault="00C50974">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9CE"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9CF"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9D0" w14:textId="77777777" w:rsidR="009F6D8A" w:rsidRDefault="00C50974">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43039D1"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9D2"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9D3"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9D4" w14:textId="77777777" w:rsidR="009F6D8A" w:rsidRDefault="00C50974">
            <w:pPr>
              <w:jc w:val="center"/>
              <w:textAlignment w:val="bottom"/>
            </w:pPr>
            <w:r>
              <w:rPr>
                <w:rFonts w:ascii="Arial" w:eastAsia="宋体" w:hAnsi="Arial" w:cs="Arial"/>
                <w:b/>
                <w:bCs/>
                <w:color w:val="000000"/>
                <w:sz w:val="16"/>
                <w:szCs w:val="16"/>
              </w:rPr>
              <w:t>2020</w:t>
            </w:r>
          </w:p>
        </w:tc>
      </w:tr>
      <w:tr w:rsidR="009F6D8A" w14:paraId="643039DE" w14:textId="77777777">
        <w:tc>
          <w:tcPr>
            <w:tcW w:w="0" w:type="auto"/>
            <w:gridSpan w:val="3"/>
            <w:shd w:val="clear" w:color="auto" w:fill="E2E2E2"/>
            <w:tcMar>
              <w:top w:w="40" w:type="dxa"/>
              <w:left w:w="20" w:type="dxa"/>
              <w:bottom w:w="40" w:type="dxa"/>
              <w:right w:w="20" w:type="dxa"/>
            </w:tcMar>
            <w:vAlign w:val="bottom"/>
          </w:tcPr>
          <w:p w14:paraId="643039D6" w14:textId="77777777" w:rsidR="009F6D8A" w:rsidRDefault="00C50974">
            <w:pPr>
              <w:textAlignment w:val="bottom"/>
            </w:pPr>
            <w:r>
              <w:rPr>
                <w:rFonts w:ascii="Arial" w:eastAsia="宋体" w:hAnsi="Arial" w:cs="Arial"/>
                <w:color w:val="000000"/>
                <w:sz w:val="18"/>
                <w:szCs w:val="18"/>
              </w:rPr>
              <w:t>Net revenues by type</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39D7"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9D8"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39D9"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9DA"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39DB"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9DC"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39DD" w14:textId="77777777" w:rsidR="009F6D8A" w:rsidRDefault="009F6D8A">
            <w:pPr>
              <w:rPr>
                <w:rFonts w:ascii="宋体"/>
              </w:rPr>
            </w:pPr>
          </w:p>
        </w:tc>
      </w:tr>
      <w:tr w:rsidR="009F6D8A" w14:paraId="643039E7" w14:textId="77777777">
        <w:trPr>
          <w:hidden/>
        </w:trPr>
        <w:tc>
          <w:tcPr>
            <w:tcW w:w="0" w:type="auto"/>
            <w:gridSpan w:val="3"/>
            <w:shd w:val="clear" w:color="auto" w:fill="auto"/>
            <w:vAlign w:val="bottom"/>
          </w:tcPr>
          <w:p w14:paraId="643039DF" w14:textId="77777777" w:rsidR="009F6D8A" w:rsidRDefault="009F6D8A">
            <w:pPr>
              <w:rPr>
                <w:rFonts w:ascii="宋体"/>
                <w:vanish/>
              </w:rPr>
            </w:pPr>
          </w:p>
        </w:tc>
        <w:tc>
          <w:tcPr>
            <w:tcW w:w="0" w:type="auto"/>
            <w:gridSpan w:val="3"/>
            <w:shd w:val="clear" w:color="auto" w:fill="auto"/>
            <w:vAlign w:val="bottom"/>
          </w:tcPr>
          <w:p w14:paraId="643039E0" w14:textId="77777777" w:rsidR="009F6D8A" w:rsidRDefault="009F6D8A">
            <w:pPr>
              <w:rPr>
                <w:rFonts w:ascii="宋体"/>
                <w:vanish/>
              </w:rPr>
            </w:pPr>
          </w:p>
        </w:tc>
        <w:tc>
          <w:tcPr>
            <w:tcW w:w="0" w:type="auto"/>
            <w:gridSpan w:val="3"/>
            <w:shd w:val="clear" w:color="auto" w:fill="auto"/>
            <w:vAlign w:val="bottom"/>
          </w:tcPr>
          <w:p w14:paraId="643039E1" w14:textId="77777777" w:rsidR="009F6D8A" w:rsidRDefault="009F6D8A">
            <w:pPr>
              <w:rPr>
                <w:rFonts w:ascii="宋体"/>
                <w:vanish/>
              </w:rPr>
            </w:pPr>
          </w:p>
        </w:tc>
        <w:tc>
          <w:tcPr>
            <w:tcW w:w="0" w:type="auto"/>
            <w:gridSpan w:val="3"/>
            <w:shd w:val="clear" w:color="auto" w:fill="auto"/>
            <w:vAlign w:val="bottom"/>
          </w:tcPr>
          <w:p w14:paraId="643039E2" w14:textId="77777777" w:rsidR="009F6D8A" w:rsidRDefault="009F6D8A">
            <w:pPr>
              <w:rPr>
                <w:rFonts w:ascii="宋体"/>
                <w:vanish/>
              </w:rPr>
            </w:pPr>
          </w:p>
        </w:tc>
        <w:tc>
          <w:tcPr>
            <w:tcW w:w="0" w:type="auto"/>
            <w:gridSpan w:val="3"/>
            <w:shd w:val="clear" w:color="auto" w:fill="auto"/>
            <w:vAlign w:val="bottom"/>
          </w:tcPr>
          <w:p w14:paraId="643039E3" w14:textId="77777777" w:rsidR="009F6D8A" w:rsidRDefault="009F6D8A">
            <w:pPr>
              <w:rPr>
                <w:rFonts w:ascii="宋体"/>
                <w:vanish/>
              </w:rPr>
            </w:pPr>
          </w:p>
        </w:tc>
        <w:tc>
          <w:tcPr>
            <w:tcW w:w="0" w:type="auto"/>
            <w:gridSpan w:val="3"/>
            <w:shd w:val="clear" w:color="auto" w:fill="auto"/>
            <w:vAlign w:val="bottom"/>
          </w:tcPr>
          <w:p w14:paraId="643039E4" w14:textId="77777777" w:rsidR="009F6D8A" w:rsidRDefault="009F6D8A">
            <w:pPr>
              <w:rPr>
                <w:rFonts w:ascii="宋体"/>
                <w:vanish/>
              </w:rPr>
            </w:pPr>
          </w:p>
        </w:tc>
        <w:tc>
          <w:tcPr>
            <w:tcW w:w="0" w:type="auto"/>
            <w:gridSpan w:val="3"/>
            <w:shd w:val="clear" w:color="auto" w:fill="auto"/>
            <w:vAlign w:val="bottom"/>
          </w:tcPr>
          <w:p w14:paraId="643039E5" w14:textId="77777777" w:rsidR="009F6D8A" w:rsidRDefault="009F6D8A">
            <w:pPr>
              <w:rPr>
                <w:rFonts w:ascii="宋体"/>
                <w:vanish/>
              </w:rPr>
            </w:pPr>
          </w:p>
        </w:tc>
        <w:tc>
          <w:tcPr>
            <w:tcW w:w="0" w:type="auto"/>
            <w:gridSpan w:val="3"/>
            <w:shd w:val="clear" w:color="auto" w:fill="auto"/>
            <w:vAlign w:val="bottom"/>
          </w:tcPr>
          <w:p w14:paraId="643039E6" w14:textId="77777777" w:rsidR="009F6D8A" w:rsidRDefault="009F6D8A">
            <w:pPr>
              <w:rPr>
                <w:rFonts w:ascii="宋体"/>
                <w:vanish/>
              </w:rPr>
            </w:pPr>
          </w:p>
        </w:tc>
      </w:tr>
      <w:tr w:rsidR="009F6D8A" w14:paraId="643039F8" w14:textId="77777777">
        <w:tc>
          <w:tcPr>
            <w:tcW w:w="0" w:type="auto"/>
            <w:gridSpan w:val="3"/>
            <w:shd w:val="clear" w:color="auto" w:fill="FFFFFF"/>
            <w:tcMar>
              <w:top w:w="40" w:type="dxa"/>
              <w:left w:w="155" w:type="dxa"/>
              <w:bottom w:w="40" w:type="dxa"/>
              <w:right w:w="20" w:type="dxa"/>
            </w:tcMar>
            <w:vAlign w:val="bottom"/>
          </w:tcPr>
          <w:p w14:paraId="643039E8" w14:textId="77777777" w:rsidR="009F6D8A" w:rsidRDefault="00C50974">
            <w:pPr>
              <w:textAlignment w:val="bottom"/>
            </w:pPr>
            <w:r>
              <w:rPr>
                <w:rFonts w:ascii="Arial" w:eastAsia="宋体" w:hAnsi="Arial" w:cs="Arial"/>
                <w:color w:val="000000"/>
                <w:sz w:val="18"/>
                <w:szCs w:val="18"/>
              </w:rPr>
              <w:t>Net transaction revenues</w:t>
            </w:r>
          </w:p>
        </w:tc>
        <w:tc>
          <w:tcPr>
            <w:tcW w:w="0" w:type="auto"/>
            <w:shd w:val="clear" w:color="auto" w:fill="FFFFFF"/>
            <w:tcMar>
              <w:top w:w="40" w:type="dxa"/>
              <w:left w:w="20" w:type="dxa"/>
              <w:bottom w:w="40" w:type="dxa"/>
              <w:right w:w="0" w:type="dxa"/>
            </w:tcMar>
            <w:vAlign w:val="bottom"/>
          </w:tcPr>
          <w:p w14:paraId="643039E9"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9EA" w14:textId="77777777" w:rsidR="009F6D8A" w:rsidRDefault="00C50974">
            <w:pPr>
              <w:jc w:val="right"/>
              <w:textAlignment w:val="bottom"/>
            </w:pPr>
            <w:r>
              <w:rPr>
                <w:rFonts w:ascii="Arial" w:eastAsia="宋体" w:hAnsi="Arial" w:cs="Arial"/>
                <w:color w:val="000000"/>
                <w:sz w:val="18"/>
                <w:szCs w:val="18"/>
              </w:rPr>
              <w:t>2,496 </w:t>
            </w:r>
          </w:p>
        </w:tc>
        <w:tc>
          <w:tcPr>
            <w:tcW w:w="0" w:type="auto"/>
            <w:shd w:val="clear" w:color="auto" w:fill="FFFFFF"/>
            <w:tcMar>
              <w:top w:w="40" w:type="dxa"/>
              <w:left w:w="0" w:type="dxa"/>
              <w:bottom w:w="40" w:type="dxa"/>
              <w:right w:w="20" w:type="dxa"/>
            </w:tcMar>
            <w:vAlign w:val="bottom"/>
          </w:tcPr>
          <w:p w14:paraId="643039E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9EC"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9ED"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9EE" w14:textId="77777777" w:rsidR="009F6D8A" w:rsidRDefault="00C50974">
            <w:pPr>
              <w:jc w:val="right"/>
              <w:textAlignment w:val="bottom"/>
            </w:pPr>
            <w:r>
              <w:rPr>
                <w:rFonts w:ascii="Arial" w:eastAsia="宋体" w:hAnsi="Arial" w:cs="Arial"/>
                <w:color w:val="000000"/>
                <w:sz w:val="18"/>
                <w:szCs w:val="18"/>
              </w:rPr>
              <w:t>2,185 </w:t>
            </w:r>
          </w:p>
        </w:tc>
        <w:tc>
          <w:tcPr>
            <w:tcW w:w="0" w:type="auto"/>
            <w:shd w:val="clear" w:color="auto" w:fill="FFFFFF"/>
            <w:tcMar>
              <w:top w:w="40" w:type="dxa"/>
              <w:left w:w="0" w:type="dxa"/>
              <w:bottom w:w="40" w:type="dxa"/>
              <w:right w:w="20" w:type="dxa"/>
            </w:tcMar>
            <w:vAlign w:val="bottom"/>
          </w:tcPr>
          <w:p w14:paraId="643039E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9F0"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9F1"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9F2" w14:textId="77777777" w:rsidR="009F6D8A" w:rsidRDefault="00C50974">
            <w:pPr>
              <w:jc w:val="right"/>
              <w:textAlignment w:val="bottom"/>
            </w:pPr>
            <w:r>
              <w:rPr>
                <w:rFonts w:ascii="Arial" w:eastAsia="宋体" w:hAnsi="Arial" w:cs="Arial"/>
                <w:color w:val="000000"/>
                <w:sz w:val="18"/>
                <w:szCs w:val="18"/>
              </w:rPr>
              <w:t>4,972 </w:t>
            </w:r>
          </w:p>
        </w:tc>
        <w:tc>
          <w:tcPr>
            <w:tcW w:w="0" w:type="auto"/>
            <w:shd w:val="clear" w:color="auto" w:fill="FFFFFF"/>
            <w:tcMar>
              <w:top w:w="40" w:type="dxa"/>
              <w:left w:w="0" w:type="dxa"/>
              <w:bottom w:w="40" w:type="dxa"/>
              <w:right w:w="20" w:type="dxa"/>
            </w:tcMar>
            <w:vAlign w:val="bottom"/>
          </w:tcPr>
          <w:p w14:paraId="643039F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9F4"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9F5"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9F6" w14:textId="77777777" w:rsidR="009F6D8A" w:rsidRDefault="00C50974">
            <w:pPr>
              <w:jc w:val="right"/>
              <w:textAlignment w:val="bottom"/>
            </w:pPr>
            <w:r>
              <w:rPr>
                <w:rFonts w:ascii="Arial" w:eastAsia="宋体" w:hAnsi="Arial" w:cs="Arial"/>
                <w:color w:val="000000"/>
                <w:sz w:val="18"/>
                <w:szCs w:val="18"/>
              </w:rPr>
              <w:t>3,837 </w:t>
            </w:r>
          </w:p>
        </w:tc>
        <w:tc>
          <w:tcPr>
            <w:tcW w:w="0" w:type="auto"/>
            <w:shd w:val="clear" w:color="auto" w:fill="FFFFFF"/>
            <w:tcMar>
              <w:top w:w="40" w:type="dxa"/>
              <w:left w:w="0" w:type="dxa"/>
              <w:bottom w:w="40" w:type="dxa"/>
              <w:right w:w="20" w:type="dxa"/>
            </w:tcMar>
            <w:vAlign w:val="bottom"/>
          </w:tcPr>
          <w:p w14:paraId="643039F7" w14:textId="77777777" w:rsidR="009F6D8A" w:rsidRDefault="009F6D8A">
            <w:pPr>
              <w:jc w:val="right"/>
              <w:rPr>
                <w:rFonts w:ascii="宋体"/>
              </w:rPr>
            </w:pPr>
          </w:p>
        </w:tc>
      </w:tr>
      <w:tr w:rsidR="009F6D8A" w14:paraId="64303A05" w14:textId="77777777">
        <w:tc>
          <w:tcPr>
            <w:tcW w:w="0" w:type="auto"/>
            <w:gridSpan w:val="3"/>
            <w:shd w:val="clear" w:color="auto" w:fill="E2E2E2"/>
            <w:tcMar>
              <w:top w:w="40" w:type="dxa"/>
              <w:left w:w="155" w:type="dxa"/>
              <w:bottom w:w="40" w:type="dxa"/>
              <w:right w:w="20" w:type="dxa"/>
            </w:tcMar>
            <w:vAlign w:val="bottom"/>
          </w:tcPr>
          <w:p w14:paraId="643039F9" w14:textId="77777777" w:rsidR="009F6D8A" w:rsidRDefault="00C50974">
            <w:pPr>
              <w:textAlignment w:val="bottom"/>
            </w:pPr>
            <w:r>
              <w:rPr>
                <w:rFonts w:ascii="Arial" w:eastAsia="宋体" w:hAnsi="Arial" w:cs="Arial"/>
                <w:color w:val="000000"/>
                <w:sz w:val="18"/>
                <w:szCs w:val="18"/>
              </w:rPr>
              <w:t>Marketing services and other revenues</w:t>
            </w:r>
          </w:p>
        </w:tc>
        <w:tc>
          <w:tcPr>
            <w:tcW w:w="0" w:type="auto"/>
            <w:gridSpan w:val="2"/>
            <w:shd w:val="clear" w:color="auto" w:fill="E2E2E2"/>
            <w:tcMar>
              <w:top w:w="40" w:type="dxa"/>
              <w:left w:w="20" w:type="dxa"/>
              <w:bottom w:w="40" w:type="dxa"/>
              <w:right w:w="0" w:type="dxa"/>
            </w:tcMar>
            <w:vAlign w:val="bottom"/>
          </w:tcPr>
          <w:p w14:paraId="643039FA" w14:textId="77777777" w:rsidR="009F6D8A" w:rsidRDefault="00C50974">
            <w:pPr>
              <w:jc w:val="right"/>
              <w:textAlignment w:val="bottom"/>
            </w:pPr>
            <w:r>
              <w:rPr>
                <w:rFonts w:ascii="Arial" w:eastAsia="宋体" w:hAnsi="Arial" w:cs="Arial"/>
                <w:color w:val="000000"/>
                <w:sz w:val="18"/>
                <w:szCs w:val="18"/>
              </w:rPr>
              <w:t>172 </w:t>
            </w:r>
          </w:p>
        </w:tc>
        <w:tc>
          <w:tcPr>
            <w:tcW w:w="0" w:type="auto"/>
            <w:shd w:val="clear" w:color="auto" w:fill="E2E2E2"/>
            <w:tcMar>
              <w:top w:w="40" w:type="dxa"/>
              <w:left w:w="0" w:type="dxa"/>
              <w:bottom w:w="40" w:type="dxa"/>
              <w:right w:w="20" w:type="dxa"/>
            </w:tcMar>
            <w:vAlign w:val="bottom"/>
          </w:tcPr>
          <w:p w14:paraId="643039F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9FC"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9FD" w14:textId="77777777" w:rsidR="009F6D8A" w:rsidRDefault="00C50974">
            <w:pPr>
              <w:jc w:val="right"/>
              <w:textAlignment w:val="bottom"/>
            </w:pPr>
            <w:r>
              <w:rPr>
                <w:rFonts w:ascii="Arial" w:eastAsia="宋体" w:hAnsi="Arial" w:cs="Arial"/>
                <w:color w:val="000000"/>
                <w:sz w:val="18"/>
                <w:szCs w:val="18"/>
              </w:rPr>
              <w:t>152 </w:t>
            </w:r>
          </w:p>
        </w:tc>
        <w:tc>
          <w:tcPr>
            <w:tcW w:w="0" w:type="auto"/>
            <w:shd w:val="clear" w:color="auto" w:fill="E2E2E2"/>
            <w:tcMar>
              <w:top w:w="40" w:type="dxa"/>
              <w:left w:w="0" w:type="dxa"/>
              <w:bottom w:w="40" w:type="dxa"/>
              <w:right w:w="20" w:type="dxa"/>
            </w:tcMar>
            <w:vAlign w:val="bottom"/>
          </w:tcPr>
          <w:p w14:paraId="643039F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9FF"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A00" w14:textId="77777777" w:rsidR="009F6D8A" w:rsidRDefault="00C50974">
            <w:pPr>
              <w:jc w:val="right"/>
              <w:textAlignment w:val="bottom"/>
            </w:pPr>
            <w:r>
              <w:rPr>
                <w:rFonts w:ascii="Arial" w:eastAsia="宋体" w:hAnsi="Arial" w:cs="Arial"/>
                <w:color w:val="000000"/>
                <w:sz w:val="18"/>
                <w:szCs w:val="18"/>
              </w:rPr>
              <w:t>334 </w:t>
            </w:r>
          </w:p>
        </w:tc>
        <w:tc>
          <w:tcPr>
            <w:tcW w:w="0" w:type="auto"/>
            <w:shd w:val="clear" w:color="auto" w:fill="E2E2E2"/>
            <w:tcMar>
              <w:top w:w="40" w:type="dxa"/>
              <w:left w:w="0" w:type="dxa"/>
              <w:bottom w:w="40" w:type="dxa"/>
              <w:right w:w="20" w:type="dxa"/>
            </w:tcMar>
            <w:vAlign w:val="bottom"/>
          </w:tcPr>
          <w:p w14:paraId="64303A0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A02"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A03" w14:textId="77777777" w:rsidR="009F6D8A" w:rsidRDefault="00C50974">
            <w:pPr>
              <w:jc w:val="right"/>
              <w:textAlignment w:val="bottom"/>
            </w:pPr>
            <w:r>
              <w:rPr>
                <w:rFonts w:ascii="Arial" w:eastAsia="宋体" w:hAnsi="Arial" w:cs="Arial"/>
                <w:color w:val="000000"/>
                <w:sz w:val="18"/>
                <w:szCs w:val="18"/>
              </w:rPr>
              <w:t>321 </w:t>
            </w:r>
          </w:p>
        </w:tc>
        <w:tc>
          <w:tcPr>
            <w:tcW w:w="0" w:type="auto"/>
            <w:shd w:val="clear" w:color="auto" w:fill="E2E2E2"/>
            <w:tcMar>
              <w:top w:w="40" w:type="dxa"/>
              <w:left w:w="0" w:type="dxa"/>
              <w:bottom w:w="40" w:type="dxa"/>
              <w:right w:w="20" w:type="dxa"/>
            </w:tcMar>
            <w:vAlign w:val="bottom"/>
          </w:tcPr>
          <w:p w14:paraId="64303A04" w14:textId="77777777" w:rsidR="009F6D8A" w:rsidRDefault="009F6D8A">
            <w:pPr>
              <w:jc w:val="right"/>
              <w:rPr>
                <w:rFonts w:ascii="宋体"/>
              </w:rPr>
            </w:pPr>
          </w:p>
        </w:tc>
      </w:tr>
      <w:tr w:rsidR="009F6D8A" w14:paraId="64303A16" w14:textId="77777777">
        <w:tc>
          <w:tcPr>
            <w:tcW w:w="0" w:type="auto"/>
            <w:gridSpan w:val="3"/>
            <w:shd w:val="clear" w:color="auto" w:fill="FFFFFF"/>
            <w:tcMar>
              <w:top w:w="40" w:type="dxa"/>
              <w:left w:w="245" w:type="dxa"/>
              <w:bottom w:w="40" w:type="dxa"/>
              <w:right w:w="20" w:type="dxa"/>
            </w:tcMar>
            <w:vAlign w:val="bottom"/>
          </w:tcPr>
          <w:p w14:paraId="64303A06" w14:textId="77777777" w:rsidR="009F6D8A" w:rsidRDefault="00C50974">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3A07"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3A08" w14:textId="77777777" w:rsidR="009F6D8A" w:rsidRDefault="00C50974">
            <w:pPr>
              <w:jc w:val="right"/>
              <w:textAlignment w:val="bottom"/>
            </w:pPr>
            <w:r>
              <w:rPr>
                <w:rFonts w:ascii="Arial" w:eastAsia="宋体" w:hAnsi="Arial" w:cs="Arial"/>
                <w:color w:val="000000"/>
                <w:sz w:val="18"/>
                <w:szCs w:val="18"/>
              </w:rPr>
              <w:t>2,668 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3A0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A0A"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3A0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3A0C" w14:textId="77777777" w:rsidR="009F6D8A" w:rsidRDefault="00C50974">
            <w:pPr>
              <w:jc w:val="right"/>
              <w:textAlignment w:val="bottom"/>
            </w:pPr>
            <w:r>
              <w:rPr>
                <w:rFonts w:ascii="Arial" w:eastAsia="宋体" w:hAnsi="Arial" w:cs="Arial"/>
                <w:color w:val="000000"/>
                <w:sz w:val="18"/>
                <w:szCs w:val="18"/>
              </w:rPr>
              <w:t>2,337 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3A0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A0E"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3A0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3A10" w14:textId="77777777" w:rsidR="009F6D8A" w:rsidRDefault="00C50974">
            <w:pPr>
              <w:jc w:val="right"/>
              <w:textAlignment w:val="bottom"/>
            </w:pPr>
            <w:r>
              <w:rPr>
                <w:rFonts w:ascii="Arial" w:eastAsia="宋体" w:hAnsi="Arial" w:cs="Arial"/>
                <w:color w:val="000000"/>
                <w:sz w:val="18"/>
                <w:szCs w:val="18"/>
              </w:rPr>
              <w:t>5,306 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3A1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A12"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3A13"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3A14" w14:textId="77777777" w:rsidR="009F6D8A" w:rsidRDefault="00C50974">
            <w:pPr>
              <w:jc w:val="right"/>
              <w:textAlignment w:val="bottom"/>
            </w:pPr>
            <w:r>
              <w:rPr>
                <w:rFonts w:ascii="Arial" w:eastAsia="宋体" w:hAnsi="Arial" w:cs="Arial"/>
                <w:color w:val="000000"/>
                <w:sz w:val="18"/>
                <w:szCs w:val="18"/>
              </w:rPr>
              <w:t>4,158 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3A15" w14:textId="77777777" w:rsidR="009F6D8A" w:rsidRDefault="009F6D8A">
            <w:pPr>
              <w:jc w:val="right"/>
              <w:rPr>
                <w:rFonts w:ascii="宋体"/>
              </w:rPr>
            </w:pPr>
          </w:p>
        </w:tc>
      </w:tr>
      <w:tr w:rsidR="009F6D8A" w14:paraId="64303A1F" w14:textId="77777777">
        <w:trPr>
          <w:hidden/>
        </w:trPr>
        <w:tc>
          <w:tcPr>
            <w:tcW w:w="0" w:type="auto"/>
            <w:gridSpan w:val="3"/>
            <w:shd w:val="clear" w:color="auto" w:fill="auto"/>
            <w:vAlign w:val="bottom"/>
          </w:tcPr>
          <w:p w14:paraId="64303A17" w14:textId="77777777" w:rsidR="009F6D8A" w:rsidRDefault="009F6D8A">
            <w:pPr>
              <w:rPr>
                <w:rFonts w:ascii="宋体"/>
                <w:vanish/>
              </w:rPr>
            </w:pPr>
          </w:p>
        </w:tc>
        <w:tc>
          <w:tcPr>
            <w:tcW w:w="0" w:type="auto"/>
            <w:gridSpan w:val="3"/>
            <w:shd w:val="clear" w:color="auto" w:fill="auto"/>
            <w:vAlign w:val="bottom"/>
          </w:tcPr>
          <w:p w14:paraId="64303A18" w14:textId="77777777" w:rsidR="009F6D8A" w:rsidRDefault="009F6D8A">
            <w:pPr>
              <w:rPr>
                <w:rFonts w:ascii="宋体"/>
                <w:vanish/>
              </w:rPr>
            </w:pPr>
          </w:p>
        </w:tc>
        <w:tc>
          <w:tcPr>
            <w:tcW w:w="0" w:type="auto"/>
            <w:gridSpan w:val="3"/>
            <w:shd w:val="clear" w:color="auto" w:fill="auto"/>
            <w:vAlign w:val="bottom"/>
          </w:tcPr>
          <w:p w14:paraId="64303A19" w14:textId="77777777" w:rsidR="009F6D8A" w:rsidRDefault="009F6D8A">
            <w:pPr>
              <w:rPr>
                <w:rFonts w:ascii="宋体"/>
                <w:vanish/>
              </w:rPr>
            </w:pPr>
          </w:p>
        </w:tc>
        <w:tc>
          <w:tcPr>
            <w:tcW w:w="0" w:type="auto"/>
            <w:gridSpan w:val="3"/>
            <w:shd w:val="clear" w:color="auto" w:fill="auto"/>
            <w:vAlign w:val="bottom"/>
          </w:tcPr>
          <w:p w14:paraId="64303A1A" w14:textId="77777777" w:rsidR="009F6D8A" w:rsidRDefault="009F6D8A">
            <w:pPr>
              <w:rPr>
                <w:rFonts w:ascii="宋体"/>
                <w:vanish/>
              </w:rPr>
            </w:pPr>
          </w:p>
        </w:tc>
        <w:tc>
          <w:tcPr>
            <w:tcW w:w="0" w:type="auto"/>
            <w:gridSpan w:val="3"/>
            <w:shd w:val="clear" w:color="auto" w:fill="auto"/>
            <w:vAlign w:val="bottom"/>
          </w:tcPr>
          <w:p w14:paraId="64303A1B" w14:textId="77777777" w:rsidR="009F6D8A" w:rsidRDefault="009F6D8A">
            <w:pPr>
              <w:rPr>
                <w:rFonts w:ascii="宋体"/>
                <w:vanish/>
              </w:rPr>
            </w:pPr>
          </w:p>
        </w:tc>
        <w:tc>
          <w:tcPr>
            <w:tcW w:w="0" w:type="auto"/>
            <w:gridSpan w:val="3"/>
            <w:shd w:val="clear" w:color="auto" w:fill="auto"/>
            <w:vAlign w:val="bottom"/>
          </w:tcPr>
          <w:p w14:paraId="64303A1C" w14:textId="77777777" w:rsidR="009F6D8A" w:rsidRDefault="009F6D8A">
            <w:pPr>
              <w:rPr>
                <w:rFonts w:ascii="宋体"/>
                <w:vanish/>
              </w:rPr>
            </w:pPr>
          </w:p>
        </w:tc>
        <w:tc>
          <w:tcPr>
            <w:tcW w:w="0" w:type="auto"/>
            <w:gridSpan w:val="3"/>
            <w:shd w:val="clear" w:color="auto" w:fill="auto"/>
            <w:vAlign w:val="bottom"/>
          </w:tcPr>
          <w:p w14:paraId="64303A1D" w14:textId="77777777" w:rsidR="009F6D8A" w:rsidRDefault="009F6D8A">
            <w:pPr>
              <w:rPr>
                <w:rFonts w:ascii="宋体"/>
                <w:vanish/>
              </w:rPr>
            </w:pPr>
          </w:p>
        </w:tc>
        <w:tc>
          <w:tcPr>
            <w:tcW w:w="0" w:type="auto"/>
            <w:gridSpan w:val="3"/>
            <w:shd w:val="clear" w:color="auto" w:fill="auto"/>
            <w:vAlign w:val="bottom"/>
          </w:tcPr>
          <w:p w14:paraId="64303A1E" w14:textId="77777777" w:rsidR="009F6D8A" w:rsidRDefault="009F6D8A">
            <w:pPr>
              <w:rPr>
                <w:rFonts w:ascii="宋体"/>
                <w:vanish/>
              </w:rPr>
            </w:pPr>
          </w:p>
        </w:tc>
      </w:tr>
      <w:tr w:rsidR="009F6D8A" w14:paraId="64303A28" w14:textId="77777777">
        <w:trPr>
          <w:hidden/>
        </w:trPr>
        <w:tc>
          <w:tcPr>
            <w:tcW w:w="0" w:type="auto"/>
            <w:gridSpan w:val="3"/>
            <w:shd w:val="clear" w:color="auto" w:fill="auto"/>
            <w:vAlign w:val="bottom"/>
          </w:tcPr>
          <w:p w14:paraId="64303A20" w14:textId="77777777" w:rsidR="009F6D8A" w:rsidRDefault="009F6D8A">
            <w:pPr>
              <w:rPr>
                <w:rFonts w:ascii="宋体"/>
                <w:vanish/>
              </w:rPr>
            </w:pPr>
          </w:p>
        </w:tc>
        <w:tc>
          <w:tcPr>
            <w:tcW w:w="0" w:type="auto"/>
            <w:gridSpan w:val="3"/>
            <w:shd w:val="clear" w:color="auto" w:fill="auto"/>
            <w:vAlign w:val="bottom"/>
          </w:tcPr>
          <w:p w14:paraId="64303A21" w14:textId="77777777" w:rsidR="009F6D8A" w:rsidRDefault="009F6D8A">
            <w:pPr>
              <w:rPr>
                <w:rFonts w:ascii="宋体"/>
                <w:vanish/>
              </w:rPr>
            </w:pPr>
          </w:p>
        </w:tc>
        <w:tc>
          <w:tcPr>
            <w:tcW w:w="0" w:type="auto"/>
            <w:gridSpan w:val="3"/>
            <w:shd w:val="clear" w:color="auto" w:fill="auto"/>
            <w:vAlign w:val="bottom"/>
          </w:tcPr>
          <w:p w14:paraId="64303A22" w14:textId="77777777" w:rsidR="009F6D8A" w:rsidRDefault="009F6D8A">
            <w:pPr>
              <w:rPr>
                <w:rFonts w:ascii="宋体"/>
                <w:vanish/>
              </w:rPr>
            </w:pPr>
          </w:p>
        </w:tc>
        <w:tc>
          <w:tcPr>
            <w:tcW w:w="0" w:type="auto"/>
            <w:gridSpan w:val="3"/>
            <w:shd w:val="clear" w:color="auto" w:fill="auto"/>
            <w:vAlign w:val="bottom"/>
          </w:tcPr>
          <w:p w14:paraId="64303A23" w14:textId="77777777" w:rsidR="009F6D8A" w:rsidRDefault="009F6D8A">
            <w:pPr>
              <w:rPr>
                <w:rFonts w:ascii="宋体"/>
                <w:vanish/>
              </w:rPr>
            </w:pPr>
          </w:p>
        </w:tc>
        <w:tc>
          <w:tcPr>
            <w:tcW w:w="0" w:type="auto"/>
            <w:gridSpan w:val="3"/>
            <w:shd w:val="clear" w:color="auto" w:fill="auto"/>
            <w:vAlign w:val="bottom"/>
          </w:tcPr>
          <w:p w14:paraId="64303A24" w14:textId="77777777" w:rsidR="009F6D8A" w:rsidRDefault="009F6D8A">
            <w:pPr>
              <w:rPr>
                <w:rFonts w:ascii="宋体"/>
                <w:vanish/>
              </w:rPr>
            </w:pPr>
          </w:p>
        </w:tc>
        <w:tc>
          <w:tcPr>
            <w:tcW w:w="0" w:type="auto"/>
            <w:gridSpan w:val="3"/>
            <w:shd w:val="clear" w:color="auto" w:fill="auto"/>
            <w:vAlign w:val="bottom"/>
          </w:tcPr>
          <w:p w14:paraId="64303A25" w14:textId="77777777" w:rsidR="009F6D8A" w:rsidRDefault="009F6D8A">
            <w:pPr>
              <w:rPr>
                <w:rFonts w:ascii="宋体"/>
                <w:vanish/>
              </w:rPr>
            </w:pPr>
          </w:p>
        </w:tc>
        <w:tc>
          <w:tcPr>
            <w:tcW w:w="0" w:type="auto"/>
            <w:gridSpan w:val="3"/>
            <w:shd w:val="clear" w:color="auto" w:fill="auto"/>
            <w:vAlign w:val="bottom"/>
          </w:tcPr>
          <w:p w14:paraId="64303A26" w14:textId="77777777" w:rsidR="009F6D8A" w:rsidRDefault="009F6D8A">
            <w:pPr>
              <w:rPr>
                <w:rFonts w:ascii="宋体"/>
                <w:vanish/>
              </w:rPr>
            </w:pPr>
          </w:p>
        </w:tc>
        <w:tc>
          <w:tcPr>
            <w:tcW w:w="0" w:type="auto"/>
            <w:gridSpan w:val="3"/>
            <w:shd w:val="clear" w:color="auto" w:fill="auto"/>
            <w:vAlign w:val="bottom"/>
          </w:tcPr>
          <w:p w14:paraId="64303A27" w14:textId="77777777" w:rsidR="009F6D8A" w:rsidRDefault="009F6D8A">
            <w:pPr>
              <w:rPr>
                <w:rFonts w:ascii="宋体"/>
                <w:vanish/>
              </w:rPr>
            </w:pPr>
          </w:p>
        </w:tc>
      </w:tr>
      <w:tr w:rsidR="009F6D8A" w14:paraId="64303A31" w14:textId="77777777">
        <w:trPr>
          <w:hidden/>
        </w:trPr>
        <w:tc>
          <w:tcPr>
            <w:tcW w:w="0" w:type="auto"/>
            <w:gridSpan w:val="3"/>
            <w:shd w:val="clear" w:color="auto" w:fill="auto"/>
            <w:vAlign w:val="bottom"/>
          </w:tcPr>
          <w:p w14:paraId="64303A29" w14:textId="77777777" w:rsidR="009F6D8A" w:rsidRDefault="009F6D8A">
            <w:pPr>
              <w:rPr>
                <w:rFonts w:ascii="宋体"/>
                <w:vanish/>
              </w:rPr>
            </w:pPr>
          </w:p>
        </w:tc>
        <w:tc>
          <w:tcPr>
            <w:tcW w:w="0" w:type="auto"/>
            <w:gridSpan w:val="3"/>
            <w:shd w:val="clear" w:color="auto" w:fill="auto"/>
            <w:vAlign w:val="bottom"/>
          </w:tcPr>
          <w:p w14:paraId="64303A2A" w14:textId="77777777" w:rsidR="009F6D8A" w:rsidRDefault="009F6D8A">
            <w:pPr>
              <w:rPr>
                <w:rFonts w:ascii="宋体"/>
                <w:vanish/>
              </w:rPr>
            </w:pPr>
          </w:p>
        </w:tc>
        <w:tc>
          <w:tcPr>
            <w:tcW w:w="0" w:type="auto"/>
            <w:gridSpan w:val="3"/>
            <w:shd w:val="clear" w:color="auto" w:fill="auto"/>
            <w:vAlign w:val="bottom"/>
          </w:tcPr>
          <w:p w14:paraId="64303A2B" w14:textId="77777777" w:rsidR="009F6D8A" w:rsidRDefault="009F6D8A">
            <w:pPr>
              <w:rPr>
                <w:rFonts w:ascii="宋体"/>
                <w:vanish/>
              </w:rPr>
            </w:pPr>
          </w:p>
        </w:tc>
        <w:tc>
          <w:tcPr>
            <w:tcW w:w="0" w:type="auto"/>
            <w:gridSpan w:val="3"/>
            <w:shd w:val="clear" w:color="auto" w:fill="auto"/>
            <w:vAlign w:val="bottom"/>
          </w:tcPr>
          <w:p w14:paraId="64303A2C" w14:textId="77777777" w:rsidR="009F6D8A" w:rsidRDefault="009F6D8A">
            <w:pPr>
              <w:rPr>
                <w:rFonts w:ascii="宋体"/>
                <w:vanish/>
              </w:rPr>
            </w:pPr>
          </w:p>
        </w:tc>
        <w:tc>
          <w:tcPr>
            <w:tcW w:w="0" w:type="auto"/>
            <w:gridSpan w:val="3"/>
            <w:shd w:val="clear" w:color="auto" w:fill="auto"/>
            <w:vAlign w:val="bottom"/>
          </w:tcPr>
          <w:p w14:paraId="64303A2D" w14:textId="77777777" w:rsidR="009F6D8A" w:rsidRDefault="009F6D8A">
            <w:pPr>
              <w:rPr>
                <w:rFonts w:ascii="宋体"/>
                <w:vanish/>
              </w:rPr>
            </w:pPr>
          </w:p>
        </w:tc>
        <w:tc>
          <w:tcPr>
            <w:tcW w:w="0" w:type="auto"/>
            <w:gridSpan w:val="3"/>
            <w:shd w:val="clear" w:color="auto" w:fill="auto"/>
            <w:vAlign w:val="bottom"/>
          </w:tcPr>
          <w:p w14:paraId="64303A2E" w14:textId="77777777" w:rsidR="009F6D8A" w:rsidRDefault="009F6D8A">
            <w:pPr>
              <w:rPr>
                <w:rFonts w:ascii="宋体"/>
                <w:vanish/>
              </w:rPr>
            </w:pPr>
          </w:p>
        </w:tc>
        <w:tc>
          <w:tcPr>
            <w:tcW w:w="0" w:type="auto"/>
            <w:gridSpan w:val="3"/>
            <w:shd w:val="clear" w:color="auto" w:fill="auto"/>
            <w:vAlign w:val="bottom"/>
          </w:tcPr>
          <w:p w14:paraId="64303A2F" w14:textId="77777777" w:rsidR="009F6D8A" w:rsidRDefault="009F6D8A">
            <w:pPr>
              <w:rPr>
                <w:rFonts w:ascii="宋体"/>
                <w:vanish/>
              </w:rPr>
            </w:pPr>
          </w:p>
        </w:tc>
        <w:tc>
          <w:tcPr>
            <w:tcW w:w="0" w:type="auto"/>
            <w:gridSpan w:val="3"/>
            <w:shd w:val="clear" w:color="auto" w:fill="auto"/>
            <w:vAlign w:val="bottom"/>
          </w:tcPr>
          <w:p w14:paraId="64303A30" w14:textId="77777777" w:rsidR="009F6D8A" w:rsidRDefault="009F6D8A">
            <w:pPr>
              <w:rPr>
                <w:rFonts w:ascii="宋体"/>
                <w:vanish/>
              </w:rPr>
            </w:pPr>
          </w:p>
        </w:tc>
      </w:tr>
      <w:tr w:rsidR="009F6D8A" w14:paraId="64303A3A" w14:textId="77777777">
        <w:trPr>
          <w:hidden/>
        </w:trPr>
        <w:tc>
          <w:tcPr>
            <w:tcW w:w="0" w:type="auto"/>
            <w:gridSpan w:val="3"/>
            <w:shd w:val="clear" w:color="auto" w:fill="auto"/>
            <w:vAlign w:val="bottom"/>
          </w:tcPr>
          <w:p w14:paraId="64303A32" w14:textId="77777777" w:rsidR="009F6D8A" w:rsidRDefault="009F6D8A">
            <w:pPr>
              <w:rPr>
                <w:rFonts w:ascii="宋体"/>
                <w:vanish/>
              </w:rPr>
            </w:pPr>
          </w:p>
        </w:tc>
        <w:tc>
          <w:tcPr>
            <w:tcW w:w="0" w:type="auto"/>
            <w:gridSpan w:val="3"/>
            <w:shd w:val="clear" w:color="auto" w:fill="auto"/>
            <w:vAlign w:val="bottom"/>
          </w:tcPr>
          <w:p w14:paraId="64303A33" w14:textId="77777777" w:rsidR="009F6D8A" w:rsidRDefault="009F6D8A">
            <w:pPr>
              <w:rPr>
                <w:rFonts w:ascii="宋体"/>
                <w:vanish/>
              </w:rPr>
            </w:pPr>
          </w:p>
        </w:tc>
        <w:tc>
          <w:tcPr>
            <w:tcW w:w="0" w:type="auto"/>
            <w:gridSpan w:val="3"/>
            <w:shd w:val="clear" w:color="auto" w:fill="auto"/>
            <w:vAlign w:val="bottom"/>
          </w:tcPr>
          <w:p w14:paraId="64303A34" w14:textId="77777777" w:rsidR="009F6D8A" w:rsidRDefault="009F6D8A">
            <w:pPr>
              <w:rPr>
                <w:rFonts w:ascii="宋体"/>
                <w:vanish/>
              </w:rPr>
            </w:pPr>
          </w:p>
        </w:tc>
        <w:tc>
          <w:tcPr>
            <w:tcW w:w="0" w:type="auto"/>
            <w:gridSpan w:val="3"/>
            <w:shd w:val="clear" w:color="auto" w:fill="auto"/>
            <w:vAlign w:val="bottom"/>
          </w:tcPr>
          <w:p w14:paraId="64303A35" w14:textId="77777777" w:rsidR="009F6D8A" w:rsidRDefault="009F6D8A">
            <w:pPr>
              <w:rPr>
                <w:rFonts w:ascii="宋体"/>
                <w:vanish/>
              </w:rPr>
            </w:pPr>
          </w:p>
        </w:tc>
        <w:tc>
          <w:tcPr>
            <w:tcW w:w="0" w:type="auto"/>
            <w:gridSpan w:val="3"/>
            <w:shd w:val="clear" w:color="auto" w:fill="auto"/>
            <w:vAlign w:val="bottom"/>
          </w:tcPr>
          <w:p w14:paraId="64303A36" w14:textId="77777777" w:rsidR="009F6D8A" w:rsidRDefault="009F6D8A">
            <w:pPr>
              <w:rPr>
                <w:rFonts w:ascii="宋体"/>
                <w:vanish/>
              </w:rPr>
            </w:pPr>
          </w:p>
        </w:tc>
        <w:tc>
          <w:tcPr>
            <w:tcW w:w="0" w:type="auto"/>
            <w:gridSpan w:val="3"/>
            <w:shd w:val="clear" w:color="auto" w:fill="auto"/>
            <w:vAlign w:val="bottom"/>
          </w:tcPr>
          <w:p w14:paraId="64303A37" w14:textId="77777777" w:rsidR="009F6D8A" w:rsidRDefault="009F6D8A">
            <w:pPr>
              <w:rPr>
                <w:rFonts w:ascii="宋体"/>
                <w:vanish/>
              </w:rPr>
            </w:pPr>
          </w:p>
        </w:tc>
        <w:tc>
          <w:tcPr>
            <w:tcW w:w="0" w:type="auto"/>
            <w:gridSpan w:val="3"/>
            <w:shd w:val="clear" w:color="auto" w:fill="auto"/>
            <w:vAlign w:val="bottom"/>
          </w:tcPr>
          <w:p w14:paraId="64303A38" w14:textId="77777777" w:rsidR="009F6D8A" w:rsidRDefault="009F6D8A">
            <w:pPr>
              <w:rPr>
                <w:rFonts w:ascii="宋体"/>
                <w:vanish/>
              </w:rPr>
            </w:pPr>
          </w:p>
        </w:tc>
        <w:tc>
          <w:tcPr>
            <w:tcW w:w="0" w:type="auto"/>
            <w:gridSpan w:val="3"/>
            <w:shd w:val="clear" w:color="auto" w:fill="auto"/>
            <w:vAlign w:val="bottom"/>
          </w:tcPr>
          <w:p w14:paraId="64303A39" w14:textId="77777777" w:rsidR="009F6D8A" w:rsidRDefault="009F6D8A">
            <w:pPr>
              <w:rPr>
                <w:rFonts w:ascii="宋体"/>
                <w:vanish/>
              </w:rPr>
            </w:pPr>
          </w:p>
        </w:tc>
      </w:tr>
      <w:tr w:rsidR="009F6D8A" w14:paraId="64303A43" w14:textId="77777777">
        <w:trPr>
          <w:hidden/>
        </w:trPr>
        <w:tc>
          <w:tcPr>
            <w:tcW w:w="0" w:type="auto"/>
            <w:gridSpan w:val="3"/>
            <w:shd w:val="clear" w:color="auto" w:fill="auto"/>
            <w:vAlign w:val="bottom"/>
          </w:tcPr>
          <w:p w14:paraId="64303A3B" w14:textId="77777777" w:rsidR="009F6D8A" w:rsidRDefault="009F6D8A">
            <w:pPr>
              <w:rPr>
                <w:rFonts w:ascii="宋体"/>
                <w:vanish/>
              </w:rPr>
            </w:pPr>
          </w:p>
        </w:tc>
        <w:tc>
          <w:tcPr>
            <w:tcW w:w="0" w:type="auto"/>
            <w:gridSpan w:val="3"/>
            <w:shd w:val="clear" w:color="auto" w:fill="auto"/>
            <w:vAlign w:val="bottom"/>
          </w:tcPr>
          <w:p w14:paraId="64303A3C" w14:textId="77777777" w:rsidR="009F6D8A" w:rsidRDefault="009F6D8A">
            <w:pPr>
              <w:rPr>
                <w:rFonts w:ascii="宋体"/>
                <w:vanish/>
              </w:rPr>
            </w:pPr>
          </w:p>
        </w:tc>
        <w:tc>
          <w:tcPr>
            <w:tcW w:w="0" w:type="auto"/>
            <w:gridSpan w:val="3"/>
            <w:shd w:val="clear" w:color="auto" w:fill="auto"/>
            <w:vAlign w:val="bottom"/>
          </w:tcPr>
          <w:p w14:paraId="64303A3D" w14:textId="77777777" w:rsidR="009F6D8A" w:rsidRDefault="009F6D8A">
            <w:pPr>
              <w:rPr>
                <w:rFonts w:ascii="宋体"/>
                <w:vanish/>
              </w:rPr>
            </w:pPr>
          </w:p>
        </w:tc>
        <w:tc>
          <w:tcPr>
            <w:tcW w:w="0" w:type="auto"/>
            <w:gridSpan w:val="3"/>
            <w:shd w:val="clear" w:color="auto" w:fill="auto"/>
            <w:vAlign w:val="bottom"/>
          </w:tcPr>
          <w:p w14:paraId="64303A3E" w14:textId="77777777" w:rsidR="009F6D8A" w:rsidRDefault="009F6D8A">
            <w:pPr>
              <w:rPr>
                <w:rFonts w:ascii="宋体"/>
                <w:vanish/>
              </w:rPr>
            </w:pPr>
          </w:p>
        </w:tc>
        <w:tc>
          <w:tcPr>
            <w:tcW w:w="0" w:type="auto"/>
            <w:gridSpan w:val="3"/>
            <w:shd w:val="clear" w:color="auto" w:fill="auto"/>
            <w:vAlign w:val="bottom"/>
          </w:tcPr>
          <w:p w14:paraId="64303A3F" w14:textId="77777777" w:rsidR="009F6D8A" w:rsidRDefault="009F6D8A">
            <w:pPr>
              <w:rPr>
                <w:rFonts w:ascii="宋体"/>
                <w:vanish/>
              </w:rPr>
            </w:pPr>
          </w:p>
        </w:tc>
        <w:tc>
          <w:tcPr>
            <w:tcW w:w="0" w:type="auto"/>
            <w:gridSpan w:val="3"/>
            <w:shd w:val="clear" w:color="auto" w:fill="auto"/>
            <w:vAlign w:val="bottom"/>
          </w:tcPr>
          <w:p w14:paraId="64303A40" w14:textId="77777777" w:rsidR="009F6D8A" w:rsidRDefault="009F6D8A">
            <w:pPr>
              <w:rPr>
                <w:rFonts w:ascii="宋体"/>
                <w:vanish/>
              </w:rPr>
            </w:pPr>
          </w:p>
        </w:tc>
        <w:tc>
          <w:tcPr>
            <w:tcW w:w="0" w:type="auto"/>
            <w:gridSpan w:val="3"/>
            <w:shd w:val="clear" w:color="auto" w:fill="auto"/>
            <w:vAlign w:val="bottom"/>
          </w:tcPr>
          <w:p w14:paraId="64303A41" w14:textId="77777777" w:rsidR="009F6D8A" w:rsidRDefault="009F6D8A">
            <w:pPr>
              <w:rPr>
                <w:rFonts w:ascii="宋体"/>
                <w:vanish/>
              </w:rPr>
            </w:pPr>
          </w:p>
        </w:tc>
        <w:tc>
          <w:tcPr>
            <w:tcW w:w="0" w:type="auto"/>
            <w:gridSpan w:val="3"/>
            <w:shd w:val="clear" w:color="auto" w:fill="auto"/>
            <w:vAlign w:val="bottom"/>
          </w:tcPr>
          <w:p w14:paraId="64303A42" w14:textId="77777777" w:rsidR="009F6D8A" w:rsidRDefault="009F6D8A">
            <w:pPr>
              <w:rPr>
                <w:rFonts w:ascii="宋体"/>
                <w:vanish/>
              </w:rPr>
            </w:pPr>
          </w:p>
        </w:tc>
      </w:tr>
      <w:tr w:rsidR="009F6D8A" w14:paraId="64303A4C" w14:textId="77777777">
        <w:trPr>
          <w:hidden/>
        </w:trPr>
        <w:tc>
          <w:tcPr>
            <w:tcW w:w="0" w:type="auto"/>
            <w:gridSpan w:val="3"/>
            <w:shd w:val="clear" w:color="auto" w:fill="auto"/>
            <w:vAlign w:val="bottom"/>
          </w:tcPr>
          <w:p w14:paraId="64303A44" w14:textId="77777777" w:rsidR="009F6D8A" w:rsidRDefault="009F6D8A">
            <w:pPr>
              <w:rPr>
                <w:rFonts w:ascii="宋体"/>
                <w:vanish/>
              </w:rPr>
            </w:pPr>
          </w:p>
        </w:tc>
        <w:tc>
          <w:tcPr>
            <w:tcW w:w="0" w:type="auto"/>
            <w:gridSpan w:val="3"/>
            <w:shd w:val="clear" w:color="auto" w:fill="auto"/>
            <w:vAlign w:val="bottom"/>
          </w:tcPr>
          <w:p w14:paraId="64303A45" w14:textId="77777777" w:rsidR="009F6D8A" w:rsidRDefault="009F6D8A">
            <w:pPr>
              <w:rPr>
                <w:rFonts w:ascii="宋体"/>
                <w:vanish/>
              </w:rPr>
            </w:pPr>
          </w:p>
        </w:tc>
        <w:tc>
          <w:tcPr>
            <w:tcW w:w="0" w:type="auto"/>
            <w:gridSpan w:val="3"/>
            <w:shd w:val="clear" w:color="auto" w:fill="auto"/>
            <w:vAlign w:val="bottom"/>
          </w:tcPr>
          <w:p w14:paraId="64303A46" w14:textId="77777777" w:rsidR="009F6D8A" w:rsidRDefault="009F6D8A">
            <w:pPr>
              <w:rPr>
                <w:rFonts w:ascii="宋体"/>
                <w:vanish/>
              </w:rPr>
            </w:pPr>
          </w:p>
        </w:tc>
        <w:tc>
          <w:tcPr>
            <w:tcW w:w="0" w:type="auto"/>
            <w:gridSpan w:val="3"/>
            <w:shd w:val="clear" w:color="auto" w:fill="auto"/>
            <w:vAlign w:val="bottom"/>
          </w:tcPr>
          <w:p w14:paraId="64303A47" w14:textId="77777777" w:rsidR="009F6D8A" w:rsidRDefault="009F6D8A">
            <w:pPr>
              <w:rPr>
                <w:rFonts w:ascii="宋体"/>
                <w:vanish/>
              </w:rPr>
            </w:pPr>
          </w:p>
        </w:tc>
        <w:tc>
          <w:tcPr>
            <w:tcW w:w="0" w:type="auto"/>
            <w:gridSpan w:val="3"/>
            <w:shd w:val="clear" w:color="auto" w:fill="auto"/>
            <w:vAlign w:val="bottom"/>
          </w:tcPr>
          <w:p w14:paraId="64303A48" w14:textId="77777777" w:rsidR="009F6D8A" w:rsidRDefault="009F6D8A">
            <w:pPr>
              <w:rPr>
                <w:rFonts w:ascii="宋体"/>
                <w:vanish/>
              </w:rPr>
            </w:pPr>
          </w:p>
        </w:tc>
        <w:tc>
          <w:tcPr>
            <w:tcW w:w="0" w:type="auto"/>
            <w:gridSpan w:val="3"/>
            <w:shd w:val="clear" w:color="auto" w:fill="auto"/>
            <w:vAlign w:val="bottom"/>
          </w:tcPr>
          <w:p w14:paraId="64303A49" w14:textId="77777777" w:rsidR="009F6D8A" w:rsidRDefault="009F6D8A">
            <w:pPr>
              <w:rPr>
                <w:rFonts w:ascii="宋体"/>
                <w:vanish/>
              </w:rPr>
            </w:pPr>
          </w:p>
        </w:tc>
        <w:tc>
          <w:tcPr>
            <w:tcW w:w="0" w:type="auto"/>
            <w:gridSpan w:val="3"/>
            <w:shd w:val="clear" w:color="auto" w:fill="auto"/>
            <w:vAlign w:val="bottom"/>
          </w:tcPr>
          <w:p w14:paraId="64303A4A" w14:textId="77777777" w:rsidR="009F6D8A" w:rsidRDefault="009F6D8A">
            <w:pPr>
              <w:rPr>
                <w:rFonts w:ascii="宋体"/>
                <w:vanish/>
              </w:rPr>
            </w:pPr>
          </w:p>
        </w:tc>
        <w:tc>
          <w:tcPr>
            <w:tcW w:w="0" w:type="auto"/>
            <w:gridSpan w:val="3"/>
            <w:shd w:val="clear" w:color="auto" w:fill="auto"/>
            <w:vAlign w:val="bottom"/>
          </w:tcPr>
          <w:p w14:paraId="64303A4B" w14:textId="77777777" w:rsidR="009F6D8A" w:rsidRDefault="009F6D8A">
            <w:pPr>
              <w:rPr>
                <w:rFonts w:ascii="宋体"/>
                <w:vanish/>
              </w:rPr>
            </w:pPr>
          </w:p>
        </w:tc>
      </w:tr>
      <w:tr w:rsidR="009F6D8A" w14:paraId="64303A55" w14:textId="77777777">
        <w:trPr>
          <w:hidden/>
        </w:trPr>
        <w:tc>
          <w:tcPr>
            <w:tcW w:w="0" w:type="auto"/>
            <w:gridSpan w:val="3"/>
            <w:shd w:val="clear" w:color="auto" w:fill="auto"/>
            <w:vAlign w:val="bottom"/>
          </w:tcPr>
          <w:p w14:paraId="64303A4D" w14:textId="77777777" w:rsidR="009F6D8A" w:rsidRDefault="009F6D8A">
            <w:pPr>
              <w:rPr>
                <w:rFonts w:ascii="宋体"/>
                <w:vanish/>
              </w:rPr>
            </w:pPr>
          </w:p>
        </w:tc>
        <w:tc>
          <w:tcPr>
            <w:tcW w:w="0" w:type="auto"/>
            <w:gridSpan w:val="3"/>
            <w:shd w:val="clear" w:color="auto" w:fill="auto"/>
            <w:vAlign w:val="bottom"/>
          </w:tcPr>
          <w:p w14:paraId="64303A4E" w14:textId="77777777" w:rsidR="009F6D8A" w:rsidRDefault="009F6D8A">
            <w:pPr>
              <w:rPr>
                <w:rFonts w:ascii="宋体"/>
                <w:vanish/>
              </w:rPr>
            </w:pPr>
          </w:p>
        </w:tc>
        <w:tc>
          <w:tcPr>
            <w:tcW w:w="0" w:type="auto"/>
            <w:gridSpan w:val="3"/>
            <w:shd w:val="clear" w:color="auto" w:fill="auto"/>
            <w:vAlign w:val="bottom"/>
          </w:tcPr>
          <w:p w14:paraId="64303A4F" w14:textId="77777777" w:rsidR="009F6D8A" w:rsidRDefault="009F6D8A">
            <w:pPr>
              <w:rPr>
                <w:rFonts w:ascii="宋体"/>
                <w:vanish/>
              </w:rPr>
            </w:pPr>
          </w:p>
        </w:tc>
        <w:tc>
          <w:tcPr>
            <w:tcW w:w="0" w:type="auto"/>
            <w:gridSpan w:val="3"/>
            <w:shd w:val="clear" w:color="auto" w:fill="auto"/>
            <w:vAlign w:val="bottom"/>
          </w:tcPr>
          <w:p w14:paraId="64303A50" w14:textId="77777777" w:rsidR="009F6D8A" w:rsidRDefault="009F6D8A">
            <w:pPr>
              <w:rPr>
                <w:rFonts w:ascii="宋体"/>
                <w:vanish/>
              </w:rPr>
            </w:pPr>
          </w:p>
        </w:tc>
        <w:tc>
          <w:tcPr>
            <w:tcW w:w="0" w:type="auto"/>
            <w:gridSpan w:val="3"/>
            <w:shd w:val="clear" w:color="auto" w:fill="auto"/>
            <w:vAlign w:val="bottom"/>
          </w:tcPr>
          <w:p w14:paraId="64303A51" w14:textId="77777777" w:rsidR="009F6D8A" w:rsidRDefault="009F6D8A">
            <w:pPr>
              <w:rPr>
                <w:rFonts w:ascii="宋体"/>
                <w:vanish/>
              </w:rPr>
            </w:pPr>
          </w:p>
        </w:tc>
        <w:tc>
          <w:tcPr>
            <w:tcW w:w="0" w:type="auto"/>
            <w:gridSpan w:val="3"/>
            <w:shd w:val="clear" w:color="auto" w:fill="auto"/>
            <w:vAlign w:val="bottom"/>
          </w:tcPr>
          <w:p w14:paraId="64303A52" w14:textId="77777777" w:rsidR="009F6D8A" w:rsidRDefault="009F6D8A">
            <w:pPr>
              <w:rPr>
                <w:rFonts w:ascii="宋体"/>
                <w:vanish/>
              </w:rPr>
            </w:pPr>
          </w:p>
        </w:tc>
        <w:tc>
          <w:tcPr>
            <w:tcW w:w="0" w:type="auto"/>
            <w:gridSpan w:val="3"/>
            <w:shd w:val="clear" w:color="auto" w:fill="auto"/>
            <w:vAlign w:val="bottom"/>
          </w:tcPr>
          <w:p w14:paraId="64303A53" w14:textId="77777777" w:rsidR="009F6D8A" w:rsidRDefault="009F6D8A">
            <w:pPr>
              <w:rPr>
                <w:rFonts w:ascii="宋体"/>
                <w:vanish/>
              </w:rPr>
            </w:pPr>
          </w:p>
        </w:tc>
        <w:tc>
          <w:tcPr>
            <w:tcW w:w="0" w:type="auto"/>
            <w:gridSpan w:val="3"/>
            <w:shd w:val="clear" w:color="auto" w:fill="auto"/>
            <w:vAlign w:val="bottom"/>
          </w:tcPr>
          <w:p w14:paraId="64303A54" w14:textId="77777777" w:rsidR="009F6D8A" w:rsidRDefault="009F6D8A">
            <w:pPr>
              <w:rPr>
                <w:rFonts w:ascii="宋体"/>
                <w:vanish/>
              </w:rPr>
            </w:pPr>
          </w:p>
        </w:tc>
      </w:tr>
      <w:tr w:rsidR="009F6D8A" w14:paraId="64303A5E" w14:textId="77777777">
        <w:trPr>
          <w:hidden/>
        </w:trPr>
        <w:tc>
          <w:tcPr>
            <w:tcW w:w="0" w:type="auto"/>
            <w:gridSpan w:val="3"/>
            <w:shd w:val="clear" w:color="auto" w:fill="auto"/>
            <w:vAlign w:val="bottom"/>
          </w:tcPr>
          <w:p w14:paraId="64303A56" w14:textId="77777777" w:rsidR="009F6D8A" w:rsidRDefault="009F6D8A">
            <w:pPr>
              <w:rPr>
                <w:rFonts w:ascii="宋体"/>
                <w:vanish/>
              </w:rPr>
            </w:pPr>
          </w:p>
        </w:tc>
        <w:tc>
          <w:tcPr>
            <w:tcW w:w="0" w:type="auto"/>
            <w:gridSpan w:val="3"/>
            <w:shd w:val="clear" w:color="auto" w:fill="auto"/>
            <w:vAlign w:val="bottom"/>
          </w:tcPr>
          <w:p w14:paraId="64303A57" w14:textId="77777777" w:rsidR="009F6D8A" w:rsidRDefault="009F6D8A">
            <w:pPr>
              <w:rPr>
                <w:rFonts w:ascii="宋体"/>
                <w:vanish/>
              </w:rPr>
            </w:pPr>
          </w:p>
        </w:tc>
        <w:tc>
          <w:tcPr>
            <w:tcW w:w="0" w:type="auto"/>
            <w:gridSpan w:val="3"/>
            <w:shd w:val="clear" w:color="auto" w:fill="auto"/>
            <w:vAlign w:val="bottom"/>
          </w:tcPr>
          <w:p w14:paraId="64303A58" w14:textId="77777777" w:rsidR="009F6D8A" w:rsidRDefault="009F6D8A">
            <w:pPr>
              <w:rPr>
                <w:rFonts w:ascii="宋体"/>
                <w:vanish/>
              </w:rPr>
            </w:pPr>
          </w:p>
        </w:tc>
        <w:tc>
          <w:tcPr>
            <w:tcW w:w="0" w:type="auto"/>
            <w:gridSpan w:val="3"/>
            <w:shd w:val="clear" w:color="auto" w:fill="auto"/>
            <w:vAlign w:val="bottom"/>
          </w:tcPr>
          <w:p w14:paraId="64303A59" w14:textId="77777777" w:rsidR="009F6D8A" w:rsidRDefault="009F6D8A">
            <w:pPr>
              <w:rPr>
                <w:rFonts w:ascii="宋体"/>
                <w:vanish/>
              </w:rPr>
            </w:pPr>
          </w:p>
        </w:tc>
        <w:tc>
          <w:tcPr>
            <w:tcW w:w="0" w:type="auto"/>
            <w:gridSpan w:val="3"/>
            <w:shd w:val="clear" w:color="auto" w:fill="auto"/>
            <w:vAlign w:val="bottom"/>
          </w:tcPr>
          <w:p w14:paraId="64303A5A" w14:textId="77777777" w:rsidR="009F6D8A" w:rsidRDefault="009F6D8A">
            <w:pPr>
              <w:rPr>
                <w:rFonts w:ascii="宋体"/>
                <w:vanish/>
              </w:rPr>
            </w:pPr>
          </w:p>
        </w:tc>
        <w:tc>
          <w:tcPr>
            <w:tcW w:w="0" w:type="auto"/>
            <w:gridSpan w:val="3"/>
            <w:shd w:val="clear" w:color="auto" w:fill="auto"/>
            <w:vAlign w:val="bottom"/>
          </w:tcPr>
          <w:p w14:paraId="64303A5B" w14:textId="77777777" w:rsidR="009F6D8A" w:rsidRDefault="009F6D8A">
            <w:pPr>
              <w:rPr>
                <w:rFonts w:ascii="宋体"/>
                <w:vanish/>
              </w:rPr>
            </w:pPr>
          </w:p>
        </w:tc>
        <w:tc>
          <w:tcPr>
            <w:tcW w:w="0" w:type="auto"/>
            <w:gridSpan w:val="3"/>
            <w:shd w:val="clear" w:color="auto" w:fill="auto"/>
            <w:vAlign w:val="bottom"/>
          </w:tcPr>
          <w:p w14:paraId="64303A5C" w14:textId="77777777" w:rsidR="009F6D8A" w:rsidRDefault="009F6D8A">
            <w:pPr>
              <w:rPr>
                <w:rFonts w:ascii="宋体"/>
                <w:vanish/>
              </w:rPr>
            </w:pPr>
          </w:p>
        </w:tc>
        <w:tc>
          <w:tcPr>
            <w:tcW w:w="0" w:type="auto"/>
            <w:gridSpan w:val="3"/>
            <w:shd w:val="clear" w:color="auto" w:fill="auto"/>
            <w:vAlign w:val="bottom"/>
          </w:tcPr>
          <w:p w14:paraId="64303A5D" w14:textId="77777777" w:rsidR="009F6D8A" w:rsidRDefault="009F6D8A">
            <w:pPr>
              <w:rPr>
                <w:rFonts w:ascii="宋体"/>
                <w:vanish/>
              </w:rPr>
            </w:pPr>
          </w:p>
        </w:tc>
      </w:tr>
      <w:tr w:rsidR="009F6D8A" w14:paraId="64303A67" w14:textId="77777777">
        <w:trPr>
          <w:hidden/>
        </w:trPr>
        <w:tc>
          <w:tcPr>
            <w:tcW w:w="0" w:type="auto"/>
            <w:gridSpan w:val="3"/>
            <w:shd w:val="clear" w:color="auto" w:fill="auto"/>
            <w:vAlign w:val="bottom"/>
          </w:tcPr>
          <w:p w14:paraId="64303A5F" w14:textId="77777777" w:rsidR="009F6D8A" w:rsidRDefault="009F6D8A">
            <w:pPr>
              <w:rPr>
                <w:rFonts w:ascii="宋体"/>
                <w:vanish/>
              </w:rPr>
            </w:pPr>
          </w:p>
        </w:tc>
        <w:tc>
          <w:tcPr>
            <w:tcW w:w="0" w:type="auto"/>
            <w:gridSpan w:val="3"/>
            <w:shd w:val="clear" w:color="auto" w:fill="auto"/>
            <w:vAlign w:val="bottom"/>
          </w:tcPr>
          <w:p w14:paraId="64303A60" w14:textId="77777777" w:rsidR="009F6D8A" w:rsidRDefault="009F6D8A">
            <w:pPr>
              <w:rPr>
                <w:rFonts w:ascii="宋体"/>
                <w:vanish/>
              </w:rPr>
            </w:pPr>
          </w:p>
        </w:tc>
        <w:tc>
          <w:tcPr>
            <w:tcW w:w="0" w:type="auto"/>
            <w:gridSpan w:val="3"/>
            <w:shd w:val="clear" w:color="auto" w:fill="auto"/>
            <w:vAlign w:val="bottom"/>
          </w:tcPr>
          <w:p w14:paraId="64303A61" w14:textId="77777777" w:rsidR="009F6D8A" w:rsidRDefault="009F6D8A">
            <w:pPr>
              <w:rPr>
                <w:rFonts w:ascii="宋体"/>
                <w:vanish/>
              </w:rPr>
            </w:pPr>
          </w:p>
        </w:tc>
        <w:tc>
          <w:tcPr>
            <w:tcW w:w="0" w:type="auto"/>
            <w:gridSpan w:val="3"/>
            <w:shd w:val="clear" w:color="auto" w:fill="auto"/>
            <w:vAlign w:val="bottom"/>
          </w:tcPr>
          <w:p w14:paraId="64303A62" w14:textId="77777777" w:rsidR="009F6D8A" w:rsidRDefault="009F6D8A">
            <w:pPr>
              <w:rPr>
                <w:rFonts w:ascii="宋体"/>
                <w:vanish/>
              </w:rPr>
            </w:pPr>
          </w:p>
        </w:tc>
        <w:tc>
          <w:tcPr>
            <w:tcW w:w="0" w:type="auto"/>
            <w:gridSpan w:val="3"/>
            <w:shd w:val="clear" w:color="auto" w:fill="auto"/>
            <w:vAlign w:val="bottom"/>
          </w:tcPr>
          <w:p w14:paraId="64303A63" w14:textId="77777777" w:rsidR="009F6D8A" w:rsidRDefault="009F6D8A">
            <w:pPr>
              <w:rPr>
                <w:rFonts w:ascii="宋体"/>
                <w:vanish/>
              </w:rPr>
            </w:pPr>
          </w:p>
        </w:tc>
        <w:tc>
          <w:tcPr>
            <w:tcW w:w="0" w:type="auto"/>
            <w:gridSpan w:val="3"/>
            <w:shd w:val="clear" w:color="auto" w:fill="auto"/>
            <w:vAlign w:val="bottom"/>
          </w:tcPr>
          <w:p w14:paraId="64303A64" w14:textId="77777777" w:rsidR="009F6D8A" w:rsidRDefault="009F6D8A">
            <w:pPr>
              <w:rPr>
                <w:rFonts w:ascii="宋体"/>
                <w:vanish/>
              </w:rPr>
            </w:pPr>
          </w:p>
        </w:tc>
        <w:tc>
          <w:tcPr>
            <w:tcW w:w="0" w:type="auto"/>
            <w:gridSpan w:val="3"/>
            <w:shd w:val="clear" w:color="auto" w:fill="auto"/>
            <w:vAlign w:val="bottom"/>
          </w:tcPr>
          <w:p w14:paraId="64303A65" w14:textId="77777777" w:rsidR="009F6D8A" w:rsidRDefault="009F6D8A">
            <w:pPr>
              <w:rPr>
                <w:rFonts w:ascii="宋体"/>
                <w:vanish/>
              </w:rPr>
            </w:pPr>
          </w:p>
        </w:tc>
        <w:tc>
          <w:tcPr>
            <w:tcW w:w="0" w:type="auto"/>
            <w:gridSpan w:val="3"/>
            <w:shd w:val="clear" w:color="auto" w:fill="auto"/>
            <w:vAlign w:val="bottom"/>
          </w:tcPr>
          <w:p w14:paraId="64303A66" w14:textId="77777777" w:rsidR="009F6D8A" w:rsidRDefault="009F6D8A">
            <w:pPr>
              <w:rPr>
                <w:rFonts w:ascii="宋体"/>
                <w:vanish/>
              </w:rPr>
            </w:pPr>
          </w:p>
        </w:tc>
      </w:tr>
      <w:tr w:rsidR="009F6D8A" w14:paraId="64303A70" w14:textId="77777777">
        <w:trPr>
          <w:hidden/>
        </w:trPr>
        <w:tc>
          <w:tcPr>
            <w:tcW w:w="0" w:type="auto"/>
            <w:gridSpan w:val="3"/>
            <w:shd w:val="clear" w:color="auto" w:fill="auto"/>
            <w:vAlign w:val="bottom"/>
          </w:tcPr>
          <w:p w14:paraId="64303A68" w14:textId="77777777" w:rsidR="009F6D8A" w:rsidRDefault="009F6D8A">
            <w:pPr>
              <w:rPr>
                <w:rFonts w:ascii="宋体"/>
                <w:vanish/>
              </w:rPr>
            </w:pPr>
          </w:p>
        </w:tc>
        <w:tc>
          <w:tcPr>
            <w:tcW w:w="0" w:type="auto"/>
            <w:gridSpan w:val="3"/>
            <w:shd w:val="clear" w:color="auto" w:fill="auto"/>
            <w:vAlign w:val="bottom"/>
          </w:tcPr>
          <w:p w14:paraId="64303A69" w14:textId="77777777" w:rsidR="009F6D8A" w:rsidRDefault="009F6D8A">
            <w:pPr>
              <w:rPr>
                <w:rFonts w:ascii="宋体"/>
                <w:vanish/>
              </w:rPr>
            </w:pPr>
          </w:p>
        </w:tc>
        <w:tc>
          <w:tcPr>
            <w:tcW w:w="0" w:type="auto"/>
            <w:gridSpan w:val="3"/>
            <w:shd w:val="clear" w:color="auto" w:fill="auto"/>
            <w:vAlign w:val="bottom"/>
          </w:tcPr>
          <w:p w14:paraId="64303A6A" w14:textId="77777777" w:rsidR="009F6D8A" w:rsidRDefault="009F6D8A">
            <w:pPr>
              <w:rPr>
                <w:rFonts w:ascii="宋体"/>
                <w:vanish/>
              </w:rPr>
            </w:pPr>
          </w:p>
        </w:tc>
        <w:tc>
          <w:tcPr>
            <w:tcW w:w="0" w:type="auto"/>
            <w:gridSpan w:val="3"/>
            <w:shd w:val="clear" w:color="auto" w:fill="auto"/>
            <w:vAlign w:val="bottom"/>
          </w:tcPr>
          <w:p w14:paraId="64303A6B" w14:textId="77777777" w:rsidR="009F6D8A" w:rsidRDefault="009F6D8A">
            <w:pPr>
              <w:rPr>
                <w:rFonts w:ascii="宋体"/>
                <w:vanish/>
              </w:rPr>
            </w:pPr>
          </w:p>
        </w:tc>
        <w:tc>
          <w:tcPr>
            <w:tcW w:w="0" w:type="auto"/>
            <w:gridSpan w:val="3"/>
            <w:shd w:val="clear" w:color="auto" w:fill="auto"/>
            <w:vAlign w:val="bottom"/>
          </w:tcPr>
          <w:p w14:paraId="64303A6C" w14:textId="77777777" w:rsidR="009F6D8A" w:rsidRDefault="009F6D8A">
            <w:pPr>
              <w:rPr>
                <w:rFonts w:ascii="宋体"/>
                <w:vanish/>
              </w:rPr>
            </w:pPr>
          </w:p>
        </w:tc>
        <w:tc>
          <w:tcPr>
            <w:tcW w:w="0" w:type="auto"/>
            <w:gridSpan w:val="3"/>
            <w:shd w:val="clear" w:color="auto" w:fill="auto"/>
            <w:vAlign w:val="bottom"/>
          </w:tcPr>
          <w:p w14:paraId="64303A6D" w14:textId="77777777" w:rsidR="009F6D8A" w:rsidRDefault="009F6D8A">
            <w:pPr>
              <w:rPr>
                <w:rFonts w:ascii="宋体"/>
                <w:vanish/>
              </w:rPr>
            </w:pPr>
          </w:p>
        </w:tc>
        <w:tc>
          <w:tcPr>
            <w:tcW w:w="0" w:type="auto"/>
            <w:gridSpan w:val="3"/>
            <w:shd w:val="clear" w:color="auto" w:fill="auto"/>
            <w:vAlign w:val="bottom"/>
          </w:tcPr>
          <w:p w14:paraId="64303A6E" w14:textId="77777777" w:rsidR="009F6D8A" w:rsidRDefault="009F6D8A">
            <w:pPr>
              <w:rPr>
                <w:rFonts w:ascii="宋体"/>
                <w:vanish/>
              </w:rPr>
            </w:pPr>
          </w:p>
        </w:tc>
        <w:tc>
          <w:tcPr>
            <w:tcW w:w="0" w:type="auto"/>
            <w:gridSpan w:val="3"/>
            <w:shd w:val="clear" w:color="auto" w:fill="auto"/>
            <w:vAlign w:val="bottom"/>
          </w:tcPr>
          <w:p w14:paraId="64303A6F" w14:textId="77777777" w:rsidR="009F6D8A" w:rsidRDefault="009F6D8A">
            <w:pPr>
              <w:rPr>
                <w:rFonts w:ascii="宋体"/>
                <w:vanish/>
              </w:rPr>
            </w:pPr>
          </w:p>
        </w:tc>
      </w:tr>
      <w:tr w:rsidR="009F6D8A" w14:paraId="64303A79" w14:textId="77777777">
        <w:trPr>
          <w:hidden/>
        </w:trPr>
        <w:tc>
          <w:tcPr>
            <w:tcW w:w="0" w:type="auto"/>
            <w:gridSpan w:val="3"/>
            <w:shd w:val="clear" w:color="auto" w:fill="auto"/>
            <w:vAlign w:val="bottom"/>
          </w:tcPr>
          <w:p w14:paraId="64303A71" w14:textId="77777777" w:rsidR="009F6D8A" w:rsidRDefault="009F6D8A">
            <w:pPr>
              <w:rPr>
                <w:rFonts w:ascii="宋体"/>
                <w:vanish/>
              </w:rPr>
            </w:pPr>
          </w:p>
        </w:tc>
        <w:tc>
          <w:tcPr>
            <w:tcW w:w="0" w:type="auto"/>
            <w:gridSpan w:val="3"/>
            <w:shd w:val="clear" w:color="auto" w:fill="auto"/>
            <w:vAlign w:val="bottom"/>
          </w:tcPr>
          <w:p w14:paraId="64303A72" w14:textId="77777777" w:rsidR="009F6D8A" w:rsidRDefault="009F6D8A">
            <w:pPr>
              <w:rPr>
                <w:rFonts w:ascii="宋体"/>
                <w:vanish/>
              </w:rPr>
            </w:pPr>
          </w:p>
        </w:tc>
        <w:tc>
          <w:tcPr>
            <w:tcW w:w="0" w:type="auto"/>
            <w:gridSpan w:val="3"/>
            <w:shd w:val="clear" w:color="auto" w:fill="auto"/>
            <w:vAlign w:val="bottom"/>
          </w:tcPr>
          <w:p w14:paraId="64303A73" w14:textId="77777777" w:rsidR="009F6D8A" w:rsidRDefault="009F6D8A">
            <w:pPr>
              <w:rPr>
                <w:rFonts w:ascii="宋体"/>
                <w:vanish/>
              </w:rPr>
            </w:pPr>
          </w:p>
        </w:tc>
        <w:tc>
          <w:tcPr>
            <w:tcW w:w="0" w:type="auto"/>
            <w:gridSpan w:val="3"/>
            <w:shd w:val="clear" w:color="auto" w:fill="auto"/>
            <w:vAlign w:val="bottom"/>
          </w:tcPr>
          <w:p w14:paraId="64303A74" w14:textId="77777777" w:rsidR="009F6D8A" w:rsidRDefault="009F6D8A">
            <w:pPr>
              <w:rPr>
                <w:rFonts w:ascii="宋体"/>
                <w:vanish/>
              </w:rPr>
            </w:pPr>
          </w:p>
        </w:tc>
        <w:tc>
          <w:tcPr>
            <w:tcW w:w="0" w:type="auto"/>
            <w:gridSpan w:val="3"/>
            <w:shd w:val="clear" w:color="auto" w:fill="auto"/>
            <w:vAlign w:val="bottom"/>
          </w:tcPr>
          <w:p w14:paraId="64303A75" w14:textId="77777777" w:rsidR="009F6D8A" w:rsidRDefault="009F6D8A">
            <w:pPr>
              <w:rPr>
                <w:rFonts w:ascii="宋体"/>
                <w:vanish/>
              </w:rPr>
            </w:pPr>
          </w:p>
        </w:tc>
        <w:tc>
          <w:tcPr>
            <w:tcW w:w="0" w:type="auto"/>
            <w:gridSpan w:val="3"/>
            <w:shd w:val="clear" w:color="auto" w:fill="auto"/>
            <w:vAlign w:val="bottom"/>
          </w:tcPr>
          <w:p w14:paraId="64303A76" w14:textId="77777777" w:rsidR="009F6D8A" w:rsidRDefault="009F6D8A">
            <w:pPr>
              <w:rPr>
                <w:rFonts w:ascii="宋体"/>
                <w:vanish/>
              </w:rPr>
            </w:pPr>
          </w:p>
        </w:tc>
        <w:tc>
          <w:tcPr>
            <w:tcW w:w="0" w:type="auto"/>
            <w:gridSpan w:val="3"/>
            <w:shd w:val="clear" w:color="auto" w:fill="auto"/>
            <w:vAlign w:val="bottom"/>
          </w:tcPr>
          <w:p w14:paraId="64303A77" w14:textId="77777777" w:rsidR="009F6D8A" w:rsidRDefault="009F6D8A">
            <w:pPr>
              <w:rPr>
                <w:rFonts w:ascii="宋体"/>
                <w:vanish/>
              </w:rPr>
            </w:pPr>
          </w:p>
        </w:tc>
        <w:tc>
          <w:tcPr>
            <w:tcW w:w="0" w:type="auto"/>
            <w:gridSpan w:val="3"/>
            <w:shd w:val="clear" w:color="auto" w:fill="auto"/>
            <w:vAlign w:val="bottom"/>
          </w:tcPr>
          <w:p w14:paraId="64303A78" w14:textId="77777777" w:rsidR="009F6D8A" w:rsidRDefault="009F6D8A">
            <w:pPr>
              <w:rPr>
                <w:rFonts w:ascii="宋体"/>
                <w:vanish/>
              </w:rPr>
            </w:pPr>
          </w:p>
        </w:tc>
      </w:tr>
      <w:tr w:rsidR="009F6D8A" w14:paraId="64303A82" w14:textId="77777777">
        <w:trPr>
          <w:hidden/>
        </w:trPr>
        <w:tc>
          <w:tcPr>
            <w:tcW w:w="0" w:type="auto"/>
            <w:gridSpan w:val="3"/>
            <w:shd w:val="clear" w:color="auto" w:fill="auto"/>
            <w:vAlign w:val="bottom"/>
          </w:tcPr>
          <w:p w14:paraId="64303A7A" w14:textId="77777777" w:rsidR="009F6D8A" w:rsidRDefault="009F6D8A">
            <w:pPr>
              <w:rPr>
                <w:rFonts w:ascii="宋体"/>
                <w:vanish/>
              </w:rPr>
            </w:pPr>
          </w:p>
        </w:tc>
        <w:tc>
          <w:tcPr>
            <w:tcW w:w="0" w:type="auto"/>
            <w:gridSpan w:val="3"/>
            <w:shd w:val="clear" w:color="auto" w:fill="auto"/>
            <w:vAlign w:val="bottom"/>
          </w:tcPr>
          <w:p w14:paraId="64303A7B" w14:textId="77777777" w:rsidR="009F6D8A" w:rsidRDefault="009F6D8A">
            <w:pPr>
              <w:rPr>
                <w:rFonts w:ascii="宋体"/>
                <w:vanish/>
              </w:rPr>
            </w:pPr>
          </w:p>
        </w:tc>
        <w:tc>
          <w:tcPr>
            <w:tcW w:w="0" w:type="auto"/>
            <w:gridSpan w:val="3"/>
            <w:shd w:val="clear" w:color="auto" w:fill="auto"/>
            <w:vAlign w:val="bottom"/>
          </w:tcPr>
          <w:p w14:paraId="64303A7C" w14:textId="77777777" w:rsidR="009F6D8A" w:rsidRDefault="009F6D8A">
            <w:pPr>
              <w:rPr>
                <w:rFonts w:ascii="宋体"/>
                <w:vanish/>
              </w:rPr>
            </w:pPr>
          </w:p>
        </w:tc>
        <w:tc>
          <w:tcPr>
            <w:tcW w:w="0" w:type="auto"/>
            <w:gridSpan w:val="3"/>
            <w:shd w:val="clear" w:color="auto" w:fill="auto"/>
            <w:vAlign w:val="bottom"/>
          </w:tcPr>
          <w:p w14:paraId="64303A7D" w14:textId="77777777" w:rsidR="009F6D8A" w:rsidRDefault="009F6D8A">
            <w:pPr>
              <w:rPr>
                <w:rFonts w:ascii="宋体"/>
                <w:vanish/>
              </w:rPr>
            </w:pPr>
          </w:p>
        </w:tc>
        <w:tc>
          <w:tcPr>
            <w:tcW w:w="0" w:type="auto"/>
            <w:gridSpan w:val="3"/>
            <w:shd w:val="clear" w:color="auto" w:fill="auto"/>
            <w:vAlign w:val="bottom"/>
          </w:tcPr>
          <w:p w14:paraId="64303A7E" w14:textId="77777777" w:rsidR="009F6D8A" w:rsidRDefault="009F6D8A">
            <w:pPr>
              <w:rPr>
                <w:rFonts w:ascii="宋体"/>
                <w:vanish/>
              </w:rPr>
            </w:pPr>
          </w:p>
        </w:tc>
        <w:tc>
          <w:tcPr>
            <w:tcW w:w="0" w:type="auto"/>
            <w:gridSpan w:val="3"/>
            <w:shd w:val="clear" w:color="auto" w:fill="auto"/>
            <w:vAlign w:val="bottom"/>
          </w:tcPr>
          <w:p w14:paraId="64303A7F" w14:textId="77777777" w:rsidR="009F6D8A" w:rsidRDefault="009F6D8A">
            <w:pPr>
              <w:rPr>
                <w:rFonts w:ascii="宋体"/>
                <w:vanish/>
              </w:rPr>
            </w:pPr>
          </w:p>
        </w:tc>
        <w:tc>
          <w:tcPr>
            <w:tcW w:w="0" w:type="auto"/>
            <w:gridSpan w:val="3"/>
            <w:shd w:val="clear" w:color="auto" w:fill="auto"/>
            <w:vAlign w:val="bottom"/>
          </w:tcPr>
          <w:p w14:paraId="64303A80" w14:textId="77777777" w:rsidR="009F6D8A" w:rsidRDefault="009F6D8A">
            <w:pPr>
              <w:rPr>
                <w:rFonts w:ascii="宋体"/>
                <w:vanish/>
              </w:rPr>
            </w:pPr>
          </w:p>
        </w:tc>
        <w:tc>
          <w:tcPr>
            <w:tcW w:w="0" w:type="auto"/>
            <w:gridSpan w:val="3"/>
            <w:shd w:val="clear" w:color="auto" w:fill="auto"/>
            <w:vAlign w:val="bottom"/>
          </w:tcPr>
          <w:p w14:paraId="64303A81" w14:textId="77777777" w:rsidR="009F6D8A" w:rsidRDefault="009F6D8A">
            <w:pPr>
              <w:rPr>
                <w:rFonts w:ascii="宋体"/>
                <w:vanish/>
              </w:rPr>
            </w:pPr>
          </w:p>
        </w:tc>
      </w:tr>
      <w:tr w:rsidR="009F6D8A" w14:paraId="64303A8B" w14:textId="77777777">
        <w:trPr>
          <w:hidden/>
        </w:trPr>
        <w:tc>
          <w:tcPr>
            <w:tcW w:w="0" w:type="auto"/>
            <w:gridSpan w:val="3"/>
            <w:shd w:val="clear" w:color="auto" w:fill="auto"/>
            <w:vAlign w:val="bottom"/>
          </w:tcPr>
          <w:p w14:paraId="64303A83" w14:textId="77777777" w:rsidR="009F6D8A" w:rsidRDefault="009F6D8A">
            <w:pPr>
              <w:rPr>
                <w:rFonts w:ascii="宋体"/>
                <w:vanish/>
              </w:rPr>
            </w:pPr>
          </w:p>
        </w:tc>
        <w:tc>
          <w:tcPr>
            <w:tcW w:w="0" w:type="auto"/>
            <w:gridSpan w:val="3"/>
            <w:shd w:val="clear" w:color="auto" w:fill="auto"/>
            <w:vAlign w:val="bottom"/>
          </w:tcPr>
          <w:p w14:paraId="64303A84" w14:textId="77777777" w:rsidR="009F6D8A" w:rsidRDefault="009F6D8A">
            <w:pPr>
              <w:rPr>
                <w:rFonts w:ascii="宋体"/>
                <w:vanish/>
              </w:rPr>
            </w:pPr>
          </w:p>
        </w:tc>
        <w:tc>
          <w:tcPr>
            <w:tcW w:w="0" w:type="auto"/>
            <w:gridSpan w:val="3"/>
            <w:shd w:val="clear" w:color="auto" w:fill="auto"/>
            <w:vAlign w:val="bottom"/>
          </w:tcPr>
          <w:p w14:paraId="64303A85" w14:textId="77777777" w:rsidR="009F6D8A" w:rsidRDefault="009F6D8A">
            <w:pPr>
              <w:rPr>
                <w:rFonts w:ascii="宋体"/>
                <w:vanish/>
              </w:rPr>
            </w:pPr>
          </w:p>
        </w:tc>
        <w:tc>
          <w:tcPr>
            <w:tcW w:w="0" w:type="auto"/>
            <w:gridSpan w:val="3"/>
            <w:shd w:val="clear" w:color="auto" w:fill="auto"/>
            <w:vAlign w:val="bottom"/>
          </w:tcPr>
          <w:p w14:paraId="64303A86" w14:textId="77777777" w:rsidR="009F6D8A" w:rsidRDefault="009F6D8A">
            <w:pPr>
              <w:rPr>
                <w:rFonts w:ascii="宋体"/>
                <w:vanish/>
              </w:rPr>
            </w:pPr>
          </w:p>
        </w:tc>
        <w:tc>
          <w:tcPr>
            <w:tcW w:w="0" w:type="auto"/>
            <w:gridSpan w:val="3"/>
            <w:shd w:val="clear" w:color="auto" w:fill="auto"/>
            <w:vAlign w:val="bottom"/>
          </w:tcPr>
          <w:p w14:paraId="64303A87" w14:textId="77777777" w:rsidR="009F6D8A" w:rsidRDefault="009F6D8A">
            <w:pPr>
              <w:rPr>
                <w:rFonts w:ascii="宋体"/>
                <w:vanish/>
              </w:rPr>
            </w:pPr>
          </w:p>
        </w:tc>
        <w:tc>
          <w:tcPr>
            <w:tcW w:w="0" w:type="auto"/>
            <w:gridSpan w:val="3"/>
            <w:shd w:val="clear" w:color="auto" w:fill="auto"/>
            <w:vAlign w:val="bottom"/>
          </w:tcPr>
          <w:p w14:paraId="64303A88" w14:textId="77777777" w:rsidR="009F6D8A" w:rsidRDefault="009F6D8A">
            <w:pPr>
              <w:rPr>
                <w:rFonts w:ascii="宋体"/>
                <w:vanish/>
              </w:rPr>
            </w:pPr>
          </w:p>
        </w:tc>
        <w:tc>
          <w:tcPr>
            <w:tcW w:w="0" w:type="auto"/>
            <w:gridSpan w:val="3"/>
            <w:shd w:val="clear" w:color="auto" w:fill="auto"/>
            <w:vAlign w:val="bottom"/>
          </w:tcPr>
          <w:p w14:paraId="64303A89" w14:textId="77777777" w:rsidR="009F6D8A" w:rsidRDefault="009F6D8A">
            <w:pPr>
              <w:rPr>
                <w:rFonts w:ascii="宋体"/>
                <w:vanish/>
              </w:rPr>
            </w:pPr>
          </w:p>
        </w:tc>
        <w:tc>
          <w:tcPr>
            <w:tcW w:w="0" w:type="auto"/>
            <w:gridSpan w:val="3"/>
            <w:shd w:val="clear" w:color="auto" w:fill="auto"/>
            <w:vAlign w:val="bottom"/>
          </w:tcPr>
          <w:p w14:paraId="64303A8A" w14:textId="77777777" w:rsidR="009F6D8A" w:rsidRDefault="009F6D8A">
            <w:pPr>
              <w:rPr>
                <w:rFonts w:ascii="宋体"/>
                <w:vanish/>
              </w:rPr>
            </w:pPr>
          </w:p>
        </w:tc>
      </w:tr>
      <w:tr w:rsidR="009F6D8A" w14:paraId="64303A94" w14:textId="77777777">
        <w:trPr>
          <w:hidden/>
        </w:trPr>
        <w:tc>
          <w:tcPr>
            <w:tcW w:w="0" w:type="auto"/>
            <w:gridSpan w:val="3"/>
            <w:shd w:val="clear" w:color="auto" w:fill="auto"/>
            <w:vAlign w:val="bottom"/>
          </w:tcPr>
          <w:p w14:paraId="64303A8C" w14:textId="77777777" w:rsidR="009F6D8A" w:rsidRDefault="009F6D8A">
            <w:pPr>
              <w:rPr>
                <w:rFonts w:ascii="宋体"/>
                <w:vanish/>
              </w:rPr>
            </w:pPr>
          </w:p>
        </w:tc>
        <w:tc>
          <w:tcPr>
            <w:tcW w:w="0" w:type="auto"/>
            <w:gridSpan w:val="3"/>
            <w:shd w:val="clear" w:color="auto" w:fill="auto"/>
            <w:vAlign w:val="bottom"/>
          </w:tcPr>
          <w:p w14:paraId="64303A8D" w14:textId="77777777" w:rsidR="009F6D8A" w:rsidRDefault="009F6D8A">
            <w:pPr>
              <w:rPr>
                <w:rFonts w:ascii="宋体"/>
                <w:vanish/>
              </w:rPr>
            </w:pPr>
          </w:p>
        </w:tc>
        <w:tc>
          <w:tcPr>
            <w:tcW w:w="0" w:type="auto"/>
            <w:gridSpan w:val="3"/>
            <w:shd w:val="clear" w:color="auto" w:fill="auto"/>
            <w:vAlign w:val="bottom"/>
          </w:tcPr>
          <w:p w14:paraId="64303A8E" w14:textId="77777777" w:rsidR="009F6D8A" w:rsidRDefault="009F6D8A">
            <w:pPr>
              <w:rPr>
                <w:rFonts w:ascii="宋体"/>
                <w:vanish/>
              </w:rPr>
            </w:pPr>
          </w:p>
        </w:tc>
        <w:tc>
          <w:tcPr>
            <w:tcW w:w="0" w:type="auto"/>
            <w:gridSpan w:val="3"/>
            <w:shd w:val="clear" w:color="auto" w:fill="auto"/>
            <w:vAlign w:val="bottom"/>
          </w:tcPr>
          <w:p w14:paraId="64303A8F" w14:textId="77777777" w:rsidR="009F6D8A" w:rsidRDefault="009F6D8A">
            <w:pPr>
              <w:rPr>
                <w:rFonts w:ascii="宋体"/>
                <w:vanish/>
              </w:rPr>
            </w:pPr>
          </w:p>
        </w:tc>
        <w:tc>
          <w:tcPr>
            <w:tcW w:w="0" w:type="auto"/>
            <w:gridSpan w:val="3"/>
            <w:shd w:val="clear" w:color="auto" w:fill="auto"/>
            <w:vAlign w:val="bottom"/>
          </w:tcPr>
          <w:p w14:paraId="64303A90" w14:textId="77777777" w:rsidR="009F6D8A" w:rsidRDefault="009F6D8A">
            <w:pPr>
              <w:rPr>
                <w:rFonts w:ascii="宋体"/>
                <w:vanish/>
              </w:rPr>
            </w:pPr>
          </w:p>
        </w:tc>
        <w:tc>
          <w:tcPr>
            <w:tcW w:w="0" w:type="auto"/>
            <w:gridSpan w:val="3"/>
            <w:shd w:val="clear" w:color="auto" w:fill="auto"/>
            <w:vAlign w:val="bottom"/>
          </w:tcPr>
          <w:p w14:paraId="64303A91" w14:textId="77777777" w:rsidR="009F6D8A" w:rsidRDefault="009F6D8A">
            <w:pPr>
              <w:rPr>
                <w:rFonts w:ascii="宋体"/>
                <w:vanish/>
              </w:rPr>
            </w:pPr>
          </w:p>
        </w:tc>
        <w:tc>
          <w:tcPr>
            <w:tcW w:w="0" w:type="auto"/>
            <w:gridSpan w:val="3"/>
            <w:shd w:val="clear" w:color="auto" w:fill="auto"/>
            <w:vAlign w:val="bottom"/>
          </w:tcPr>
          <w:p w14:paraId="64303A92" w14:textId="77777777" w:rsidR="009F6D8A" w:rsidRDefault="009F6D8A">
            <w:pPr>
              <w:rPr>
                <w:rFonts w:ascii="宋体"/>
                <w:vanish/>
              </w:rPr>
            </w:pPr>
          </w:p>
        </w:tc>
        <w:tc>
          <w:tcPr>
            <w:tcW w:w="0" w:type="auto"/>
            <w:gridSpan w:val="3"/>
            <w:shd w:val="clear" w:color="auto" w:fill="auto"/>
            <w:vAlign w:val="bottom"/>
          </w:tcPr>
          <w:p w14:paraId="64303A93" w14:textId="77777777" w:rsidR="009F6D8A" w:rsidRDefault="009F6D8A">
            <w:pPr>
              <w:rPr>
                <w:rFonts w:ascii="宋体"/>
                <w:vanish/>
              </w:rPr>
            </w:pPr>
          </w:p>
        </w:tc>
      </w:tr>
      <w:tr w:rsidR="009F6D8A" w14:paraId="64303A9D" w14:textId="77777777">
        <w:trPr>
          <w:hidden/>
        </w:trPr>
        <w:tc>
          <w:tcPr>
            <w:tcW w:w="0" w:type="auto"/>
            <w:gridSpan w:val="3"/>
            <w:shd w:val="clear" w:color="auto" w:fill="auto"/>
            <w:vAlign w:val="bottom"/>
          </w:tcPr>
          <w:p w14:paraId="64303A95" w14:textId="77777777" w:rsidR="009F6D8A" w:rsidRDefault="009F6D8A">
            <w:pPr>
              <w:rPr>
                <w:rFonts w:ascii="宋体"/>
                <w:vanish/>
              </w:rPr>
            </w:pPr>
          </w:p>
        </w:tc>
        <w:tc>
          <w:tcPr>
            <w:tcW w:w="0" w:type="auto"/>
            <w:gridSpan w:val="3"/>
            <w:shd w:val="clear" w:color="auto" w:fill="auto"/>
            <w:vAlign w:val="bottom"/>
          </w:tcPr>
          <w:p w14:paraId="64303A96" w14:textId="77777777" w:rsidR="009F6D8A" w:rsidRDefault="009F6D8A">
            <w:pPr>
              <w:rPr>
                <w:rFonts w:ascii="宋体"/>
                <w:vanish/>
              </w:rPr>
            </w:pPr>
          </w:p>
        </w:tc>
        <w:tc>
          <w:tcPr>
            <w:tcW w:w="0" w:type="auto"/>
            <w:gridSpan w:val="3"/>
            <w:shd w:val="clear" w:color="auto" w:fill="auto"/>
            <w:vAlign w:val="bottom"/>
          </w:tcPr>
          <w:p w14:paraId="64303A97" w14:textId="77777777" w:rsidR="009F6D8A" w:rsidRDefault="009F6D8A">
            <w:pPr>
              <w:rPr>
                <w:rFonts w:ascii="宋体"/>
                <w:vanish/>
              </w:rPr>
            </w:pPr>
          </w:p>
        </w:tc>
        <w:tc>
          <w:tcPr>
            <w:tcW w:w="0" w:type="auto"/>
            <w:gridSpan w:val="3"/>
            <w:shd w:val="clear" w:color="auto" w:fill="auto"/>
            <w:vAlign w:val="bottom"/>
          </w:tcPr>
          <w:p w14:paraId="64303A98" w14:textId="77777777" w:rsidR="009F6D8A" w:rsidRDefault="009F6D8A">
            <w:pPr>
              <w:rPr>
                <w:rFonts w:ascii="宋体"/>
                <w:vanish/>
              </w:rPr>
            </w:pPr>
          </w:p>
        </w:tc>
        <w:tc>
          <w:tcPr>
            <w:tcW w:w="0" w:type="auto"/>
            <w:gridSpan w:val="3"/>
            <w:shd w:val="clear" w:color="auto" w:fill="auto"/>
            <w:vAlign w:val="bottom"/>
          </w:tcPr>
          <w:p w14:paraId="64303A99" w14:textId="77777777" w:rsidR="009F6D8A" w:rsidRDefault="009F6D8A">
            <w:pPr>
              <w:rPr>
                <w:rFonts w:ascii="宋体"/>
                <w:vanish/>
              </w:rPr>
            </w:pPr>
          </w:p>
        </w:tc>
        <w:tc>
          <w:tcPr>
            <w:tcW w:w="0" w:type="auto"/>
            <w:gridSpan w:val="3"/>
            <w:shd w:val="clear" w:color="auto" w:fill="auto"/>
            <w:vAlign w:val="bottom"/>
          </w:tcPr>
          <w:p w14:paraId="64303A9A" w14:textId="77777777" w:rsidR="009F6D8A" w:rsidRDefault="009F6D8A">
            <w:pPr>
              <w:rPr>
                <w:rFonts w:ascii="宋体"/>
                <w:vanish/>
              </w:rPr>
            </w:pPr>
          </w:p>
        </w:tc>
        <w:tc>
          <w:tcPr>
            <w:tcW w:w="0" w:type="auto"/>
            <w:gridSpan w:val="3"/>
            <w:shd w:val="clear" w:color="auto" w:fill="auto"/>
            <w:vAlign w:val="bottom"/>
          </w:tcPr>
          <w:p w14:paraId="64303A9B" w14:textId="77777777" w:rsidR="009F6D8A" w:rsidRDefault="009F6D8A">
            <w:pPr>
              <w:rPr>
                <w:rFonts w:ascii="宋体"/>
                <w:vanish/>
              </w:rPr>
            </w:pPr>
          </w:p>
        </w:tc>
        <w:tc>
          <w:tcPr>
            <w:tcW w:w="0" w:type="auto"/>
            <w:gridSpan w:val="3"/>
            <w:shd w:val="clear" w:color="auto" w:fill="auto"/>
            <w:vAlign w:val="bottom"/>
          </w:tcPr>
          <w:p w14:paraId="64303A9C" w14:textId="77777777" w:rsidR="009F6D8A" w:rsidRDefault="009F6D8A">
            <w:pPr>
              <w:rPr>
                <w:rFonts w:ascii="宋体"/>
                <w:vanish/>
              </w:rPr>
            </w:pPr>
          </w:p>
        </w:tc>
      </w:tr>
      <w:tr w:rsidR="009F6D8A" w14:paraId="64303AA6" w14:textId="77777777">
        <w:trPr>
          <w:hidden/>
        </w:trPr>
        <w:tc>
          <w:tcPr>
            <w:tcW w:w="0" w:type="auto"/>
            <w:gridSpan w:val="3"/>
            <w:shd w:val="clear" w:color="auto" w:fill="auto"/>
            <w:vAlign w:val="bottom"/>
          </w:tcPr>
          <w:p w14:paraId="64303A9E" w14:textId="77777777" w:rsidR="009F6D8A" w:rsidRDefault="009F6D8A">
            <w:pPr>
              <w:rPr>
                <w:rFonts w:ascii="宋体"/>
                <w:vanish/>
              </w:rPr>
            </w:pPr>
          </w:p>
        </w:tc>
        <w:tc>
          <w:tcPr>
            <w:tcW w:w="0" w:type="auto"/>
            <w:gridSpan w:val="3"/>
            <w:shd w:val="clear" w:color="auto" w:fill="auto"/>
            <w:vAlign w:val="bottom"/>
          </w:tcPr>
          <w:p w14:paraId="64303A9F" w14:textId="77777777" w:rsidR="009F6D8A" w:rsidRDefault="009F6D8A">
            <w:pPr>
              <w:rPr>
                <w:rFonts w:ascii="宋体"/>
                <w:vanish/>
              </w:rPr>
            </w:pPr>
          </w:p>
        </w:tc>
        <w:tc>
          <w:tcPr>
            <w:tcW w:w="0" w:type="auto"/>
            <w:gridSpan w:val="3"/>
            <w:shd w:val="clear" w:color="auto" w:fill="auto"/>
            <w:vAlign w:val="bottom"/>
          </w:tcPr>
          <w:p w14:paraId="64303AA0" w14:textId="77777777" w:rsidR="009F6D8A" w:rsidRDefault="009F6D8A">
            <w:pPr>
              <w:rPr>
                <w:rFonts w:ascii="宋体"/>
                <w:vanish/>
              </w:rPr>
            </w:pPr>
          </w:p>
        </w:tc>
        <w:tc>
          <w:tcPr>
            <w:tcW w:w="0" w:type="auto"/>
            <w:gridSpan w:val="3"/>
            <w:shd w:val="clear" w:color="auto" w:fill="auto"/>
            <w:vAlign w:val="bottom"/>
          </w:tcPr>
          <w:p w14:paraId="64303AA1" w14:textId="77777777" w:rsidR="009F6D8A" w:rsidRDefault="009F6D8A">
            <w:pPr>
              <w:rPr>
                <w:rFonts w:ascii="宋体"/>
                <w:vanish/>
              </w:rPr>
            </w:pPr>
          </w:p>
        </w:tc>
        <w:tc>
          <w:tcPr>
            <w:tcW w:w="0" w:type="auto"/>
            <w:gridSpan w:val="3"/>
            <w:shd w:val="clear" w:color="auto" w:fill="auto"/>
            <w:vAlign w:val="bottom"/>
          </w:tcPr>
          <w:p w14:paraId="64303AA2" w14:textId="77777777" w:rsidR="009F6D8A" w:rsidRDefault="009F6D8A">
            <w:pPr>
              <w:rPr>
                <w:rFonts w:ascii="宋体"/>
                <w:vanish/>
              </w:rPr>
            </w:pPr>
          </w:p>
        </w:tc>
        <w:tc>
          <w:tcPr>
            <w:tcW w:w="0" w:type="auto"/>
            <w:gridSpan w:val="3"/>
            <w:shd w:val="clear" w:color="auto" w:fill="auto"/>
            <w:vAlign w:val="bottom"/>
          </w:tcPr>
          <w:p w14:paraId="64303AA3" w14:textId="77777777" w:rsidR="009F6D8A" w:rsidRDefault="009F6D8A">
            <w:pPr>
              <w:rPr>
                <w:rFonts w:ascii="宋体"/>
                <w:vanish/>
              </w:rPr>
            </w:pPr>
          </w:p>
        </w:tc>
        <w:tc>
          <w:tcPr>
            <w:tcW w:w="0" w:type="auto"/>
            <w:gridSpan w:val="3"/>
            <w:shd w:val="clear" w:color="auto" w:fill="auto"/>
            <w:vAlign w:val="bottom"/>
          </w:tcPr>
          <w:p w14:paraId="64303AA4" w14:textId="77777777" w:rsidR="009F6D8A" w:rsidRDefault="009F6D8A">
            <w:pPr>
              <w:rPr>
                <w:rFonts w:ascii="宋体"/>
                <w:vanish/>
              </w:rPr>
            </w:pPr>
          </w:p>
        </w:tc>
        <w:tc>
          <w:tcPr>
            <w:tcW w:w="0" w:type="auto"/>
            <w:gridSpan w:val="3"/>
            <w:shd w:val="clear" w:color="auto" w:fill="auto"/>
            <w:vAlign w:val="bottom"/>
          </w:tcPr>
          <w:p w14:paraId="64303AA5" w14:textId="77777777" w:rsidR="009F6D8A" w:rsidRDefault="009F6D8A">
            <w:pPr>
              <w:rPr>
                <w:rFonts w:ascii="宋体"/>
                <w:vanish/>
              </w:rPr>
            </w:pPr>
          </w:p>
        </w:tc>
      </w:tr>
      <w:tr w:rsidR="009F6D8A" w14:paraId="64303AAF" w14:textId="77777777">
        <w:trPr>
          <w:hidden/>
        </w:trPr>
        <w:tc>
          <w:tcPr>
            <w:tcW w:w="0" w:type="auto"/>
            <w:gridSpan w:val="3"/>
            <w:shd w:val="clear" w:color="auto" w:fill="auto"/>
            <w:vAlign w:val="bottom"/>
          </w:tcPr>
          <w:p w14:paraId="64303AA7" w14:textId="77777777" w:rsidR="009F6D8A" w:rsidRDefault="009F6D8A">
            <w:pPr>
              <w:rPr>
                <w:rFonts w:ascii="宋体"/>
                <w:vanish/>
              </w:rPr>
            </w:pPr>
          </w:p>
        </w:tc>
        <w:tc>
          <w:tcPr>
            <w:tcW w:w="0" w:type="auto"/>
            <w:gridSpan w:val="3"/>
            <w:shd w:val="clear" w:color="auto" w:fill="auto"/>
            <w:vAlign w:val="bottom"/>
          </w:tcPr>
          <w:p w14:paraId="64303AA8" w14:textId="77777777" w:rsidR="009F6D8A" w:rsidRDefault="009F6D8A">
            <w:pPr>
              <w:rPr>
                <w:rFonts w:ascii="宋体"/>
                <w:vanish/>
              </w:rPr>
            </w:pPr>
          </w:p>
        </w:tc>
        <w:tc>
          <w:tcPr>
            <w:tcW w:w="0" w:type="auto"/>
            <w:gridSpan w:val="3"/>
            <w:shd w:val="clear" w:color="auto" w:fill="auto"/>
            <w:vAlign w:val="bottom"/>
          </w:tcPr>
          <w:p w14:paraId="64303AA9" w14:textId="77777777" w:rsidR="009F6D8A" w:rsidRDefault="009F6D8A">
            <w:pPr>
              <w:rPr>
                <w:rFonts w:ascii="宋体"/>
                <w:vanish/>
              </w:rPr>
            </w:pPr>
          </w:p>
        </w:tc>
        <w:tc>
          <w:tcPr>
            <w:tcW w:w="0" w:type="auto"/>
            <w:gridSpan w:val="3"/>
            <w:shd w:val="clear" w:color="auto" w:fill="auto"/>
            <w:vAlign w:val="bottom"/>
          </w:tcPr>
          <w:p w14:paraId="64303AAA" w14:textId="77777777" w:rsidR="009F6D8A" w:rsidRDefault="009F6D8A">
            <w:pPr>
              <w:rPr>
                <w:rFonts w:ascii="宋体"/>
                <w:vanish/>
              </w:rPr>
            </w:pPr>
          </w:p>
        </w:tc>
        <w:tc>
          <w:tcPr>
            <w:tcW w:w="0" w:type="auto"/>
            <w:gridSpan w:val="3"/>
            <w:shd w:val="clear" w:color="auto" w:fill="auto"/>
            <w:vAlign w:val="bottom"/>
          </w:tcPr>
          <w:p w14:paraId="64303AAB" w14:textId="77777777" w:rsidR="009F6D8A" w:rsidRDefault="009F6D8A">
            <w:pPr>
              <w:rPr>
                <w:rFonts w:ascii="宋体"/>
                <w:vanish/>
              </w:rPr>
            </w:pPr>
          </w:p>
        </w:tc>
        <w:tc>
          <w:tcPr>
            <w:tcW w:w="0" w:type="auto"/>
            <w:gridSpan w:val="3"/>
            <w:shd w:val="clear" w:color="auto" w:fill="auto"/>
            <w:vAlign w:val="bottom"/>
          </w:tcPr>
          <w:p w14:paraId="64303AAC" w14:textId="77777777" w:rsidR="009F6D8A" w:rsidRDefault="009F6D8A">
            <w:pPr>
              <w:rPr>
                <w:rFonts w:ascii="宋体"/>
                <w:vanish/>
              </w:rPr>
            </w:pPr>
          </w:p>
        </w:tc>
        <w:tc>
          <w:tcPr>
            <w:tcW w:w="0" w:type="auto"/>
            <w:gridSpan w:val="3"/>
            <w:shd w:val="clear" w:color="auto" w:fill="auto"/>
            <w:vAlign w:val="bottom"/>
          </w:tcPr>
          <w:p w14:paraId="64303AAD" w14:textId="77777777" w:rsidR="009F6D8A" w:rsidRDefault="009F6D8A">
            <w:pPr>
              <w:rPr>
                <w:rFonts w:ascii="宋体"/>
                <w:vanish/>
              </w:rPr>
            </w:pPr>
          </w:p>
        </w:tc>
        <w:tc>
          <w:tcPr>
            <w:tcW w:w="0" w:type="auto"/>
            <w:gridSpan w:val="3"/>
            <w:shd w:val="clear" w:color="auto" w:fill="auto"/>
            <w:vAlign w:val="bottom"/>
          </w:tcPr>
          <w:p w14:paraId="64303AAE" w14:textId="77777777" w:rsidR="009F6D8A" w:rsidRDefault="009F6D8A">
            <w:pPr>
              <w:rPr>
                <w:rFonts w:ascii="宋体"/>
                <w:vanish/>
              </w:rPr>
            </w:pPr>
          </w:p>
        </w:tc>
      </w:tr>
      <w:tr w:rsidR="009F6D8A" w14:paraId="64303AB8" w14:textId="77777777">
        <w:trPr>
          <w:hidden/>
        </w:trPr>
        <w:tc>
          <w:tcPr>
            <w:tcW w:w="0" w:type="auto"/>
            <w:gridSpan w:val="3"/>
            <w:shd w:val="clear" w:color="auto" w:fill="auto"/>
            <w:vAlign w:val="bottom"/>
          </w:tcPr>
          <w:p w14:paraId="64303AB0" w14:textId="77777777" w:rsidR="009F6D8A" w:rsidRDefault="009F6D8A">
            <w:pPr>
              <w:rPr>
                <w:rFonts w:ascii="宋体"/>
                <w:vanish/>
              </w:rPr>
            </w:pPr>
          </w:p>
        </w:tc>
        <w:tc>
          <w:tcPr>
            <w:tcW w:w="0" w:type="auto"/>
            <w:gridSpan w:val="3"/>
            <w:shd w:val="clear" w:color="auto" w:fill="auto"/>
            <w:vAlign w:val="bottom"/>
          </w:tcPr>
          <w:p w14:paraId="64303AB1" w14:textId="77777777" w:rsidR="009F6D8A" w:rsidRDefault="009F6D8A">
            <w:pPr>
              <w:rPr>
                <w:rFonts w:ascii="宋体"/>
                <w:vanish/>
              </w:rPr>
            </w:pPr>
          </w:p>
        </w:tc>
        <w:tc>
          <w:tcPr>
            <w:tcW w:w="0" w:type="auto"/>
            <w:gridSpan w:val="3"/>
            <w:shd w:val="clear" w:color="auto" w:fill="auto"/>
            <w:vAlign w:val="bottom"/>
          </w:tcPr>
          <w:p w14:paraId="64303AB2" w14:textId="77777777" w:rsidR="009F6D8A" w:rsidRDefault="009F6D8A">
            <w:pPr>
              <w:rPr>
                <w:rFonts w:ascii="宋体"/>
                <w:vanish/>
              </w:rPr>
            </w:pPr>
          </w:p>
        </w:tc>
        <w:tc>
          <w:tcPr>
            <w:tcW w:w="0" w:type="auto"/>
            <w:gridSpan w:val="3"/>
            <w:shd w:val="clear" w:color="auto" w:fill="auto"/>
            <w:vAlign w:val="bottom"/>
          </w:tcPr>
          <w:p w14:paraId="64303AB3" w14:textId="77777777" w:rsidR="009F6D8A" w:rsidRDefault="009F6D8A">
            <w:pPr>
              <w:rPr>
                <w:rFonts w:ascii="宋体"/>
                <w:vanish/>
              </w:rPr>
            </w:pPr>
          </w:p>
        </w:tc>
        <w:tc>
          <w:tcPr>
            <w:tcW w:w="0" w:type="auto"/>
            <w:gridSpan w:val="3"/>
            <w:shd w:val="clear" w:color="auto" w:fill="auto"/>
            <w:vAlign w:val="bottom"/>
          </w:tcPr>
          <w:p w14:paraId="64303AB4" w14:textId="77777777" w:rsidR="009F6D8A" w:rsidRDefault="009F6D8A">
            <w:pPr>
              <w:rPr>
                <w:rFonts w:ascii="宋体"/>
                <w:vanish/>
              </w:rPr>
            </w:pPr>
          </w:p>
        </w:tc>
        <w:tc>
          <w:tcPr>
            <w:tcW w:w="0" w:type="auto"/>
            <w:gridSpan w:val="3"/>
            <w:shd w:val="clear" w:color="auto" w:fill="auto"/>
            <w:vAlign w:val="bottom"/>
          </w:tcPr>
          <w:p w14:paraId="64303AB5" w14:textId="77777777" w:rsidR="009F6D8A" w:rsidRDefault="009F6D8A">
            <w:pPr>
              <w:rPr>
                <w:rFonts w:ascii="宋体"/>
                <w:vanish/>
              </w:rPr>
            </w:pPr>
          </w:p>
        </w:tc>
        <w:tc>
          <w:tcPr>
            <w:tcW w:w="0" w:type="auto"/>
            <w:gridSpan w:val="3"/>
            <w:shd w:val="clear" w:color="auto" w:fill="auto"/>
            <w:vAlign w:val="bottom"/>
          </w:tcPr>
          <w:p w14:paraId="64303AB6" w14:textId="77777777" w:rsidR="009F6D8A" w:rsidRDefault="009F6D8A">
            <w:pPr>
              <w:rPr>
                <w:rFonts w:ascii="宋体"/>
                <w:vanish/>
              </w:rPr>
            </w:pPr>
          </w:p>
        </w:tc>
        <w:tc>
          <w:tcPr>
            <w:tcW w:w="0" w:type="auto"/>
            <w:gridSpan w:val="3"/>
            <w:shd w:val="clear" w:color="auto" w:fill="auto"/>
            <w:vAlign w:val="bottom"/>
          </w:tcPr>
          <w:p w14:paraId="64303AB7" w14:textId="77777777" w:rsidR="009F6D8A" w:rsidRDefault="009F6D8A">
            <w:pPr>
              <w:rPr>
                <w:rFonts w:ascii="宋体"/>
                <w:vanish/>
              </w:rPr>
            </w:pPr>
          </w:p>
        </w:tc>
      </w:tr>
      <w:tr w:rsidR="009F6D8A" w14:paraId="64303AC1" w14:textId="77777777">
        <w:trPr>
          <w:hidden/>
        </w:trPr>
        <w:tc>
          <w:tcPr>
            <w:tcW w:w="0" w:type="auto"/>
            <w:gridSpan w:val="3"/>
            <w:shd w:val="clear" w:color="auto" w:fill="auto"/>
            <w:vAlign w:val="bottom"/>
          </w:tcPr>
          <w:p w14:paraId="64303AB9" w14:textId="77777777" w:rsidR="009F6D8A" w:rsidRDefault="009F6D8A">
            <w:pPr>
              <w:rPr>
                <w:rFonts w:ascii="宋体"/>
                <w:vanish/>
              </w:rPr>
            </w:pPr>
          </w:p>
        </w:tc>
        <w:tc>
          <w:tcPr>
            <w:tcW w:w="0" w:type="auto"/>
            <w:gridSpan w:val="3"/>
            <w:shd w:val="clear" w:color="auto" w:fill="auto"/>
            <w:vAlign w:val="bottom"/>
          </w:tcPr>
          <w:p w14:paraId="64303ABA" w14:textId="77777777" w:rsidR="009F6D8A" w:rsidRDefault="009F6D8A">
            <w:pPr>
              <w:rPr>
                <w:rFonts w:ascii="宋体"/>
                <w:vanish/>
              </w:rPr>
            </w:pPr>
          </w:p>
        </w:tc>
        <w:tc>
          <w:tcPr>
            <w:tcW w:w="0" w:type="auto"/>
            <w:gridSpan w:val="3"/>
            <w:shd w:val="clear" w:color="auto" w:fill="auto"/>
            <w:vAlign w:val="bottom"/>
          </w:tcPr>
          <w:p w14:paraId="64303ABB" w14:textId="77777777" w:rsidR="009F6D8A" w:rsidRDefault="009F6D8A">
            <w:pPr>
              <w:rPr>
                <w:rFonts w:ascii="宋体"/>
                <w:vanish/>
              </w:rPr>
            </w:pPr>
          </w:p>
        </w:tc>
        <w:tc>
          <w:tcPr>
            <w:tcW w:w="0" w:type="auto"/>
            <w:gridSpan w:val="3"/>
            <w:shd w:val="clear" w:color="auto" w:fill="auto"/>
            <w:vAlign w:val="bottom"/>
          </w:tcPr>
          <w:p w14:paraId="64303ABC" w14:textId="77777777" w:rsidR="009F6D8A" w:rsidRDefault="009F6D8A">
            <w:pPr>
              <w:rPr>
                <w:rFonts w:ascii="宋体"/>
                <w:vanish/>
              </w:rPr>
            </w:pPr>
          </w:p>
        </w:tc>
        <w:tc>
          <w:tcPr>
            <w:tcW w:w="0" w:type="auto"/>
            <w:gridSpan w:val="3"/>
            <w:shd w:val="clear" w:color="auto" w:fill="auto"/>
            <w:vAlign w:val="bottom"/>
          </w:tcPr>
          <w:p w14:paraId="64303ABD" w14:textId="77777777" w:rsidR="009F6D8A" w:rsidRDefault="009F6D8A">
            <w:pPr>
              <w:rPr>
                <w:rFonts w:ascii="宋体"/>
                <w:vanish/>
              </w:rPr>
            </w:pPr>
          </w:p>
        </w:tc>
        <w:tc>
          <w:tcPr>
            <w:tcW w:w="0" w:type="auto"/>
            <w:gridSpan w:val="3"/>
            <w:shd w:val="clear" w:color="auto" w:fill="auto"/>
            <w:vAlign w:val="bottom"/>
          </w:tcPr>
          <w:p w14:paraId="64303ABE" w14:textId="77777777" w:rsidR="009F6D8A" w:rsidRDefault="009F6D8A">
            <w:pPr>
              <w:rPr>
                <w:rFonts w:ascii="宋体"/>
                <w:vanish/>
              </w:rPr>
            </w:pPr>
          </w:p>
        </w:tc>
        <w:tc>
          <w:tcPr>
            <w:tcW w:w="0" w:type="auto"/>
            <w:gridSpan w:val="3"/>
            <w:shd w:val="clear" w:color="auto" w:fill="auto"/>
            <w:vAlign w:val="bottom"/>
          </w:tcPr>
          <w:p w14:paraId="64303ABF" w14:textId="77777777" w:rsidR="009F6D8A" w:rsidRDefault="009F6D8A">
            <w:pPr>
              <w:rPr>
                <w:rFonts w:ascii="宋体"/>
                <w:vanish/>
              </w:rPr>
            </w:pPr>
          </w:p>
        </w:tc>
        <w:tc>
          <w:tcPr>
            <w:tcW w:w="0" w:type="auto"/>
            <w:gridSpan w:val="3"/>
            <w:shd w:val="clear" w:color="auto" w:fill="auto"/>
            <w:vAlign w:val="bottom"/>
          </w:tcPr>
          <w:p w14:paraId="64303AC0" w14:textId="77777777" w:rsidR="009F6D8A" w:rsidRDefault="009F6D8A">
            <w:pPr>
              <w:rPr>
                <w:rFonts w:ascii="宋体"/>
                <w:vanish/>
              </w:rPr>
            </w:pPr>
          </w:p>
        </w:tc>
      </w:tr>
    </w:tbl>
    <w:p w14:paraId="64303AC2" w14:textId="77777777" w:rsidR="009F6D8A" w:rsidRDefault="009F6D8A">
      <w:pPr>
        <w:spacing w:after="120"/>
        <w:jc w:val="center"/>
      </w:pPr>
    </w:p>
    <w:p w14:paraId="64303AC3" w14:textId="77777777" w:rsidR="009F6D8A" w:rsidRDefault="00C50974">
      <w:pPr>
        <w:spacing w:after="120"/>
        <w:ind w:firstLine="540"/>
        <w:jc w:val="both"/>
      </w:pPr>
      <w:r>
        <w:rPr>
          <w:rFonts w:ascii="Arial" w:eastAsia="宋体" w:hAnsi="Arial" w:cs="Arial"/>
          <w:color w:val="000000"/>
          <w:sz w:val="20"/>
          <w:szCs w:val="20"/>
        </w:rPr>
        <w:t xml:space="preserve">The following table summarizes the allocation of net revenues based on geography (in millions): </w:t>
      </w:r>
    </w:p>
    <w:tbl>
      <w:tblPr>
        <w:tblW w:w="5000" w:type="pct"/>
        <w:tblCellMar>
          <w:top w:w="15" w:type="dxa"/>
          <w:left w:w="15" w:type="dxa"/>
          <w:bottom w:w="15" w:type="dxa"/>
          <w:right w:w="15" w:type="dxa"/>
        </w:tblCellMar>
        <w:tblLook w:val="04A0" w:firstRow="1" w:lastRow="0" w:firstColumn="1" w:lastColumn="0" w:noHBand="0" w:noVBand="1"/>
      </w:tblPr>
      <w:tblGrid>
        <w:gridCol w:w="39"/>
        <w:gridCol w:w="3765"/>
        <w:gridCol w:w="37"/>
        <w:gridCol w:w="121"/>
        <w:gridCol w:w="918"/>
        <w:gridCol w:w="36"/>
        <w:gridCol w:w="36"/>
        <w:gridCol w:w="36"/>
        <w:gridCol w:w="36"/>
        <w:gridCol w:w="121"/>
        <w:gridCol w:w="874"/>
        <w:gridCol w:w="36"/>
        <w:gridCol w:w="36"/>
        <w:gridCol w:w="36"/>
        <w:gridCol w:w="36"/>
        <w:gridCol w:w="121"/>
        <w:gridCol w:w="874"/>
        <w:gridCol w:w="36"/>
        <w:gridCol w:w="36"/>
        <w:gridCol w:w="36"/>
        <w:gridCol w:w="36"/>
        <w:gridCol w:w="121"/>
        <w:gridCol w:w="877"/>
        <w:gridCol w:w="36"/>
      </w:tblGrid>
      <w:tr w:rsidR="009F6D8A" w14:paraId="64303ADC" w14:textId="77777777">
        <w:tc>
          <w:tcPr>
            <w:tcW w:w="50" w:type="pct"/>
            <w:shd w:val="clear" w:color="auto" w:fill="auto"/>
            <w:vAlign w:val="bottom"/>
          </w:tcPr>
          <w:p w14:paraId="64303AC4" w14:textId="77777777" w:rsidR="009F6D8A" w:rsidRDefault="009F6D8A">
            <w:pPr>
              <w:rPr>
                <w:rFonts w:ascii="宋体"/>
              </w:rPr>
            </w:pPr>
          </w:p>
        </w:tc>
        <w:tc>
          <w:tcPr>
            <w:tcW w:w="2291" w:type="pct"/>
            <w:shd w:val="clear" w:color="auto" w:fill="auto"/>
            <w:vAlign w:val="bottom"/>
          </w:tcPr>
          <w:p w14:paraId="64303AC5" w14:textId="77777777" w:rsidR="009F6D8A" w:rsidRDefault="009F6D8A">
            <w:pPr>
              <w:rPr>
                <w:rFonts w:ascii="宋体"/>
              </w:rPr>
            </w:pPr>
          </w:p>
        </w:tc>
        <w:tc>
          <w:tcPr>
            <w:tcW w:w="5" w:type="pct"/>
            <w:shd w:val="clear" w:color="auto" w:fill="auto"/>
            <w:vAlign w:val="bottom"/>
          </w:tcPr>
          <w:p w14:paraId="64303AC6" w14:textId="77777777" w:rsidR="009F6D8A" w:rsidRDefault="009F6D8A">
            <w:pPr>
              <w:rPr>
                <w:rFonts w:ascii="宋体"/>
              </w:rPr>
            </w:pPr>
          </w:p>
        </w:tc>
        <w:tc>
          <w:tcPr>
            <w:tcW w:w="50" w:type="pct"/>
            <w:shd w:val="clear" w:color="auto" w:fill="auto"/>
            <w:vAlign w:val="bottom"/>
          </w:tcPr>
          <w:p w14:paraId="64303AC7" w14:textId="77777777" w:rsidR="009F6D8A" w:rsidRDefault="009F6D8A">
            <w:pPr>
              <w:rPr>
                <w:rFonts w:ascii="宋体"/>
              </w:rPr>
            </w:pPr>
          </w:p>
        </w:tc>
        <w:tc>
          <w:tcPr>
            <w:tcW w:w="580" w:type="pct"/>
            <w:shd w:val="clear" w:color="auto" w:fill="auto"/>
            <w:vAlign w:val="bottom"/>
          </w:tcPr>
          <w:p w14:paraId="64303AC8" w14:textId="77777777" w:rsidR="009F6D8A" w:rsidRDefault="009F6D8A">
            <w:pPr>
              <w:rPr>
                <w:rFonts w:ascii="宋体"/>
              </w:rPr>
            </w:pPr>
          </w:p>
        </w:tc>
        <w:tc>
          <w:tcPr>
            <w:tcW w:w="5" w:type="pct"/>
            <w:shd w:val="clear" w:color="auto" w:fill="auto"/>
            <w:vAlign w:val="bottom"/>
          </w:tcPr>
          <w:p w14:paraId="64303AC9" w14:textId="77777777" w:rsidR="009F6D8A" w:rsidRDefault="009F6D8A">
            <w:pPr>
              <w:rPr>
                <w:rFonts w:ascii="宋体"/>
              </w:rPr>
            </w:pPr>
          </w:p>
        </w:tc>
        <w:tc>
          <w:tcPr>
            <w:tcW w:w="5" w:type="pct"/>
            <w:shd w:val="clear" w:color="auto" w:fill="auto"/>
            <w:vAlign w:val="bottom"/>
          </w:tcPr>
          <w:p w14:paraId="64303ACA" w14:textId="77777777" w:rsidR="009F6D8A" w:rsidRDefault="009F6D8A">
            <w:pPr>
              <w:rPr>
                <w:rFonts w:ascii="宋体"/>
              </w:rPr>
            </w:pPr>
          </w:p>
        </w:tc>
        <w:tc>
          <w:tcPr>
            <w:tcW w:w="26" w:type="pct"/>
            <w:shd w:val="clear" w:color="auto" w:fill="auto"/>
            <w:vAlign w:val="bottom"/>
          </w:tcPr>
          <w:p w14:paraId="64303ACB" w14:textId="77777777" w:rsidR="009F6D8A" w:rsidRDefault="009F6D8A">
            <w:pPr>
              <w:rPr>
                <w:rFonts w:ascii="宋体"/>
              </w:rPr>
            </w:pPr>
          </w:p>
        </w:tc>
        <w:tc>
          <w:tcPr>
            <w:tcW w:w="5" w:type="pct"/>
            <w:shd w:val="clear" w:color="auto" w:fill="auto"/>
            <w:vAlign w:val="bottom"/>
          </w:tcPr>
          <w:p w14:paraId="64303ACC" w14:textId="77777777" w:rsidR="009F6D8A" w:rsidRDefault="009F6D8A">
            <w:pPr>
              <w:rPr>
                <w:rFonts w:ascii="宋体"/>
              </w:rPr>
            </w:pPr>
          </w:p>
        </w:tc>
        <w:tc>
          <w:tcPr>
            <w:tcW w:w="50" w:type="pct"/>
            <w:shd w:val="clear" w:color="auto" w:fill="auto"/>
            <w:vAlign w:val="bottom"/>
          </w:tcPr>
          <w:p w14:paraId="64303ACD" w14:textId="77777777" w:rsidR="009F6D8A" w:rsidRDefault="009F6D8A">
            <w:pPr>
              <w:rPr>
                <w:rFonts w:ascii="宋体"/>
              </w:rPr>
            </w:pPr>
          </w:p>
        </w:tc>
        <w:tc>
          <w:tcPr>
            <w:tcW w:w="580" w:type="pct"/>
            <w:shd w:val="clear" w:color="auto" w:fill="auto"/>
            <w:vAlign w:val="bottom"/>
          </w:tcPr>
          <w:p w14:paraId="64303ACE" w14:textId="77777777" w:rsidR="009F6D8A" w:rsidRDefault="009F6D8A">
            <w:pPr>
              <w:rPr>
                <w:rFonts w:ascii="宋体"/>
              </w:rPr>
            </w:pPr>
          </w:p>
        </w:tc>
        <w:tc>
          <w:tcPr>
            <w:tcW w:w="5" w:type="pct"/>
            <w:shd w:val="clear" w:color="auto" w:fill="auto"/>
            <w:vAlign w:val="bottom"/>
          </w:tcPr>
          <w:p w14:paraId="64303ACF" w14:textId="77777777" w:rsidR="009F6D8A" w:rsidRDefault="009F6D8A">
            <w:pPr>
              <w:rPr>
                <w:rFonts w:ascii="宋体"/>
              </w:rPr>
            </w:pPr>
          </w:p>
        </w:tc>
        <w:tc>
          <w:tcPr>
            <w:tcW w:w="5" w:type="pct"/>
            <w:shd w:val="clear" w:color="auto" w:fill="auto"/>
            <w:vAlign w:val="bottom"/>
          </w:tcPr>
          <w:p w14:paraId="64303AD0" w14:textId="77777777" w:rsidR="009F6D8A" w:rsidRDefault="009F6D8A">
            <w:pPr>
              <w:rPr>
                <w:rFonts w:ascii="宋体"/>
              </w:rPr>
            </w:pPr>
          </w:p>
        </w:tc>
        <w:tc>
          <w:tcPr>
            <w:tcW w:w="26" w:type="pct"/>
            <w:shd w:val="clear" w:color="auto" w:fill="auto"/>
            <w:vAlign w:val="bottom"/>
          </w:tcPr>
          <w:p w14:paraId="64303AD1" w14:textId="77777777" w:rsidR="009F6D8A" w:rsidRDefault="009F6D8A">
            <w:pPr>
              <w:rPr>
                <w:rFonts w:ascii="宋体"/>
              </w:rPr>
            </w:pPr>
          </w:p>
        </w:tc>
        <w:tc>
          <w:tcPr>
            <w:tcW w:w="5" w:type="pct"/>
            <w:shd w:val="clear" w:color="auto" w:fill="auto"/>
            <w:vAlign w:val="bottom"/>
          </w:tcPr>
          <w:p w14:paraId="64303AD2" w14:textId="77777777" w:rsidR="009F6D8A" w:rsidRDefault="009F6D8A">
            <w:pPr>
              <w:rPr>
                <w:rFonts w:ascii="宋体"/>
              </w:rPr>
            </w:pPr>
          </w:p>
        </w:tc>
        <w:tc>
          <w:tcPr>
            <w:tcW w:w="50" w:type="pct"/>
            <w:shd w:val="clear" w:color="auto" w:fill="auto"/>
            <w:vAlign w:val="bottom"/>
          </w:tcPr>
          <w:p w14:paraId="64303AD3" w14:textId="77777777" w:rsidR="009F6D8A" w:rsidRDefault="009F6D8A">
            <w:pPr>
              <w:rPr>
                <w:rFonts w:ascii="宋体"/>
              </w:rPr>
            </w:pPr>
          </w:p>
        </w:tc>
        <w:tc>
          <w:tcPr>
            <w:tcW w:w="580" w:type="pct"/>
            <w:shd w:val="clear" w:color="auto" w:fill="auto"/>
            <w:vAlign w:val="bottom"/>
          </w:tcPr>
          <w:p w14:paraId="64303AD4" w14:textId="77777777" w:rsidR="009F6D8A" w:rsidRDefault="009F6D8A">
            <w:pPr>
              <w:rPr>
                <w:rFonts w:ascii="宋体"/>
              </w:rPr>
            </w:pPr>
          </w:p>
        </w:tc>
        <w:tc>
          <w:tcPr>
            <w:tcW w:w="5" w:type="pct"/>
            <w:shd w:val="clear" w:color="auto" w:fill="auto"/>
            <w:vAlign w:val="bottom"/>
          </w:tcPr>
          <w:p w14:paraId="64303AD5" w14:textId="77777777" w:rsidR="009F6D8A" w:rsidRDefault="009F6D8A">
            <w:pPr>
              <w:rPr>
                <w:rFonts w:ascii="宋体"/>
              </w:rPr>
            </w:pPr>
          </w:p>
        </w:tc>
        <w:tc>
          <w:tcPr>
            <w:tcW w:w="5" w:type="pct"/>
            <w:shd w:val="clear" w:color="auto" w:fill="auto"/>
            <w:vAlign w:val="bottom"/>
          </w:tcPr>
          <w:p w14:paraId="64303AD6" w14:textId="77777777" w:rsidR="009F6D8A" w:rsidRDefault="009F6D8A">
            <w:pPr>
              <w:rPr>
                <w:rFonts w:ascii="宋体"/>
              </w:rPr>
            </w:pPr>
          </w:p>
        </w:tc>
        <w:tc>
          <w:tcPr>
            <w:tcW w:w="26" w:type="pct"/>
            <w:shd w:val="clear" w:color="auto" w:fill="auto"/>
            <w:vAlign w:val="bottom"/>
          </w:tcPr>
          <w:p w14:paraId="64303AD7" w14:textId="77777777" w:rsidR="009F6D8A" w:rsidRDefault="009F6D8A">
            <w:pPr>
              <w:rPr>
                <w:rFonts w:ascii="宋体"/>
              </w:rPr>
            </w:pPr>
          </w:p>
        </w:tc>
        <w:tc>
          <w:tcPr>
            <w:tcW w:w="5" w:type="pct"/>
            <w:shd w:val="clear" w:color="auto" w:fill="auto"/>
            <w:vAlign w:val="bottom"/>
          </w:tcPr>
          <w:p w14:paraId="64303AD8" w14:textId="77777777" w:rsidR="009F6D8A" w:rsidRDefault="009F6D8A">
            <w:pPr>
              <w:rPr>
                <w:rFonts w:ascii="宋体"/>
              </w:rPr>
            </w:pPr>
          </w:p>
        </w:tc>
        <w:tc>
          <w:tcPr>
            <w:tcW w:w="50" w:type="pct"/>
            <w:shd w:val="clear" w:color="auto" w:fill="auto"/>
            <w:vAlign w:val="bottom"/>
          </w:tcPr>
          <w:p w14:paraId="64303AD9" w14:textId="77777777" w:rsidR="009F6D8A" w:rsidRDefault="009F6D8A">
            <w:pPr>
              <w:rPr>
                <w:rFonts w:ascii="宋体"/>
              </w:rPr>
            </w:pPr>
          </w:p>
        </w:tc>
        <w:tc>
          <w:tcPr>
            <w:tcW w:w="581" w:type="pct"/>
            <w:shd w:val="clear" w:color="auto" w:fill="auto"/>
            <w:vAlign w:val="bottom"/>
          </w:tcPr>
          <w:p w14:paraId="64303ADA" w14:textId="77777777" w:rsidR="009F6D8A" w:rsidRDefault="009F6D8A">
            <w:pPr>
              <w:rPr>
                <w:rFonts w:ascii="宋体"/>
              </w:rPr>
            </w:pPr>
          </w:p>
        </w:tc>
        <w:tc>
          <w:tcPr>
            <w:tcW w:w="5" w:type="pct"/>
            <w:shd w:val="clear" w:color="auto" w:fill="auto"/>
            <w:vAlign w:val="bottom"/>
          </w:tcPr>
          <w:p w14:paraId="64303ADB" w14:textId="77777777" w:rsidR="009F6D8A" w:rsidRDefault="009F6D8A">
            <w:pPr>
              <w:rPr>
                <w:rFonts w:ascii="宋体"/>
              </w:rPr>
            </w:pPr>
          </w:p>
        </w:tc>
      </w:tr>
      <w:tr w:rsidR="009F6D8A" w14:paraId="64303AE1" w14:textId="77777777">
        <w:tc>
          <w:tcPr>
            <w:tcW w:w="0" w:type="auto"/>
            <w:gridSpan w:val="3"/>
            <w:shd w:val="clear" w:color="auto" w:fill="auto"/>
            <w:tcMar>
              <w:top w:w="40" w:type="dxa"/>
              <w:left w:w="20" w:type="dxa"/>
              <w:bottom w:w="40" w:type="dxa"/>
              <w:right w:w="20" w:type="dxa"/>
            </w:tcMar>
            <w:vAlign w:val="bottom"/>
          </w:tcPr>
          <w:p w14:paraId="64303ADD" w14:textId="77777777" w:rsidR="009F6D8A" w:rsidRDefault="00C50974">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64303ADE" w14:textId="77777777" w:rsidR="009F6D8A" w:rsidRDefault="00C50974">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Mar>
              <w:top w:w="0" w:type="dxa"/>
              <w:left w:w="20" w:type="dxa"/>
              <w:bottom w:w="0" w:type="dxa"/>
              <w:right w:w="20" w:type="dxa"/>
            </w:tcMar>
            <w:vAlign w:val="bottom"/>
          </w:tcPr>
          <w:p w14:paraId="64303ADF"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3AE0" w14:textId="77777777" w:rsidR="009F6D8A" w:rsidRDefault="00C50974">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r>
      <w:tr w:rsidR="009F6D8A" w14:paraId="64303AEA" w14:textId="77777777">
        <w:tc>
          <w:tcPr>
            <w:tcW w:w="0" w:type="auto"/>
            <w:gridSpan w:val="3"/>
            <w:shd w:val="clear" w:color="auto" w:fill="auto"/>
            <w:tcMar>
              <w:top w:w="40" w:type="dxa"/>
              <w:left w:w="20" w:type="dxa"/>
              <w:bottom w:w="40" w:type="dxa"/>
              <w:right w:w="20" w:type="dxa"/>
            </w:tcMar>
            <w:vAlign w:val="bottom"/>
          </w:tcPr>
          <w:p w14:paraId="64303AE2" w14:textId="77777777" w:rsidR="009F6D8A" w:rsidRDefault="00C50974">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AE3"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AE4"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AE5" w14:textId="77777777" w:rsidR="009F6D8A" w:rsidRDefault="00C50974">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4303AE6"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AE7"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AE8"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AE9" w14:textId="77777777" w:rsidR="009F6D8A" w:rsidRDefault="00C50974">
            <w:pPr>
              <w:jc w:val="center"/>
              <w:textAlignment w:val="bottom"/>
            </w:pPr>
            <w:r>
              <w:rPr>
                <w:rFonts w:ascii="Arial" w:eastAsia="宋体" w:hAnsi="Arial" w:cs="Arial"/>
                <w:b/>
                <w:bCs/>
                <w:color w:val="000000"/>
                <w:sz w:val="16"/>
                <w:szCs w:val="16"/>
              </w:rPr>
              <w:t>2020</w:t>
            </w:r>
          </w:p>
        </w:tc>
      </w:tr>
      <w:tr w:rsidR="009F6D8A" w14:paraId="64303AFB" w14:textId="77777777">
        <w:tc>
          <w:tcPr>
            <w:tcW w:w="0" w:type="auto"/>
            <w:gridSpan w:val="3"/>
            <w:shd w:val="clear" w:color="auto" w:fill="E2E2E2"/>
            <w:tcMar>
              <w:top w:w="40" w:type="dxa"/>
              <w:left w:w="20" w:type="dxa"/>
              <w:bottom w:w="40" w:type="dxa"/>
              <w:right w:w="20" w:type="dxa"/>
            </w:tcMar>
            <w:vAlign w:val="bottom"/>
          </w:tcPr>
          <w:p w14:paraId="64303AEB" w14:textId="77777777" w:rsidR="009F6D8A" w:rsidRDefault="00C50974">
            <w:pPr>
              <w:textAlignment w:val="bottom"/>
            </w:pPr>
            <w:r>
              <w:rPr>
                <w:rFonts w:ascii="Arial" w:eastAsia="宋体" w:hAnsi="Arial" w:cs="Arial"/>
                <w:color w:val="000000"/>
                <w:sz w:val="18"/>
                <w:szCs w:val="18"/>
              </w:rPr>
              <w:t>U.S.</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3AE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AED" w14:textId="77777777" w:rsidR="009F6D8A" w:rsidRDefault="00C50974">
            <w:pPr>
              <w:jc w:val="right"/>
              <w:textAlignment w:val="bottom"/>
            </w:pPr>
            <w:r>
              <w:rPr>
                <w:rFonts w:ascii="Arial" w:eastAsia="宋体" w:hAnsi="Arial" w:cs="Arial"/>
                <w:color w:val="000000"/>
                <w:sz w:val="18"/>
                <w:szCs w:val="18"/>
              </w:rPr>
              <w:t>1,304 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AE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AEF"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AF0"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AF1" w14:textId="77777777" w:rsidR="009F6D8A" w:rsidRDefault="00C50974">
            <w:pPr>
              <w:jc w:val="right"/>
              <w:textAlignment w:val="bottom"/>
            </w:pPr>
            <w:r>
              <w:rPr>
                <w:rFonts w:ascii="Arial" w:eastAsia="宋体" w:hAnsi="Arial" w:cs="Arial"/>
                <w:color w:val="000000"/>
                <w:sz w:val="18"/>
                <w:szCs w:val="18"/>
              </w:rPr>
              <w:t>1,086 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AF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AF3"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AF4"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AF5" w14:textId="77777777" w:rsidR="009F6D8A" w:rsidRDefault="00C50974">
            <w:pPr>
              <w:jc w:val="right"/>
              <w:textAlignment w:val="bottom"/>
            </w:pPr>
            <w:r>
              <w:rPr>
                <w:rFonts w:ascii="Arial" w:eastAsia="宋体" w:hAnsi="Arial" w:cs="Arial"/>
                <w:color w:val="000000"/>
                <w:sz w:val="18"/>
                <w:szCs w:val="18"/>
              </w:rPr>
              <w:t>2,600 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AF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AF7"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AF8"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AF9" w14:textId="77777777" w:rsidR="009F6D8A" w:rsidRDefault="00C50974">
            <w:pPr>
              <w:jc w:val="right"/>
              <w:textAlignment w:val="bottom"/>
            </w:pPr>
            <w:r>
              <w:rPr>
                <w:rFonts w:ascii="Arial" w:eastAsia="宋体" w:hAnsi="Arial" w:cs="Arial"/>
                <w:color w:val="000000"/>
                <w:sz w:val="18"/>
                <w:szCs w:val="18"/>
              </w:rPr>
              <w:t>1,908 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AFA" w14:textId="77777777" w:rsidR="009F6D8A" w:rsidRDefault="009F6D8A">
            <w:pPr>
              <w:jc w:val="right"/>
              <w:rPr>
                <w:rFonts w:ascii="宋体"/>
              </w:rPr>
            </w:pPr>
          </w:p>
        </w:tc>
      </w:tr>
      <w:tr w:rsidR="009F6D8A" w14:paraId="64303B04" w14:textId="77777777">
        <w:trPr>
          <w:hidden/>
        </w:trPr>
        <w:tc>
          <w:tcPr>
            <w:tcW w:w="0" w:type="auto"/>
            <w:gridSpan w:val="3"/>
            <w:shd w:val="clear" w:color="auto" w:fill="auto"/>
            <w:vAlign w:val="bottom"/>
          </w:tcPr>
          <w:p w14:paraId="64303AFC" w14:textId="77777777" w:rsidR="009F6D8A" w:rsidRDefault="009F6D8A">
            <w:pPr>
              <w:rPr>
                <w:rFonts w:ascii="宋体"/>
                <w:vanish/>
              </w:rPr>
            </w:pPr>
          </w:p>
        </w:tc>
        <w:tc>
          <w:tcPr>
            <w:tcW w:w="0" w:type="auto"/>
            <w:gridSpan w:val="3"/>
            <w:shd w:val="clear" w:color="auto" w:fill="auto"/>
            <w:vAlign w:val="bottom"/>
          </w:tcPr>
          <w:p w14:paraId="64303AFD" w14:textId="77777777" w:rsidR="009F6D8A" w:rsidRDefault="009F6D8A">
            <w:pPr>
              <w:rPr>
                <w:rFonts w:ascii="宋体"/>
                <w:vanish/>
              </w:rPr>
            </w:pPr>
          </w:p>
        </w:tc>
        <w:tc>
          <w:tcPr>
            <w:tcW w:w="0" w:type="auto"/>
            <w:gridSpan w:val="3"/>
            <w:shd w:val="clear" w:color="auto" w:fill="auto"/>
            <w:vAlign w:val="bottom"/>
          </w:tcPr>
          <w:p w14:paraId="64303AFE" w14:textId="77777777" w:rsidR="009F6D8A" w:rsidRDefault="009F6D8A">
            <w:pPr>
              <w:rPr>
                <w:rFonts w:ascii="宋体"/>
                <w:vanish/>
              </w:rPr>
            </w:pPr>
          </w:p>
        </w:tc>
        <w:tc>
          <w:tcPr>
            <w:tcW w:w="0" w:type="auto"/>
            <w:gridSpan w:val="3"/>
            <w:shd w:val="clear" w:color="auto" w:fill="auto"/>
            <w:vAlign w:val="bottom"/>
          </w:tcPr>
          <w:p w14:paraId="64303AFF" w14:textId="77777777" w:rsidR="009F6D8A" w:rsidRDefault="009F6D8A">
            <w:pPr>
              <w:rPr>
                <w:rFonts w:ascii="宋体"/>
                <w:vanish/>
              </w:rPr>
            </w:pPr>
          </w:p>
        </w:tc>
        <w:tc>
          <w:tcPr>
            <w:tcW w:w="0" w:type="auto"/>
            <w:gridSpan w:val="3"/>
            <w:shd w:val="clear" w:color="auto" w:fill="auto"/>
            <w:vAlign w:val="bottom"/>
          </w:tcPr>
          <w:p w14:paraId="64303B00" w14:textId="77777777" w:rsidR="009F6D8A" w:rsidRDefault="009F6D8A">
            <w:pPr>
              <w:rPr>
                <w:rFonts w:ascii="宋体"/>
                <w:vanish/>
              </w:rPr>
            </w:pPr>
          </w:p>
        </w:tc>
        <w:tc>
          <w:tcPr>
            <w:tcW w:w="0" w:type="auto"/>
            <w:gridSpan w:val="3"/>
            <w:shd w:val="clear" w:color="auto" w:fill="auto"/>
            <w:vAlign w:val="bottom"/>
          </w:tcPr>
          <w:p w14:paraId="64303B01" w14:textId="77777777" w:rsidR="009F6D8A" w:rsidRDefault="009F6D8A">
            <w:pPr>
              <w:rPr>
                <w:rFonts w:ascii="宋体"/>
                <w:vanish/>
              </w:rPr>
            </w:pPr>
          </w:p>
        </w:tc>
        <w:tc>
          <w:tcPr>
            <w:tcW w:w="0" w:type="auto"/>
            <w:gridSpan w:val="3"/>
            <w:shd w:val="clear" w:color="auto" w:fill="auto"/>
            <w:vAlign w:val="bottom"/>
          </w:tcPr>
          <w:p w14:paraId="64303B02" w14:textId="77777777" w:rsidR="009F6D8A" w:rsidRDefault="009F6D8A">
            <w:pPr>
              <w:rPr>
                <w:rFonts w:ascii="宋体"/>
                <w:vanish/>
              </w:rPr>
            </w:pPr>
          </w:p>
        </w:tc>
        <w:tc>
          <w:tcPr>
            <w:tcW w:w="0" w:type="auto"/>
            <w:gridSpan w:val="3"/>
            <w:shd w:val="clear" w:color="auto" w:fill="auto"/>
            <w:vAlign w:val="bottom"/>
          </w:tcPr>
          <w:p w14:paraId="64303B03" w14:textId="77777777" w:rsidR="009F6D8A" w:rsidRDefault="009F6D8A">
            <w:pPr>
              <w:rPr>
                <w:rFonts w:ascii="宋体"/>
                <w:vanish/>
              </w:rPr>
            </w:pPr>
          </w:p>
        </w:tc>
      </w:tr>
      <w:tr w:rsidR="009F6D8A" w14:paraId="64303B11" w14:textId="77777777">
        <w:tc>
          <w:tcPr>
            <w:tcW w:w="0" w:type="auto"/>
            <w:gridSpan w:val="3"/>
            <w:shd w:val="clear" w:color="auto" w:fill="FFFFFF"/>
            <w:tcMar>
              <w:top w:w="40" w:type="dxa"/>
              <w:left w:w="20" w:type="dxa"/>
              <w:bottom w:w="40" w:type="dxa"/>
              <w:right w:w="20" w:type="dxa"/>
            </w:tcMar>
            <w:vAlign w:val="bottom"/>
          </w:tcPr>
          <w:p w14:paraId="64303B05" w14:textId="77777777" w:rsidR="009F6D8A" w:rsidRDefault="00C50974">
            <w:pPr>
              <w:textAlignment w:val="bottom"/>
            </w:pPr>
            <w:r>
              <w:rPr>
                <w:rFonts w:ascii="Arial" w:eastAsia="宋体" w:hAnsi="Arial" w:cs="Arial"/>
                <w:color w:val="000000"/>
                <w:sz w:val="18"/>
                <w:szCs w:val="18"/>
              </w:rPr>
              <w:t>United Kingdom</w:t>
            </w:r>
          </w:p>
        </w:tc>
        <w:tc>
          <w:tcPr>
            <w:tcW w:w="0" w:type="auto"/>
            <w:gridSpan w:val="2"/>
            <w:shd w:val="clear" w:color="auto" w:fill="FFFFFF"/>
            <w:tcMar>
              <w:top w:w="40" w:type="dxa"/>
              <w:left w:w="20" w:type="dxa"/>
              <w:bottom w:w="40" w:type="dxa"/>
              <w:right w:w="0" w:type="dxa"/>
            </w:tcMar>
            <w:vAlign w:val="bottom"/>
          </w:tcPr>
          <w:p w14:paraId="64303B06" w14:textId="77777777" w:rsidR="009F6D8A" w:rsidRDefault="00C50974">
            <w:pPr>
              <w:jc w:val="right"/>
              <w:textAlignment w:val="bottom"/>
            </w:pPr>
            <w:r>
              <w:rPr>
                <w:rFonts w:ascii="Arial" w:eastAsia="宋体" w:hAnsi="Arial" w:cs="Arial"/>
                <w:color w:val="000000"/>
                <w:sz w:val="18"/>
                <w:szCs w:val="18"/>
              </w:rPr>
              <w:t>498 </w:t>
            </w:r>
          </w:p>
        </w:tc>
        <w:tc>
          <w:tcPr>
            <w:tcW w:w="0" w:type="auto"/>
            <w:shd w:val="clear" w:color="auto" w:fill="FFFFFF"/>
            <w:tcMar>
              <w:top w:w="40" w:type="dxa"/>
              <w:left w:w="0" w:type="dxa"/>
              <w:bottom w:w="40" w:type="dxa"/>
              <w:right w:w="20" w:type="dxa"/>
            </w:tcMar>
            <w:vAlign w:val="bottom"/>
          </w:tcPr>
          <w:p w14:paraId="64303B0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B0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B09" w14:textId="77777777" w:rsidR="009F6D8A" w:rsidRDefault="00C50974">
            <w:pPr>
              <w:jc w:val="right"/>
              <w:textAlignment w:val="bottom"/>
            </w:pPr>
            <w:r>
              <w:rPr>
                <w:rFonts w:ascii="Arial" w:eastAsia="宋体" w:hAnsi="Arial" w:cs="Arial"/>
                <w:color w:val="000000"/>
                <w:sz w:val="18"/>
                <w:szCs w:val="18"/>
              </w:rPr>
              <w:t>444 </w:t>
            </w:r>
          </w:p>
        </w:tc>
        <w:tc>
          <w:tcPr>
            <w:tcW w:w="0" w:type="auto"/>
            <w:shd w:val="clear" w:color="auto" w:fill="FFFFFF"/>
            <w:tcMar>
              <w:top w:w="40" w:type="dxa"/>
              <w:left w:w="0" w:type="dxa"/>
              <w:bottom w:w="40" w:type="dxa"/>
              <w:right w:w="20" w:type="dxa"/>
            </w:tcMar>
            <w:vAlign w:val="bottom"/>
          </w:tcPr>
          <w:p w14:paraId="64303B0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B0B"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B0C" w14:textId="77777777" w:rsidR="009F6D8A" w:rsidRDefault="00C50974">
            <w:pPr>
              <w:jc w:val="right"/>
              <w:textAlignment w:val="bottom"/>
            </w:pPr>
            <w:r>
              <w:rPr>
                <w:rFonts w:ascii="Arial" w:eastAsia="宋体" w:hAnsi="Arial" w:cs="Arial"/>
                <w:color w:val="000000"/>
                <w:sz w:val="18"/>
                <w:szCs w:val="18"/>
              </w:rPr>
              <w:t>1,001 </w:t>
            </w:r>
          </w:p>
        </w:tc>
        <w:tc>
          <w:tcPr>
            <w:tcW w:w="0" w:type="auto"/>
            <w:shd w:val="clear" w:color="auto" w:fill="FFFFFF"/>
            <w:tcMar>
              <w:top w:w="40" w:type="dxa"/>
              <w:left w:w="0" w:type="dxa"/>
              <w:bottom w:w="40" w:type="dxa"/>
              <w:right w:w="20" w:type="dxa"/>
            </w:tcMar>
            <w:vAlign w:val="bottom"/>
          </w:tcPr>
          <w:p w14:paraId="64303B0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B0E"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B0F" w14:textId="77777777" w:rsidR="009F6D8A" w:rsidRDefault="00C50974">
            <w:pPr>
              <w:jc w:val="right"/>
              <w:textAlignment w:val="bottom"/>
            </w:pPr>
            <w:r>
              <w:rPr>
                <w:rFonts w:ascii="Arial" w:eastAsia="宋体" w:hAnsi="Arial" w:cs="Arial"/>
                <w:color w:val="000000"/>
                <w:sz w:val="18"/>
                <w:szCs w:val="18"/>
              </w:rPr>
              <w:t>771 </w:t>
            </w:r>
          </w:p>
        </w:tc>
        <w:tc>
          <w:tcPr>
            <w:tcW w:w="0" w:type="auto"/>
            <w:shd w:val="clear" w:color="auto" w:fill="FFFFFF"/>
            <w:tcMar>
              <w:top w:w="40" w:type="dxa"/>
              <w:left w:w="0" w:type="dxa"/>
              <w:bottom w:w="40" w:type="dxa"/>
              <w:right w:w="20" w:type="dxa"/>
            </w:tcMar>
            <w:vAlign w:val="bottom"/>
          </w:tcPr>
          <w:p w14:paraId="64303B10" w14:textId="77777777" w:rsidR="009F6D8A" w:rsidRDefault="009F6D8A">
            <w:pPr>
              <w:jc w:val="right"/>
              <w:rPr>
                <w:rFonts w:ascii="宋体"/>
              </w:rPr>
            </w:pPr>
          </w:p>
        </w:tc>
      </w:tr>
      <w:tr w:rsidR="009F6D8A" w14:paraId="64303B1A" w14:textId="77777777">
        <w:trPr>
          <w:hidden/>
        </w:trPr>
        <w:tc>
          <w:tcPr>
            <w:tcW w:w="0" w:type="auto"/>
            <w:gridSpan w:val="3"/>
            <w:shd w:val="clear" w:color="auto" w:fill="auto"/>
            <w:vAlign w:val="bottom"/>
          </w:tcPr>
          <w:p w14:paraId="64303B12" w14:textId="77777777" w:rsidR="009F6D8A" w:rsidRDefault="009F6D8A">
            <w:pPr>
              <w:rPr>
                <w:rFonts w:ascii="宋体"/>
                <w:vanish/>
              </w:rPr>
            </w:pPr>
          </w:p>
        </w:tc>
        <w:tc>
          <w:tcPr>
            <w:tcW w:w="0" w:type="auto"/>
            <w:gridSpan w:val="3"/>
            <w:shd w:val="clear" w:color="auto" w:fill="auto"/>
            <w:vAlign w:val="bottom"/>
          </w:tcPr>
          <w:p w14:paraId="64303B13" w14:textId="77777777" w:rsidR="009F6D8A" w:rsidRDefault="009F6D8A">
            <w:pPr>
              <w:rPr>
                <w:rFonts w:ascii="宋体"/>
                <w:vanish/>
              </w:rPr>
            </w:pPr>
          </w:p>
        </w:tc>
        <w:tc>
          <w:tcPr>
            <w:tcW w:w="0" w:type="auto"/>
            <w:gridSpan w:val="3"/>
            <w:shd w:val="clear" w:color="auto" w:fill="auto"/>
            <w:vAlign w:val="bottom"/>
          </w:tcPr>
          <w:p w14:paraId="64303B14" w14:textId="77777777" w:rsidR="009F6D8A" w:rsidRDefault="009F6D8A">
            <w:pPr>
              <w:rPr>
                <w:rFonts w:ascii="宋体"/>
                <w:vanish/>
              </w:rPr>
            </w:pPr>
          </w:p>
        </w:tc>
        <w:tc>
          <w:tcPr>
            <w:tcW w:w="0" w:type="auto"/>
            <w:gridSpan w:val="3"/>
            <w:shd w:val="clear" w:color="auto" w:fill="auto"/>
            <w:vAlign w:val="bottom"/>
          </w:tcPr>
          <w:p w14:paraId="64303B15" w14:textId="77777777" w:rsidR="009F6D8A" w:rsidRDefault="009F6D8A">
            <w:pPr>
              <w:rPr>
                <w:rFonts w:ascii="宋体"/>
                <w:vanish/>
              </w:rPr>
            </w:pPr>
          </w:p>
        </w:tc>
        <w:tc>
          <w:tcPr>
            <w:tcW w:w="0" w:type="auto"/>
            <w:gridSpan w:val="3"/>
            <w:shd w:val="clear" w:color="auto" w:fill="auto"/>
            <w:vAlign w:val="bottom"/>
          </w:tcPr>
          <w:p w14:paraId="64303B16" w14:textId="77777777" w:rsidR="009F6D8A" w:rsidRDefault="009F6D8A">
            <w:pPr>
              <w:rPr>
                <w:rFonts w:ascii="宋体"/>
                <w:vanish/>
              </w:rPr>
            </w:pPr>
          </w:p>
        </w:tc>
        <w:tc>
          <w:tcPr>
            <w:tcW w:w="0" w:type="auto"/>
            <w:gridSpan w:val="3"/>
            <w:shd w:val="clear" w:color="auto" w:fill="auto"/>
            <w:vAlign w:val="bottom"/>
          </w:tcPr>
          <w:p w14:paraId="64303B17" w14:textId="77777777" w:rsidR="009F6D8A" w:rsidRDefault="009F6D8A">
            <w:pPr>
              <w:rPr>
                <w:rFonts w:ascii="宋体"/>
                <w:vanish/>
              </w:rPr>
            </w:pPr>
          </w:p>
        </w:tc>
        <w:tc>
          <w:tcPr>
            <w:tcW w:w="0" w:type="auto"/>
            <w:gridSpan w:val="3"/>
            <w:shd w:val="clear" w:color="auto" w:fill="auto"/>
            <w:vAlign w:val="bottom"/>
          </w:tcPr>
          <w:p w14:paraId="64303B18" w14:textId="77777777" w:rsidR="009F6D8A" w:rsidRDefault="009F6D8A">
            <w:pPr>
              <w:rPr>
                <w:rFonts w:ascii="宋体"/>
                <w:vanish/>
              </w:rPr>
            </w:pPr>
          </w:p>
        </w:tc>
        <w:tc>
          <w:tcPr>
            <w:tcW w:w="0" w:type="auto"/>
            <w:gridSpan w:val="3"/>
            <w:shd w:val="clear" w:color="auto" w:fill="auto"/>
            <w:vAlign w:val="bottom"/>
          </w:tcPr>
          <w:p w14:paraId="64303B19" w14:textId="77777777" w:rsidR="009F6D8A" w:rsidRDefault="009F6D8A">
            <w:pPr>
              <w:rPr>
                <w:rFonts w:ascii="宋体"/>
                <w:vanish/>
              </w:rPr>
            </w:pPr>
          </w:p>
        </w:tc>
      </w:tr>
      <w:tr w:rsidR="009F6D8A" w14:paraId="64303B27" w14:textId="77777777">
        <w:tc>
          <w:tcPr>
            <w:tcW w:w="0" w:type="auto"/>
            <w:gridSpan w:val="3"/>
            <w:shd w:val="clear" w:color="auto" w:fill="E2E2E2"/>
            <w:tcMar>
              <w:top w:w="40" w:type="dxa"/>
              <w:left w:w="20" w:type="dxa"/>
              <w:bottom w:w="40" w:type="dxa"/>
              <w:right w:w="20" w:type="dxa"/>
            </w:tcMar>
            <w:vAlign w:val="bottom"/>
          </w:tcPr>
          <w:p w14:paraId="64303B1B" w14:textId="77777777" w:rsidR="009F6D8A" w:rsidRDefault="00C50974">
            <w:pPr>
              <w:textAlignment w:val="bottom"/>
            </w:pPr>
            <w:r>
              <w:rPr>
                <w:rFonts w:ascii="Arial" w:eastAsia="宋体" w:hAnsi="Arial" w:cs="Arial"/>
                <w:color w:val="000000"/>
                <w:sz w:val="18"/>
                <w:szCs w:val="18"/>
              </w:rPr>
              <w:t>Germany</w:t>
            </w:r>
          </w:p>
        </w:tc>
        <w:tc>
          <w:tcPr>
            <w:tcW w:w="0" w:type="auto"/>
            <w:gridSpan w:val="2"/>
            <w:shd w:val="clear" w:color="auto" w:fill="E2E2E2"/>
            <w:tcMar>
              <w:top w:w="40" w:type="dxa"/>
              <w:left w:w="20" w:type="dxa"/>
              <w:bottom w:w="40" w:type="dxa"/>
              <w:right w:w="0" w:type="dxa"/>
            </w:tcMar>
            <w:vAlign w:val="bottom"/>
          </w:tcPr>
          <w:p w14:paraId="64303B1C" w14:textId="77777777" w:rsidR="009F6D8A" w:rsidRDefault="00C50974">
            <w:pPr>
              <w:jc w:val="right"/>
              <w:textAlignment w:val="bottom"/>
            </w:pPr>
            <w:r>
              <w:rPr>
                <w:rFonts w:ascii="Arial" w:eastAsia="宋体" w:hAnsi="Arial" w:cs="Arial"/>
                <w:color w:val="000000"/>
                <w:sz w:val="18"/>
                <w:szCs w:val="18"/>
              </w:rPr>
              <w:t>337 </w:t>
            </w:r>
          </w:p>
        </w:tc>
        <w:tc>
          <w:tcPr>
            <w:tcW w:w="0" w:type="auto"/>
            <w:shd w:val="clear" w:color="auto" w:fill="E2E2E2"/>
            <w:tcMar>
              <w:top w:w="40" w:type="dxa"/>
              <w:left w:w="0" w:type="dxa"/>
              <w:bottom w:w="40" w:type="dxa"/>
              <w:right w:w="20" w:type="dxa"/>
            </w:tcMar>
            <w:vAlign w:val="bottom"/>
          </w:tcPr>
          <w:p w14:paraId="64303B1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B1E"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B1F" w14:textId="77777777" w:rsidR="009F6D8A" w:rsidRDefault="00C50974">
            <w:pPr>
              <w:jc w:val="right"/>
              <w:textAlignment w:val="bottom"/>
            </w:pPr>
            <w:r>
              <w:rPr>
                <w:rFonts w:ascii="Arial" w:eastAsia="宋体" w:hAnsi="Arial" w:cs="Arial"/>
                <w:color w:val="000000"/>
                <w:sz w:val="18"/>
                <w:szCs w:val="18"/>
              </w:rPr>
              <w:t>298 </w:t>
            </w:r>
          </w:p>
        </w:tc>
        <w:tc>
          <w:tcPr>
            <w:tcW w:w="0" w:type="auto"/>
            <w:shd w:val="clear" w:color="auto" w:fill="E2E2E2"/>
            <w:tcMar>
              <w:top w:w="40" w:type="dxa"/>
              <w:left w:w="0" w:type="dxa"/>
              <w:bottom w:w="40" w:type="dxa"/>
              <w:right w:w="20" w:type="dxa"/>
            </w:tcMar>
            <w:vAlign w:val="bottom"/>
          </w:tcPr>
          <w:p w14:paraId="64303B20"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B21"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B22" w14:textId="77777777" w:rsidR="009F6D8A" w:rsidRDefault="00C50974">
            <w:pPr>
              <w:jc w:val="right"/>
              <w:textAlignment w:val="bottom"/>
            </w:pPr>
            <w:r>
              <w:rPr>
                <w:rFonts w:ascii="Arial" w:eastAsia="宋体" w:hAnsi="Arial" w:cs="Arial"/>
                <w:color w:val="000000"/>
                <w:sz w:val="18"/>
                <w:szCs w:val="18"/>
              </w:rPr>
              <w:t>681 </w:t>
            </w:r>
          </w:p>
        </w:tc>
        <w:tc>
          <w:tcPr>
            <w:tcW w:w="0" w:type="auto"/>
            <w:shd w:val="clear" w:color="auto" w:fill="E2E2E2"/>
            <w:tcMar>
              <w:top w:w="40" w:type="dxa"/>
              <w:left w:w="0" w:type="dxa"/>
              <w:bottom w:w="40" w:type="dxa"/>
              <w:right w:w="20" w:type="dxa"/>
            </w:tcMar>
            <w:vAlign w:val="bottom"/>
          </w:tcPr>
          <w:p w14:paraId="64303B23"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B24"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B25" w14:textId="77777777" w:rsidR="009F6D8A" w:rsidRDefault="00C50974">
            <w:pPr>
              <w:jc w:val="right"/>
              <w:textAlignment w:val="bottom"/>
            </w:pPr>
            <w:r>
              <w:rPr>
                <w:rFonts w:ascii="Arial" w:eastAsia="宋体" w:hAnsi="Arial" w:cs="Arial"/>
                <w:color w:val="000000"/>
                <w:sz w:val="18"/>
                <w:szCs w:val="18"/>
              </w:rPr>
              <w:t>530 </w:t>
            </w:r>
          </w:p>
        </w:tc>
        <w:tc>
          <w:tcPr>
            <w:tcW w:w="0" w:type="auto"/>
            <w:shd w:val="clear" w:color="auto" w:fill="E2E2E2"/>
            <w:tcMar>
              <w:top w:w="40" w:type="dxa"/>
              <w:left w:w="0" w:type="dxa"/>
              <w:bottom w:w="40" w:type="dxa"/>
              <w:right w:w="20" w:type="dxa"/>
            </w:tcMar>
            <w:vAlign w:val="bottom"/>
          </w:tcPr>
          <w:p w14:paraId="64303B26" w14:textId="77777777" w:rsidR="009F6D8A" w:rsidRDefault="009F6D8A">
            <w:pPr>
              <w:jc w:val="right"/>
              <w:rPr>
                <w:rFonts w:ascii="宋体"/>
              </w:rPr>
            </w:pPr>
          </w:p>
        </w:tc>
      </w:tr>
      <w:tr w:rsidR="009F6D8A" w14:paraId="64303B34" w14:textId="77777777">
        <w:tc>
          <w:tcPr>
            <w:tcW w:w="0" w:type="auto"/>
            <w:gridSpan w:val="3"/>
            <w:shd w:val="clear" w:color="auto" w:fill="FFFFFF"/>
            <w:tcMar>
              <w:top w:w="40" w:type="dxa"/>
              <w:left w:w="20" w:type="dxa"/>
              <w:bottom w:w="40" w:type="dxa"/>
              <w:right w:w="20" w:type="dxa"/>
            </w:tcMar>
            <w:vAlign w:val="bottom"/>
          </w:tcPr>
          <w:p w14:paraId="64303B28" w14:textId="77777777" w:rsidR="009F6D8A" w:rsidRDefault="00C50974">
            <w:pPr>
              <w:textAlignment w:val="bottom"/>
            </w:pPr>
            <w:r>
              <w:rPr>
                <w:rFonts w:ascii="Arial" w:eastAsia="宋体" w:hAnsi="Arial" w:cs="Arial"/>
                <w:color w:val="000000"/>
                <w:sz w:val="18"/>
                <w:szCs w:val="18"/>
              </w:rPr>
              <w:t>Rest of world</w:t>
            </w:r>
          </w:p>
        </w:tc>
        <w:tc>
          <w:tcPr>
            <w:tcW w:w="0" w:type="auto"/>
            <w:gridSpan w:val="2"/>
            <w:shd w:val="clear" w:color="auto" w:fill="FFFFFF"/>
            <w:tcMar>
              <w:top w:w="40" w:type="dxa"/>
              <w:left w:w="20" w:type="dxa"/>
              <w:bottom w:w="40" w:type="dxa"/>
              <w:right w:w="0" w:type="dxa"/>
            </w:tcMar>
            <w:vAlign w:val="bottom"/>
          </w:tcPr>
          <w:p w14:paraId="64303B29" w14:textId="77777777" w:rsidR="009F6D8A" w:rsidRDefault="00C50974">
            <w:pPr>
              <w:jc w:val="right"/>
              <w:textAlignment w:val="bottom"/>
            </w:pPr>
            <w:r>
              <w:rPr>
                <w:rFonts w:ascii="Arial" w:eastAsia="宋体" w:hAnsi="Arial" w:cs="Arial"/>
                <w:color w:val="000000"/>
                <w:sz w:val="18"/>
                <w:szCs w:val="18"/>
              </w:rPr>
              <w:t>529 </w:t>
            </w:r>
          </w:p>
        </w:tc>
        <w:tc>
          <w:tcPr>
            <w:tcW w:w="0" w:type="auto"/>
            <w:shd w:val="clear" w:color="auto" w:fill="FFFFFF"/>
            <w:tcMar>
              <w:top w:w="40" w:type="dxa"/>
              <w:left w:w="0" w:type="dxa"/>
              <w:bottom w:w="40" w:type="dxa"/>
              <w:right w:w="20" w:type="dxa"/>
            </w:tcMar>
            <w:vAlign w:val="bottom"/>
          </w:tcPr>
          <w:p w14:paraId="64303B2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B2B"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B2C" w14:textId="77777777" w:rsidR="009F6D8A" w:rsidRDefault="00C50974">
            <w:pPr>
              <w:jc w:val="right"/>
              <w:textAlignment w:val="bottom"/>
            </w:pPr>
            <w:r>
              <w:rPr>
                <w:rFonts w:ascii="Arial" w:eastAsia="宋体" w:hAnsi="Arial" w:cs="Arial"/>
                <w:color w:val="000000"/>
                <w:sz w:val="18"/>
                <w:szCs w:val="18"/>
              </w:rPr>
              <w:t>509 </w:t>
            </w:r>
          </w:p>
        </w:tc>
        <w:tc>
          <w:tcPr>
            <w:tcW w:w="0" w:type="auto"/>
            <w:shd w:val="clear" w:color="auto" w:fill="FFFFFF"/>
            <w:tcMar>
              <w:top w:w="40" w:type="dxa"/>
              <w:left w:w="0" w:type="dxa"/>
              <w:bottom w:w="40" w:type="dxa"/>
              <w:right w:w="20" w:type="dxa"/>
            </w:tcMar>
            <w:vAlign w:val="bottom"/>
          </w:tcPr>
          <w:p w14:paraId="64303B2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B2E"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B2F" w14:textId="77777777" w:rsidR="009F6D8A" w:rsidRDefault="00C50974">
            <w:pPr>
              <w:jc w:val="right"/>
              <w:textAlignment w:val="bottom"/>
            </w:pPr>
            <w:r>
              <w:rPr>
                <w:rFonts w:ascii="Arial" w:eastAsia="宋体" w:hAnsi="Arial" w:cs="Arial"/>
                <w:color w:val="000000"/>
                <w:sz w:val="18"/>
                <w:szCs w:val="18"/>
              </w:rPr>
              <w:t>1,024 </w:t>
            </w:r>
          </w:p>
        </w:tc>
        <w:tc>
          <w:tcPr>
            <w:tcW w:w="0" w:type="auto"/>
            <w:shd w:val="clear" w:color="auto" w:fill="FFFFFF"/>
            <w:tcMar>
              <w:top w:w="40" w:type="dxa"/>
              <w:left w:w="0" w:type="dxa"/>
              <w:bottom w:w="40" w:type="dxa"/>
              <w:right w:w="20" w:type="dxa"/>
            </w:tcMar>
            <w:vAlign w:val="bottom"/>
          </w:tcPr>
          <w:p w14:paraId="64303B3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B31"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B32" w14:textId="77777777" w:rsidR="009F6D8A" w:rsidRDefault="00C50974">
            <w:pPr>
              <w:jc w:val="right"/>
              <w:textAlignment w:val="bottom"/>
            </w:pPr>
            <w:r>
              <w:rPr>
                <w:rFonts w:ascii="Arial" w:eastAsia="宋体" w:hAnsi="Arial" w:cs="Arial"/>
                <w:color w:val="000000"/>
                <w:sz w:val="18"/>
                <w:szCs w:val="18"/>
              </w:rPr>
              <w:t>949 </w:t>
            </w:r>
          </w:p>
        </w:tc>
        <w:tc>
          <w:tcPr>
            <w:tcW w:w="0" w:type="auto"/>
            <w:shd w:val="clear" w:color="auto" w:fill="FFFFFF"/>
            <w:tcMar>
              <w:top w:w="40" w:type="dxa"/>
              <w:left w:w="0" w:type="dxa"/>
              <w:bottom w:w="40" w:type="dxa"/>
              <w:right w:w="20" w:type="dxa"/>
            </w:tcMar>
            <w:vAlign w:val="bottom"/>
          </w:tcPr>
          <w:p w14:paraId="64303B33" w14:textId="77777777" w:rsidR="009F6D8A" w:rsidRDefault="009F6D8A">
            <w:pPr>
              <w:jc w:val="right"/>
              <w:rPr>
                <w:rFonts w:ascii="宋体"/>
              </w:rPr>
            </w:pPr>
          </w:p>
        </w:tc>
      </w:tr>
      <w:tr w:rsidR="009F6D8A" w14:paraId="64303B45" w14:textId="77777777">
        <w:tc>
          <w:tcPr>
            <w:tcW w:w="0" w:type="auto"/>
            <w:gridSpan w:val="3"/>
            <w:shd w:val="clear" w:color="auto" w:fill="E2E2E2"/>
            <w:tcMar>
              <w:top w:w="40" w:type="dxa"/>
              <w:left w:w="245" w:type="dxa"/>
              <w:bottom w:w="40" w:type="dxa"/>
              <w:right w:w="20" w:type="dxa"/>
            </w:tcMar>
            <w:vAlign w:val="bottom"/>
          </w:tcPr>
          <w:p w14:paraId="64303B35" w14:textId="77777777" w:rsidR="009F6D8A" w:rsidRDefault="00C50974">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B36"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B37" w14:textId="77777777" w:rsidR="009F6D8A" w:rsidRDefault="00C50974">
            <w:pPr>
              <w:jc w:val="right"/>
              <w:textAlignment w:val="bottom"/>
            </w:pPr>
            <w:r>
              <w:rPr>
                <w:rFonts w:ascii="Arial" w:eastAsia="宋体" w:hAnsi="Arial" w:cs="Arial"/>
                <w:color w:val="000000"/>
                <w:sz w:val="18"/>
                <w:szCs w:val="18"/>
              </w:rPr>
              <w:t>2,668 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B3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B39"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B3A"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B3B" w14:textId="77777777" w:rsidR="009F6D8A" w:rsidRDefault="00C50974">
            <w:pPr>
              <w:jc w:val="right"/>
              <w:textAlignment w:val="bottom"/>
            </w:pPr>
            <w:r>
              <w:rPr>
                <w:rFonts w:ascii="Arial" w:eastAsia="宋体" w:hAnsi="Arial" w:cs="Arial"/>
                <w:color w:val="000000"/>
                <w:sz w:val="18"/>
                <w:szCs w:val="18"/>
              </w:rPr>
              <w:t>2,337 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B3C"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B3D"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B3E"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B3F" w14:textId="77777777" w:rsidR="009F6D8A" w:rsidRDefault="00C50974">
            <w:pPr>
              <w:jc w:val="right"/>
              <w:textAlignment w:val="bottom"/>
            </w:pPr>
            <w:r>
              <w:rPr>
                <w:rFonts w:ascii="Arial" w:eastAsia="宋体" w:hAnsi="Arial" w:cs="Arial"/>
                <w:color w:val="000000"/>
                <w:sz w:val="18"/>
                <w:szCs w:val="18"/>
              </w:rPr>
              <w:t>5,306 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B40"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B41"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B42"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B43" w14:textId="77777777" w:rsidR="009F6D8A" w:rsidRDefault="00C50974">
            <w:pPr>
              <w:jc w:val="right"/>
              <w:textAlignment w:val="bottom"/>
            </w:pPr>
            <w:r>
              <w:rPr>
                <w:rFonts w:ascii="Arial" w:eastAsia="宋体" w:hAnsi="Arial" w:cs="Arial"/>
                <w:color w:val="000000"/>
                <w:sz w:val="18"/>
                <w:szCs w:val="18"/>
              </w:rPr>
              <w:t>4,158 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B44" w14:textId="77777777" w:rsidR="009F6D8A" w:rsidRDefault="009F6D8A">
            <w:pPr>
              <w:jc w:val="right"/>
              <w:rPr>
                <w:rFonts w:ascii="宋体"/>
              </w:rPr>
            </w:pPr>
          </w:p>
        </w:tc>
      </w:tr>
    </w:tbl>
    <w:p w14:paraId="64303B46" w14:textId="77777777" w:rsidR="009F6D8A" w:rsidRDefault="009F6D8A">
      <w:pPr>
        <w:ind w:firstLine="540"/>
        <w:jc w:val="both"/>
      </w:pPr>
    </w:p>
    <w:p w14:paraId="64303B47" w14:textId="77777777" w:rsidR="009F6D8A" w:rsidRDefault="00C50974">
      <w:pPr>
        <w:ind w:firstLine="540"/>
        <w:jc w:val="both"/>
      </w:pPr>
      <w:r>
        <w:rPr>
          <w:rFonts w:ascii="Arial" w:eastAsia="宋体" w:hAnsi="Arial" w:cs="Arial"/>
          <w:color w:val="000000"/>
          <w:sz w:val="20"/>
          <w:szCs w:val="20"/>
        </w:rPr>
        <w:t>Net revenues, inclusive of the effects of foreign exchange during each period, are attributed to U.S. and international geographies primarily based upon the country in which the seller, platform that displays advertising, other service provider or customer</w:t>
      </w:r>
      <w:r>
        <w:rPr>
          <w:rFonts w:ascii="Arial" w:eastAsia="宋体" w:hAnsi="Arial" w:cs="Arial"/>
          <w:color w:val="000000"/>
          <w:sz w:val="20"/>
          <w:szCs w:val="20"/>
        </w:rPr>
        <w:t xml:space="preserve">, as the case may be, is located. </w:t>
      </w:r>
    </w:p>
    <w:p w14:paraId="64303B48" w14:textId="77777777" w:rsidR="009F6D8A" w:rsidRDefault="009F6D8A">
      <w:pPr>
        <w:ind w:firstLine="540"/>
        <w:jc w:val="both"/>
      </w:pPr>
    </w:p>
    <w:p w14:paraId="64303B49" w14:textId="77777777" w:rsidR="009F6D8A" w:rsidRDefault="009F6D8A">
      <w:pPr>
        <w:jc w:val="center"/>
      </w:pPr>
    </w:p>
    <w:p w14:paraId="64303B4A" w14:textId="77777777" w:rsidR="009F6D8A" w:rsidRDefault="00C50974">
      <w:pPr>
        <w:jc w:val="center"/>
      </w:pPr>
      <w:r>
        <w:rPr>
          <w:rFonts w:ascii="Arial" w:eastAsia="宋体" w:hAnsi="Arial" w:cs="Arial"/>
          <w:color w:val="000000"/>
          <w:sz w:val="20"/>
          <w:szCs w:val="20"/>
        </w:rPr>
        <w:t>19</w:t>
      </w:r>
    </w:p>
    <w:p w14:paraId="64303B4B" w14:textId="77777777" w:rsidR="009F6D8A" w:rsidRDefault="00C50974">
      <w:r>
        <w:pict w14:anchorId="64305816">
          <v:rect id="_x0000_i1043" style="width:415.3pt;height:1.5pt" o:hralign="center" o:hrstd="t" o:hr="t" fillcolor="#a0a0a0" stroked="f"/>
        </w:pict>
      </w:r>
    </w:p>
    <w:p w14:paraId="64303B4C" w14:textId="77777777" w:rsidR="009F6D8A" w:rsidRDefault="009F6D8A">
      <w:pPr>
        <w:jc w:val="center"/>
      </w:pPr>
    </w:p>
    <w:p w14:paraId="64303B4D" w14:textId="77777777" w:rsidR="009F6D8A" w:rsidRDefault="00C50974">
      <w:pPr>
        <w:jc w:val="center"/>
      </w:pPr>
      <w:r>
        <w:rPr>
          <w:rFonts w:ascii="Arial" w:eastAsia="宋体" w:hAnsi="Arial" w:cs="Arial"/>
          <w:b/>
          <w:bCs/>
          <w:color w:val="000000"/>
          <w:sz w:val="20"/>
          <w:szCs w:val="20"/>
        </w:rPr>
        <w:t>eBay Inc.</w:t>
      </w:r>
    </w:p>
    <w:p w14:paraId="64303B4E"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3B4F" w14:textId="77777777" w:rsidR="009F6D8A" w:rsidRDefault="00C50974">
      <w:r>
        <w:rPr>
          <w:rFonts w:ascii="Arial" w:eastAsia="宋体" w:hAnsi="Arial" w:cs="Arial"/>
          <w:b/>
          <w:bCs/>
          <w:color w:val="000000"/>
          <w:sz w:val="20"/>
          <w:szCs w:val="20"/>
        </w:rPr>
        <w:t>Note 6 — Investments</w:t>
      </w:r>
    </w:p>
    <w:p w14:paraId="64303B50" w14:textId="77777777" w:rsidR="009F6D8A" w:rsidRDefault="009F6D8A"/>
    <w:p w14:paraId="64303B51" w14:textId="77777777" w:rsidR="009F6D8A" w:rsidRDefault="00C50974">
      <w:pPr>
        <w:ind w:firstLine="540"/>
      </w:pPr>
      <w:r>
        <w:rPr>
          <w:rFonts w:ascii="Arial" w:eastAsia="宋体" w:hAnsi="Arial" w:cs="Arial"/>
          <w:color w:val="000000"/>
          <w:sz w:val="20"/>
          <w:szCs w:val="20"/>
        </w:rPr>
        <w:t xml:space="preserve">The following tables summarize the unrealized gains and losses and estimated fair value of our </w:t>
      </w:r>
      <w:r>
        <w:rPr>
          <w:rFonts w:ascii="Arial" w:eastAsia="宋体" w:hAnsi="Arial" w:cs="Arial"/>
          <w:color w:val="000000"/>
          <w:sz w:val="20"/>
          <w:szCs w:val="20"/>
        </w:rPr>
        <w:t>investments classified as available-for-sale and restricted cash (in millions):</w:t>
      </w:r>
      <w:r>
        <w:rPr>
          <w:rFonts w:ascii="Arial" w:eastAsia="宋体" w:hAnsi="Arial" w:cs="Arial"/>
          <w:color w:val="000000"/>
          <w:sz w:val="18"/>
          <w:szCs w:val="18"/>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8"/>
        <w:gridCol w:w="3702"/>
        <w:gridCol w:w="37"/>
        <w:gridCol w:w="122"/>
        <w:gridCol w:w="886"/>
        <w:gridCol w:w="36"/>
        <w:gridCol w:w="37"/>
        <w:gridCol w:w="102"/>
        <w:gridCol w:w="36"/>
        <w:gridCol w:w="122"/>
        <w:gridCol w:w="886"/>
        <w:gridCol w:w="36"/>
        <w:gridCol w:w="37"/>
        <w:gridCol w:w="102"/>
        <w:gridCol w:w="36"/>
        <w:gridCol w:w="122"/>
        <w:gridCol w:w="886"/>
        <w:gridCol w:w="36"/>
        <w:gridCol w:w="36"/>
        <w:gridCol w:w="36"/>
        <w:gridCol w:w="36"/>
        <w:gridCol w:w="122"/>
        <w:gridCol w:w="811"/>
        <w:gridCol w:w="36"/>
      </w:tblGrid>
      <w:tr w:rsidR="009F6D8A" w14:paraId="64303B6A" w14:textId="77777777">
        <w:tc>
          <w:tcPr>
            <w:tcW w:w="50" w:type="pct"/>
            <w:shd w:val="clear" w:color="auto" w:fill="auto"/>
            <w:vAlign w:val="bottom"/>
          </w:tcPr>
          <w:p w14:paraId="64303B52" w14:textId="77777777" w:rsidR="009F6D8A" w:rsidRDefault="009F6D8A">
            <w:pPr>
              <w:rPr>
                <w:rFonts w:ascii="宋体"/>
              </w:rPr>
            </w:pPr>
          </w:p>
        </w:tc>
        <w:tc>
          <w:tcPr>
            <w:tcW w:w="2291" w:type="pct"/>
            <w:shd w:val="clear" w:color="auto" w:fill="auto"/>
            <w:vAlign w:val="bottom"/>
          </w:tcPr>
          <w:p w14:paraId="64303B53" w14:textId="77777777" w:rsidR="009F6D8A" w:rsidRDefault="009F6D8A">
            <w:pPr>
              <w:rPr>
                <w:rFonts w:ascii="宋体"/>
              </w:rPr>
            </w:pPr>
          </w:p>
        </w:tc>
        <w:tc>
          <w:tcPr>
            <w:tcW w:w="5" w:type="pct"/>
            <w:shd w:val="clear" w:color="auto" w:fill="auto"/>
            <w:vAlign w:val="bottom"/>
          </w:tcPr>
          <w:p w14:paraId="64303B54" w14:textId="77777777" w:rsidR="009F6D8A" w:rsidRDefault="009F6D8A">
            <w:pPr>
              <w:rPr>
                <w:rFonts w:ascii="宋体"/>
              </w:rPr>
            </w:pPr>
          </w:p>
        </w:tc>
        <w:tc>
          <w:tcPr>
            <w:tcW w:w="50" w:type="pct"/>
            <w:shd w:val="clear" w:color="auto" w:fill="auto"/>
            <w:vAlign w:val="bottom"/>
          </w:tcPr>
          <w:p w14:paraId="64303B55" w14:textId="77777777" w:rsidR="009F6D8A" w:rsidRDefault="009F6D8A">
            <w:pPr>
              <w:rPr>
                <w:rFonts w:ascii="宋体"/>
              </w:rPr>
            </w:pPr>
          </w:p>
        </w:tc>
        <w:tc>
          <w:tcPr>
            <w:tcW w:w="580" w:type="pct"/>
            <w:shd w:val="clear" w:color="auto" w:fill="auto"/>
            <w:vAlign w:val="bottom"/>
          </w:tcPr>
          <w:p w14:paraId="64303B56" w14:textId="77777777" w:rsidR="009F6D8A" w:rsidRDefault="009F6D8A">
            <w:pPr>
              <w:rPr>
                <w:rFonts w:ascii="宋体"/>
              </w:rPr>
            </w:pPr>
          </w:p>
        </w:tc>
        <w:tc>
          <w:tcPr>
            <w:tcW w:w="5" w:type="pct"/>
            <w:shd w:val="clear" w:color="auto" w:fill="auto"/>
            <w:vAlign w:val="bottom"/>
          </w:tcPr>
          <w:p w14:paraId="64303B57" w14:textId="77777777" w:rsidR="009F6D8A" w:rsidRDefault="009F6D8A">
            <w:pPr>
              <w:rPr>
                <w:rFonts w:ascii="宋体"/>
              </w:rPr>
            </w:pPr>
          </w:p>
        </w:tc>
        <w:tc>
          <w:tcPr>
            <w:tcW w:w="5" w:type="pct"/>
            <w:shd w:val="clear" w:color="auto" w:fill="auto"/>
            <w:vAlign w:val="bottom"/>
          </w:tcPr>
          <w:p w14:paraId="64303B58" w14:textId="77777777" w:rsidR="009F6D8A" w:rsidRDefault="009F6D8A">
            <w:pPr>
              <w:rPr>
                <w:rFonts w:ascii="宋体"/>
              </w:rPr>
            </w:pPr>
          </w:p>
        </w:tc>
        <w:tc>
          <w:tcPr>
            <w:tcW w:w="26" w:type="pct"/>
            <w:shd w:val="clear" w:color="auto" w:fill="auto"/>
            <w:vAlign w:val="bottom"/>
          </w:tcPr>
          <w:p w14:paraId="64303B59" w14:textId="77777777" w:rsidR="009F6D8A" w:rsidRDefault="009F6D8A">
            <w:pPr>
              <w:rPr>
                <w:rFonts w:ascii="宋体"/>
              </w:rPr>
            </w:pPr>
          </w:p>
        </w:tc>
        <w:tc>
          <w:tcPr>
            <w:tcW w:w="5" w:type="pct"/>
            <w:shd w:val="clear" w:color="auto" w:fill="auto"/>
            <w:vAlign w:val="bottom"/>
          </w:tcPr>
          <w:p w14:paraId="64303B5A" w14:textId="77777777" w:rsidR="009F6D8A" w:rsidRDefault="009F6D8A">
            <w:pPr>
              <w:rPr>
                <w:rFonts w:ascii="宋体"/>
              </w:rPr>
            </w:pPr>
          </w:p>
        </w:tc>
        <w:tc>
          <w:tcPr>
            <w:tcW w:w="50" w:type="pct"/>
            <w:shd w:val="clear" w:color="auto" w:fill="auto"/>
            <w:vAlign w:val="bottom"/>
          </w:tcPr>
          <w:p w14:paraId="64303B5B" w14:textId="77777777" w:rsidR="009F6D8A" w:rsidRDefault="009F6D8A">
            <w:pPr>
              <w:rPr>
                <w:rFonts w:ascii="宋体"/>
              </w:rPr>
            </w:pPr>
          </w:p>
        </w:tc>
        <w:tc>
          <w:tcPr>
            <w:tcW w:w="580" w:type="pct"/>
            <w:shd w:val="clear" w:color="auto" w:fill="auto"/>
            <w:vAlign w:val="bottom"/>
          </w:tcPr>
          <w:p w14:paraId="64303B5C" w14:textId="77777777" w:rsidR="009F6D8A" w:rsidRDefault="009F6D8A">
            <w:pPr>
              <w:rPr>
                <w:rFonts w:ascii="宋体"/>
              </w:rPr>
            </w:pPr>
          </w:p>
        </w:tc>
        <w:tc>
          <w:tcPr>
            <w:tcW w:w="5" w:type="pct"/>
            <w:shd w:val="clear" w:color="auto" w:fill="auto"/>
            <w:vAlign w:val="bottom"/>
          </w:tcPr>
          <w:p w14:paraId="64303B5D" w14:textId="77777777" w:rsidR="009F6D8A" w:rsidRDefault="009F6D8A">
            <w:pPr>
              <w:rPr>
                <w:rFonts w:ascii="宋体"/>
              </w:rPr>
            </w:pPr>
          </w:p>
        </w:tc>
        <w:tc>
          <w:tcPr>
            <w:tcW w:w="5" w:type="pct"/>
            <w:shd w:val="clear" w:color="auto" w:fill="auto"/>
            <w:vAlign w:val="bottom"/>
          </w:tcPr>
          <w:p w14:paraId="64303B5E" w14:textId="77777777" w:rsidR="009F6D8A" w:rsidRDefault="009F6D8A">
            <w:pPr>
              <w:rPr>
                <w:rFonts w:ascii="宋体"/>
              </w:rPr>
            </w:pPr>
          </w:p>
        </w:tc>
        <w:tc>
          <w:tcPr>
            <w:tcW w:w="26" w:type="pct"/>
            <w:shd w:val="clear" w:color="auto" w:fill="auto"/>
            <w:vAlign w:val="bottom"/>
          </w:tcPr>
          <w:p w14:paraId="64303B5F" w14:textId="77777777" w:rsidR="009F6D8A" w:rsidRDefault="009F6D8A">
            <w:pPr>
              <w:rPr>
                <w:rFonts w:ascii="宋体"/>
              </w:rPr>
            </w:pPr>
          </w:p>
        </w:tc>
        <w:tc>
          <w:tcPr>
            <w:tcW w:w="5" w:type="pct"/>
            <w:shd w:val="clear" w:color="auto" w:fill="auto"/>
            <w:vAlign w:val="bottom"/>
          </w:tcPr>
          <w:p w14:paraId="64303B60" w14:textId="77777777" w:rsidR="009F6D8A" w:rsidRDefault="009F6D8A">
            <w:pPr>
              <w:rPr>
                <w:rFonts w:ascii="宋体"/>
              </w:rPr>
            </w:pPr>
          </w:p>
        </w:tc>
        <w:tc>
          <w:tcPr>
            <w:tcW w:w="50" w:type="pct"/>
            <w:shd w:val="clear" w:color="auto" w:fill="auto"/>
            <w:vAlign w:val="bottom"/>
          </w:tcPr>
          <w:p w14:paraId="64303B61" w14:textId="77777777" w:rsidR="009F6D8A" w:rsidRDefault="009F6D8A">
            <w:pPr>
              <w:rPr>
                <w:rFonts w:ascii="宋体"/>
              </w:rPr>
            </w:pPr>
          </w:p>
        </w:tc>
        <w:tc>
          <w:tcPr>
            <w:tcW w:w="580" w:type="pct"/>
            <w:shd w:val="clear" w:color="auto" w:fill="auto"/>
            <w:vAlign w:val="bottom"/>
          </w:tcPr>
          <w:p w14:paraId="64303B62" w14:textId="77777777" w:rsidR="009F6D8A" w:rsidRDefault="009F6D8A">
            <w:pPr>
              <w:rPr>
                <w:rFonts w:ascii="宋体"/>
              </w:rPr>
            </w:pPr>
          </w:p>
        </w:tc>
        <w:tc>
          <w:tcPr>
            <w:tcW w:w="5" w:type="pct"/>
            <w:shd w:val="clear" w:color="auto" w:fill="auto"/>
            <w:vAlign w:val="bottom"/>
          </w:tcPr>
          <w:p w14:paraId="64303B63" w14:textId="77777777" w:rsidR="009F6D8A" w:rsidRDefault="009F6D8A">
            <w:pPr>
              <w:rPr>
                <w:rFonts w:ascii="宋体"/>
              </w:rPr>
            </w:pPr>
          </w:p>
        </w:tc>
        <w:tc>
          <w:tcPr>
            <w:tcW w:w="5" w:type="pct"/>
            <w:shd w:val="clear" w:color="auto" w:fill="auto"/>
            <w:vAlign w:val="bottom"/>
          </w:tcPr>
          <w:p w14:paraId="64303B64" w14:textId="77777777" w:rsidR="009F6D8A" w:rsidRDefault="009F6D8A">
            <w:pPr>
              <w:rPr>
                <w:rFonts w:ascii="宋体"/>
              </w:rPr>
            </w:pPr>
          </w:p>
        </w:tc>
        <w:tc>
          <w:tcPr>
            <w:tcW w:w="26" w:type="pct"/>
            <w:shd w:val="clear" w:color="auto" w:fill="auto"/>
            <w:vAlign w:val="bottom"/>
          </w:tcPr>
          <w:p w14:paraId="64303B65" w14:textId="77777777" w:rsidR="009F6D8A" w:rsidRDefault="009F6D8A">
            <w:pPr>
              <w:rPr>
                <w:rFonts w:ascii="宋体"/>
              </w:rPr>
            </w:pPr>
          </w:p>
        </w:tc>
        <w:tc>
          <w:tcPr>
            <w:tcW w:w="5" w:type="pct"/>
            <w:shd w:val="clear" w:color="auto" w:fill="auto"/>
            <w:vAlign w:val="bottom"/>
          </w:tcPr>
          <w:p w14:paraId="64303B66" w14:textId="77777777" w:rsidR="009F6D8A" w:rsidRDefault="009F6D8A">
            <w:pPr>
              <w:rPr>
                <w:rFonts w:ascii="宋体"/>
              </w:rPr>
            </w:pPr>
          </w:p>
        </w:tc>
        <w:tc>
          <w:tcPr>
            <w:tcW w:w="50" w:type="pct"/>
            <w:shd w:val="clear" w:color="auto" w:fill="auto"/>
            <w:vAlign w:val="bottom"/>
          </w:tcPr>
          <w:p w14:paraId="64303B67" w14:textId="77777777" w:rsidR="009F6D8A" w:rsidRDefault="009F6D8A">
            <w:pPr>
              <w:rPr>
                <w:rFonts w:ascii="宋体"/>
              </w:rPr>
            </w:pPr>
          </w:p>
        </w:tc>
        <w:tc>
          <w:tcPr>
            <w:tcW w:w="581" w:type="pct"/>
            <w:shd w:val="clear" w:color="auto" w:fill="auto"/>
            <w:vAlign w:val="bottom"/>
          </w:tcPr>
          <w:p w14:paraId="64303B68" w14:textId="77777777" w:rsidR="009F6D8A" w:rsidRDefault="009F6D8A">
            <w:pPr>
              <w:rPr>
                <w:rFonts w:ascii="宋体"/>
              </w:rPr>
            </w:pPr>
          </w:p>
        </w:tc>
        <w:tc>
          <w:tcPr>
            <w:tcW w:w="5" w:type="pct"/>
            <w:shd w:val="clear" w:color="auto" w:fill="auto"/>
            <w:vAlign w:val="bottom"/>
          </w:tcPr>
          <w:p w14:paraId="64303B69" w14:textId="77777777" w:rsidR="009F6D8A" w:rsidRDefault="009F6D8A">
            <w:pPr>
              <w:rPr>
                <w:rFonts w:ascii="宋体"/>
              </w:rPr>
            </w:pPr>
          </w:p>
        </w:tc>
      </w:tr>
      <w:tr w:rsidR="009F6D8A" w14:paraId="64303B6D" w14:textId="77777777">
        <w:tc>
          <w:tcPr>
            <w:tcW w:w="0" w:type="auto"/>
            <w:gridSpan w:val="3"/>
            <w:shd w:val="clear" w:color="auto" w:fill="auto"/>
            <w:tcMar>
              <w:top w:w="40" w:type="dxa"/>
              <w:left w:w="20" w:type="dxa"/>
              <w:bottom w:w="40" w:type="dxa"/>
              <w:right w:w="20" w:type="dxa"/>
            </w:tcMar>
            <w:vAlign w:val="bottom"/>
          </w:tcPr>
          <w:p w14:paraId="64303B6B" w14:textId="77777777" w:rsidR="009F6D8A" w:rsidRDefault="00C50974">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64303B6C" w14:textId="77777777" w:rsidR="009F6D8A" w:rsidRDefault="00C50974">
            <w:pPr>
              <w:jc w:val="center"/>
              <w:textAlignment w:val="bottom"/>
            </w:pPr>
            <w:r>
              <w:rPr>
                <w:rFonts w:ascii="Arial" w:eastAsia="宋体" w:hAnsi="Arial" w:cs="Arial"/>
                <w:b/>
                <w:bCs/>
                <w:color w:val="000000"/>
                <w:sz w:val="16"/>
                <w:szCs w:val="16"/>
              </w:rPr>
              <w:t>June 30, 2021</w:t>
            </w:r>
          </w:p>
        </w:tc>
      </w:tr>
      <w:tr w:rsidR="009F6D8A" w14:paraId="64303B76" w14:textId="77777777">
        <w:tc>
          <w:tcPr>
            <w:tcW w:w="0" w:type="auto"/>
            <w:gridSpan w:val="3"/>
            <w:shd w:val="clear" w:color="auto" w:fill="auto"/>
            <w:tcMar>
              <w:top w:w="40" w:type="dxa"/>
              <w:left w:w="20" w:type="dxa"/>
              <w:bottom w:w="40" w:type="dxa"/>
              <w:right w:w="20" w:type="dxa"/>
            </w:tcMar>
            <w:vAlign w:val="bottom"/>
          </w:tcPr>
          <w:p w14:paraId="64303B6E" w14:textId="77777777" w:rsidR="009F6D8A" w:rsidRDefault="00C50974">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B6F" w14:textId="77777777" w:rsidR="009F6D8A" w:rsidRDefault="00C50974">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Amortized</w:t>
            </w:r>
            <w:r>
              <w:rPr>
                <w:rFonts w:ascii="Arial" w:eastAsia="宋体" w:hAnsi="Arial" w:cs="Arial"/>
                <w:b/>
                <w:bCs/>
                <w:color w:val="000000"/>
                <w:sz w:val="16"/>
                <w:szCs w:val="16"/>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B70"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B71" w14:textId="77777777" w:rsidR="009F6D8A" w:rsidRDefault="00C50974">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B72"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B73" w14:textId="77777777" w:rsidR="009F6D8A" w:rsidRDefault="00C50974">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B74"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B75" w14:textId="77777777" w:rsidR="009F6D8A" w:rsidRDefault="00C50974">
            <w:pPr>
              <w:jc w:val="center"/>
              <w:textAlignment w:val="bottom"/>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r>
      <w:tr w:rsidR="009F6D8A" w14:paraId="64303B7F" w14:textId="77777777">
        <w:tc>
          <w:tcPr>
            <w:tcW w:w="0" w:type="auto"/>
            <w:gridSpan w:val="3"/>
            <w:shd w:val="clear" w:color="auto" w:fill="E2E2E2"/>
            <w:tcMar>
              <w:top w:w="40" w:type="dxa"/>
              <w:left w:w="20" w:type="dxa"/>
              <w:bottom w:w="40" w:type="dxa"/>
              <w:right w:w="20" w:type="dxa"/>
            </w:tcMar>
            <w:vAlign w:val="bottom"/>
          </w:tcPr>
          <w:p w14:paraId="64303B77" w14:textId="77777777" w:rsidR="009F6D8A" w:rsidRDefault="00C50974">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3B78"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B79"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3B7A"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B7B"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3B7C"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B7D"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3B7E" w14:textId="77777777" w:rsidR="009F6D8A" w:rsidRDefault="009F6D8A">
            <w:pPr>
              <w:rPr>
                <w:rFonts w:ascii="宋体"/>
              </w:rPr>
            </w:pPr>
          </w:p>
        </w:tc>
      </w:tr>
      <w:tr w:rsidR="009F6D8A" w14:paraId="64303B90" w14:textId="77777777">
        <w:tc>
          <w:tcPr>
            <w:tcW w:w="0" w:type="auto"/>
            <w:gridSpan w:val="3"/>
            <w:shd w:val="clear" w:color="auto" w:fill="FFFFFF"/>
            <w:tcMar>
              <w:top w:w="40" w:type="dxa"/>
              <w:left w:w="245" w:type="dxa"/>
              <w:bottom w:w="40" w:type="dxa"/>
              <w:right w:w="20" w:type="dxa"/>
            </w:tcMar>
            <w:vAlign w:val="bottom"/>
          </w:tcPr>
          <w:p w14:paraId="64303B80" w14:textId="77777777" w:rsidR="009F6D8A" w:rsidRDefault="00C50974">
            <w:pPr>
              <w:textAlignment w:val="bottom"/>
            </w:pPr>
            <w:r>
              <w:rPr>
                <w:rFonts w:ascii="Arial" w:eastAsia="宋体" w:hAnsi="Arial" w:cs="Arial"/>
                <w:color w:val="000000"/>
                <w:sz w:val="18"/>
                <w:szCs w:val="18"/>
              </w:rPr>
              <w:t>Restricted cash</w:t>
            </w:r>
          </w:p>
        </w:tc>
        <w:tc>
          <w:tcPr>
            <w:tcW w:w="0" w:type="auto"/>
            <w:shd w:val="clear" w:color="auto" w:fill="FFFFFF"/>
            <w:tcMar>
              <w:top w:w="40" w:type="dxa"/>
              <w:left w:w="20" w:type="dxa"/>
              <w:bottom w:w="40" w:type="dxa"/>
              <w:right w:w="0" w:type="dxa"/>
            </w:tcMar>
            <w:vAlign w:val="bottom"/>
          </w:tcPr>
          <w:p w14:paraId="64303B81"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B82" w14:textId="77777777" w:rsidR="009F6D8A" w:rsidRDefault="00C50974">
            <w:pPr>
              <w:jc w:val="right"/>
              <w:textAlignment w:val="bottom"/>
            </w:pPr>
            <w:r>
              <w:rPr>
                <w:rFonts w:ascii="Arial" w:eastAsia="宋体" w:hAnsi="Arial" w:cs="Arial"/>
                <w:color w:val="000000"/>
                <w:sz w:val="18"/>
                <w:szCs w:val="18"/>
              </w:rPr>
              <w:t>15 </w:t>
            </w:r>
          </w:p>
        </w:tc>
        <w:tc>
          <w:tcPr>
            <w:tcW w:w="0" w:type="auto"/>
            <w:shd w:val="clear" w:color="auto" w:fill="FFFFFF"/>
            <w:tcMar>
              <w:top w:w="40" w:type="dxa"/>
              <w:left w:w="0" w:type="dxa"/>
              <w:bottom w:w="40" w:type="dxa"/>
              <w:right w:w="20" w:type="dxa"/>
            </w:tcMar>
            <w:vAlign w:val="bottom"/>
          </w:tcPr>
          <w:p w14:paraId="64303B8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B84"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B85"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B86"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B8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B88"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B89"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B8A"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B8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B8C"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B8D"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B8E" w14:textId="77777777" w:rsidR="009F6D8A" w:rsidRDefault="00C50974">
            <w:pPr>
              <w:jc w:val="right"/>
              <w:textAlignment w:val="bottom"/>
            </w:pPr>
            <w:r>
              <w:rPr>
                <w:rFonts w:ascii="Arial" w:eastAsia="宋体" w:hAnsi="Arial" w:cs="Arial"/>
                <w:color w:val="000000"/>
                <w:sz w:val="18"/>
                <w:szCs w:val="18"/>
              </w:rPr>
              <w:t>15 </w:t>
            </w:r>
          </w:p>
        </w:tc>
        <w:tc>
          <w:tcPr>
            <w:tcW w:w="0" w:type="auto"/>
            <w:shd w:val="clear" w:color="auto" w:fill="FFFFFF"/>
            <w:tcMar>
              <w:top w:w="40" w:type="dxa"/>
              <w:left w:w="0" w:type="dxa"/>
              <w:bottom w:w="40" w:type="dxa"/>
              <w:right w:w="20" w:type="dxa"/>
            </w:tcMar>
            <w:vAlign w:val="bottom"/>
          </w:tcPr>
          <w:p w14:paraId="64303B8F" w14:textId="77777777" w:rsidR="009F6D8A" w:rsidRDefault="009F6D8A">
            <w:pPr>
              <w:jc w:val="right"/>
              <w:rPr>
                <w:rFonts w:ascii="宋体"/>
              </w:rPr>
            </w:pPr>
          </w:p>
        </w:tc>
      </w:tr>
      <w:tr w:rsidR="009F6D8A" w14:paraId="64303B9D" w14:textId="77777777">
        <w:tc>
          <w:tcPr>
            <w:tcW w:w="0" w:type="auto"/>
            <w:gridSpan w:val="3"/>
            <w:shd w:val="clear" w:color="auto" w:fill="E2E2E2"/>
            <w:tcMar>
              <w:top w:w="40" w:type="dxa"/>
              <w:left w:w="245" w:type="dxa"/>
              <w:bottom w:w="40" w:type="dxa"/>
              <w:right w:w="20" w:type="dxa"/>
            </w:tcMar>
            <w:vAlign w:val="bottom"/>
          </w:tcPr>
          <w:p w14:paraId="64303B91" w14:textId="77777777" w:rsidR="009F6D8A" w:rsidRDefault="00C50974">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64303B92" w14:textId="77777777" w:rsidR="009F6D8A" w:rsidRDefault="00C50974">
            <w:pPr>
              <w:jc w:val="right"/>
              <w:textAlignment w:val="bottom"/>
            </w:pPr>
            <w:r>
              <w:rPr>
                <w:rFonts w:ascii="Arial" w:eastAsia="宋体" w:hAnsi="Arial" w:cs="Arial"/>
                <w:color w:val="000000"/>
                <w:sz w:val="18"/>
                <w:szCs w:val="18"/>
              </w:rPr>
              <w:t>4,596 </w:t>
            </w:r>
          </w:p>
        </w:tc>
        <w:tc>
          <w:tcPr>
            <w:tcW w:w="0" w:type="auto"/>
            <w:shd w:val="clear" w:color="auto" w:fill="E2E2E2"/>
            <w:tcMar>
              <w:top w:w="40" w:type="dxa"/>
              <w:left w:w="0" w:type="dxa"/>
              <w:bottom w:w="40" w:type="dxa"/>
              <w:right w:w="20" w:type="dxa"/>
            </w:tcMar>
            <w:vAlign w:val="bottom"/>
          </w:tcPr>
          <w:p w14:paraId="64303B93"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B94"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B95" w14:textId="77777777" w:rsidR="009F6D8A" w:rsidRDefault="00C50974">
            <w:pPr>
              <w:jc w:val="right"/>
              <w:textAlignment w:val="bottom"/>
            </w:pPr>
            <w:r>
              <w:rPr>
                <w:rFonts w:ascii="Arial" w:eastAsia="宋体" w:hAnsi="Arial" w:cs="Arial"/>
                <w:color w:val="000000"/>
                <w:sz w:val="18"/>
                <w:szCs w:val="18"/>
              </w:rPr>
              <w:t>2 </w:t>
            </w:r>
          </w:p>
        </w:tc>
        <w:tc>
          <w:tcPr>
            <w:tcW w:w="0" w:type="auto"/>
            <w:shd w:val="clear" w:color="auto" w:fill="E2E2E2"/>
            <w:tcMar>
              <w:top w:w="40" w:type="dxa"/>
              <w:left w:w="0" w:type="dxa"/>
              <w:bottom w:w="40" w:type="dxa"/>
              <w:right w:w="20" w:type="dxa"/>
            </w:tcMar>
            <w:vAlign w:val="bottom"/>
          </w:tcPr>
          <w:p w14:paraId="64303B9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B97"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B98"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3B99"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B9A"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B9B" w14:textId="77777777" w:rsidR="009F6D8A" w:rsidRDefault="00C50974">
            <w:pPr>
              <w:jc w:val="right"/>
              <w:textAlignment w:val="bottom"/>
            </w:pPr>
            <w:r>
              <w:rPr>
                <w:rFonts w:ascii="Arial" w:eastAsia="宋体" w:hAnsi="Arial" w:cs="Arial"/>
                <w:color w:val="000000"/>
                <w:sz w:val="18"/>
                <w:szCs w:val="18"/>
              </w:rPr>
              <w:t>4,598 </w:t>
            </w:r>
          </w:p>
        </w:tc>
        <w:tc>
          <w:tcPr>
            <w:tcW w:w="0" w:type="auto"/>
            <w:shd w:val="clear" w:color="auto" w:fill="E2E2E2"/>
            <w:tcMar>
              <w:top w:w="40" w:type="dxa"/>
              <w:left w:w="0" w:type="dxa"/>
              <w:bottom w:w="40" w:type="dxa"/>
              <w:right w:w="20" w:type="dxa"/>
            </w:tcMar>
            <w:vAlign w:val="bottom"/>
          </w:tcPr>
          <w:p w14:paraId="64303B9C" w14:textId="77777777" w:rsidR="009F6D8A" w:rsidRDefault="009F6D8A">
            <w:pPr>
              <w:jc w:val="right"/>
              <w:rPr>
                <w:rFonts w:ascii="宋体"/>
              </w:rPr>
            </w:pPr>
          </w:p>
        </w:tc>
      </w:tr>
      <w:tr w:rsidR="009F6D8A" w14:paraId="64303BAA" w14:textId="77777777">
        <w:tc>
          <w:tcPr>
            <w:tcW w:w="0" w:type="auto"/>
            <w:gridSpan w:val="3"/>
            <w:shd w:val="clear" w:color="auto" w:fill="FFFFFF"/>
            <w:tcMar>
              <w:top w:w="40" w:type="dxa"/>
              <w:left w:w="245" w:type="dxa"/>
              <w:bottom w:w="40" w:type="dxa"/>
              <w:right w:w="20" w:type="dxa"/>
            </w:tcMar>
            <w:vAlign w:val="bottom"/>
          </w:tcPr>
          <w:p w14:paraId="64303B9E" w14:textId="77777777" w:rsidR="009F6D8A" w:rsidRDefault="00C50974">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64303B9F" w14:textId="77777777" w:rsidR="009F6D8A" w:rsidRDefault="00C50974">
            <w:pPr>
              <w:jc w:val="right"/>
              <w:textAlignment w:val="bottom"/>
            </w:pPr>
            <w:r>
              <w:rPr>
                <w:rFonts w:ascii="Arial" w:eastAsia="宋体" w:hAnsi="Arial" w:cs="Arial"/>
                <w:color w:val="000000"/>
                <w:sz w:val="18"/>
                <w:szCs w:val="18"/>
              </w:rPr>
              <w:t>125 </w:t>
            </w:r>
          </w:p>
        </w:tc>
        <w:tc>
          <w:tcPr>
            <w:tcW w:w="0" w:type="auto"/>
            <w:shd w:val="clear" w:color="auto" w:fill="FFFFFF"/>
            <w:tcMar>
              <w:top w:w="40" w:type="dxa"/>
              <w:left w:w="0" w:type="dxa"/>
              <w:bottom w:w="40" w:type="dxa"/>
              <w:right w:w="20" w:type="dxa"/>
            </w:tcMar>
            <w:vAlign w:val="bottom"/>
          </w:tcPr>
          <w:p w14:paraId="64303BA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BA1"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BA2"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BA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BA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BA5"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BA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BA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BA8" w14:textId="77777777" w:rsidR="009F6D8A" w:rsidRDefault="00C50974">
            <w:pPr>
              <w:jc w:val="right"/>
              <w:textAlignment w:val="bottom"/>
            </w:pPr>
            <w:r>
              <w:rPr>
                <w:rFonts w:ascii="Arial" w:eastAsia="宋体" w:hAnsi="Arial" w:cs="Arial"/>
                <w:color w:val="000000"/>
                <w:sz w:val="18"/>
                <w:szCs w:val="18"/>
              </w:rPr>
              <w:t>125 </w:t>
            </w:r>
          </w:p>
        </w:tc>
        <w:tc>
          <w:tcPr>
            <w:tcW w:w="0" w:type="auto"/>
            <w:shd w:val="clear" w:color="auto" w:fill="FFFFFF"/>
            <w:tcMar>
              <w:top w:w="40" w:type="dxa"/>
              <w:left w:w="0" w:type="dxa"/>
              <w:bottom w:w="40" w:type="dxa"/>
              <w:right w:w="20" w:type="dxa"/>
            </w:tcMar>
            <w:vAlign w:val="bottom"/>
          </w:tcPr>
          <w:p w14:paraId="64303BA9" w14:textId="77777777" w:rsidR="009F6D8A" w:rsidRDefault="009F6D8A">
            <w:pPr>
              <w:jc w:val="right"/>
              <w:rPr>
                <w:rFonts w:ascii="宋体"/>
              </w:rPr>
            </w:pPr>
          </w:p>
        </w:tc>
      </w:tr>
      <w:tr w:rsidR="009F6D8A" w14:paraId="64303BB3" w14:textId="77777777">
        <w:trPr>
          <w:hidden/>
        </w:trPr>
        <w:tc>
          <w:tcPr>
            <w:tcW w:w="0" w:type="auto"/>
            <w:gridSpan w:val="3"/>
            <w:shd w:val="clear" w:color="auto" w:fill="auto"/>
            <w:vAlign w:val="bottom"/>
          </w:tcPr>
          <w:p w14:paraId="64303BAB" w14:textId="77777777" w:rsidR="009F6D8A" w:rsidRDefault="009F6D8A">
            <w:pPr>
              <w:rPr>
                <w:rFonts w:ascii="宋体"/>
                <w:vanish/>
              </w:rPr>
            </w:pPr>
          </w:p>
        </w:tc>
        <w:tc>
          <w:tcPr>
            <w:tcW w:w="0" w:type="auto"/>
            <w:gridSpan w:val="3"/>
            <w:shd w:val="clear" w:color="auto" w:fill="auto"/>
            <w:vAlign w:val="bottom"/>
          </w:tcPr>
          <w:p w14:paraId="64303BAC" w14:textId="77777777" w:rsidR="009F6D8A" w:rsidRDefault="009F6D8A">
            <w:pPr>
              <w:rPr>
                <w:rFonts w:ascii="宋体"/>
                <w:vanish/>
              </w:rPr>
            </w:pPr>
          </w:p>
        </w:tc>
        <w:tc>
          <w:tcPr>
            <w:tcW w:w="0" w:type="auto"/>
            <w:gridSpan w:val="3"/>
            <w:shd w:val="clear" w:color="auto" w:fill="auto"/>
            <w:vAlign w:val="bottom"/>
          </w:tcPr>
          <w:p w14:paraId="64303BAD" w14:textId="77777777" w:rsidR="009F6D8A" w:rsidRDefault="009F6D8A">
            <w:pPr>
              <w:rPr>
                <w:rFonts w:ascii="宋体"/>
                <w:vanish/>
              </w:rPr>
            </w:pPr>
          </w:p>
        </w:tc>
        <w:tc>
          <w:tcPr>
            <w:tcW w:w="0" w:type="auto"/>
            <w:gridSpan w:val="3"/>
            <w:shd w:val="clear" w:color="auto" w:fill="auto"/>
            <w:vAlign w:val="bottom"/>
          </w:tcPr>
          <w:p w14:paraId="64303BAE" w14:textId="77777777" w:rsidR="009F6D8A" w:rsidRDefault="009F6D8A">
            <w:pPr>
              <w:rPr>
                <w:rFonts w:ascii="宋体"/>
                <w:vanish/>
              </w:rPr>
            </w:pPr>
          </w:p>
        </w:tc>
        <w:tc>
          <w:tcPr>
            <w:tcW w:w="0" w:type="auto"/>
            <w:gridSpan w:val="3"/>
            <w:shd w:val="clear" w:color="auto" w:fill="auto"/>
            <w:vAlign w:val="bottom"/>
          </w:tcPr>
          <w:p w14:paraId="64303BAF" w14:textId="77777777" w:rsidR="009F6D8A" w:rsidRDefault="009F6D8A">
            <w:pPr>
              <w:rPr>
                <w:rFonts w:ascii="宋体"/>
                <w:vanish/>
              </w:rPr>
            </w:pPr>
          </w:p>
        </w:tc>
        <w:tc>
          <w:tcPr>
            <w:tcW w:w="0" w:type="auto"/>
            <w:gridSpan w:val="3"/>
            <w:shd w:val="clear" w:color="auto" w:fill="auto"/>
            <w:vAlign w:val="bottom"/>
          </w:tcPr>
          <w:p w14:paraId="64303BB0" w14:textId="77777777" w:rsidR="009F6D8A" w:rsidRDefault="009F6D8A">
            <w:pPr>
              <w:rPr>
                <w:rFonts w:ascii="宋体"/>
                <w:vanish/>
              </w:rPr>
            </w:pPr>
          </w:p>
        </w:tc>
        <w:tc>
          <w:tcPr>
            <w:tcW w:w="0" w:type="auto"/>
            <w:gridSpan w:val="3"/>
            <w:shd w:val="clear" w:color="auto" w:fill="auto"/>
            <w:vAlign w:val="bottom"/>
          </w:tcPr>
          <w:p w14:paraId="64303BB1" w14:textId="77777777" w:rsidR="009F6D8A" w:rsidRDefault="009F6D8A">
            <w:pPr>
              <w:rPr>
                <w:rFonts w:ascii="宋体"/>
                <w:vanish/>
              </w:rPr>
            </w:pPr>
          </w:p>
        </w:tc>
        <w:tc>
          <w:tcPr>
            <w:tcW w:w="0" w:type="auto"/>
            <w:gridSpan w:val="3"/>
            <w:shd w:val="clear" w:color="auto" w:fill="auto"/>
            <w:vAlign w:val="bottom"/>
          </w:tcPr>
          <w:p w14:paraId="64303BB2" w14:textId="77777777" w:rsidR="009F6D8A" w:rsidRDefault="009F6D8A">
            <w:pPr>
              <w:rPr>
                <w:rFonts w:ascii="宋体"/>
                <w:vanish/>
              </w:rPr>
            </w:pPr>
          </w:p>
        </w:tc>
      </w:tr>
      <w:tr w:rsidR="009F6D8A" w14:paraId="64303BBC" w14:textId="77777777">
        <w:trPr>
          <w:hidden/>
        </w:trPr>
        <w:tc>
          <w:tcPr>
            <w:tcW w:w="0" w:type="auto"/>
            <w:gridSpan w:val="3"/>
            <w:shd w:val="clear" w:color="auto" w:fill="auto"/>
            <w:vAlign w:val="bottom"/>
          </w:tcPr>
          <w:p w14:paraId="64303BB4" w14:textId="77777777" w:rsidR="009F6D8A" w:rsidRDefault="009F6D8A">
            <w:pPr>
              <w:rPr>
                <w:rFonts w:ascii="宋体"/>
                <w:vanish/>
              </w:rPr>
            </w:pPr>
          </w:p>
        </w:tc>
        <w:tc>
          <w:tcPr>
            <w:tcW w:w="0" w:type="auto"/>
            <w:gridSpan w:val="3"/>
            <w:shd w:val="clear" w:color="auto" w:fill="auto"/>
            <w:vAlign w:val="bottom"/>
          </w:tcPr>
          <w:p w14:paraId="64303BB5" w14:textId="77777777" w:rsidR="009F6D8A" w:rsidRDefault="009F6D8A">
            <w:pPr>
              <w:rPr>
                <w:rFonts w:ascii="宋体"/>
                <w:vanish/>
              </w:rPr>
            </w:pPr>
          </w:p>
        </w:tc>
        <w:tc>
          <w:tcPr>
            <w:tcW w:w="0" w:type="auto"/>
            <w:gridSpan w:val="3"/>
            <w:shd w:val="clear" w:color="auto" w:fill="auto"/>
            <w:vAlign w:val="bottom"/>
          </w:tcPr>
          <w:p w14:paraId="64303BB6" w14:textId="77777777" w:rsidR="009F6D8A" w:rsidRDefault="009F6D8A">
            <w:pPr>
              <w:rPr>
                <w:rFonts w:ascii="宋体"/>
                <w:vanish/>
              </w:rPr>
            </w:pPr>
          </w:p>
        </w:tc>
        <w:tc>
          <w:tcPr>
            <w:tcW w:w="0" w:type="auto"/>
            <w:gridSpan w:val="3"/>
            <w:shd w:val="clear" w:color="auto" w:fill="auto"/>
            <w:vAlign w:val="bottom"/>
          </w:tcPr>
          <w:p w14:paraId="64303BB7" w14:textId="77777777" w:rsidR="009F6D8A" w:rsidRDefault="009F6D8A">
            <w:pPr>
              <w:rPr>
                <w:rFonts w:ascii="宋体"/>
                <w:vanish/>
              </w:rPr>
            </w:pPr>
          </w:p>
        </w:tc>
        <w:tc>
          <w:tcPr>
            <w:tcW w:w="0" w:type="auto"/>
            <w:gridSpan w:val="3"/>
            <w:shd w:val="clear" w:color="auto" w:fill="auto"/>
            <w:vAlign w:val="bottom"/>
          </w:tcPr>
          <w:p w14:paraId="64303BB8" w14:textId="77777777" w:rsidR="009F6D8A" w:rsidRDefault="009F6D8A">
            <w:pPr>
              <w:rPr>
                <w:rFonts w:ascii="宋体"/>
                <w:vanish/>
              </w:rPr>
            </w:pPr>
          </w:p>
        </w:tc>
        <w:tc>
          <w:tcPr>
            <w:tcW w:w="0" w:type="auto"/>
            <w:gridSpan w:val="3"/>
            <w:shd w:val="clear" w:color="auto" w:fill="auto"/>
            <w:vAlign w:val="bottom"/>
          </w:tcPr>
          <w:p w14:paraId="64303BB9" w14:textId="77777777" w:rsidR="009F6D8A" w:rsidRDefault="009F6D8A">
            <w:pPr>
              <w:rPr>
                <w:rFonts w:ascii="宋体"/>
                <w:vanish/>
              </w:rPr>
            </w:pPr>
          </w:p>
        </w:tc>
        <w:tc>
          <w:tcPr>
            <w:tcW w:w="0" w:type="auto"/>
            <w:gridSpan w:val="3"/>
            <w:shd w:val="clear" w:color="auto" w:fill="auto"/>
            <w:vAlign w:val="bottom"/>
          </w:tcPr>
          <w:p w14:paraId="64303BBA" w14:textId="77777777" w:rsidR="009F6D8A" w:rsidRDefault="009F6D8A">
            <w:pPr>
              <w:rPr>
                <w:rFonts w:ascii="宋体"/>
                <w:vanish/>
              </w:rPr>
            </w:pPr>
          </w:p>
        </w:tc>
        <w:tc>
          <w:tcPr>
            <w:tcW w:w="0" w:type="auto"/>
            <w:gridSpan w:val="3"/>
            <w:shd w:val="clear" w:color="auto" w:fill="auto"/>
            <w:vAlign w:val="bottom"/>
          </w:tcPr>
          <w:p w14:paraId="64303BBB" w14:textId="77777777" w:rsidR="009F6D8A" w:rsidRDefault="009F6D8A">
            <w:pPr>
              <w:rPr>
                <w:rFonts w:ascii="宋体"/>
                <w:vanish/>
              </w:rPr>
            </w:pPr>
          </w:p>
        </w:tc>
      </w:tr>
      <w:tr w:rsidR="009F6D8A" w14:paraId="64303BC5" w14:textId="77777777">
        <w:trPr>
          <w:hidden/>
        </w:trPr>
        <w:tc>
          <w:tcPr>
            <w:tcW w:w="0" w:type="auto"/>
            <w:gridSpan w:val="3"/>
            <w:shd w:val="clear" w:color="auto" w:fill="auto"/>
            <w:vAlign w:val="bottom"/>
          </w:tcPr>
          <w:p w14:paraId="64303BBD" w14:textId="77777777" w:rsidR="009F6D8A" w:rsidRDefault="009F6D8A">
            <w:pPr>
              <w:rPr>
                <w:rFonts w:ascii="宋体"/>
                <w:vanish/>
              </w:rPr>
            </w:pPr>
          </w:p>
        </w:tc>
        <w:tc>
          <w:tcPr>
            <w:tcW w:w="0" w:type="auto"/>
            <w:gridSpan w:val="3"/>
            <w:shd w:val="clear" w:color="auto" w:fill="auto"/>
            <w:vAlign w:val="bottom"/>
          </w:tcPr>
          <w:p w14:paraId="64303BBE" w14:textId="77777777" w:rsidR="009F6D8A" w:rsidRDefault="009F6D8A">
            <w:pPr>
              <w:rPr>
                <w:rFonts w:ascii="宋体"/>
                <w:vanish/>
              </w:rPr>
            </w:pPr>
          </w:p>
        </w:tc>
        <w:tc>
          <w:tcPr>
            <w:tcW w:w="0" w:type="auto"/>
            <w:gridSpan w:val="3"/>
            <w:shd w:val="clear" w:color="auto" w:fill="auto"/>
            <w:vAlign w:val="bottom"/>
          </w:tcPr>
          <w:p w14:paraId="64303BBF" w14:textId="77777777" w:rsidR="009F6D8A" w:rsidRDefault="009F6D8A">
            <w:pPr>
              <w:rPr>
                <w:rFonts w:ascii="宋体"/>
                <w:vanish/>
              </w:rPr>
            </w:pPr>
          </w:p>
        </w:tc>
        <w:tc>
          <w:tcPr>
            <w:tcW w:w="0" w:type="auto"/>
            <w:gridSpan w:val="3"/>
            <w:shd w:val="clear" w:color="auto" w:fill="auto"/>
            <w:vAlign w:val="bottom"/>
          </w:tcPr>
          <w:p w14:paraId="64303BC0" w14:textId="77777777" w:rsidR="009F6D8A" w:rsidRDefault="009F6D8A">
            <w:pPr>
              <w:rPr>
                <w:rFonts w:ascii="宋体"/>
                <w:vanish/>
              </w:rPr>
            </w:pPr>
          </w:p>
        </w:tc>
        <w:tc>
          <w:tcPr>
            <w:tcW w:w="0" w:type="auto"/>
            <w:gridSpan w:val="3"/>
            <w:shd w:val="clear" w:color="auto" w:fill="auto"/>
            <w:vAlign w:val="bottom"/>
          </w:tcPr>
          <w:p w14:paraId="64303BC1" w14:textId="77777777" w:rsidR="009F6D8A" w:rsidRDefault="009F6D8A">
            <w:pPr>
              <w:rPr>
                <w:rFonts w:ascii="宋体"/>
                <w:vanish/>
              </w:rPr>
            </w:pPr>
          </w:p>
        </w:tc>
        <w:tc>
          <w:tcPr>
            <w:tcW w:w="0" w:type="auto"/>
            <w:gridSpan w:val="3"/>
            <w:shd w:val="clear" w:color="auto" w:fill="auto"/>
            <w:vAlign w:val="bottom"/>
          </w:tcPr>
          <w:p w14:paraId="64303BC2" w14:textId="77777777" w:rsidR="009F6D8A" w:rsidRDefault="009F6D8A">
            <w:pPr>
              <w:rPr>
                <w:rFonts w:ascii="宋体"/>
                <w:vanish/>
              </w:rPr>
            </w:pPr>
          </w:p>
        </w:tc>
        <w:tc>
          <w:tcPr>
            <w:tcW w:w="0" w:type="auto"/>
            <w:gridSpan w:val="3"/>
            <w:shd w:val="clear" w:color="auto" w:fill="auto"/>
            <w:vAlign w:val="bottom"/>
          </w:tcPr>
          <w:p w14:paraId="64303BC3" w14:textId="77777777" w:rsidR="009F6D8A" w:rsidRDefault="009F6D8A">
            <w:pPr>
              <w:rPr>
                <w:rFonts w:ascii="宋体"/>
                <w:vanish/>
              </w:rPr>
            </w:pPr>
          </w:p>
        </w:tc>
        <w:tc>
          <w:tcPr>
            <w:tcW w:w="0" w:type="auto"/>
            <w:gridSpan w:val="3"/>
            <w:shd w:val="clear" w:color="auto" w:fill="auto"/>
            <w:vAlign w:val="bottom"/>
          </w:tcPr>
          <w:p w14:paraId="64303BC4" w14:textId="77777777" w:rsidR="009F6D8A" w:rsidRDefault="009F6D8A">
            <w:pPr>
              <w:rPr>
                <w:rFonts w:ascii="宋体"/>
                <w:vanish/>
              </w:rPr>
            </w:pPr>
          </w:p>
        </w:tc>
      </w:tr>
      <w:tr w:rsidR="009F6D8A" w14:paraId="64303BD6" w14:textId="77777777">
        <w:tc>
          <w:tcPr>
            <w:tcW w:w="0" w:type="auto"/>
            <w:gridSpan w:val="3"/>
            <w:shd w:val="clear" w:color="auto" w:fill="E2E2E2"/>
            <w:tcMar>
              <w:top w:w="0" w:type="dxa"/>
              <w:left w:w="20" w:type="dxa"/>
              <w:bottom w:w="0" w:type="dxa"/>
              <w:right w:w="20" w:type="dxa"/>
            </w:tcMar>
            <w:vAlign w:val="bottom"/>
          </w:tcPr>
          <w:p w14:paraId="64303BC6"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BC7"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BC8" w14:textId="77777777" w:rsidR="009F6D8A" w:rsidRDefault="00C50974">
            <w:pPr>
              <w:jc w:val="right"/>
              <w:textAlignment w:val="bottom"/>
            </w:pPr>
            <w:r>
              <w:rPr>
                <w:rFonts w:ascii="Arial" w:eastAsia="宋体" w:hAnsi="Arial" w:cs="Arial"/>
                <w:color w:val="000000"/>
                <w:sz w:val="18"/>
                <w:szCs w:val="18"/>
              </w:rPr>
              <w:t>4,736 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BC9"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BCA"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BC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BCC" w14:textId="77777777" w:rsidR="009F6D8A" w:rsidRDefault="00C50974">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BC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BCE"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BC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BD0"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BD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BD2"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BD3"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BD4" w14:textId="77777777" w:rsidR="009F6D8A" w:rsidRDefault="00C50974">
            <w:pPr>
              <w:jc w:val="right"/>
              <w:textAlignment w:val="bottom"/>
            </w:pPr>
            <w:r>
              <w:rPr>
                <w:rFonts w:ascii="Arial" w:eastAsia="宋体" w:hAnsi="Arial" w:cs="Arial"/>
                <w:color w:val="000000"/>
                <w:sz w:val="18"/>
                <w:szCs w:val="18"/>
              </w:rPr>
              <w:t>4,738 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BD5" w14:textId="77777777" w:rsidR="009F6D8A" w:rsidRDefault="009F6D8A">
            <w:pPr>
              <w:jc w:val="right"/>
              <w:rPr>
                <w:rFonts w:ascii="宋体"/>
              </w:rPr>
            </w:pPr>
          </w:p>
        </w:tc>
      </w:tr>
      <w:tr w:rsidR="009F6D8A" w14:paraId="64303BDF" w14:textId="77777777">
        <w:tc>
          <w:tcPr>
            <w:tcW w:w="0" w:type="auto"/>
            <w:gridSpan w:val="3"/>
            <w:shd w:val="clear" w:color="auto" w:fill="FFFFFF"/>
            <w:tcMar>
              <w:top w:w="40" w:type="dxa"/>
              <w:left w:w="20" w:type="dxa"/>
              <w:bottom w:w="40" w:type="dxa"/>
              <w:right w:w="20" w:type="dxa"/>
            </w:tcMar>
            <w:vAlign w:val="bottom"/>
          </w:tcPr>
          <w:p w14:paraId="64303BD7" w14:textId="77777777" w:rsidR="009F6D8A" w:rsidRDefault="00C50974">
            <w:pPr>
              <w:textAlignment w:val="bottom"/>
            </w:pPr>
            <w:r>
              <w:rPr>
                <w:rFonts w:ascii="Arial" w:eastAsia="宋体" w:hAnsi="Arial" w:cs="Arial"/>
                <w:color w:val="000000"/>
                <w:sz w:val="18"/>
                <w:szCs w:val="18"/>
              </w:rPr>
              <w:t>Long-term investments: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BD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BD9"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BDA"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BDB"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BDC"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BDD"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BDE" w14:textId="77777777" w:rsidR="009F6D8A" w:rsidRDefault="009F6D8A">
            <w:pPr>
              <w:rPr>
                <w:rFonts w:ascii="宋体"/>
              </w:rPr>
            </w:pPr>
          </w:p>
        </w:tc>
      </w:tr>
      <w:tr w:rsidR="009F6D8A" w14:paraId="64303BEC" w14:textId="77777777">
        <w:tc>
          <w:tcPr>
            <w:tcW w:w="0" w:type="auto"/>
            <w:gridSpan w:val="3"/>
            <w:shd w:val="clear" w:color="auto" w:fill="E2E2E2"/>
            <w:tcMar>
              <w:top w:w="40" w:type="dxa"/>
              <w:left w:w="245" w:type="dxa"/>
              <w:bottom w:w="40" w:type="dxa"/>
              <w:right w:w="20" w:type="dxa"/>
            </w:tcMar>
            <w:vAlign w:val="bottom"/>
          </w:tcPr>
          <w:p w14:paraId="64303BE0" w14:textId="77777777" w:rsidR="009F6D8A" w:rsidRDefault="00C50974">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64303BE1" w14:textId="77777777" w:rsidR="009F6D8A" w:rsidRDefault="00C50974">
            <w:pPr>
              <w:jc w:val="right"/>
              <w:textAlignment w:val="bottom"/>
            </w:pPr>
            <w:r>
              <w:rPr>
                <w:rFonts w:ascii="Arial" w:eastAsia="宋体" w:hAnsi="Arial" w:cs="Arial"/>
                <w:color w:val="000000"/>
                <w:sz w:val="18"/>
                <w:szCs w:val="18"/>
              </w:rPr>
              <w:t>635 </w:t>
            </w:r>
          </w:p>
        </w:tc>
        <w:tc>
          <w:tcPr>
            <w:tcW w:w="0" w:type="auto"/>
            <w:shd w:val="clear" w:color="auto" w:fill="E2E2E2"/>
            <w:tcMar>
              <w:top w:w="40" w:type="dxa"/>
              <w:left w:w="0" w:type="dxa"/>
              <w:bottom w:w="40" w:type="dxa"/>
              <w:right w:w="20" w:type="dxa"/>
            </w:tcMar>
            <w:vAlign w:val="bottom"/>
          </w:tcPr>
          <w:p w14:paraId="64303BE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BE3"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BE4" w14:textId="77777777" w:rsidR="009F6D8A" w:rsidRDefault="00C50974">
            <w:pPr>
              <w:jc w:val="right"/>
              <w:textAlignment w:val="bottom"/>
            </w:pPr>
            <w:r>
              <w:rPr>
                <w:rFonts w:ascii="Arial" w:eastAsia="宋体" w:hAnsi="Arial" w:cs="Arial"/>
                <w:color w:val="000000"/>
                <w:sz w:val="18"/>
                <w:szCs w:val="18"/>
              </w:rPr>
              <w:t>2 </w:t>
            </w:r>
          </w:p>
        </w:tc>
        <w:tc>
          <w:tcPr>
            <w:tcW w:w="0" w:type="auto"/>
            <w:shd w:val="clear" w:color="auto" w:fill="E2E2E2"/>
            <w:tcMar>
              <w:top w:w="40" w:type="dxa"/>
              <w:left w:w="0" w:type="dxa"/>
              <w:bottom w:w="40" w:type="dxa"/>
              <w:right w:w="20" w:type="dxa"/>
            </w:tcMar>
            <w:vAlign w:val="bottom"/>
          </w:tcPr>
          <w:p w14:paraId="64303BE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BE6"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BE7" w14:textId="77777777" w:rsidR="009F6D8A" w:rsidRDefault="00C50974">
            <w:pPr>
              <w:jc w:val="right"/>
              <w:textAlignment w:val="bottom"/>
            </w:pPr>
            <w:r>
              <w:rPr>
                <w:rFonts w:ascii="Arial" w:eastAsia="宋体" w:hAnsi="Arial" w:cs="Arial"/>
                <w:color w:val="000000"/>
                <w:sz w:val="18"/>
                <w:szCs w:val="18"/>
              </w:rPr>
              <w:t>(1)</w:t>
            </w:r>
          </w:p>
        </w:tc>
        <w:tc>
          <w:tcPr>
            <w:tcW w:w="0" w:type="auto"/>
            <w:shd w:val="clear" w:color="auto" w:fill="E2E2E2"/>
            <w:tcMar>
              <w:top w:w="40" w:type="dxa"/>
              <w:left w:w="0" w:type="dxa"/>
              <w:bottom w:w="40" w:type="dxa"/>
              <w:right w:w="20" w:type="dxa"/>
            </w:tcMar>
            <w:vAlign w:val="bottom"/>
          </w:tcPr>
          <w:p w14:paraId="64303BE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BE9"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BEA" w14:textId="77777777" w:rsidR="009F6D8A" w:rsidRDefault="00C50974">
            <w:pPr>
              <w:jc w:val="right"/>
              <w:textAlignment w:val="bottom"/>
            </w:pPr>
            <w:r>
              <w:rPr>
                <w:rFonts w:ascii="Arial" w:eastAsia="宋体" w:hAnsi="Arial" w:cs="Arial"/>
                <w:color w:val="000000"/>
                <w:sz w:val="18"/>
                <w:szCs w:val="18"/>
              </w:rPr>
              <w:t>636 </w:t>
            </w:r>
          </w:p>
        </w:tc>
        <w:tc>
          <w:tcPr>
            <w:tcW w:w="0" w:type="auto"/>
            <w:shd w:val="clear" w:color="auto" w:fill="E2E2E2"/>
            <w:tcMar>
              <w:top w:w="40" w:type="dxa"/>
              <w:left w:w="0" w:type="dxa"/>
              <w:bottom w:w="40" w:type="dxa"/>
              <w:right w:w="20" w:type="dxa"/>
            </w:tcMar>
            <w:vAlign w:val="bottom"/>
          </w:tcPr>
          <w:p w14:paraId="64303BEB" w14:textId="77777777" w:rsidR="009F6D8A" w:rsidRDefault="009F6D8A">
            <w:pPr>
              <w:jc w:val="right"/>
              <w:rPr>
                <w:rFonts w:ascii="宋体"/>
              </w:rPr>
            </w:pPr>
          </w:p>
        </w:tc>
      </w:tr>
      <w:tr w:rsidR="009F6D8A" w14:paraId="64303BF9" w14:textId="77777777">
        <w:tc>
          <w:tcPr>
            <w:tcW w:w="0" w:type="auto"/>
            <w:gridSpan w:val="3"/>
            <w:shd w:val="clear" w:color="auto" w:fill="FFFFFF"/>
            <w:tcMar>
              <w:top w:w="40" w:type="dxa"/>
              <w:left w:w="245" w:type="dxa"/>
              <w:bottom w:w="40" w:type="dxa"/>
              <w:right w:w="20" w:type="dxa"/>
            </w:tcMar>
            <w:vAlign w:val="bottom"/>
          </w:tcPr>
          <w:p w14:paraId="64303BED" w14:textId="77777777" w:rsidR="009F6D8A" w:rsidRDefault="00C50974">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64303BEE" w14:textId="77777777" w:rsidR="009F6D8A" w:rsidRDefault="00C50974">
            <w:pPr>
              <w:jc w:val="right"/>
              <w:textAlignment w:val="bottom"/>
            </w:pPr>
            <w:r>
              <w:rPr>
                <w:rFonts w:ascii="Arial" w:eastAsia="宋体" w:hAnsi="Arial" w:cs="Arial"/>
                <w:color w:val="000000"/>
                <w:sz w:val="18"/>
                <w:szCs w:val="18"/>
              </w:rPr>
              <w:t>109 </w:t>
            </w:r>
          </w:p>
        </w:tc>
        <w:tc>
          <w:tcPr>
            <w:tcW w:w="0" w:type="auto"/>
            <w:shd w:val="clear" w:color="auto" w:fill="FFFFFF"/>
            <w:tcMar>
              <w:top w:w="40" w:type="dxa"/>
              <w:left w:w="0" w:type="dxa"/>
              <w:bottom w:w="40" w:type="dxa"/>
              <w:right w:w="20" w:type="dxa"/>
            </w:tcMar>
            <w:vAlign w:val="bottom"/>
          </w:tcPr>
          <w:p w14:paraId="64303BEF" w14:textId="77777777" w:rsidR="009F6D8A" w:rsidRDefault="009F6D8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64303BF0" w14:textId="77777777" w:rsidR="009F6D8A" w:rsidRDefault="00C50974">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64303BF1"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BF2" w14:textId="77777777" w:rsidR="009F6D8A" w:rsidRDefault="009F6D8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64303BF3" w14:textId="77777777" w:rsidR="009F6D8A" w:rsidRDefault="00C50974">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64303BF4"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BF5" w14:textId="77777777" w:rsidR="009F6D8A" w:rsidRDefault="009F6D8A">
            <w:pPr>
              <w:jc w:val="right"/>
              <w:rPr>
                <w:rFonts w:ascii="宋体"/>
              </w:rPr>
            </w:pPr>
          </w:p>
        </w:tc>
        <w:tc>
          <w:tcPr>
            <w:tcW w:w="0" w:type="auto"/>
            <w:gridSpan w:val="3"/>
            <w:shd w:val="clear" w:color="auto" w:fill="FFFFFF"/>
            <w:tcMar>
              <w:top w:w="40" w:type="dxa"/>
              <w:left w:w="20" w:type="dxa"/>
              <w:bottom w:w="40" w:type="dxa"/>
              <w:right w:w="20" w:type="dxa"/>
            </w:tcMar>
            <w:vAlign w:val="bottom"/>
          </w:tcPr>
          <w:p w14:paraId="64303BF6" w14:textId="77777777" w:rsidR="009F6D8A" w:rsidRDefault="00C50974">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64303BF7" w14:textId="77777777" w:rsidR="009F6D8A" w:rsidRDefault="00C50974">
            <w:pPr>
              <w:jc w:val="right"/>
              <w:textAlignment w:val="bottom"/>
            </w:pPr>
            <w:r>
              <w:rPr>
                <w:rFonts w:ascii="Arial" w:eastAsia="宋体" w:hAnsi="Arial" w:cs="Arial"/>
                <w:color w:val="000000"/>
                <w:sz w:val="18"/>
                <w:szCs w:val="18"/>
              </w:rPr>
              <w:t>109 </w:t>
            </w:r>
          </w:p>
        </w:tc>
        <w:tc>
          <w:tcPr>
            <w:tcW w:w="0" w:type="auto"/>
            <w:shd w:val="clear" w:color="auto" w:fill="FFFFFF"/>
            <w:tcMar>
              <w:top w:w="40" w:type="dxa"/>
              <w:left w:w="0" w:type="dxa"/>
              <w:bottom w:w="40" w:type="dxa"/>
              <w:right w:w="20" w:type="dxa"/>
            </w:tcMar>
            <w:vAlign w:val="bottom"/>
          </w:tcPr>
          <w:p w14:paraId="64303BF8" w14:textId="77777777" w:rsidR="009F6D8A" w:rsidRDefault="009F6D8A">
            <w:pPr>
              <w:jc w:val="right"/>
              <w:rPr>
                <w:rFonts w:ascii="宋体"/>
              </w:rPr>
            </w:pPr>
          </w:p>
        </w:tc>
      </w:tr>
      <w:tr w:rsidR="009F6D8A" w14:paraId="64303C0A" w14:textId="77777777">
        <w:tc>
          <w:tcPr>
            <w:tcW w:w="0" w:type="auto"/>
            <w:gridSpan w:val="3"/>
            <w:shd w:val="clear" w:color="auto" w:fill="E2E2E2"/>
            <w:tcMar>
              <w:top w:w="0" w:type="dxa"/>
              <w:left w:w="20" w:type="dxa"/>
              <w:bottom w:w="0" w:type="dxa"/>
              <w:right w:w="20" w:type="dxa"/>
            </w:tcMar>
            <w:vAlign w:val="bottom"/>
          </w:tcPr>
          <w:p w14:paraId="64303BFA"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BF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BFC" w14:textId="77777777" w:rsidR="009F6D8A" w:rsidRDefault="00C50974">
            <w:pPr>
              <w:jc w:val="right"/>
              <w:textAlignment w:val="bottom"/>
            </w:pPr>
            <w:r>
              <w:rPr>
                <w:rFonts w:ascii="Arial" w:eastAsia="宋体" w:hAnsi="Arial" w:cs="Arial"/>
                <w:color w:val="000000"/>
                <w:sz w:val="18"/>
                <w:szCs w:val="18"/>
              </w:rPr>
              <w:t>744 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BF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BFE"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BF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C00" w14:textId="77777777" w:rsidR="009F6D8A" w:rsidRDefault="00C50974">
            <w:pPr>
              <w:jc w:val="right"/>
              <w:textAlignment w:val="bottom"/>
            </w:pPr>
            <w:r>
              <w:rPr>
                <w:rFonts w:ascii="Arial" w:eastAsia="宋体" w:hAnsi="Arial" w:cs="Arial"/>
                <w:color w:val="000000"/>
                <w:sz w:val="18"/>
                <w:szCs w:val="18"/>
              </w:rPr>
              <w:t>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C0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C02"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C03"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C04" w14:textId="77777777" w:rsidR="009F6D8A" w:rsidRDefault="00C50974">
            <w:pPr>
              <w:jc w:val="right"/>
              <w:textAlignment w:val="bottom"/>
            </w:pPr>
            <w:r>
              <w:rPr>
                <w:rFonts w:ascii="Arial" w:eastAsia="宋体" w:hAnsi="Arial" w:cs="Arial"/>
                <w:color w:val="000000"/>
                <w:sz w:val="18"/>
                <w:szCs w:val="18"/>
              </w:rPr>
              <w:t>(1)</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C0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C06"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C07"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C08" w14:textId="77777777" w:rsidR="009F6D8A" w:rsidRDefault="00C50974">
            <w:pPr>
              <w:jc w:val="right"/>
              <w:textAlignment w:val="bottom"/>
            </w:pPr>
            <w:r>
              <w:rPr>
                <w:rFonts w:ascii="Arial" w:eastAsia="宋体" w:hAnsi="Arial" w:cs="Arial"/>
                <w:color w:val="000000"/>
                <w:sz w:val="18"/>
                <w:szCs w:val="18"/>
              </w:rPr>
              <w:t>745 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C09" w14:textId="77777777" w:rsidR="009F6D8A" w:rsidRDefault="009F6D8A">
            <w:pPr>
              <w:jc w:val="right"/>
              <w:rPr>
                <w:rFonts w:ascii="宋体"/>
              </w:rPr>
            </w:pPr>
          </w:p>
        </w:tc>
      </w:tr>
    </w:tbl>
    <w:p w14:paraId="64303C0B" w14:textId="77777777" w:rsidR="009F6D8A" w:rsidRDefault="00C50974">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7"/>
        <w:gridCol w:w="3766"/>
        <w:gridCol w:w="36"/>
        <w:gridCol w:w="122"/>
        <w:gridCol w:w="918"/>
        <w:gridCol w:w="36"/>
        <w:gridCol w:w="36"/>
        <w:gridCol w:w="36"/>
        <w:gridCol w:w="36"/>
        <w:gridCol w:w="122"/>
        <w:gridCol w:w="874"/>
        <w:gridCol w:w="36"/>
        <w:gridCol w:w="36"/>
        <w:gridCol w:w="36"/>
        <w:gridCol w:w="36"/>
        <w:gridCol w:w="122"/>
        <w:gridCol w:w="874"/>
        <w:gridCol w:w="36"/>
        <w:gridCol w:w="36"/>
        <w:gridCol w:w="36"/>
        <w:gridCol w:w="36"/>
        <w:gridCol w:w="122"/>
        <w:gridCol w:w="875"/>
        <w:gridCol w:w="36"/>
      </w:tblGrid>
      <w:tr w:rsidR="009F6D8A" w14:paraId="64303C24" w14:textId="77777777">
        <w:tc>
          <w:tcPr>
            <w:tcW w:w="50" w:type="pct"/>
            <w:shd w:val="clear" w:color="auto" w:fill="auto"/>
            <w:vAlign w:val="bottom"/>
          </w:tcPr>
          <w:p w14:paraId="64303C0C" w14:textId="77777777" w:rsidR="009F6D8A" w:rsidRDefault="009F6D8A">
            <w:pPr>
              <w:rPr>
                <w:rFonts w:ascii="宋体"/>
              </w:rPr>
            </w:pPr>
          </w:p>
        </w:tc>
        <w:tc>
          <w:tcPr>
            <w:tcW w:w="2291" w:type="pct"/>
            <w:shd w:val="clear" w:color="auto" w:fill="auto"/>
            <w:vAlign w:val="bottom"/>
          </w:tcPr>
          <w:p w14:paraId="64303C0D" w14:textId="77777777" w:rsidR="009F6D8A" w:rsidRDefault="009F6D8A">
            <w:pPr>
              <w:rPr>
                <w:rFonts w:ascii="宋体"/>
              </w:rPr>
            </w:pPr>
          </w:p>
        </w:tc>
        <w:tc>
          <w:tcPr>
            <w:tcW w:w="5" w:type="pct"/>
            <w:shd w:val="clear" w:color="auto" w:fill="auto"/>
            <w:vAlign w:val="bottom"/>
          </w:tcPr>
          <w:p w14:paraId="64303C0E" w14:textId="77777777" w:rsidR="009F6D8A" w:rsidRDefault="009F6D8A">
            <w:pPr>
              <w:rPr>
                <w:rFonts w:ascii="宋体"/>
              </w:rPr>
            </w:pPr>
          </w:p>
        </w:tc>
        <w:tc>
          <w:tcPr>
            <w:tcW w:w="50" w:type="pct"/>
            <w:shd w:val="clear" w:color="auto" w:fill="auto"/>
            <w:vAlign w:val="bottom"/>
          </w:tcPr>
          <w:p w14:paraId="64303C0F" w14:textId="77777777" w:rsidR="009F6D8A" w:rsidRDefault="009F6D8A">
            <w:pPr>
              <w:rPr>
                <w:rFonts w:ascii="宋体"/>
              </w:rPr>
            </w:pPr>
          </w:p>
        </w:tc>
        <w:tc>
          <w:tcPr>
            <w:tcW w:w="580" w:type="pct"/>
            <w:shd w:val="clear" w:color="auto" w:fill="auto"/>
            <w:vAlign w:val="bottom"/>
          </w:tcPr>
          <w:p w14:paraId="64303C10" w14:textId="77777777" w:rsidR="009F6D8A" w:rsidRDefault="009F6D8A">
            <w:pPr>
              <w:rPr>
                <w:rFonts w:ascii="宋体"/>
              </w:rPr>
            </w:pPr>
          </w:p>
        </w:tc>
        <w:tc>
          <w:tcPr>
            <w:tcW w:w="5" w:type="pct"/>
            <w:shd w:val="clear" w:color="auto" w:fill="auto"/>
            <w:vAlign w:val="bottom"/>
          </w:tcPr>
          <w:p w14:paraId="64303C11" w14:textId="77777777" w:rsidR="009F6D8A" w:rsidRDefault="009F6D8A">
            <w:pPr>
              <w:rPr>
                <w:rFonts w:ascii="宋体"/>
              </w:rPr>
            </w:pPr>
          </w:p>
        </w:tc>
        <w:tc>
          <w:tcPr>
            <w:tcW w:w="5" w:type="pct"/>
            <w:shd w:val="clear" w:color="auto" w:fill="auto"/>
            <w:vAlign w:val="bottom"/>
          </w:tcPr>
          <w:p w14:paraId="64303C12" w14:textId="77777777" w:rsidR="009F6D8A" w:rsidRDefault="009F6D8A">
            <w:pPr>
              <w:rPr>
                <w:rFonts w:ascii="宋体"/>
              </w:rPr>
            </w:pPr>
          </w:p>
        </w:tc>
        <w:tc>
          <w:tcPr>
            <w:tcW w:w="26" w:type="pct"/>
            <w:shd w:val="clear" w:color="auto" w:fill="auto"/>
            <w:vAlign w:val="bottom"/>
          </w:tcPr>
          <w:p w14:paraId="64303C13" w14:textId="77777777" w:rsidR="009F6D8A" w:rsidRDefault="009F6D8A">
            <w:pPr>
              <w:rPr>
                <w:rFonts w:ascii="宋体"/>
              </w:rPr>
            </w:pPr>
          </w:p>
        </w:tc>
        <w:tc>
          <w:tcPr>
            <w:tcW w:w="5" w:type="pct"/>
            <w:shd w:val="clear" w:color="auto" w:fill="auto"/>
            <w:vAlign w:val="bottom"/>
          </w:tcPr>
          <w:p w14:paraId="64303C14" w14:textId="77777777" w:rsidR="009F6D8A" w:rsidRDefault="009F6D8A">
            <w:pPr>
              <w:rPr>
                <w:rFonts w:ascii="宋体"/>
              </w:rPr>
            </w:pPr>
          </w:p>
        </w:tc>
        <w:tc>
          <w:tcPr>
            <w:tcW w:w="50" w:type="pct"/>
            <w:shd w:val="clear" w:color="auto" w:fill="auto"/>
            <w:vAlign w:val="bottom"/>
          </w:tcPr>
          <w:p w14:paraId="64303C15" w14:textId="77777777" w:rsidR="009F6D8A" w:rsidRDefault="009F6D8A">
            <w:pPr>
              <w:rPr>
                <w:rFonts w:ascii="宋体"/>
              </w:rPr>
            </w:pPr>
          </w:p>
        </w:tc>
        <w:tc>
          <w:tcPr>
            <w:tcW w:w="580" w:type="pct"/>
            <w:shd w:val="clear" w:color="auto" w:fill="auto"/>
            <w:vAlign w:val="bottom"/>
          </w:tcPr>
          <w:p w14:paraId="64303C16" w14:textId="77777777" w:rsidR="009F6D8A" w:rsidRDefault="009F6D8A">
            <w:pPr>
              <w:rPr>
                <w:rFonts w:ascii="宋体"/>
              </w:rPr>
            </w:pPr>
          </w:p>
        </w:tc>
        <w:tc>
          <w:tcPr>
            <w:tcW w:w="5" w:type="pct"/>
            <w:shd w:val="clear" w:color="auto" w:fill="auto"/>
            <w:vAlign w:val="bottom"/>
          </w:tcPr>
          <w:p w14:paraId="64303C17" w14:textId="77777777" w:rsidR="009F6D8A" w:rsidRDefault="009F6D8A">
            <w:pPr>
              <w:rPr>
                <w:rFonts w:ascii="宋体"/>
              </w:rPr>
            </w:pPr>
          </w:p>
        </w:tc>
        <w:tc>
          <w:tcPr>
            <w:tcW w:w="5" w:type="pct"/>
            <w:shd w:val="clear" w:color="auto" w:fill="auto"/>
            <w:vAlign w:val="bottom"/>
          </w:tcPr>
          <w:p w14:paraId="64303C18" w14:textId="77777777" w:rsidR="009F6D8A" w:rsidRDefault="009F6D8A">
            <w:pPr>
              <w:rPr>
                <w:rFonts w:ascii="宋体"/>
              </w:rPr>
            </w:pPr>
          </w:p>
        </w:tc>
        <w:tc>
          <w:tcPr>
            <w:tcW w:w="26" w:type="pct"/>
            <w:shd w:val="clear" w:color="auto" w:fill="auto"/>
            <w:vAlign w:val="bottom"/>
          </w:tcPr>
          <w:p w14:paraId="64303C19" w14:textId="77777777" w:rsidR="009F6D8A" w:rsidRDefault="009F6D8A">
            <w:pPr>
              <w:rPr>
                <w:rFonts w:ascii="宋体"/>
              </w:rPr>
            </w:pPr>
          </w:p>
        </w:tc>
        <w:tc>
          <w:tcPr>
            <w:tcW w:w="5" w:type="pct"/>
            <w:shd w:val="clear" w:color="auto" w:fill="auto"/>
            <w:vAlign w:val="bottom"/>
          </w:tcPr>
          <w:p w14:paraId="64303C1A" w14:textId="77777777" w:rsidR="009F6D8A" w:rsidRDefault="009F6D8A">
            <w:pPr>
              <w:rPr>
                <w:rFonts w:ascii="宋体"/>
              </w:rPr>
            </w:pPr>
          </w:p>
        </w:tc>
        <w:tc>
          <w:tcPr>
            <w:tcW w:w="50" w:type="pct"/>
            <w:shd w:val="clear" w:color="auto" w:fill="auto"/>
            <w:vAlign w:val="bottom"/>
          </w:tcPr>
          <w:p w14:paraId="64303C1B" w14:textId="77777777" w:rsidR="009F6D8A" w:rsidRDefault="009F6D8A">
            <w:pPr>
              <w:rPr>
                <w:rFonts w:ascii="宋体"/>
              </w:rPr>
            </w:pPr>
          </w:p>
        </w:tc>
        <w:tc>
          <w:tcPr>
            <w:tcW w:w="580" w:type="pct"/>
            <w:shd w:val="clear" w:color="auto" w:fill="auto"/>
            <w:vAlign w:val="bottom"/>
          </w:tcPr>
          <w:p w14:paraId="64303C1C" w14:textId="77777777" w:rsidR="009F6D8A" w:rsidRDefault="009F6D8A">
            <w:pPr>
              <w:rPr>
                <w:rFonts w:ascii="宋体"/>
              </w:rPr>
            </w:pPr>
          </w:p>
        </w:tc>
        <w:tc>
          <w:tcPr>
            <w:tcW w:w="5" w:type="pct"/>
            <w:shd w:val="clear" w:color="auto" w:fill="auto"/>
            <w:vAlign w:val="bottom"/>
          </w:tcPr>
          <w:p w14:paraId="64303C1D" w14:textId="77777777" w:rsidR="009F6D8A" w:rsidRDefault="009F6D8A">
            <w:pPr>
              <w:rPr>
                <w:rFonts w:ascii="宋体"/>
              </w:rPr>
            </w:pPr>
          </w:p>
        </w:tc>
        <w:tc>
          <w:tcPr>
            <w:tcW w:w="5" w:type="pct"/>
            <w:shd w:val="clear" w:color="auto" w:fill="auto"/>
            <w:vAlign w:val="bottom"/>
          </w:tcPr>
          <w:p w14:paraId="64303C1E" w14:textId="77777777" w:rsidR="009F6D8A" w:rsidRDefault="009F6D8A">
            <w:pPr>
              <w:rPr>
                <w:rFonts w:ascii="宋体"/>
              </w:rPr>
            </w:pPr>
          </w:p>
        </w:tc>
        <w:tc>
          <w:tcPr>
            <w:tcW w:w="26" w:type="pct"/>
            <w:shd w:val="clear" w:color="auto" w:fill="auto"/>
            <w:vAlign w:val="bottom"/>
          </w:tcPr>
          <w:p w14:paraId="64303C1F" w14:textId="77777777" w:rsidR="009F6D8A" w:rsidRDefault="009F6D8A">
            <w:pPr>
              <w:rPr>
                <w:rFonts w:ascii="宋体"/>
              </w:rPr>
            </w:pPr>
          </w:p>
        </w:tc>
        <w:tc>
          <w:tcPr>
            <w:tcW w:w="5" w:type="pct"/>
            <w:shd w:val="clear" w:color="auto" w:fill="auto"/>
            <w:vAlign w:val="bottom"/>
          </w:tcPr>
          <w:p w14:paraId="64303C20" w14:textId="77777777" w:rsidR="009F6D8A" w:rsidRDefault="009F6D8A">
            <w:pPr>
              <w:rPr>
                <w:rFonts w:ascii="宋体"/>
              </w:rPr>
            </w:pPr>
          </w:p>
        </w:tc>
        <w:tc>
          <w:tcPr>
            <w:tcW w:w="50" w:type="pct"/>
            <w:shd w:val="clear" w:color="auto" w:fill="auto"/>
            <w:vAlign w:val="bottom"/>
          </w:tcPr>
          <w:p w14:paraId="64303C21" w14:textId="77777777" w:rsidR="009F6D8A" w:rsidRDefault="009F6D8A">
            <w:pPr>
              <w:rPr>
                <w:rFonts w:ascii="宋体"/>
              </w:rPr>
            </w:pPr>
          </w:p>
        </w:tc>
        <w:tc>
          <w:tcPr>
            <w:tcW w:w="581" w:type="pct"/>
            <w:shd w:val="clear" w:color="auto" w:fill="auto"/>
            <w:vAlign w:val="bottom"/>
          </w:tcPr>
          <w:p w14:paraId="64303C22" w14:textId="77777777" w:rsidR="009F6D8A" w:rsidRDefault="009F6D8A">
            <w:pPr>
              <w:rPr>
                <w:rFonts w:ascii="宋体"/>
              </w:rPr>
            </w:pPr>
          </w:p>
        </w:tc>
        <w:tc>
          <w:tcPr>
            <w:tcW w:w="5" w:type="pct"/>
            <w:shd w:val="clear" w:color="auto" w:fill="auto"/>
            <w:vAlign w:val="bottom"/>
          </w:tcPr>
          <w:p w14:paraId="64303C23" w14:textId="77777777" w:rsidR="009F6D8A" w:rsidRDefault="009F6D8A">
            <w:pPr>
              <w:rPr>
                <w:rFonts w:ascii="宋体"/>
              </w:rPr>
            </w:pPr>
          </w:p>
        </w:tc>
      </w:tr>
      <w:tr w:rsidR="009F6D8A" w14:paraId="64303C27" w14:textId="77777777">
        <w:tc>
          <w:tcPr>
            <w:tcW w:w="0" w:type="auto"/>
            <w:gridSpan w:val="3"/>
            <w:shd w:val="clear" w:color="auto" w:fill="auto"/>
            <w:tcMar>
              <w:top w:w="40" w:type="dxa"/>
              <w:left w:w="20" w:type="dxa"/>
              <w:bottom w:w="40" w:type="dxa"/>
              <w:right w:w="20" w:type="dxa"/>
            </w:tcMar>
            <w:vAlign w:val="bottom"/>
          </w:tcPr>
          <w:p w14:paraId="64303C25" w14:textId="77777777" w:rsidR="009F6D8A" w:rsidRDefault="00C50974">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64303C26" w14:textId="77777777" w:rsidR="009F6D8A" w:rsidRDefault="00C50974">
            <w:pPr>
              <w:jc w:val="center"/>
              <w:textAlignment w:val="bottom"/>
            </w:pPr>
            <w:r>
              <w:rPr>
                <w:rFonts w:ascii="Arial" w:eastAsia="宋体" w:hAnsi="Arial" w:cs="Arial"/>
                <w:b/>
                <w:bCs/>
                <w:color w:val="000000"/>
                <w:sz w:val="16"/>
                <w:szCs w:val="16"/>
              </w:rPr>
              <w:t>December 31, 2020</w:t>
            </w:r>
          </w:p>
        </w:tc>
      </w:tr>
      <w:tr w:rsidR="009F6D8A" w14:paraId="64303C30" w14:textId="77777777">
        <w:tc>
          <w:tcPr>
            <w:tcW w:w="0" w:type="auto"/>
            <w:gridSpan w:val="3"/>
            <w:shd w:val="clear" w:color="auto" w:fill="auto"/>
            <w:tcMar>
              <w:top w:w="40" w:type="dxa"/>
              <w:left w:w="20" w:type="dxa"/>
              <w:bottom w:w="40" w:type="dxa"/>
              <w:right w:w="20" w:type="dxa"/>
            </w:tcMar>
            <w:vAlign w:val="bottom"/>
          </w:tcPr>
          <w:p w14:paraId="64303C28" w14:textId="77777777" w:rsidR="009F6D8A" w:rsidRDefault="00C50974">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C29" w14:textId="77777777" w:rsidR="009F6D8A" w:rsidRDefault="00C50974">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Amortized</w:t>
            </w:r>
            <w:r>
              <w:rPr>
                <w:rFonts w:ascii="Arial" w:eastAsia="宋体" w:hAnsi="Arial" w:cs="Arial"/>
                <w:b/>
                <w:bCs/>
                <w:color w:val="000000"/>
                <w:sz w:val="16"/>
                <w:szCs w:val="16"/>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C2A"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C2B" w14:textId="77777777" w:rsidR="009F6D8A" w:rsidRDefault="00C50974">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C2C"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C2D" w14:textId="77777777" w:rsidR="009F6D8A" w:rsidRDefault="00C50974">
            <w:pPr>
              <w:jc w:val="center"/>
              <w:textAlignment w:val="bottom"/>
            </w:pPr>
            <w:r>
              <w:rPr>
                <w:rFonts w:ascii="Arial" w:eastAsia="宋体" w:hAnsi="Arial" w:cs="Arial"/>
                <w:b/>
                <w:bCs/>
                <w:color w:val="000000"/>
                <w:sz w:val="16"/>
                <w:szCs w:val="16"/>
              </w:rPr>
              <w:t>Gross</w:t>
            </w:r>
            <w:r>
              <w:rPr>
                <w:rFonts w:ascii="Arial" w:eastAsia="宋体" w:hAnsi="Arial" w:cs="Arial"/>
                <w:b/>
                <w:bCs/>
                <w:color w:val="000000"/>
                <w:sz w:val="16"/>
                <w:szCs w:val="16"/>
              </w:rPr>
              <w:br/>
              <w:t>Unrealized</w:t>
            </w:r>
            <w:r>
              <w:rPr>
                <w:rFonts w:ascii="Arial" w:eastAsia="宋体" w:hAnsi="Arial" w:cs="Arial"/>
                <w:b/>
                <w:bCs/>
                <w:color w:val="000000"/>
                <w:sz w:val="16"/>
                <w:szCs w:val="16"/>
              </w:rPr>
              <w:br/>
              <w:t>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C2E"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C2F" w14:textId="77777777" w:rsidR="009F6D8A" w:rsidRDefault="00C50974">
            <w:pPr>
              <w:jc w:val="center"/>
              <w:textAlignment w:val="bottom"/>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r>
      <w:tr w:rsidR="009F6D8A" w14:paraId="64303C39" w14:textId="77777777">
        <w:tc>
          <w:tcPr>
            <w:tcW w:w="0" w:type="auto"/>
            <w:gridSpan w:val="3"/>
            <w:shd w:val="clear" w:color="auto" w:fill="E2E2E2"/>
            <w:tcMar>
              <w:top w:w="40" w:type="dxa"/>
              <w:left w:w="20" w:type="dxa"/>
              <w:bottom w:w="40" w:type="dxa"/>
              <w:right w:w="20" w:type="dxa"/>
            </w:tcMar>
            <w:vAlign w:val="bottom"/>
          </w:tcPr>
          <w:p w14:paraId="64303C31" w14:textId="77777777" w:rsidR="009F6D8A" w:rsidRDefault="00C50974">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3C32"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C33"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3C34"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C35"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3C36"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C37"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3C38" w14:textId="77777777" w:rsidR="009F6D8A" w:rsidRDefault="009F6D8A">
            <w:pPr>
              <w:rPr>
                <w:rFonts w:ascii="宋体"/>
              </w:rPr>
            </w:pPr>
          </w:p>
        </w:tc>
      </w:tr>
      <w:tr w:rsidR="009F6D8A" w14:paraId="64303C4A" w14:textId="77777777">
        <w:tc>
          <w:tcPr>
            <w:tcW w:w="0" w:type="auto"/>
            <w:gridSpan w:val="3"/>
            <w:shd w:val="clear" w:color="auto" w:fill="FFFFFF"/>
            <w:tcMar>
              <w:top w:w="40" w:type="dxa"/>
              <w:left w:w="245" w:type="dxa"/>
              <w:bottom w:w="40" w:type="dxa"/>
              <w:right w:w="20" w:type="dxa"/>
            </w:tcMar>
            <w:vAlign w:val="bottom"/>
          </w:tcPr>
          <w:p w14:paraId="64303C3A" w14:textId="77777777" w:rsidR="009F6D8A" w:rsidRDefault="00C50974">
            <w:pPr>
              <w:textAlignment w:val="bottom"/>
            </w:pPr>
            <w:r>
              <w:rPr>
                <w:rFonts w:ascii="Arial" w:eastAsia="宋体" w:hAnsi="Arial" w:cs="Arial"/>
                <w:color w:val="000000"/>
                <w:sz w:val="18"/>
                <w:szCs w:val="18"/>
              </w:rPr>
              <w:t>Restricted cash</w:t>
            </w:r>
          </w:p>
        </w:tc>
        <w:tc>
          <w:tcPr>
            <w:tcW w:w="0" w:type="auto"/>
            <w:shd w:val="clear" w:color="auto" w:fill="FFFFFF"/>
            <w:tcMar>
              <w:top w:w="40" w:type="dxa"/>
              <w:left w:w="20" w:type="dxa"/>
              <w:bottom w:w="40" w:type="dxa"/>
              <w:right w:w="0" w:type="dxa"/>
            </w:tcMar>
            <w:vAlign w:val="bottom"/>
          </w:tcPr>
          <w:p w14:paraId="64303C3B"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C3C" w14:textId="77777777" w:rsidR="009F6D8A" w:rsidRDefault="00C50974">
            <w:pPr>
              <w:jc w:val="right"/>
              <w:textAlignment w:val="bottom"/>
            </w:pPr>
            <w:r>
              <w:rPr>
                <w:rFonts w:ascii="Arial" w:eastAsia="宋体" w:hAnsi="Arial" w:cs="Arial"/>
                <w:color w:val="000000"/>
                <w:sz w:val="18"/>
                <w:szCs w:val="18"/>
              </w:rPr>
              <w:t>137 </w:t>
            </w:r>
          </w:p>
        </w:tc>
        <w:tc>
          <w:tcPr>
            <w:tcW w:w="0" w:type="auto"/>
            <w:shd w:val="clear" w:color="auto" w:fill="FFFFFF"/>
            <w:tcMar>
              <w:top w:w="40" w:type="dxa"/>
              <w:left w:w="0" w:type="dxa"/>
              <w:bottom w:w="40" w:type="dxa"/>
              <w:right w:w="20" w:type="dxa"/>
            </w:tcMar>
            <w:vAlign w:val="bottom"/>
          </w:tcPr>
          <w:p w14:paraId="64303C3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C3E"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C3F"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C40"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C4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C42"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C43"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C44"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C4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C46"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C47"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C48" w14:textId="77777777" w:rsidR="009F6D8A" w:rsidRDefault="00C50974">
            <w:pPr>
              <w:jc w:val="right"/>
              <w:textAlignment w:val="bottom"/>
            </w:pPr>
            <w:r>
              <w:rPr>
                <w:rFonts w:ascii="Arial" w:eastAsia="宋体" w:hAnsi="Arial" w:cs="Arial"/>
                <w:color w:val="000000"/>
                <w:sz w:val="18"/>
                <w:szCs w:val="18"/>
              </w:rPr>
              <w:t>137 </w:t>
            </w:r>
          </w:p>
        </w:tc>
        <w:tc>
          <w:tcPr>
            <w:tcW w:w="0" w:type="auto"/>
            <w:shd w:val="clear" w:color="auto" w:fill="FFFFFF"/>
            <w:tcMar>
              <w:top w:w="40" w:type="dxa"/>
              <w:left w:w="0" w:type="dxa"/>
              <w:bottom w:w="40" w:type="dxa"/>
              <w:right w:w="20" w:type="dxa"/>
            </w:tcMar>
            <w:vAlign w:val="bottom"/>
          </w:tcPr>
          <w:p w14:paraId="64303C49" w14:textId="77777777" w:rsidR="009F6D8A" w:rsidRDefault="009F6D8A">
            <w:pPr>
              <w:jc w:val="right"/>
              <w:rPr>
                <w:rFonts w:ascii="宋体"/>
              </w:rPr>
            </w:pPr>
          </w:p>
        </w:tc>
      </w:tr>
      <w:tr w:rsidR="009F6D8A" w14:paraId="64303C57" w14:textId="77777777">
        <w:tc>
          <w:tcPr>
            <w:tcW w:w="0" w:type="auto"/>
            <w:gridSpan w:val="3"/>
            <w:shd w:val="clear" w:color="auto" w:fill="E2E2E2"/>
            <w:tcMar>
              <w:top w:w="40" w:type="dxa"/>
              <w:left w:w="245" w:type="dxa"/>
              <w:bottom w:w="40" w:type="dxa"/>
              <w:right w:w="20" w:type="dxa"/>
            </w:tcMar>
            <w:vAlign w:val="bottom"/>
          </w:tcPr>
          <w:p w14:paraId="64303C4B" w14:textId="77777777" w:rsidR="009F6D8A" w:rsidRDefault="00C50974">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64303C4C" w14:textId="77777777" w:rsidR="009F6D8A" w:rsidRDefault="00C50974">
            <w:pPr>
              <w:jc w:val="right"/>
              <w:textAlignment w:val="bottom"/>
            </w:pPr>
            <w:r>
              <w:rPr>
                <w:rFonts w:ascii="Arial" w:eastAsia="宋体" w:hAnsi="Arial" w:cs="Arial"/>
                <w:color w:val="000000"/>
                <w:sz w:val="18"/>
                <w:szCs w:val="18"/>
              </w:rPr>
              <w:t>2,252 </w:t>
            </w:r>
          </w:p>
        </w:tc>
        <w:tc>
          <w:tcPr>
            <w:tcW w:w="0" w:type="auto"/>
            <w:shd w:val="clear" w:color="auto" w:fill="E2E2E2"/>
            <w:tcMar>
              <w:top w:w="40" w:type="dxa"/>
              <w:left w:w="0" w:type="dxa"/>
              <w:bottom w:w="40" w:type="dxa"/>
              <w:right w:w="20" w:type="dxa"/>
            </w:tcMar>
            <w:vAlign w:val="bottom"/>
          </w:tcPr>
          <w:p w14:paraId="64303C4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C4E"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C4F" w14:textId="77777777" w:rsidR="009F6D8A" w:rsidRDefault="00C50974">
            <w:pPr>
              <w:jc w:val="right"/>
              <w:textAlignment w:val="bottom"/>
            </w:pPr>
            <w:r>
              <w:rPr>
                <w:rFonts w:ascii="Arial" w:eastAsia="宋体" w:hAnsi="Arial" w:cs="Arial"/>
                <w:color w:val="000000"/>
                <w:sz w:val="18"/>
                <w:szCs w:val="18"/>
              </w:rPr>
              <w:t>3 </w:t>
            </w:r>
          </w:p>
        </w:tc>
        <w:tc>
          <w:tcPr>
            <w:tcW w:w="0" w:type="auto"/>
            <w:shd w:val="clear" w:color="auto" w:fill="E2E2E2"/>
            <w:tcMar>
              <w:top w:w="40" w:type="dxa"/>
              <w:left w:w="0" w:type="dxa"/>
              <w:bottom w:w="40" w:type="dxa"/>
              <w:right w:w="20" w:type="dxa"/>
            </w:tcMar>
            <w:vAlign w:val="bottom"/>
          </w:tcPr>
          <w:p w14:paraId="64303C50"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C51"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C52"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3C53"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C54"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C55" w14:textId="77777777" w:rsidR="009F6D8A" w:rsidRDefault="00C50974">
            <w:pPr>
              <w:jc w:val="right"/>
              <w:textAlignment w:val="bottom"/>
            </w:pPr>
            <w:r>
              <w:rPr>
                <w:rFonts w:ascii="Arial" w:eastAsia="宋体" w:hAnsi="Arial" w:cs="Arial"/>
                <w:color w:val="000000"/>
                <w:sz w:val="18"/>
                <w:szCs w:val="18"/>
              </w:rPr>
              <w:t>2,255 </w:t>
            </w:r>
          </w:p>
        </w:tc>
        <w:tc>
          <w:tcPr>
            <w:tcW w:w="0" w:type="auto"/>
            <w:shd w:val="clear" w:color="auto" w:fill="E2E2E2"/>
            <w:tcMar>
              <w:top w:w="40" w:type="dxa"/>
              <w:left w:w="0" w:type="dxa"/>
              <w:bottom w:w="40" w:type="dxa"/>
              <w:right w:w="20" w:type="dxa"/>
            </w:tcMar>
            <w:vAlign w:val="bottom"/>
          </w:tcPr>
          <w:p w14:paraId="64303C56" w14:textId="77777777" w:rsidR="009F6D8A" w:rsidRDefault="009F6D8A">
            <w:pPr>
              <w:jc w:val="right"/>
              <w:rPr>
                <w:rFonts w:ascii="宋体"/>
              </w:rPr>
            </w:pPr>
          </w:p>
        </w:tc>
      </w:tr>
      <w:tr w:rsidR="009F6D8A" w14:paraId="64303C60" w14:textId="77777777">
        <w:trPr>
          <w:hidden/>
        </w:trPr>
        <w:tc>
          <w:tcPr>
            <w:tcW w:w="0" w:type="auto"/>
            <w:gridSpan w:val="3"/>
            <w:shd w:val="clear" w:color="auto" w:fill="auto"/>
            <w:vAlign w:val="bottom"/>
          </w:tcPr>
          <w:p w14:paraId="64303C58" w14:textId="77777777" w:rsidR="009F6D8A" w:rsidRDefault="009F6D8A">
            <w:pPr>
              <w:rPr>
                <w:rFonts w:ascii="宋体"/>
                <w:vanish/>
              </w:rPr>
            </w:pPr>
          </w:p>
        </w:tc>
        <w:tc>
          <w:tcPr>
            <w:tcW w:w="0" w:type="auto"/>
            <w:gridSpan w:val="3"/>
            <w:shd w:val="clear" w:color="auto" w:fill="auto"/>
            <w:vAlign w:val="bottom"/>
          </w:tcPr>
          <w:p w14:paraId="64303C59" w14:textId="77777777" w:rsidR="009F6D8A" w:rsidRDefault="009F6D8A">
            <w:pPr>
              <w:rPr>
                <w:rFonts w:ascii="宋体"/>
                <w:vanish/>
              </w:rPr>
            </w:pPr>
          </w:p>
        </w:tc>
        <w:tc>
          <w:tcPr>
            <w:tcW w:w="0" w:type="auto"/>
            <w:gridSpan w:val="3"/>
            <w:shd w:val="clear" w:color="auto" w:fill="auto"/>
            <w:vAlign w:val="bottom"/>
          </w:tcPr>
          <w:p w14:paraId="64303C5A" w14:textId="77777777" w:rsidR="009F6D8A" w:rsidRDefault="009F6D8A">
            <w:pPr>
              <w:rPr>
                <w:rFonts w:ascii="宋体"/>
                <w:vanish/>
              </w:rPr>
            </w:pPr>
          </w:p>
        </w:tc>
        <w:tc>
          <w:tcPr>
            <w:tcW w:w="0" w:type="auto"/>
            <w:gridSpan w:val="3"/>
            <w:shd w:val="clear" w:color="auto" w:fill="auto"/>
            <w:vAlign w:val="bottom"/>
          </w:tcPr>
          <w:p w14:paraId="64303C5B" w14:textId="77777777" w:rsidR="009F6D8A" w:rsidRDefault="009F6D8A">
            <w:pPr>
              <w:rPr>
                <w:rFonts w:ascii="宋体"/>
                <w:vanish/>
              </w:rPr>
            </w:pPr>
          </w:p>
        </w:tc>
        <w:tc>
          <w:tcPr>
            <w:tcW w:w="0" w:type="auto"/>
            <w:gridSpan w:val="3"/>
            <w:shd w:val="clear" w:color="auto" w:fill="auto"/>
            <w:vAlign w:val="bottom"/>
          </w:tcPr>
          <w:p w14:paraId="64303C5C" w14:textId="77777777" w:rsidR="009F6D8A" w:rsidRDefault="009F6D8A">
            <w:pPr>
              <w:rPr>
                <w:rFonts w:ascii="宋体"/>
                <w:vanish/>
              </w:rPr>
            </w:pPr>
          </w:p>
        </w:tc>
        <w:tc>
          <w:tcPr>
            <w:tcW w:w="0" w:type="auto"/>
            <w:gridSpan w:val="3"/>
            <w:shd w:val="clear" w:color="auto" w:fill="auto"/>
            <w:vAlign w:val="bottom"/>
          </w:tcPr>
          <w:p w14:paraId="64303C5D" w14:textId="77777777" w:rsidR="009F6D8A" w:rsidRDefault="009F6D8A">
            <w:pPr>
              <w:rPr>
                <w:rFonts w:ascii="宋体"/>
                <w:vanish/>
              </w:rPr>
            </w:pPr>
          </w:p>
        </w:tc>
        <w:tc>
          <w:tcPr>
            <w:tcW w:w="0" w:type="auto"/>
            <w:gridSpan w:val="3"/>
            <w:shd w:val="clear" w:color="auto" w:fill="auto"/>
            <w:vAlign w:val="bottom"/>
          </w:tcPr>
          <w:p w14:paraId="64303C5E" w14:textId="77777777" w:rsidR="009F6D8A" w:rsidRDefault="009F6D8A">
            <w:pPr>
              <w:rPr>
                <w:rFonts w:ascii="宋体"/>
                <w:vanish/>
              </w:rPr>
            </w:pPr>
          </w:p>
        </w:tc>
        <w:tc>
          <w:tcPr>
            <w:tcW w:w="0" w:type="auto"/>
            <w:gridSpan w:val="3"/>
            <w:shd w:val="clear" w:color="auto" w:fill="auto"/>
            <w:vAlign w:val="bottom"/>
          </w:tcPr>
          <w:p w14:paraId="64303C5F" w14:textId="77777777" w:rsidR="009F6D8A" w:rsidRDefault="009F6D8A">
            <w:pPr>
              <w:rPr>
                <w:rFonts w:ascii="宋体"/>
                <w:vanish/>
              </w:rPr>
            </w:pPr>
          </w:p>
        </w:tc>
      </w:tr>
      <w:tr w:rsidR="009F6D8A" w14:paraId="64303C69" w14:textId="77777777">
        <w:trPr>
          <w:hidden/>
        </w:trPr>
        <w:tc>
          <w:tcPr>
            <w:tcW w:w="0" w:type="auto"/>
            <w:gridSpan w:val="3"/>
            <w:shd w:val="clear" w:color="auto" w:fill="auto"/>
            <w:vAlign w:val="bottom"/>
          </w:tcPr>
          <w:p w14:paraId="64303C61" w14:textId="77777777" w:rsidR="009F6D8A" w:rsidRDefault="009F6D8A">
            <w:pPr>
              <w:rPr>
                <w:rFonts w:ascii="宋体"/>
                <w:vanish/>
              </w:rPr>
            </w:pPr>
          </w:p>
        </w:tc>
        <w:tc>
          <w:tcPr>
            <w:tcW w:w="0" w:type="auto"/>
            <w:gridSpan w:val="3"/>
            <w:shd w:val="clear" w:color="auto" w:fill="auto"/>
            <w:vAlign w:val="bottom"/>
          </w:tcPr>
          <w:p w14:paraId="64303C62" w14:textId="77777777" w:rsidR="009F6D8A" w:rsidRDefault="009F6D8A">
            <w:pPr>
              <w:rPr>
                <w:rFonts w:ascii="宋体"/>
                <w:vanish/>
              </w:rPr>
            </w:pPr>
          </w:p>
        </w:tc>
        <w:tc>
          <w:tcPr>
            <w:tcW w:w="0" w:type="auto"/>
            <w:gridSpan w:val="3"/>
            <w:shd w:val="clear" w:color="auto" w:fill="auto"/>
            <w:vAlign w:val="bottom"/>
          </w:tcPr>
          <w:p w14:paraId="64303C63" w14:textId="77777777" w:rsidR="009F6D8A" w:rsidRDefault="009F6D8A">
            <w:pPr>
              <w:rPr>
                <w:rFonts w:ascii="宋体"/>
                <w:vanish/>
              </w:rPr>
            </w:pPr>
          </w:p>
        </w:tc>
        <w:tc>
          <w:tcPr>
            <w:tcW w:w="0" w:type="auto"/>
            <w:gridSpan w:val="3"/>
            <w:shd w:val="clear" w:color="auto" w:fill="auto"/>
            <w:vAlign w:val="bottom"/>
          </w:tcPr>
          <w:p w14:paraId="64303C64" w14:textId="77777777" w:rsidR="009F6D8A" w:rsidRDefault="009F6D8A">
            <w:pPr>
              <w:rPr>
                <w:rFonts w:ascii="宋体"/>
                <w:vanish/>
              </w:rPr>
            </w:pPr>
          </w:p>
        </w:tc>
        <w:tc>
          <w:tcPr>
            <w:tcW w:w="0" w:type="auto"/>
            <w:gridSpan w:val="3"/>
            <w:shd w:val="clear" w:color="auto" w:fill="auto"/>
            <w:vAlign w:val="bottom"/>
          </w:tcPr>
          <w:p w14:paraId="64303C65" w14:textId="77777777" w:rsidR="009F6D8A" w:rsidRDefault="009F6D8A">
            <w:pPr>
              <w:rPr>
                <w:rFonts w:ascii="宋体"/>
                <w:vanish/>
              </w:rPr>
            </w:pPr>
          </w:p>
        </w:tc>
        <w:tc>
          <w:tcPr>
            <w:tcW w:w="0" w:type="auto"/>
            <w:gridSpan w:val="3"/>
            <w:shd w:val="clear" w:color="auto" w:fill="auto"/>
            <w:vAlign w:val="bottom"/>
          </w:tcPr>
          <w:p w14:paraId="64303C66" w14:textId="77777777" w:rsidR="009F6D8A" w:rsidRDefault="009F6D8A">
            <w:pPr>
              <w:rPr>
                <w:rFonts w:ascii="宋体"/>
                <w:vanish/>
              </w:rPr>
            </w:pPr>
          </w:p>
        </w:tc>
        <w:tc>
          <w:tcPr>
            <w:tcW w:w="0" w:type="auto"/>
            <w:gridSpan w:val="3"/>
            <w:shd w:val="clear" w:color="auto" w:fill="auto"/>
            <w:vAlign w:val="bottom"/>
          </w:tcPr>
          <w:p w14:paraId="64303C67" w14:textId="77777777" w:rsidR="009F6D8A" w:rsidRDefault="009F6D8A">
            <w:pPr>
              <w:rPr>
                <w:rFonts w:ascii="宋体"/>
                <w:vanish/>
              </w:rPr>
            </w:pPr>
          </w:p>
        </w:tc>
        <w:tc>
          <w:tcPr>
            <w:tcW w:w="0" w:type="auto"/>
            <w:gridSpan w:val="3"/>
            <w:shd w:val="clear" w:color="auto" w:fill="auto"/>
            <w:vAlign w:val="bottom"/>
          </w:tcPr>
          <w:p w14:paraId="64303C68" w14:textId="77777777" w:rsidR="009F6D8A" w:rsidRDefault="009F6D8A">
            <w:pPr>
              <w:rPr>
                <w:rFonts w:ascii="宋体"/>
                <w:vanish/>
              </w:rPr>
            </w:pPr>
          </w:p>
        </w:tc>
      </w:tr>
      <w:tr w:rsidR="009F6D8A" w14:paraId="64303C72" w14:textId="77777777">
        <w:trPr>
          <w:hidden/>
        </w:trPr>
        <w:tc>
          <w:tcPr>
            <w:tcW w:w="0" w:type="auto"/>
            <w:gridSpan w:val="3"/>
            <w:shd w:val="clear" w:color="auto" w:fill="auto"/>
            <w:vAlign w:val="bottom"/>
          </w:tcPr>
          <w:p w14:paraId="64303C6A" w14:textId="77777777" w:rsidR="009F6D8A" w:rsidRDefault="009F6D8A">
            <w:pPr>
              <w:rPr>
                <w:rFonts w:ascii="宋体"/>
                <w:vanish/>
              </w:rPr>
            </w:pPr>
          </w:p>
        </w:tc>
        <w:tc>
          <w:tcPr>
            <w:tcW w:w="0" w:type="auto"/>
            <w:gridSpan w:val="3"/>
            <w:shd w:val="clear" w:color="auto" w:fill="auto"/>
            <w:vAlign w:val="bottom"/>
          </w:tcPr>
          <w:p w14:paraId="64303C6B" w14:textId="77777777" w:rsidR="009F6D8A" w:rsidRDefault="009F6D8A">
            <w:pPr>
              <w:rPr>
                <w:rFonts w:ascii="宋体"/>
                <w:vanish/>
              </w:rPr>
            </w:pPr>
          </w:p>
        </w:tc>
        <w:tc>
          <w:tcPr>
            <w:tcW w:w="0" w:type="auto"/>
            <w:gridSpan w:val="3"/>
            <w:shd w:val="clear" w:color="auto" w:fill="auto"/>
            <w:vAlign w:val="bottom"/>
          </w:tcPr>
          <w:p w14:paraId="64303C6C" w14:textId="77777777" w:rsidR="009F6D8A" w:rsidRDefault="009F6D8A">
            <w:pPr>
              <w:rPr>
                <w:rFonts w:ascii="宋体"/>
                <w:vanish/>
              </w:rPr>
            </w:pPr>
          </w:p>
        </w:tc>
        <w:tc>
          <w:tcPr>
            <w:tcW w:w="0" w:type="auto"/>
            <w:gridSpan w:val="3"/>
            <w:shd w:val="clear" w:color="auto" w:fill="auto"/>
            <w:vAlign w:val="bottom"/>
          </w:tcPr>
          <w:p w14:paraId="64303C6D" w14:textId="77777777" w:rsidR="009F6D8A" w:rsidRDefault="009F6D8A">
            <w:pPr>
              <w:rPr>
                <w:rFonts w:ascii="宋体"/>
                <w:vanish/>
              </w:rPr>
            </w:pPr>
          </w:p>
        </w:tc>
        <w:tc>
          <w:tcPr>
            <w:tcW w:w="0" w:type="auto"/>
            <w:gridSpan w:val="3"/>
            <w:shd w:val="clear" w:color="auto" w:fill="auto"/>
            <w:vAlign w:val="bottom"/>
          </w:tcPr>
          <w:p w14:paraId="64303C6E" w14:textId="77777777" w:rsidR="009F6D8A" w:rsidRDefault="009F6D8A">
            <w:pPr>
              <w:rPr>
                <w:rFonts w:ascii="宋体"/>
                <w:vanish/>
              </w:rPr>
            </w:pPr>
          </w:p>
        </w:tc>
        <w:tc>
          <w:tcPr>
            <w:tcW w:w="0" w:type="auto"/>
            <w:gridSpan w:val="3"/>
            <w:shd w:val="clear" w:color="auto" w:fill="auto"/>
            <w:vAlign w:val="bottom"/>
          </w:tcPr>
          <w:p w14:paraId="64303C6F" w14:textId="77777777" w:rsidR="009F6D8A" w:rsidRDefault="009F6D8A">
            <w:pPr>
              <w:rPr>
                <w:rFonts w:ascii="宋体"/>
                <w:vanish/>
              </w:rPr>
            </w:pPr>
          </w:p>
        </w:tc>
        <w:tc>
          <w:tcPr>
            <w:tcW w:w="0" w:type="auto"/>
            <w:gridSpan w:val="3"/>
            <w:shd w:val="clear" w:color="auto" w:fill="auto"/>
            <w:vAlign w:val="bottom"/>
          </w:tcPr>
          <w:p w14:paraId="64303C70" w14:textId="77777777" w:rsidR="009F6D8A" w:rsidRDefault="009F6D8A">
            <w:pPr>
              <w:rPr>
                <w:rFonts w:ascii="宋体"/>
                <w:vanish/>
              </w:rPr>
            </w:pPr>
          </w:p>
        </w:tc>
        <w:tc>
          <w:tcPr>
            <w:tcW w:w="0" w:type="auto"/>
            <w:gridSpan w:val="3"/>
            <w:shd w:val="clear" w:color="auto" w:fill="auto"/>
            <w:vAlign w:val="bottom"/>
          </w:tcPr>
          <w:p w14:paraId="64303C71" w14:textId="77777777" w:rsidR="009F6D8A" w:rsidRDefault="009F6D8A">
            <w:pPr>
              <w:rPr>
                <w:rFonts w:ascii="宋体"/>
                <w:vanish/>
              </w:rPr>
            </w:pPr>
          </w:p>
        </w:tc>
      </w:tr>
      <w:tr w:rsidR="009F6D8A" w14:paraId="64303C83" w14:textId="77777777">
        <w:tc>
          <w:tcPr>
            <w:tcW w:w="0" w:type="auto"/>
            <w:gridSpan w:val="3"/>
            <w:shd w:val="clear" w:color="auto" w:fill="FFFFFF"/>
            <w:tcMar>
              <w:top w:w="0" w:type="dxa"/>
              <w:left w:w="20" w:type="dxa"/>
              <w:bottom w:w="0" w:type="dxa"/>
              <w:right w:w="20" w:type="dxa"/>
            </w:tcMar>
            <w:vAlign w:val="bottom"/>
          </w:tcPr>
          <w:p w14:paraId="64303C73"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3C74"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C75" w14:textId="77777777" w:rsidR="009F6D8A" w:rsidRDefault="00C50974">
            <w:pPr>
              <w:jc w:val="right"/>
              <w:textAlignment w:val="bottom"/>
            </w:pPr>
            <w:r>
              <w:rPr>
                <w:rFonts w:ascii="Arial" w:eastAsia="宋体" w:hAnsi="Arial" w:cs="Arial"/>
                <w:color w:val="000000"/>
                <w:sz w:val="18"/>
                <w:szCs w:val="18"/>
              </w:rPr>
              <w:t>2,389 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C7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C77"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3C78"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C79" w14:textId="77777777" w:rsidR="009F6D8A" w:rsidRDefault="00C50974">
            <w:pPr>
              <w:jc w:val="right"/>
              <w:textAlignment w:val="bottom"/>
            </w:pPr>
            <w:r>
              <w:rPr>
                <w:rFonts w:ascii="Arial" w:eastAsia="宋体" w:hAnsi="Arial" w:cs="Arial"/>
                <w:color w:val="000000"/>
                <w:sz w:val="18"/>
                <w:szCs w:val="18"/>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C7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C7B"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3C7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C7D"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C7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C7F"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3C80"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C81" w14:textId="77777777" w:rsidR="009F6D8A" w:rsidRDefault="00C50974">
            <w:pPr>
              <w:jc w:val="right"/>
              <w:textAlignment w:val="bottom"/>
            </w:pPr>
            <w:r>
              <w:rPr>
                <w:rFonts w:ascii="Arial" w:eastAsia="宋体" w:hAnsi="Arial" w:cs="Arial"/>
                <w:color w:val="000000"/>
                <w:sz w:val="18"/>
                <w:szCs w:val="18"/>
              </w:rPr>
              <w:t>2,392 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C82" w14:textId="77777777" w:rsidR="009F6D8A" w:rsidRDefault="009F6D8A">
            <w:pPr>
              <w:jc w:val="right"/>
              <w:rPr>
                <w:rFonts w:ascii="宋体"/>
              </w:rPr>
            </w:pPr>
          </w:p>
        </w:tc>
      </w:tr>
      <w:tr w:rsidR="009F6D8A" w14:paraId="64303C8C" w14:textId="77777777">
        <w:tc>
          <w:tcPr>
            <w:tcW w:w="0" w:type="auto"/>
            <w:gridSpan w:val="3"/>
            <w:shd w:val="clear" w:color="auto" w:fill="E2E2E2"/>
            <w:tcMar>
              <w:top w:w="40" w:type="dxa"/>
              <w:left w:w="20" w:type="dxa"/>
              <w:bottom w:w="40" w:type="dxa"/>
              <w:right w:w="20" w:type="dxa"/>
            </w:tcMar>
            <w:vAlign w:val="bottom"/>
          </w:tcPr>
          <w:p w14:paraId="64303C84" w14:textId="77777777" w:rsidR="009F6D8A" w:rsidRDefault="00C50974">
            <w:pPr>
              <w:textAlignment w:val="bottom"/>
            </w:pPr>
            <w:r>
              <w:rPr>
                <w:rFonts w:ascii="Arial" w:eastAsia="宋体" w:hAnsi="Arial" w:cs="Arial"/>
                <w:color w:val="000000"/>
                <w:sz w:val="18"/>
                <w:szCs w:val="18"/>
              </w:rPr>
              <w:t>Long-term investments:</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3C85"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C86" w14:textId="77777777" w:rsidR="009F6D8A" w:rsidRDefault="009F6D8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3C87"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C88" w14:textId="77777777" w:rsidR="009F6D8A" w:rsidRDefault="009F6D8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3C89"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C8A" w14:textId="77777777" w:rsidR="009F6D8A" w:rsidRDefault="009F6D8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3C8B" w14:textId="77777777" w:rsidR="009F6D8A" w:rsidRDefault="009F6D8A">
            <w:pPr>
              <w:rPr>
                <w:rFonts w:ascii="宋体"/>
              </w:rPr>
            </w:pPr>
          </w:p>
        </w:tc>
      </w:tr>
      <w:tr w:rsidR="009F6D8A" w14:paraId="64303C99" w14:textId="77777777">
        <w:tc>
          <w:tcPr>
            <w:tcW w:w="0" w:type="auto"/>
            <w:gridSpan w:val="3"/>
            <w:shd w:val="clear" w:color="auto" w:fill="FFFFFF"/>
            <w:tcMar>
              <w:top w:w="40" w:type="dxa"/>
              <w:left w:w="245" w:type="dxa"/>
              <w:bottom w:w="40" w:type="dxa"/>
              <w:right w:w="20" w:type="dxa"/>
            </w:tcMar>
            <w:vAlign w:val="bottom"/>
          </w:tcPr>
          <w:p w14:paraId="64303C8D" w14:textId="77777777" w:rsidR="009F6D8A" w:rsidRDefault="00C50974">
            <w:pPr>
              <w:textAlignment w:val="bottom"/>
            </w:pPr>
            <w:r>
              <w:rPr>
                <w:rFonts w:ascii="Arial" w:eastAsia="宋体" w:hAnsi="Arial" w:cs="Arial"/>
                <w:color w:val="000000"/>
                <w:sz w:val="18"/>
                <w:szCs w:val="18"/>
              </w:rPr>
              <w:t>Corporate debt securities</w:t>
            </w:r>
          </w:p>
        </w:tc>
        <w:tc>
          <w:tcPr>
            <w:tcW w:w="0" w:type="auto"/>
            <w:gridSpan w:val="2"/>
            <w:shd w:val="clear" w:color="auto" w:fill="FFFFFF"/>
            <w:tcMar>
              <w:top w:w="40" w:type="dxa"/>
              <w:left w:w="20" w:type="dxa"/>
              <w:bottom w:w="40" w:type="dxa"/>
              <w:right w:w="0" w:type="dxa"/>
            </w:tcMar>
            <w:vAlign w:val="bottom"/>
          </w:tcPr>
          <w:p w14:paraId="64303C8E" w14:textId="77777777" w:rsidR="009F6D8A" w:rsidRDefault="00C50974">
            <w:pPr>
              <w:jc w:val="right"/>
              <w:textAlignment w:val="bottom"/>
            </w:pPr>
            <w:r>
              <w:rPr>
                <w:rFonts w:ascii="Arial" w:eastAsia="宋体" w:hAnsi="Arial" w:cs="Arial"/>
                <w:color w:val="000000"/>
                <w:sz w:val="18"/>
                <w:szCs w:val="18"/>
              </w:rPr>
              <w:t>284 </w:t>
            </w:r>
          </w:p>
        </w:tc>
        <w:tc>
          <w:tcPr>
            <w:tcW w:w="0" w:type="auto"/>
            <w:shd w:val="clear" w:color="auto" w:fill="FFFFFF"/>
            <w:tcMar>
              <w:top w:w="40" w:type="dxa"/>
              <w:left w:w="0" w:type="dxa"/>
              <w:bottom w:w="40" w:type="dxa"/>
              <w:right w:w="20" w:type="dxa"/>
            </w:tcMar>
            <w:vAlign w:val="bottom"/>
          </w:tcPr>
          <w:p w14:paraId="64303C8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C90"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C91" w14:textId="77777777" w:rsidR="009F6D8A" w:rsidRDefault="00C50974">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64303C9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C93"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C94"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C9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C9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C97" w14:textId="77777777" w:rsidR="009F6D8A" w:rsidRDefault="00C50974">
            <w:pPr>
              <w:jc w:val="right"/>
              <w:textAlignment w:val="bottom"/>
            </w:pPr>
            <w:r>
              <w:rPr>
                <w:rFonts w:ascii="Arial" w:eastAsia="宋体" w:hAnsi="Arial" w:cs="Arial"/>
                <w:color w:val="000000"/>
                <w:sz w:val="18"/>
                <w:szCs w:val="18"/>
              </w:rPr>
              <w:t>286 </w:t>
            </w:r>
          </w:p>
        </w:tc>
        <w:tc>
          <w:tcPr>
            <w:tcW w:w="0" w:type="auto"/>
            <w:shd w:val="clear" w:color="auto" w:fill="FFFFFF"/>
            <w:tcMar>
              <w:top w:w="40" w:type="dxa"/>
              <w:left w:w="0" w:type="dxa"/>
              <w:bottom w:w="40" w:type="dxa"/>
              <w:right w:w="20" w:type="dxa"/>
            </w:tcMar>
            <w:vAlign w:val="bottom"/>
          </w:tcPr>
          <w:p w14:paraId="64303C98" w14:textId="77777777" w:rsidR="009F6D8A" w:rsidRDefault="009F6D8A">
            <w:pPr>
              <w:jc w:val="right"/>
              <w:rPr>
                <w:rFonts w:ascii="宋体"/>
              </w:rPr>
            </w:pPr>
          </w:p>
        </w:tc>
      </w:tr>
      <w:tr w:rsidR="009F6D8A" w14:paraId="64303CA2" w14:textId="77777777">
        <w:trPr>
          <w:hidden/>
        </w:trPr>
        <w:tc>
          <w:tcPr>
            <w:tcW w:w="0" w:type="auto"/>
            <w:gridSpan w:val="3"/>
            <w:shd w:val="clear" w:color="auto" w:fill="auto"/>
            <w:vAlign w:val="bottom"/>
          </w:tcPr>
          <w:p w14:paraId="64303C9A" w14:textId="77777777" w:rsidR="009F6D8A" w:rsidRDefault="009F6D8A">
            <w:pPr>
              <w:rPr>
                <w:rFonts w:ascii="宋体"/>
                <w:vanish/>
              </w:rPr>
            </w:pPr>
          </w:p>
        </w:tc>
        <w:tc>
          <w:tcPr>
            <w:tcW w:w="0" w:type="auto"/>
            <w:gridSpan w:val="3"/>
            <w:shd w:val="clear" w:color="auto" w:fill="auto"/>
            <w:vAlign w:val="bottom"/>
          </w:tcPr>
          <w:p w14:paraId="64303C9B" w14:textId="77777777" w:rsidR="009F6D8A" w:rsidRDefault="009F6D8A">
            <w:pPr>
              <w:rPr>
                <w:rFonts w:ascii="宋体"/>
                <w:vanish/>
              </w:rPr>
            </w:pPr>
          </w:p>
        </w:tc>
        <w:tc>
          <w:tcPr>
            <w:tcW w:w="0" w:type="auto"/>
            <w:gridSpan w:val="3"/>
            <w:shd w:val="clear" w:color="auto" w:fill="auto"/>
            <w:vAlign w:val="bottom"/>
          </w:tcPr>
          <w:p w14:paraId="64303C9C" w14:textId="77777777" w:rsidR="009F6D8A" w:rsidRDefault="009F6D8A">
            <w:pPr>
              <w:rPr>
                <w:rFonts w:ascii="宋体"/>
                <w:vanish/>
              </w:rPr>
            </w:pPr>
          </w:p>
        </w:tc>
        <w:tc>
          <w:tcPr>
            <w:tcW w:w="0" w:type="auto"/>
            <w:gridSpan w:val="3"/>
            <w:shd w:val="clear" w:color="auto" w:fill="auto"/>
            <w:vAlign w:val="bottom"/>
          </w:tcPr>
          <w:p w14:paraId="64303C9D" w14:textId="77777777" w:rsidR="009F6D8A" w:rsidRDefault="009F6D8A">
            <w:pPr>
              <w:rPr>
                <w:rFonts w:ascii="宋体"/>
                <w:vanish/>
              </w:rPr>
            </w:pPr>
          </w:p>
        </w:tc>
        <w:tc>
          <w:tcPr>
            <w:tcW w:w="0" w:type="auto"/>
            <w:gridSpan w:val="3"/>
            <w:shd w:val="clear" w:color="auto" w:fill="auto"/>
            <w:vAlign w:val="bottom"/>
          </w:tcPr>
          <w:p w14:paraId="64303C9E" w14:textId="77777777" w:rsidR="009F6D8A" w:rsidRDefault="009F6D8A">
            <w:pPr>
              <w:rPr>
                <w:rFonts w:ascii="宋体"/>
                <w:vanish/>
              </w:rPr>
            </w:pPr>
          </w:p>
        </w:tc>
        <w:tc>
          <w:tcPr>
            <w:tcW w:w="0" w:type="auto"/>
            <w:gridSpan w:val="3"/>
            <w:shd w:val="clear" w:color="auto" w:fill="auto"/>
            <w:vAlign w:val="bottom"/>
          </w:tcPr>
          <w:p w14:paraId="64303C9F" w14:textId="77777777" w:rsidR="009F6D8A" w:rsidRDefault="009F6D8A">
            <w:pPr>
              <w:rPr>
                <w:rFonts w:ascii="宋体"/>
                <w:vanish/>
              </w:rPr>
            </w:pPr>
          </w:p>
        </w:tc>
        <w:tc>
          <w:tcPr>
            <w:tcW w:w="0" w:type="auto"/>
            <w:gridSpan w:val="3"/>
            <w:shd w:val="clear" w:color="auto" w:fill="auto"/>
            <w:vAlign w:val="bottom"/>
          </w:tcPr>
          <w:p w14:paraId="64303CA0" w14:textId="77777777" w:rsidR="009F6D8A" w:rsidRDefault="009F6D8A">
            <w:pPr>
              <w:rPr>
                <w:rFonts w:ascii="宋体"/>
                <w:vanish/>
              </w:rPr>
            </w:pPr>
          </w:p>
        </w:tc>
        <w:tc>
          <w:tcPr>
            <w:tcW w:w="0" w:type="auto"/>
            <w:gridSpan w:val="3"/>
            <w:shd w:val="clear" w:color="auto" w:fill="auto"/>
            <w:vAlign w:val="bottom"/>
          </w:tcPr>
          <w:p w14:paraId="64303CA1" w14:textId="77777777" w:rsidR="009F6D8A" w:rsidRDefault="009F6D8A">
            <w:pPr>
              <w:rPr>
                <w:rFonts w:ascii="宋体"/>
                <w:vanish/>
              </w:rPr>
            </w:pPr>
          </w:p>
        </w:tc>
      </w:tr>
      <w:tr w:rsidR="009F6D8A" w14:paraId="64303CB3" w14:textId="77777777">
        <w:tc>
          <w:tcPr>
            <w:tcW w:w="0" w:type="auto"/>
            <w:gridSpan w:val="3"/>
            <w:shd w:val="clear" w:color="auto" w:fill="E2E2E2"/>
            <w:tcMar>
              <w:top w:w="0" w:type="dxa"/>
              <w:left w:w="20" w:type="dxa"/>
              <w:bottom w:w="0" w:type="dxa"/>
              <w:right w:w="20" w:type="dxa"/>
            </w:tcMar>
            <w:vAlign w:val="bottom"/>
          </w:tcPr>
          <w:p w14:paraId="64303CA3"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CA4"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CA5" w14:textId="77777777" w:rsidR="009F6D8A" w:rsidRDefault="00C50974">
            <w:pPr>
              <w:jc w:val="right"/>
              <w:textAlignment w:val="bottom"/>
            </w:pPr>
            <w:r>
              <w:rPr>
                <w:rFonts w:ascii="Arial" w:eastAsia="宋体" w:hAnsi="Arial" w:cs="Arial"/>
                <w:color w:val="000000"/>
                <w:sz w:val="18"/>
                <w:szCs w:val="18"/>
              </w:rPr>
              <w:t>284 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CA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CA7"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CA8"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CA9" w14:textId="77777777" w:rsidR="009F6D8A" w:rsidRDefault="00C50974">
            <w:pPr>
              <w:jc w:val="right"/>
              <w:textAlignment w:val="bottom"/>
            </w:pPr>
            <w:r>
              <w:rPr>
                <w:rFonts w:ascii="Arial" w:eastAsia="宋体" w:hAnsi="Arial" w:cs="Arial"/>
                <w:color w:val="000000"/>
                <w:sz w:val="18"/>
                <w:szCs w:val="18"/>
              </w:rPr>
              <w:t>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CA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CAB"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CA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CAD"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CA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CAF"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CB0"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CB1" w14:textId="77777777" w:rsidR="009F6D8A" w:rsidRDefault="00C50974">
            <w:pPr>
              <w:jc w:val="right"/>
              <w:textAlignment w:val="bottom"/>
            </w:pPr>
            <w:r>
              <w:rPr>
                <w:rFonts w:ascii="Arial" w:eastAsia="宋体" w:hAnsi="Arial" w:cs="Arial"/>
                <w:color w:val="000000"/>
                <w:sz w:val="18"/>
                <w:szCs w:val="18"/>
              </w:rPr>
              <w:t>286 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CB2" w14:textId="77777777" w:rsidR="009F6D8A" w:rsidRDefault="009F6D8A">
            <w:pPr>
              <w:jc w:val="right"/>
              <w:rPr>
                <w:rFonts w:ascii="宋体"/>
              </w:rPr>
            </w:pPr>
          </w:p>
        </w:tc>
      </w:tr>
    </w:tbl>
    <w:p w14:paraId="64303CB4" w14:textId="77777777" w:rsidR="009F6D8A" w:rsidRDefault="009F6D8A"/>
    <w:p w14:paraId="64303CB5" w14:textId="77777777" w:rsidR="009F6D8A" w:rsidRDefault="00C50974">
      <w:pPr>
        <w:ind w:firstLine="540"/>
        <w:jc w:val="both"/>
      </w:pPr>
      <w:r>
        <w:rPr>
          <w:rFonts w:ascii="Arial" w:eastAsia="宋体" w:hAnsi="Arial" w:cs="Arial"/>
          <w:color w:val="000000"/>
          <w:sz w:val="20"/>
          <w:szCs w:val="20"/>
        </w:rPr>
        <w:t>We consider cash to be restricted when withdrawal or general use is legally restricted. At December 31, 2020 o</w:t>
      </w:r>
      <w:r>
        <w:rPr>
          <w:rFonts w:ascii="Arial" w:eastAsia="宋体" w:hAnsi="Arial" w:cs="Arial"/>
          <w:color w:val="000000"/>
          <w:sz w:val="20"/>
          <w:szCs w:val="20"/>
        </w:rPr>
        <w:t xml:space="preserve">ur restricted cash balance primarily comprised of cash on deposit with banks restricted to safeguard seller payables. </w:t>
      </w:r>
    </w:p>
    <w:p w14:paraId="64303CB6" w14:textId="77777777" w:rsidR="009F6D8A" w:rsidRDefault="009F6D8A">
      <w:pPr>
        <w:ind w:firstLine="540"/>
        <w:jc w:val="both"/>
      </w:pPr>
    </w:p>
    <w:p w14:paraId="64303CB7" w14:textId="77777777" w:rsidR="009F6D8A" w:rsidRDefault="00C50974">
      <w:pPr>
        <w:ind w:firstLine="540"/>
        <w:jc w:val="both"/>
      </w:pPr>
      <w:r>
        <w:rPr>
          <w:rFonts w:ascii="Arial" w:eastAsia="宋体" w:hAnsi="Arial" w:cs="Arial"/>
          <w:color w:val="000000"/>
          <w:sz w:val="20"/>
          <w:szCs w:val="20"/>
        </w:rPr>
        <w:t>Investments classified as available-for-sale are carried at fair value with changes reflected in other comprehensive income. Where there</w:t>
      </w:r>
      <w:r>
        <w:rPr>
          <w:rFonts w:ascii="Arial" w:eastAsia="宋体" w:hAnsi="Arial" w:cs="Arial"/>
          <w:color w:val="000000"/>
          <w:sz w:val="20"/>
          <w:szCs w:val="20"/>
        </w:rPr>
        <w:t xml:space="preserve"> is an intention or a requirement to sell an impaired available-for-sale debt security, the entire impairment is recognized in earnings with a corresponding adjustment to the amortized cost basis of the security. We presently do not intend to sell any of t</w:t>
      </w:r>
      <w:r>
        <w:rPr>
          <w:rFonts w:ascii="Arial" w:eastAsia="宋体" w:hAnsi="Arial" w:cs="Arial"/>
          <w:color w:val="000000"/>
          <w:sz w:val="20"/>
          <w:szCs w:val="20"/>
        </w:rPr>
        <w:t>he available-for-sale debt securities in an unrealized loss position and expect to realize the full value of all these investments upon maturity or sale.</w:t>
      </w:r>
    </w:p>
    <w:p w14:paraId="64303CB8" w14:textId="77777777" w:rsidR="009F6D8A" w:rsidRDefault="009F6D8A">
      <w:pPr>
        <w:ind w:firstLine="540"/>
        <w:jc w:val="both"/>
      </w:pPr>
    </w:p>
    <w:p w14:paraId="64303CB9" w14:textId="77777777" w:rsidR="009F6D8A" w:rsidRDefault="00C50974">
      <w:pPr>
        <w:ind w:firstLine="540"/>
        <w:jc w:val="both"/>
      </w:pPr>
      <w:r>
        <w:rPr>
          <w:rFonts w:ascii="Arial" w:eastAsia="宋体" w:hAnsi="Arial" w:cs="Arial"/>
          <w:color w:val="000000"/>
          <w:sz w:val="20"/>
          <w:szCs w:val="20"/>
        </w:rPr>
        <w:t>We regularly review investment securities for credit impairment using both qualitative and quantitati</w:t>
      </w:r>
      <w:r>
        <w:rPr>
          <w:rFonts w:ascii="Arial" w:eastAsia="宋体" w:hAnsi="Arial" w:cs="Arial"/>
          <w:color w:val="000000"/>
          <w:sz w:val="20"/>
          <w:szCs w:val="20"/>
        </w:rPr>
        <w:t xml:space="preserve">ve criteria. In making this assessment, we consider the extent to which fair value is less than amortized cost, any changes to the rating of the security by a rating agency, any adverse conditions specifically related to the security, among other factors. </w:t>
      </w:r>
      <w:r>
        <w:rPr>
          <w:rFonts w:ascii="Arial" w:eastAsia="宋体" w:hAnsi="Arial" w:cs="Arial"/>
          <w:color w:val="000000"/>
          <w:sz w:val="20"/>
          <w:szCs w:val="20"/>
        </w:rPr>
        <w:t>If this assessment indicates that a credit loss exists, the present value of cash flows expected to be collected from the security are compared to the amortized cost basis of the security. If the present value of cash flows expected to be collected is less</w:t>
      </w:r>
      <w:r>
        <w:rPr>
          <w:rFonts w:ascii="Arial" w:eastAsia="宋体" w:hAnsi="Arial" w:cs="Arial"/>
          <w:color w:val="000000"/>
          <w:sz w:val="20"/>
          <w:szCs w:val="20"/>
        </w:rPr>
        <w:t xml:space="preserve"> than the amortized cost basis, a credit loss exists and an allowance for credit losses will be recorded through interest and other, net for the credit loss, limited by the amount that the fair value is less than the amortized cost basis. Any impairment th</w:t>
      </w:r>
      <w:r>
        <w:rPr>
          <w:rFonts w:ascii="Arial" w:eastAsia="宋体" w:hAnsi="Arial" w:cs="Arial"/>
          <w:color w:val="000000"/>
          <w:sz w:val="20"/>
          <w:szCs w:val="20"/>
        </w:rPr>
        <w:t>at has not been recorded through an allowance for credit losses is recognized in other comprehensive income. We did not recognize any credit-related impairment through an allowance for credit losses as of June 30, 2021.</w:t>
      </w:r>
      <w:r>
        <w:rPr>
          <w:rFonts w:ascii="Arial" w:eastAsia="宋体" w:hAnsi="Arial" w:cs="Arial"/>
          <w:color w:val="000000"/>
        </w:rPr>
        <w:t xml:space="preserve"> </w:t>
      </w:r>
    </w:p>
    <w:p w14:paraId="64303CBA" w14:textId="77777777" w:rsidR="009F6D8A" w:rsidRDefault="009F6D8A">
      <w:pPr>
        <w:jc w:val="center"/>
      </w:pPr>
    </w:p>
    <w:p w14:paraId="64303CBB" w14:textId="77777777" w:rsidR="009F6D8A" w:rsidRDefault="00C50974">
      <w:pPr>
        <w:jc w:val="center"/>
      </w:pPr>
      <w:r>
        <w:rPr>
          <w:rFonts w:ascii="Arial" w:eastAsia="宋体" w:hAnsi="Arial" w:cs="Arial"/>
          <w:color w:val="000000"/>
          <w:sz w:val="20"/>
          <w:szCs w:val="20"/>
        </w:rPr>
        <w:t>20</w:t>
      </w:r>
    </w:p>
    <w:p w14:paraId="64303CBC" w14:textId="77777777" w:rsidR="009F6D8A" w:rsidRDefault="00C50974">
      <w:r>
        <w:pict w14:anchorId="64305817">
          <v:rect id="_x0000_i1044" style="width:415.3pt;height:1.5pt" o:hralign="center" o:hrstd="t" o:hr="t" fillcolor="#a0a0a0" stroked="f"/>
        </w:pict>
      </w:r>
    </w:p>
    <w:p w14:paraId="64303CBD" w14:textId="77777777" w:rsidR="009F6D8A" w:rsidRDefault="009F6D8A">
      <w:pPr>
        <w:jc w:val="center"/>
      </w:pPr>
    </w:p>
    <w:p w14:paraId="64303CBE" w14:textId="77777777" w:rsidR="009F6D8A" w:rsidRDefault="00C50974">
      <w:pPr>
        <w:jc w:val="center"/>
      </w:pPr>
      <w:r>
        <w:rPr>
          <w:rFonts w:ascii="Arial" w:eastAsia="宋体" w:hAnsi="Arial" w:cs="Arial"/>
          <w:b/>
          <w:bCs/>
          <w:color w:val="000000"/>
          <w:sz w:val="20"/>
          <w:szCs w:val="20"/>
        </w:rPr>
        <w:t>eBay Inc.</w:t>
      </w:r>
    </w:p>
    <w:p w14:paraId="64303CBF" w14:textId="77777777" w:rsidR="009F6D8A" w:rsidRDefault="00C50974">
      <w:pPr>
        <w:spacing w:after="240"/>
        <w:jc w:val="center"/>
      </w:pPr>
      <w:r>
        <w:rPr>
          <w:rFonts w:ascii="Arial" w:eastAsia="宋体" w:hAnsi="Arial" w:cs="Arial"/>
          <w:b/>
          <w:bCs/>
          <w:color w:val="000000"/>
          <w:sz w:val="20"/>
          <w:szCs w:val="20"/>
        </w:rPr>
        <w:t>NOTES TO CONDENSED</w:t>
      </w:r>
      <w:r>
        <w:rPr>
          <w:rFonts w:ascii="Arial" w:eastAsia="宋体" w:hAnsi="Arial" w:cs="Arial"/>
          <w:b/>
          <w:bCs/>
          <w:color w:val="000000"/>
          <w:sz w:val="20"/>
          <w:szCs w:val="20"/>
        </w:rPr>
        <w:t xml:space="preserve"> CONSOLIDATED FINANCIAL STATEMENTS—(Continued)</w:t>
      </w:r>
    </w:p>
    <w:p w14:paraId="64303CC0" w14:textId="77777777" w:rsidR="009F6D8A" w:rsidRDefault="009F6D8A">
      <w:pPr>
        <w:ind w:firstLine="540"/>
        <w:jc w:val="both"/>
      </w:pPr>
    </w:p>
    <w:p w14:paraId="64303CC1" w14:textId="77777777" w:rsidR="009F6D8A" w:rsidRDefault="00C50974">
      <w:pPr>
        <w:ind w:firstLine="540"/>
        <w:jc w:val="both"/>
      </w:pPr>
      <w:r>
        <w:rPr>
          <w:rFonts w:ascii="Arial" w:eastAsia="宋体" w:hAnsi="Arial" w:cs="Arial"/>
          <w:color w:val="000000"/>
          <w:sz w:val="20"/>
          <w:szCs w:val="20"/>
        </w:rPr>
        <w:t xml:space="preserve">Investment securities in a continuous loss position for less than 12 months had an estimated fair value of $3.0 billion and an immaterial amount of unrealized losses as of June 30, 2021, and an estimated fair value of $261 million and an immaterial amount </w:t>
      </w:r>
      <w:r>
        <w:rPr>
          <w:rFonts w:ascii="Arial" w:eastAsia="宋体" w:hAnsi="Arial" w:cs="Arial"/>
          <w:color w:val="000000"/>
          <w:sz w:val="20"/>
          <w:szCs w:val="20"/>
        </w:rPr>
        <w:t>of unrealized losses as of December 31, 2020. As of June 30, 2021 and December 31, 2020 there were no investment securities in a continuous loss position for greater than 12 months. Refer to “Note 15 – Accumulated Other Comprehensive Income” for amounts re</w:t>
      </w:r>
      <w:r>
        <w:rPr>
          <w:rFonts w:ascii="Arial" w:eastAsia="宋体" w:hAnsi="Arial" w:cs="Arial"/>
          <w:color w:val="000000"/>
          <w:sz w:val="20"/>
          <w:szCs w:val="20"/>
        </w:rPr>
        <w:t xml:space="preserve">classified to earnings from unrealized gains and losses. </w:t>
      </w:r>
    </w:p>
    <w:p w14:paraId="64303CC2" w14:textId="77777777" w:rsidR="009F6D8A" w:rsidRDefault="009F6D8A">
      <w:pPr>
        <w:ind w:firstLine="540"/>
      </w:pPr>
    </w:p>
    <w:p w14:paraId="64303CC3" w14:textId="77777777" w:rsidR="009F6D8A" w:rsidRDefault="00C50974">
      <w:pPr>
        <w:ind w:firstLine="540"/>
        <w:jc w:val="both"/>
      </w:pPr>
      <w:r>
        <w:rPr>
          <w:rFonts w:ascii="Arial" w:eastAsia="宋体" w:hAnsi="Arial" w:cs="Arial"/>
          <w:color w:val="000000"/>
          <w:sz w:val="20"/>
          <w:szCs w:val="20"/>
        </w:rPr>
        <w:t>The estimated fair values of our short-term and long-term investments classified as available-for-sale and restricted cash by date of contractual maturity as of June 30, 2021 are as follows (in mil</w:t>
      </w:r>
      <w:r>
        <w:rPr>
          <w:rFonts w:ascii="Arial" w:eastAsia="宋体" w:hAnsi="Arial" w:cs="Arial"/>
          <w:color w:val="000000"/>
          <w:sz w:val="20"/>
          <w:szCs w:val="20"/>
        </w:rPr>
        <w:t>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7081"/>
        <w:gridCol w:w="36"/>
        <w:gridCol w:w="121"/>
        <w:gridCol w:w="1010"/>
        <w:gridCol w:w="36"/>
      </w:tblGrid>
      <w:tr w:rsidR="009F6D8A" w14:paraId="64303CCA" w14:textId="77777777">
        <w:tc>
          <w:tcPr>
            <w:tcW w:w="50" w:type="pct"/>
            <w:shd w:val="clear" w:color="auto" w:fill="auto"/>
            <w:vAlign w:val="bottom"/>
          </w:tcPr>
          <w:p w14:paraId="64303CC4" w14:textId="77777777" w:rsidR="009F6D8A" w:rsidRDefault="009F6D8A">
            <w:pPr>
              <w:rPr>
                <w:rFonts w:ascii="宋体"/>
              </w:rPr>
            </w:pPr>
          </w:p>
        </w:tc>
        <w:tc>
          <w:tcPr>
            <w:tcW w:w="4265" w:type="pct"/>
            <w:shd w:val="clear" w:color="auto" w:fill="auto"/>
            <w:vAlign w:val="bottom"/>
          </w:tcPr>
          <w:p w14:paraId="64303CC5" w14:textId="77777777" w:rsidR="009F6D8A" w:rsidRDefault="009F6D8A">
            <w:pPr>
              <w:rPr>
                <w:rFonts w:ascii="宋体"/>
              </w:rPr>
            </w:pPr>
          </w:p>
        </w:tc>
        <w:tc>
          <w:tcPr>
            <w:tcW w:w="5" w:type="pct"/>
            <w:shd w:val="clear" w:color="auto" w:fill="auto"/>
            <w:vAlign w:val="bottom"/>
          </w:tcPr>
          <w:p w14:paraId="64303CC6" w14:textId="77777777" w:rsidR="009F6D8A" w:rsidRDefault="009F6D8A">
            <w:pPr>
              <w:rPr>
                <w:rFonts w:ascii="宋体"/>
              </w:rPr>
            </w:pPr>
          </w:p>
        </w:tc>
        <w:tc>
          <w:tcPr>
            <w:tcW w:w="50" w:type="pct"/>
            <w:shd w:val="clear" w:color="auto" w:fill="auto"/>
            <w:vAlign w:val="bottom"/>
          </w:tcPr>
          <w:p w14:paraId="64303CC7" w14:textId="77777777" w:rsidR="009F6D8A" w:rsidRDefault="009F6D8A">
            <w:pPr>
              <w:rPr>
                <w:rFonts w:ascii="宋体"/>
              </w:rPr>
            </w:pPr>
          </w:p>
        </w:tc>
        <w:tc>
          <w:tcPr>
            <w:tcW w:w="624" w:type="pct"/>
            <w:shd w:val="clear" w:color="auto" w:fill="auto"/>
            <w:vAlign w:val="bottom"/>
          </w:tcPr>
          <w:p w14:paraId="64303CC8" w14:textId="77777777" w:rsidR="009F6D8A" w:rsidRDefault="009F6D8A">
            <w:pPr>
              <w:rPr>
                <w:rFonts w:ascii="宋体"/>
              </w:rPr>
            </w:pPr>
          </w:p>
        </w:tc>
        <w:tc>
          <w:tcPr>
            <w:tcW w:w="5" w:type="pct"/>
            <w:shd w:val="clear" w:color="auto" w:fill="auto"/>
            <w:vAlign w:val="bottom"/>
          </w:tcPr>
          <w:p w14:paraId="64303CC9" w14:textId="77777777" w:rsidR="009F6D8A" w:rsidRDefault="009F6D8A">
            <w:pPr>
              <w:rPr>
                <w:rFonts w:ascii="宋体"/>
              </w:rPr>
            </w:pPr>
          </w:p>
        </w:tc>
      </w:tr>
      <w:tr w:rsidR="009F6D8A" w14:paraId="64303CCD" w14:textId="77777777">
        <w:tc>
          <w:tcPr>
            <w:tcW w:w="0" w:type="auto"/>
            <w:gridSpan w:val="3"/>
            <w:shd w:val="clear" w:color="auto" w:fill="auto"/>
            <w:tcMar>
              <w:top w:w="40" w:type="dxa"/>
              <w:left w:w="20" w:type="dxa"/>
              <w:bottom w:w="40" w:type="dxa"/>
              <w:right w:w="20" w:type="dxa"/>
            </w:tcMar>
            <w:vAlign w:val="bottom"/>
          </w:tcPr>
          <w:p w14:paraId="64303CCB" w14:textId="77777777" w:rsidR="009F6D8A" w:rsidRDefault="00C50974">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303CCC" w14:textId="77777777" w:rsidR="009F6D8A" w:rsidRDefault="00C50974">
            <w:pPr>
              <w:jc w:val="center"/>
              <w:textAlignment w:val="bottom"/>
            </w:pPr>
            <w:r>
              <w:rPr>
                <w:rFonts w:ascii="Arial" w:eastAsia="宋体" w:hAnsi="Arial" w:cs="Arial"/>
                <w:b/>
                <w:bCs/>
                <w:color w:val="000000"/>
                <w:sz w:val="16"/>
                <w:szCs w:val="16"/>
              </w:rPr>
              <w:t>June 30, 2021</w:t>
            </w:r>
          </w:p>
        </w:tc>
      </w:tr>
      <w:tr w:rsidR="009F6D8A" w14:paraId="64303CD2" w14:textId="77777777">
        <w:tc>
          <w:tcPr>
            <w:tcW w:w="0" w:type="auto"/>
            <w:gridSpan w:val="3"/>
            <w:shd w:val="clear" w:color="auto" w:fill="E2E2E2"/>
            <w:tcMar>
              <w:top w:w="40" w:type="dxa"/>
              <w:left w:w="20" w:type="dxa"/>
              <w:bottom w:w="40" w:type="dxa"/>
              <w:right w:w="20" w:type="dxa"/>
            </w:tcMar>
            <w:vAlign w:val="bottom"/>
          </w:tcPr>
          <w:p w14:paraId="64303CCE" w14:textId="77777777" w:rsidR="009F6D8A" w:rsidRDefault="00C50974">
            <w:pPr>
              <w:textAlignment w:val="bottom"/>
            </w:pPr>
            <w:r>
              <w:rPr>
                <w:rFonts w:ascii="Arial" w:eastAsia="宋体" w:hAnsi="Arial" w:cs="Arial"/>
                <w:color w:val="000000"/>
                <w:sz w:val="18"/>
                <w:szCs w:val="18"/>
              </w:rPr>
              <w:t>One year or less (including restricted cash of $15)</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3CC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CD0" w14:textId="77777777" w:rsidR="009F6D8A" w:rsidRDefault="00C50974">
            <w:pPr>
              <w:jc w:val="right"/>
              <w:textAlignment w:val="bottom"/>
            </w:pPr>
            <w:r>
              <w:rPr>
                <w:rFonts w:ascii="Arial" w:eastAsia="宋体" w:hAnsi="Arial" w:cs="Arial"/>
                <w:color w:val="000000"/>
                <w:sz w:val="18"/>
                <w:szCs w:val="18"/>
              </w:rPr>
              <w:t>4,738 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CD1" w14:textId="77777777" w:rsidR="009F6D8A" w:rsidRDefault="009F6D8A">
            <w:pPr>
              <w:jc w:val="right"/>
              <w:rPr>
                <w:rFonts w:ascii="宋体"/>
              </w:rPr>
            </w:pPr>
          </w:p>
        </w:tc>
      </w:tr>
      <w:tr w:rsidR="009F6D8A" w14:paraId="64303CD6" w14:textId="77777777">
        <w:tc>
          <w:tcPr>
            <w:tcW w:w="0" w:type="auto"/>
            <w:gridSpan w:val="3"/>
            <w:shd w:val="clear" w:color="auto" w:fill="FFFFFF"/>
            <w:tcMar>
              <w:top w:w="40" w:type="dxa"/>
              <w:left w:w="20" w:type="dxa"/>
              <w:bottom w:w="40" w:type="dxa"/>
              <w:right w:w="20" w:type="dxa"/>
            </w:tcMar>
            <w:vAlign w:val="bottom"/>
          </w:tcPr>
          <w:p w14:paraId="64303CD3" w14:textId="77777777" w:rsidR="009F6D8A" w:rsidRDefault="00C50974">
            <w:pPr>
              <w:textAlignment w:val="bottom"/>
            </w:pPr>
            <w:r>
              <w:rPr>
                <w:rFonts w:ascii="Arial" w:eastAsia="宋体" w:hAnsi="Arial" w:cs="Arial"/>
                <w:color w:val="000000"/>
                <w:sz w:val="18"/>
                <w:szCs w:val="18"/>
              </w:rPr>
              <w:t>One year through two years</w:t>
            </w:r>
          </w:p>
        </w:tc>
        <w:tc>
          <w:tcPr>
            <w:tcW w:w="0" w:type="auto"/>
            <w:gridSpan w:val="2"/>
            <w:shd w:val="clear" w:color="auto" w:fill="FFFFFF"/>
            <w:tcMar>
              <w:top w:w="40" w:type="dxa"/>
              <w:left w:w="20" w:type="dxa"/>
              <w:bottom w:w="40" w:type="dxa"/>
              <w:right w:w="0" w:type="dxa"/>
            </w:tcMar>
            <w:vAlign w:val="bottom"/>
          </w:tcPr>
          <w:p w14:paraId="64303CD4" w14:textId="77777777" w:rsidR="009F6D8A" w:rsidRDefault="00C50974">
            <w:pPr>
              <w:jc w:val="right"/>
              <w:textAlignment w:val="bottom"/>
            </w:pPr>
            <w:r>
              <w:rPr>
                <w:rFonts w:ascii="Arial" w:eastAsia="宋体" w:hAnsi="Arial" w:cs="Arial"/>
                <w:color w:val="000000"/>
                <w:sz w:val="18"/>
                <w:szCs w:val="18"/>
              </w:rPr>
              <w:t>243 </w:t>
            </w:r>
          </w:p>
        </w:tc>
        <w:tc>
          <w:tcPr>
            <w:tcW w:w="0" w:type="auto"/>
            <w:shd w:val="clear" w:color="auto" w:fill="FFFFFF"/>
            <w:tcMar>
              <w:top w:w="40" w:type="dxa"/>
              <w:left w:w="0" w:type="dxa"/>
              <w:bottom w:w="40" w:type="dxa"/>
              <w:right w:w="20" w:type="dxa"/>
            </w:tcMar>
            <w:vAlign w:val="bottom"/>
          </w:tcPr>
          <w:p w14:paraId="64303CD5" w14:textId="77777777" w:rsidR="009F6D8A" w:rsidRDefault="009F6D8A">
            <w:pPr>
              <w:jc w:val="right"/>
              <w:rPr>
                <w:rFonts w:ascii="宋体"/>
              </w:rPr>
            </w:pPr>
          </w:p>
        </w:tc>
      </w:tr>
      <w:tr w:rsidR="009F6D8A" w14:paraId="64303CDA" w14:textId="77777777">
        <w:tc>
          <w:tcPr>
            <w:tcW w:w="0" w:type="auto"/>
            <w:gridSpan w:val="3"/>
            <w:shd w:val="clear" w:color="auto" w:fill="E2E2E2"/>
            <w:tcMar>
              <w:top w:w="40" w:type="dxa"/>
              <w:left w:w="20" w:type="dxa"/>
              <w:bottom w:w="40" w:type="dxa"/>
              <w:right w:w="20" w:type="dxa"/>
            </w:tcMar>
            <w:vAlign w:val="bottom"/>
          </w:tcPr>
          <w:p w14:paraId="64303CD7" w14:textId="77777777" w:rsidR="009F6D8A" w:rsidRDefault="00C50974">
            <w:pPr>
              <w:textAlignment w:val="bottom"/>
            </w:pPr>
            <w:r>
              <w:rPr>
                <w:rFonts w:ascii="Arial" w:eastAsia="宋体" w:hAnsi="Arial" w:cs="Arial"/>
                <w:color w:val="000000"/>
                <w:sz w:val="18"/>
                <w:szCs w:val="18"/>
              </w:rPr>
              <w:t>Two years through three years</w:t>
            </w:r>
          </w:p>
        </w:tc>
        <w:tc>
          <w:tcPr>
            <w:tcW w:w="0" w:type="auto"/>
            <w:gridSpan w:val="2"/>
            <w:shd w:val="clear" w:color="auto" w:fill="E2E2E2"/>
            <w:tcMar>
              <w:top w:w="40" w:type="dxa"/>
              <w:left w:w="20" w:type="dxa"/>
              <w:bottom w:w="40" w:type="dxa"/>
              <w:right w:w="0" w:type="dxa"/>
            </w:tcMar>
            <w:vAlign w:val="bottom"/>
          </w:tcPr>
          <w:p w14:paraId="64303CD8" w14:textId="77777777" w:rsidR="009F6D8A" w:rsidRDefault="00C50974">
            <w:pPr>
              <w:jc w:val="right"/>
              <w:textAlignment w:val="bottom"/>
            </w:pPr>
            <w:r>
              <w:rPr>
                <w:rFonts w:ascii="Arial" w:eastAsia="宋体" w:hAnsi="Arial" w:cs="Arial"/>
                <w:color w:val="000000"/>
                <w:sz w:val="18"/>
                <w:szCs w:val="18"/>
              </w:rPr>
              <w:t>289 </w:t>
            </w:r>
          </w:p>
        </w:tc>
        <w:tc>
          <w:tcPr>
            <w:tcW w:w="0" w:type="auto"/>
            <w:shd w:val="clear" w:color="auto" w:fill="E2E2E2"/>
            <w:tcMar>
              <w:top w:w="40" w:type="dxa"/>
              <w:left w:w="0" w:type="dxa"/>
              <w:bottom w:w="40" w:type="dxa"/>
              <w:right w:w="20" w:type="dxa"/>
            </w:tcMar>
            <w:vAlign w:val="bottom"/>
          </w:tcPr>
          <w:p w14:paraId="64303CD9" w14:textId="77777777" w:rsidR="009F6D8A" w:rsidRDefault="009F6D8A">
            <w:pPr>
              <w:jc w:val="right"/>
              <w:rPr>
                <w:rFonts w:ascii="宋体"/>
              </w:rPr>
            </w:pPr>
          </w:p>
        </w:tc>
      </w:tr>
      <w:tr w:rsidR="009F6D8A" w14:paraId="64303CDE" w14:textId="77777777">
        <w:tc>
          <w:tcPr>
            <w:tcW w:w="0" w:type="auto"/>
            <w:gridSpan w:val="3"/>
            <w:shd w:val="clear" w:color="auto" w:fill="FFFFFF"/>
            <w:tcMar>
              <w:top w:w="40" w:type="dxa"/>
              <w:left w:w="20" w:type="dxa"/>
              <w:bottom w:w="40" w:type="dxa"/>
              <w:right w:w="20" w:type="dxa"/>
            </w:tcMar>
            <w:vAlign w:val="bottom"/>
          </w:tcPr>
          <w:p w14:paraId="64303CDB" w14:textId="77777777" w:rsidR="009F6D8A" w:rsidRDefault="00C50974">
            <w:pPr>
              <w:textAlignment w:val="bottom"/>
            </w:pPr>
            <w:r>
              <w:rPr>
                <w:rFonts w:ascii="Arial" w:eastAsia="宋体" w:hAnsi="Arial" w:cs="Arial"/>
                <w:color w:val="000000"/>
                <w:sz w:val="18"/>
                <w:szCs w:val="18"/>
              </w:rPr>
              <w:t>Three years through four years</w:t>
            </w:r>
          </w:p>
        </w:tc>
        <w:tc>
          <w:tcPr>
            <w:tcW w:w="0" w:type="auto"/>
            <w:gridSpan w:val="2"/>
            <w:shd w:val="clear" w:color="auto" w:fill="FFFFFF"/>
            <w:tcMar>
              <w:top w:w="40" w:type="dxa"/>
              <w:left w:w="20" w:type="dxa"/>
              <w:bottom w:w="40" w:type="dxa"/>
              <w:right w:w="0" w:type="dxa"/>
            </w:tcMar>
            <w:vAlign w:val="bottom"/>
          </w:tcPr>
          <w:p w14:paraId="64303CDC" w14:textId="77777777" w:rsidR="009F6D8A" w:rsidRDefault="00C50974">
            <w:pPr>
              <w:jc w:val="right"/>
              <w:textAlignment w:val="bottom"/>
            </w:pPr>
            <w:r>
              <w:rPr>
                <w:rFonts w:ascii="Arial" w:eastAsia="宋体" w:hAnsi="Arial" w:cs="Arial"/>
                <w:color w:val="000000"/>
                <w:sz w:val="18"/>
                <w:szCs w:val="18"/>
              </w:rPr>
              <w:t>80 </w:t>
            </w:r>
          </w:p>
        </w:tc>
        <w:tc>
          <w:tcPr>
            <w:tcW w:w="0" w:type="auto"/>
            <w:shd w:val="clear" w:color="auto" w:fill="FFFFFF"/>
            <w:tcMar>
              <w:top w:w="40" w:type="dxa"/>
              <w:left w:w="0" w:type="dxa"/>
              <w:bottom w:w="40" w:type="dxa"/>
              <w:right w:w="20" w:type="dxa"/>
            </w:tcMar>
            <w:vAlign w:val="bottom"/>
          </w:tcPr>
          <w:p w14:paraId="64303CDD" w14:textId="77777777" w:rsidR="009F6D8A" w:rsidRDefault="009F6D8A">
            <w:pPr>
              <w:jc w:val="right"/>
              <w:rPr>
                <w:rFonts w:ascii="宋体"/>
              </w:rPr>
            </w:pPr>
          </w:p>
        </w:tc>
      </w:tr>
      <w:tr w:rsidR="009F6D8A" w14:paraId="64303CE2" w14:textId="77777777">
        <w:tc>
          <w:tcPr>
            <w:tcW w:w="0" w:type="auto"/>
            <w:gridSpan w:val="3"/>
            <w:shd w:val="clear" w:color="auto" w:fill="E2E2E2"/>
            <w:tcMar>
              <w:top w:w="40" w:type="dxa"/>
              <w:left w:w="20" w:type="dxa"/>
              <w:bottom w:w="40" w:type="dxa"/>
              <w:right w:w="20" w:type="dxa"/>
            </w:tcMar>
            <w:vAlign w:val="bottom"/>
          </w:tcPr>
          <w:p w14:paraId="64303CDF" w14:textId="77777777" w:rsidR="009F6D8A" w:rsidRDefault="00C50974">
            <w:pPr>
              <w:textAlignment w:val="bottom"/>
            </w:pPr>
            <w:r>
              <w:rPr>
                <w:rFonts w:ascii="Arial" w:eastAsia="宋体" w:hAnsi="Arial" w:cs="Arial"/>
                <w:color w:val="000000"/>
                <w:sz w:val="18"/>
                <w:szCs w:val="18"/>
              </w:rPr>
              <w:t>Four years through five years</w:t>
            </w:r>
          </w:p>
        </w:tc>
        <w:tc>
          <w:tcPr>
            <w:tcW w:w="0" w:type="auto"/>
            <w:gridSpan w:val="2"/>
            <w:shd w:val="clear" w:color="auto" w:fill="E2E2E2"/>
            <w:tcMar>
              <w:top w:w="40" w:type="dxa"/>
              <w:left w:w="20" w:type="dxa"/>
              <w:bottom w:w="40" w:type="dxa"/>
              <w:right w:w="0" w:type="dxa"/>
            </w:tcMar>
            <w:vAlign w:val="bottom"/>
          </w:tcPr>
          <w:p w14:paraId="64303CE0" w14:textId="77777777" w:rsidR="009F6D8A" w:rsidRDefault="00C50974">
            <w:pPr>
              <w:jc w:val="right"/>
              <w:textAlignment w:val="bottom"/>
            </w:pPr>
            <w:r>
              <w:rPr>
                <w:rFonts w:ascii="Arial" w:eastAsia="宋体" w:hAnsi="Arial" w:cs="Arial"/>
                <w:color w:val="000000"/>
                <w:sz w:val="18"/>
                <w:szCs w:val="18"/>
              </w:rPr>
              <w:t>133 </w:t>
            </w:r>
          </w:p>
        </w:tc>
        <w:tc>
          <w:tcPr>
            <w:tcW w:w="0" w:type="auto"/>
            <w:shd w:val="clear" w:color="auto" w:fill="E2E2E2"/>
            <w:tcMar>
              <w:top w:w="40" w:type="dxa"/>
              <w:left w:w="0" w:type="dxa"/>
              <w:bottom w:w="40" w:type="dxa"/>
              <w:right w:w="20" w:type="dxa"/>
            </w:tcMar>
            <w:vAlign w:val="bottom"/>
          </w:tcPr>
          <w:p w14:paraId="64303CE1" w14:textId="77777777" w:rsidR="009F6D8A" w:rsidRDefault="009F6D8A">
            <w:pPr>
              <w:jc w:val="right"/>
              <w:rPr>
                <w:rFonts w:ascii="宋体"/>
              </w:rPr>
            </w:pPr>
          </w:p>
        </w:tc>
      </w:tr>
      <w:tr w:rsidR="009F6D8A" w14:paraId="64303CE5" w14:textId="77777777">
        <w:trPr>
          <w:hidden/>
        </w:trPr>
        <w:tc>
          <w:tcPr>
            <w:tcW w:w="0" w:type="auto"/>
            <w:gridSpan w:val="3"/>
            <w:shd w:val="clear" w:color="auto" w:fill="auto"/>
            <w:vAlign w:val="bottom"/>
          </w:tcPr>
          <w:p w14:paraId="64303CE3" w14:textId="77777777" w:rsidR="009F6D8A" w:rsidRDefault="009F6D8A">
            <w:pPr>
              <w:rPr>
                <w:rFonts w:ascii="宋体"/>
                <w:vanish/>
              </w:rPr>
            </w:pPr>
          </w:p>
        </w:tc>
        <w:tc>
          <w:tcPr>
            <w:tcW w:w="0" w:type="auto"/>
            <w:gridSpan w:val="3"/>
            <w:shd w:val="clear" w:color="auto" w:fill="auto"/>
            <w:vAlign w:val="bottom"/>
          </w:tcPr>
          <w:p w14:paraId="64303CE4" w14:textId="77777777" w:rsidR="009F6D8A" w:rsidRDefault="009F6D8A">
            <w:pPr>
              <w:rPr>
                <w:rFonts w:ascii="宋体"/>
                <w:vanish/>
              </w:rPr>
            </w:pPr>
          </w:p>
        </w:tc>
      </w:tr>
      <w:tr w:rsidR="009F6D8A" w14:paraId="64303CE8" w14:textId="77777777">
        <w:trPr>
          <w:hidden/>
        </w:trPr>
        <w:tc>
          <w:tcPr>
            <w:tcW w:w="0" w:type="auto"/>
            <w:gridSpan w:val="3"/>
            <w:shd w:val="clear" w:color="auto" w:fill="auto"/>
            <w:vAlign w:val="bottom"/>
          </w:tcPr>
          <w:p w14:paraId="64303CE6" w14:textId="77777777" w:rsidR="009F6D8A" w:rsidRDefault="009F6D8A">
            <w:pPr>
              <w:rPr>
                <w:rFonts w:ascii="宋体"/>
                <w:vanish/>
              </w:rPr>
            </w:pPr>
          </w:p>
        </w:tc>
        <w:tc>
          <w:tcPr>
            <w:tcW w:w="0" w:type="auto"/>
            <w:gridSpan w:val="3"/>
            <w:shd w:val="clear" w:color="auto" w:fill="auto"/>
            <w:vAlign w:val="bottom"/>
          </w:tcPr>
          <w:p w14:paraId="64303CE7" w14:textId="77777777" w:rsidR="009F6D8A" w:rsidRDefault="009F6D8A">
            <w:pPr>
              <w:rPr>
                <w:rFonts w:ascii="宋体"/>
                <w:vanish/>
              </w:rPr>
            </w:pPr>
          </w:p>
        </w:tc>
      </w:tr>
      <w:tr w:rsidR="009F6D8A" w14:paraId="64303CEB" w14:textId="77777777">
        <w:trPr>
          <w:hidden/>
        </w:trPr>
        <w:tc>
          <w:tcPr>
            <w:tcW w:w="0" w:type="auto"/>
            <w:gridSpan w:val="3"/>
            <w:shd w:val="clear" w:color="auto" w:fill="auto"/>
            <w:vAlign w:val="bottom"/>
          </w:tcPr>
          <w:p w14:paraId="64303CE9" w14:textId="77777777" w:rsidR="009F6D8A" w:rsidRDefault="009F6D8A">
            <w:pPr>
              <w:rPr>
                <w:rFonts w:ascii="宋体"/>
                <w:vanish/>
              </w:rPr>
            </w:pPr>
          </w:p>
        </w:tc>
        <w:tc>
          <w:tcPr>
            <w:tcW w:w="0" w:type="auto"/>
            <w:gridSpan w:val="3"/>
            <w:shd w:val="clear" w:color="auto" w:fill="auto"/>
            <w:vAlign w:val="bottom"/>
          </w:tcPr>
          <w:p w14:paraId="64303CEA" w14:textId="77777777" w:rsidR="009F6D8A" w:rsidRDefault="009F6D8A">
            <w:pPr>
              <w:rPr>
                <w:rFonts w:ascii="宋体"/>
                <w:vanish/>
              </w:rPr>
            </w:pPr>
          </w:p>
        </w:tc>
      </w:tr>
      <w:tr w:rsidR="009F6D8A" w14:paraId="64303CEE" w14:textId="77777777">
        <w:trPr>
          <w:hidden/>
        </w:trPr>
        <w:tc>
          <w:tcPr>
            <w:tcW w:w="0" w:type="auto"/>
            <w:gridSpan w:val="3"/>
            <w:shd w:val="clear" w:color="auto" w:fill="auto"/>
            <w:vAlign w:val="bottom"/>
          </w:tcPr>
          <w:p w14:paraId="64303CEC" w14:textId="77777777" w:rsidR="009F6D8A" w:rsidRDefault="009F6D8A">
            <w:pPr>
              <w:rPr>
                <w:rFonts w:ascii="宋体"/>
                <w:vanish/>
              </w:rPr>
            </w:pPr>
          </w:p>
        </w:tc>
        <w:tc>
          <w:tcPr>
            <w:tcW w:w="0" w:type="auto"/>
            <w:gridSpan w:val="3"/>
            <w:shd w:val="clear" w:color="auto" w:fill="auto"/>
            <w:vAlign w:val="bottom"/>
          </w:tcPr>
          <w:p w14:paraId="64303CED" w14:textId="77777777" w:rsidR="009F6D8A" w:rsidRDefault="009F6D8A">
            <w:pPr>
              <w:rPr>
                <w:rFonts w:ascii="宋体"/>
                <w:vanish/>
              </w:rPr>
            </w:pPr>
          </w:p>
        </w:tc>
      </w:tr>
      <w:tr w:rsidR="009F6D8A" w14:paraId="64303CF1" w14:textId="77777777">
        <w:trPr>
          <w:hidden/>
        </w:trPr>
        <w:tc>
          <w:tcPr>
            <w:tcW w:w="0" w:type="auto"/>
            <w:gridSpan w:val="3"/>
            <w:shd w:val="clear" w:color="auto" w:fill="auto"/>
            <w:vAlign w:val="bottom"/>
          </w:tcPr>
          <w:p w14:paraId="64303CEF" w14:textId="77777777" w:rsidR="009F6D8A" w:rsidRDefault="009F6D8A">
            <w:pPr>
              <w:rPr>
                <w:rFonts w:ascii="宋体"/>
                <w:vanish/>
              </w:rPr>
            </w:pPr>
          </w:p>
        </w:tc>
        <w:tc>
          <w:tcPr>
            <w:tcW w:w="0" w:type="auto"/>
            <w:gridSpan w:val="3"/>
            <w:shd w:val="clear" w:color="auto" w:fill="auto"/>
            <w:vAlign w:val="bottom"/>
          </w:tcPr>
          <w:p w14:paraId="64303CF0" w14:textId="77777777" w:rsidR="009F6D8A" w:rsidRDefault="009F6D8A">
            <w:pPr>
              <w:rPr>
                <w:rFonts w:ascii="宋体"/>
                <w:vanish/>
              </w:rPr>
            </w:pPr>
          </w:p>
        </w:tc>
      </w:tr>
      <w:tr w:rsidR="009F6D8A" w14:paraId="64303CF4" w14:textId="77777777">
        <w:trPr>
          <w:hidden/>
        </w:trPr>
        <w:tc>
          <w:tcPr>
            <w:tcW w:w="0" w:type="auto"/>
            <w:gridSpan w:val="3"/>
            <w:shd w:val="clear" w:color="auto" w:fill="auto"/>
            <w:vAlign w:val="bottom"/>
          </w:tcPr>
          <w:p w14:paraId="64303CF2" w14:textId="77777777" w:rsidR="009F6D8A" w:rsidRDefault="009F6D8A">
            <w:pPr>
              <w:rPr>
                <w:rFonts w:ascii="宋体"/>
                <w:vanish/>
              </w:rPr>
            </w:pPr>
          </w:p>
        </w:tc>
        <w:tc>
          <w:tcPr>
            <w:tcW w:w="0" w:type="auto"/>
            <w:gridSpan w:val="3"/>
            <w:shd w:val="clear" w:color="auto" w:fill="auto"/>
            <w:vAlign w:val="bottom"/>
          </w:tcPr>
          <w:p w14:paraId="64303CF3" w14:textId="77777777" w:rsidR="009F6D8A" w:rsidRDefault="009F6D8A">
            <w:pPr>
              <w:rPr>
                <w:rFonts w:ascii="宋体"/>
                <w:vanish/>
              </w:rPr>
            </w:pPr>
          </w:p>
        </w:tc>
      </w:tr>
      <w:tr w:rsidR="009F6D8A" w14:paraId="64303CF7" w14:textId="77777777">
        <w:trPr>
          <w:hidden/>
        </w:trPr>
        <w:tc>
          <w:tcPr>
            <w:tcW w:w="0" w:type="auto"/>
            <w:gridSpan w:val="3"/>
            <w:shd w:val="clear" w:color="auto" w:fill="auto"/>
            <w:vAlign w:val="bottom"/>
          </w:tcPr>
          <w:p w14:paraId="64303CF5" w14:textId="77777777" w:rsidR="009F6D8A" w:rsidRDefault="009F6D8A">
            <w:pPr>
              <w:rPr>
                <w:rFonts w:ascii="宋体"/>
                <w:vanish/>
              </w:rPr>
            </w:pPr>
          </w:p>
        </w:tc>
        <w:tc>
          <w:tcPr>
            <w:tcW w:w="0" w:type="auto"/>
            <w:gridSpan w:val="3"/>
            <w:shd w:val="clear" w:color="auto" w:fill="auto"/>
            <w:vAlign w:val="bottom"/>
          </w:tcPr>
          <w:p w14:paraId="64303CF6" w14:textId="77777777" w:rsidR="009F6D8A" w:rsidRDefault="009F6D8A">
            <w:pPr>
              <w:rPr>
                <w:rFonts w:ascii="宋体"/>
                <w:vanish/>
              </w:rPr>
            </w:pPr>
          </w:p>
        </w:tc>
      </w:tr>
      <w:tr w:rsidR="009F6D8A" w14:paraId="64303CFC" w14:textId="77777777">
        <w:tc>
          <w:tcPr>
            <w:tcW w:w="0" w:type="auto"/>
            <w:gridSpan w:val="3"/>
            <w:shd w:val="clear" w:color="auto" w:fill="FFFFFF"/>
            <w:tcMar>
              <w:top w:w="0" w:type="dxa"/>
              <w:left w:w="20" w:type="dxa"/>
              <w:bottom w:w="0" w:type="dxa"/>
              <w:right w:w="20" w:type="dxa"/>
            </w:tcMar>
            <w:vAlign w:val="bottom"/>
          </w:tcPr>
          <w:p w14:paraId="64303CF8"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3CF9"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3CFA" w14:textId="77777777" w:rsidR="009F6D8A" w:rsidRDefault="00C50974">
            <w:pPr>
              <w:jc w:val="right"/>
              <w:textAlignment w:val="bottom"/>
            </w:pPr>
            <w:r>
              <w:rPr>
                <w:rFonts w:ascii="Arial" w:eastAsia="宋体" w:hAnsi="Arial" w:cs="Arial"/>
                <w:color w:val="000000"/>
                <w:sz w:val="18"/>
                <w:szCs w:val="18"/>
              </w:rPr>
              <w:t>5,483 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3CFB" w14:textId="77777777" w:rsidR="009F6D8A" w:rsidRDefault="009F6D8A">
            <w:pPr>
              <w:jc w:val="right"/>
              <w:rPr>
                <w:rFonts w:ascii="宋体"/>
              </w:rPr>
            </w:pPr>
          </w:p>
        </w:tc>
      </w:tr>
    </w:tbl>
    <w:p w14:paraId="64303CFD" w14:textId="77777777" w:rsidR="009F6D8A" w:rsidRDefault="00C50974">
      <w:pPr>
        <w:spacing w:before="200"/>
      </w:pPr>
      <w:r>
        <w:rPr>
          <w:rFonts w:ascii="Arial" w:eastAsia="宋体" w:hAnsi="Arial" w:cs="Arial"/>
          <w:b/>
          <w:bCs/>
          <w:i/>
          <w:iCs/>
          <w:color w:val="000000"/>
          <w:sz w:val="20"/>
          <w:szCs w:val="20"/>
        </w:rPr>
        <w:t xml:space="preserve">Equity Investments </w:t>
      </w:r>
    </w:p>
    <w:p w14:paraId="64303CFE" w14:textId="77777777" w:rsidR="009F6D8A" w:rsidRDefault="009F6D8A">
      <w:pPr>
        <w:ind w:firstLine="495"/>
      </w:pPr>
    </w:p>
    <w:p w14:paraId="64303CFF" w14:textId="77777777" w:rsidR="009F6D8A" w:rsidRDefault="00C50974">
      <w:pPr>
        <w:ind w:firstLine="495"/>
        <w:jc w:val="both"/>
      </w:pPr>
      <w:r>
        <w:rPr>
          <w:rFonts w:ascii="Arial" w:eastAsia="宋体" w:hAnsi="Arial" w:cs="Arial"/>
          <w:color w:val="000000"/>
          <w:sz w:val="20"/>
          <w:szCs w:val="20"/>
        </w:rPr>
        <w:t>The following table provides a summary of our equity investments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3766"/>
        <w:gridCol w:w="38"/>
        <w:gridCol w:w="41"/>
        <w:gridCol w:w="1923"/>
        <w:gridCol w:w="38"/>
        <w:gridCol w:w="36"/>
        <w:gridCol w:w="36"/>
        <w:gridCol w:w="36"/>
        <w:gridCol w:w="121"/>
        <w:gridCol w:w="997"/>
        <w:gridCol w:w="36"/>
        <w:gridCol w:w="36"/>
        <w:gridCol w:w="36"/>
        <w:gridCol w:w="36"/>
        <w:gridCol w:w="122"/>
        <w:gridCol w:w="963"/>
        <w:gridCol w:w="36"/>
      </w:tblGrid>
      <w:tr w:rsidR="009F6D8A" w14:paraId="64303D12" w14:textId="77777777">
        <w:tc>
          <w:tcPr>
            <w:tcW w:w="50" w:type="pct"/>
            <w:shd w:val="clear" w:color="auto" w:fill="auto"/>
            <w:vAlign w:val="bottom"/>
          </w:tcPr>
          <w:p w14:paraId="64303D00" w14:textId="77777777" w:rsidR="009F6D8A" w:rsidRDefault="009F6D8A">
            <w:pPr>
              <w:rPr>
                <w:rFonts w:ascii="宋体"/>
              </w:rPr>
            </w:pPr>
          </w:p>
        </w:tc>
        <w:tc>
          <w:tcPr>
            <w:tcW w:w="2284" w:type="pct"/>
            <w:shd w:val="clear" w:color="auto" w:fill="auto"/>
            <w:vAlign w:val="bottom"/>
          </w:tcPr>
          <w:p w14:paraId="64303D01" w14:textId="77777777" w:rsidR="009F6D8A" w:rsidRDefault="009F6D8A">
            <w:pPr>
              <w:rPr>
                <w:rFonts w:ascii="宋体"/>
              </w:rPr>
            </w:pPr>
          </w:p>
        </w:tc>
        <w:tc>
          <w:tcPr>
            <w:tcW w:w="5" w:type="pct"/>
            <w:shd w:val="clear" w:color="auto" w:fill="auto"/>
            <w:vAlign w:val="bottom"/>
          </w:tcPr>
          <w:p w14:paraId="64303D02" w14:textId="77777777" w:rsidR="009F6D8A" w:rsidRDefault="009F6D8A">
            <w:pPr>
              <w:rPr>
                <w:rFonts w:ascii="宋体"/>
              </w:rPr>
            </w:pPr>
          </w:p>
        </w:tc>
        <w:tc>
          <w:tcPr>
            <w:tcW w:w="50" w:type="pct"/>
            <w:shd w:val="clear" w:color="auto" w:fill="auto"/>
            <w:vAlign w:val="bottom"/>
          </w:tcPr>
          <w:p w14:paraId="64303D03" w14:textId="77777777" w:rsidR="009F6D8A" w:rsidRDefault="009F6D8A">
            <w:pPr>
              <w:rPr>
                <w:rFonts w:ascii="宋体"/>
              </w:rPr>
            </w:pPr>
          </w:p>
        </w:tc>
        <w:tc>
          <w:tcPr>
            <w:tcW w:w="1180" w:type="pct"/>
            <w:shd w:val="clear" w:color="auto" w:fill="auto"/>
            <w:vAlign w:val="bottom"/>
          </w:tcPr>
          <w:p w14:paraId="64303D04" w14:textId="77777777" w:rsidR="009F6D8A" w:rsidRDefault="009F6D8A">
            <w:pPr>
              <w:rPr>
                <w:rFonts w:ascii="宋体"/>
              </w:rPr>
            </w:pPr>
          </w:p>
        </w:tc>
        <w:tc>
          <w:tcPr>
            <w:tcW w:w="5" w:type="pct"/>
            <w:shd w:val="clear" w:color="auto" w:fill="auto"/>
            <w:vAlign w:val="bottom"/>
          </w:tcPr>
          <w:p w14:paraId="64303D05" w14:textId="77777777" w:rsidR="009F6D8A" w:rsidRDefault="009F6D8A">
            <w:pPr>
              <w:rPr>
                <w:rFonts w:ascii="宋体"/>
              </w:rPr>
            </w:pPr>
          </w:p>
        </w:tc>
        <w:tc>
          <w:tcPr>
            <w:tcW w:w="5" w:type="pct"/>
            <w:shd w:val="clear" w:color="auto" w:fill="auto"/>
            <w:vAlign w:val="bottom"/>
          </w:tcPr>
          <w:p w14:paraId="64303D06" w14:textId="77777777" w:rsidR="009F6D8A" w:rsidRDefault="009F6D8A">
            <w:pPr>
              <w:rPr>
                <w:rFonts w:ascii="宋体"/>
              </w:rPr>
            </w:pPr>
          </w:p>
        </w:tc>
        <w:tc>
          <w:tcPr>
            <w:tcW w:w="19" w:type="pct"/>
            <w:shd w:val="clear" w:color="auto" w:fill="auto"/>
            <w:vAlign w:val="bottom"/>
          </w:tcPr>
          <w:p w14:paraId="64303D07" w14:textId="77777777" w:rsidR="009F6D8A" w:rsidRDefault="009F6D8A">
            <w:pPr>
              <w:rPr>
                <w:rFonts w:ascii="宋体"/>
              </w:rPr>
            </w:pPr>
          </w:p>
        </w:tc>
        <w:tc>
          <w:tcPr>
            <w:tcW w:w="5" w:type="pct"/>
            <w:shd w:val="clear" w:color="auto" w:fill="auto"/>
            <w:vAlign w:val="bottom"/>
          </w:tcPr>
          <w:p w14:paraId="64303D08" w14:textId="77777777" w:rsidR="009F6D8A" w:rsidRDefault="009F6D8A">
            <w:pPr>
              <w:rPr>
                <w:rFonts w:ascii="宋体"/>
              </w:rPr>
            </w:pPr>
          </w:p>
        </w:tc>
        <w:tc>
          <w:tcPr>
            <w:tcW w:w="50" w:type="pct"/>
            <w:shd w:val="clear" w:color="auto" w:fill="auto"/>
            <w:vAlign w:val="bottom"/>
          </w:tcPr>
          <w:p w14:paraId="64303D09" w14:textId="77777777" w:rsidR="009F6D8A" w:rsidRDefault="009F6D8A">
            <w:pPr>
              <w:rPr>
                <w:rFonts w:ascii="宋体"/>
              </w:rPr>
            </w:pPr>
          </w:p>
        </w:tc>
        <w:tc>
          <w:tcPr>
            <w:tcW w:w="624" w:type="pct"/>
            <w:shd w:val="clear" w:color="auto" w:fill="auto"/>
            <w:vAlign w:val="bottom"/>
          </w:tcPr>
          <w:p w14:paraId="64303D0A" w14:textId="77777777" w:rsidR="009F6D8A" w:rsidRDefault="009F6D8A">
            <w:pPr>
              <w:rPr>
                <w:rFonts w:ascii="宋体"/>
              </w:rPr>
            </w:pPr>
          </w:p>
        </w:tc>
        <w:tc>
          <w:tcPr>
            <w:tcW w:w="5" w:type="pct"/>
            <w:shd w:val="clear" w:color="auto" w:fill="auto"/>
            <w:vAlign w:val="bottom"/>
          </w:tcPr>
          <w:p w14:paraId="64303D0B" w14:textId="77777777" w:rsidR="009F6D8A" w:rsidRDefault="009F6D8A">
            <w:pPr>
              <w:rPr>
                <w:rFonts w:ascii="宋体"/>
              </w:rPr>
            </w:pPr>
          </w:p>
        </w:tc>
        <w:tc>
          <w:tcPr>
            <w:tcW w:w="5" w:type="pct"/>
            <w:shd w:val="clear" w:color="auto" w:fill="auto"/>
            <w:vAlign w:val="bottom"/>
          </w:tcPr>
          <w:p w14:paraId="64303D0C" w14:textId="77777777" w:rsidR="009F6D8A" w:rsidRDefault="009F6D8A">
            <w:pPr>
              <w:rPr>
                <w:rFonts w:ascii="宋体"/>
              </w:rPr>
            </w:pPr>
          </w:p>
        </w:tc>
        <w:tc>
          <w:tcPr>
            <w:tcW w:w="26" w:type="pct"/>
            <w:shd w:val="clear" w:color="auto" w:fill="auto"/>
            <w:vAlign w:val="bottom"/>
          </w:tcPr>
          <w:p w14:paraId="64303D0D" w14:textId="77777777" w:rsidR="009F6D8A" w:rsidRDefault="009F6D8A">
            <w:pPr>
              <w:rPr>
                <w:rFonts w:ascii="宋体"/>
              </w:rPr>
            </w:pPr>
          </w:p>
        </w:tc>
        <w:tc>
          <w:tcPr>
            <w:tcW w:w="5" w:type="pct"/>
            <w:shd w:val="clear" w:color="auto" w:fill="auto"/>
            <w:vAlign w:val="bottom"/>
          </w:tcPr>
          <w:p w14:paraId="64303D0E" w14:textId="77777777" w:rsidR="009F6D8A" w:rsidRDefault="009F6D8A">
            <w:pPr>
              <w:rPr>
                <w:rFonts w:ascii="宋体"/>
              </w:rPr>
            </w:pPr>
          </w:p>
        </w:tc>
        <w:tc>
          <w:tcPr>
            <w:tcW w:w="50" w:type="pct"/>
            <w:shd w:val="clear" w:color="auto" w:fill="auto"/>
            <w:vAlign w:val="bottom"/>
          </w:tcPr>
          <w:p w14:paraId="64303D0F" w14:textId="77777777" w:rsidR="009F6D8A" w:rsidRDefault="009F6D8A">
            <w:pPr>
              <w:rPr>
                <w:rFonts w:ascii="宋体"/>
              </w:rPr>
            </w:pPr>
          </w:p>
        </w:tc>
        <w:tc>
          <w:tcPr>
            <w:tcW w:w="625" w:type="pct"/>
            <w:shd w:val="clear" w:color="auto" w:fill="auto"/>
            <w:vAlign w:val="bottom"/>
          </w:tcPr>
          <w:p w14:paraId="64303D10" w14:textId="77777777" w:rsidR="009F6D8A" w:rsidRDefault="009F6D8A">
            <w:pPr>
              <w:rPr>
                <w:rFonts w:ascii="宋体"/>
              </w:rPr>
            </w:pPr>
          </w:p>
        </w:tc>
        <w:tc>
          <w:tcPr>
            <w:tcW w:w="5" w:type="pct"/>
            <w:shd w:val="clear" w:color="auto" w:fill="auto"/>
            <w:vAlign w:val="bottom"/>
          </w:tcPr>
          <w:p w14:paraId="64303D11" w14:textId="77777777" w:rsidR="009F6D8A" w:rsidRDefault="009F6D8A">
            <w:pPr>
              <w:rPr>
                <w:rFonts w:ascii="宋体"/>
              </w:rPr>
            </w:pPr>
          </w:p>
        </w:tc>
      </w:tr>
      <w:tr w:rsidR="009F6D8A" w14:paraId="64303D19" w14:textId="77777777">
        <w:tc>
          <w:tcPr>
            <w:tcW w:w="0" w:type="auto"/>
            <w:gridSpan w:val="3"/>
            <w:shd w:val="clear" w:color="auto" w:fill="auto"/>
            <w:tcMar>
              <w:top w:w="40" w:type="dxa"/>
              <w:left w:w="20" w:type="dxa"/>
              <w:bottom w:w="40" w:type="dxa"/>
              <w:right w:w="20" w:type="dxa"/>
            </w:tcMar>
            <w:vAlign w:val="bottom"/>
          </w:tcPr>
          <w:p w14:paraId="64303D13" w14:textId="77777777" w:rsidR="009F6D8A" w:rsidRDefault="00C50974">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303D14" w14:textId="77777777" w:rsidR="009F6D8A" w:rsidRDefault="00C50974">
            <w:pPr>
              <w:jc w:val="right"/>
              <w:textAlignment w:val="bottom"/>
            </w:pPr>
            <w:r>
              <w:rPr>
                <w:rFonts w:ascii="Arial" w:eastAsia="宋体" w:hAnsi="Arial" w:cs="Arial"/>
                <w:b/>
                <w:bCs/>
                <w:color w:val="000000"/>
                <w:sz w:val="16"/>
                <w:szCs w:val="16"/>
              </w:rPr>
              <w:t>Balance Sheet Location</w:t>
            </w:r>
          </w:p>
        </w:tc>
        <w:tc>
          <w:tcPr>
            <w:tcW w:w="0" w:type="auto"/>
            <w:gridSpan w:val="3"/>
            <w:shd w:val="clear" w:color="auto" w:fill="auto"/>
            <w:tcMar>
              <w:top w:w="0" w:type="dxa"/>
              <w:left w:w="20" w:type="dxa"/>
              <w:bottom w:w="0" w:type="dxa"/>
              <w:right w:w="20" w:type="dxa"/>
            </w:tcMar>
            <w:vAlign w:val="bottom"/>
          </w:tcPr>
          <w:p w14:paraId="64303D15"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3D16" w14:textId="77777777" w:rsidR="009F6D8A" w:rsidRDefault="00C50974">
            <w:pPr>
              <w:jc w:val="center"/>
              <w:textAlignment w:val="bottom"/>
            </w:pPr>
            <w:r>
              <w:rPr>
                <w:rFonts w:ascii="Arial" w:eastAsia="宋体" w:hAnsi="Arial" w:cs="Arial"/>
                <w:b/>
                <w:bCs/>
                <w:color w:val="000000"/>
                <w:sz w:val="16"/>
                <w:szCs w:val="16"/>
              </w:rPr>
              <w:t>June 30, 2021</w:t>
            </w:r>
          </w:p>
        </w:tc>
        <w:tc>
          <w:tcPr>
            <w:tcW w:w="0" w:type="auto"/>
            <w:gridSpan w:val="3"/>
            <w:shd w:val="clear" w:color="auto" w:fill="auto"/>
            <w:tcMar>
              <w:top w:w="0" w:type="dxa"/>
              <w:left w:w="20" w:type="dxa"/>
              <w:bottom w:w="0" w:type="dxa"/>
              <w:right w:w="20" w:type="dxa"/>
            </w:tcMar>
            <w:vAlign w:val="bottom"/>
          </w:tcPr>
          <w:p w14:paraId="64303D17"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3D18" w14:textId="77777777" w:rsidR="009F6D8A" w:rsidRDefault="00C50974">
            <w:pPr>
              <w:jc w:val="center"/>
              <w:textAlignment w:val="bottom"/>
            </w:pPr>
            <w:r>
              <w:rPr>
                <w:rFonts w:ascii="Arial" w:eastAsia="宋体" w:hAnsi="Arial" w:cs="Arial"/>
                <w:b/>
                <w:bCs/>
                <w:color w:val="000000"/>
                <w:sz w:val="16"/>
                <w:szCs w:val="16"/>
              </w:rPr>
              <w:t>December 31, 2020</w:t>
            </w:r>
          </w:p>
        </w:tc>
      </w:tr>
      <w:tr w:rsidR="009F6D8A" w14:paraId="64303D24" w14:textId="77777777">
        <w:tc>
          <w:tcPr>
            <w:tcW w:w="0" w:type="auto"/>
            <w:gridSpan w:val="3"/>
            <w:shd w:val="clear" w:color="auto" w:fill="E2E2E2"/>
            <w:tcMar>
              <w:top w:w="40" w:type="dxa"/>
              <w:left w:w="20" w:type="dxa"/>
              <w:bottom w:w="40" w:type="dxa"/>
              <w:right w:w="20" w:type="dxa"/>
            </w:tcMar>
            <w:vAlign w:val="bottom"/>
          </w:tcPr>
          <w:p w14:paraId="64303D1A" w14:textId="77777777" w:rsidR="009F6D8A" w:rsidRDefault="00C50974">
            <w:pPr>
              <w:textAlignment w:val="bottom"/>
            </w:pPr>
            <w:r>
              <w:rPr>
                <w:rFonts w:ascii="Arial" w:eastAsia="宋体" w:hAnsi="Arial" w:cs="Arial"/>
                <w:color w:val="000000"/>
                <w:sz w:val="18"/>
                <w:szCs w:val="18"/>
              </w:rPr>
              <w:t>Equity investment in Adevinta</w:t>
            </w:r>
          </w:p>
        </w:tc>
        <w:tc>
          <w:tcPr>
            <w:tcW w:w="0" w:type="auto"/>
            <w:gridSpan w:val="3"/>
            <w:shd w:val="clear" w:color="auto" w:fill="E2E2E2"/>
            <w:tcMar>
              <w:top w:w="40" w:type="dxa"/>
              <w:left w:w="20" w:type="dxa"/>
              <w:bottom w:w="40" w:type="dxa"/>
              <w:right w:w="20" w:type="dxa"/>
            </w:tcMar>
            <w:vAlign w:val="bottom"/>
          </w:tcPr>
          <w:p w14:paraId="64303D1B" w14:textId="77777777" w:rsidR="009F6D8A" w:rsidRDefault="00C50974">
            <w:pPr>
              <w:jc w:val="right"/>
              <w:textAlignment w:val="bottom"/>
            </w:pPr>
            <w:r>
              <w:rPr>
                <w:rFonts w:ascii="Arial" w:eastAsia="宋体" w:hAnsi="Arial" w:cs="Arial"/>
                <w:color w:val="000000"/>
                <w:sz w:val="18"/>
                <w:szCs w:val="18"/>
              </w:rPr>
              <w:t xml:space="preserve">Equity investment in </w:t>
            </w:r>
            <w:r>
              <w:rPr>
                <w:rFonts w:ascii="Arial" w:eastAsia="宋体" w:hAnsi="Arial" w:cs="Arial"/>
                <w:color w:val="000000"/>
                <w:sz w:val="18"/>
                <w:szCs w:val="18"/>
              </w:rPr>
              <w:t>Adevinta</w:t>
            </w:r>
          </w:p>
        </w:tc>
        <w:tc>
          <w:tcPr>
            <w:tcW w:w="0" w:type="auto"/>
            <w:gridSpan w:val="3"/>
            <w:shd w:val="clear" w:color="auto" w:fill="E2E2E2"/>
            <w:tcMar>
              <w:top w:w="0" w:type="dxa"/>
              <w:left w:w="20" w:type="dxa"/>
              <w:bottom w:w="0" w:type="dxa"/>
              <w:right w:w="20" w:type="dxa"/>
            </w:tcMar>
            <w:vAlign w:val="bottom"/>
          </w:tcPr>
          <w:p w14:paraId="64303D1C"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D1D"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D1E" w14:textId="77777777" w:rsidR="009F6D8A" w:rsidRDefault="00C50974">
            <w:pPr>
              <w:jc w:val="right"/>
              <w:textAlignment w:val="bottom"/>
            </w:pPr>
            <w:r>
              <w:rPr>
                <w:rFonts w:ascii="Arial" w:eastAsia="宋体" w:hAnsi="Arial" w:cs="Arial"/>
                <w:color w:val="000000"/>
                <w:sz w:val="18"/>
                <w:szCs w:val="18"/>
              </w:rPr>
              <w:t>10,354 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D1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D20"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D21"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D22"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D23" w14:textId="77777777" w:rsidR="009F6D8A" w:rsidRDefault="009F6D8A">
            <w:pPr>
              <w:jc w:val="right"/>
              <w:rPr>
                <w:rFonts w:ascii="宋体"/>
              </w:rPr>
            </w:pPr>
          </w:p>
        </w:tc>
      </w:tr>
      <w:tr w:rsidR="009F6D8A" w14:paraId="64303D2D" w14:textId="77777777">
        <w:tc>
          <w:tcPr>
            <w:tcW w:w="0" w:type="auto"/>
            <w:gridSpan w:val="3"/>
            <w:shd w:val="clear" w:color="auto" w:fill="FFFFFF"/>
            <w:tcMar>
              <w:top w:w="40" w:type="dxa"/>
              <w:left w:w="20" w:type="dxa"/>
              <w:bottom w:w="40" w:type="dxa"/>
              <w:right w:w="20" w:type="dxa"/>
            </w:tcMar>
            <w:vAlign w:val="bottom"/>
          </w:tcPr>
          <w:p w14:paraId="64303D25" w14:textId="77777777" w:rsidR="009F6D8A" w:rsidRDefault="00C50974">
            <w:pPr>
              <w:textAlignment w:val="bottom"/>
            </w:pPr>
            <w:r>
              <w:rPr>
                <w:rFonts w:ascii="Arial" w:eastAsia="宋体" w:hAnsi="Arial" w:cs="Arial"/>
                <w:color w:val="000000"/>
                <w:sz w:val="18"/>
                <w:szCs w:val="18"/>
              </w:rPr>
              <w:t>Equity investments without readily determinable fair values</w:t>
            </w:r>
          </w:p>
        </w:tc>
        <w:tc>
          <w:tcPr>
            <w:tcW w:w="0" w:type="auto"/>
            <w:gridSpan w:val="3"/>
            <w:shd w:val="clear" w:color="auto" w:fill="FFFFFF"/>
            <w:tcMar>
              <w:top w:w="40" w:type="dxa"/>
              <w:left w:w="20" w:type="dxa"/>
              <w:bottom w:w="40" w:type="dxa"/>
              <w:right w:w="20" w:type="dxa"/>
            </w:tcMar>
            <w:vAlign w:val="bottom"/>
          </w:tcPr>
          <w:p w14:paraId="64303D26" w14:textId="77777777" w:rsidR="009F6D8A" w:rsidRDefault="00C50974">
            <w:pPr>
              <w:jc w:val="right"/>
              <w:textAlignment w:val="bottom"/>
            </w:pPr>
            <w:r>
              <w:rPr>
                <w:rFonts w:ascii="Arial" w:eastAsia="宋体" w:hAnsi="Arial" w:cs="Arial"/>
                <w:color w:val="000000"/>
                <w:sz w:val="18"/>
                <w:szCs w:val="18"/>
              </w:rPr>
              <w:t>Long-term investments</w:t>
            </w:r>
          </w:p>
        </w:tc>
        <w:tc>
          <w:tcPr>
            <w:tcW w:w="0" w:type="auto"/>
            <w:gridSpan w:val="3"/>
            <w:shd w:val="clear" w:color="auto" w:fill="FFFFFF"/>
            <w:tcMar>
              <w:top w:w="0" w:type="dxa"/>
              <w:left w:w="20" w:type="dxa"/>
              <w:bottom w:w="0" w:type="dxa"/>
              <w:right w:w="20" w:type="dxa"/>
            </w:tcMar>
            <w:vAlign w:val="bottom"/>
          </w:tcPr>
          <w:p w14:paraId="64303D2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D28" w14:textId="77777777" w:rsidR="009F6D8A" w:rsidRDefault="00C50974">
            <w:pPr>
              <w:jc w:val="right"/>
              <w:textAlignment w:val="bottom"/>
            </w:pPr>
            <w:r>
              <w:rPr>
                <w:rFonts w:ascii="Arial" w:eastAsia="宋体" w:hAnsi="Arial" w:cs="Arial"/>
                <w:color w:val="000000"/>
                <w:sz w:val="18"/>
                <w:szCs w:val="18"/>
              </w:rPr>
              <w:t>571 </w:t>
            </w:r>
          </w:p>
        </w:tc>
        <w:tc>
          <w:tcPr>
            <w:tcW w:w="0" w:type="auto"/>
            <w:shd w:val="clear" w:color="auto" w:fill="FFFFFF"/>
            <w:tcMar>
              <w:top w:w="40" w:type="dxa"/>
              <w:left w:w="0" w:type="dxa"/>
              <w:bottom w:w="40" w:type="dxa"/>
              <w:right w:w="20" w:type="dxa"/>
            </w:tcMar>
            <w:vAlign w:val="bottom"/>
          </w:tcPr>
          <w:p w14:paraId="64303D2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D2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D2B" w14:textId="77777777" w:rsidR="009F6D8A" w:rsidRDefault="00C50974">
            <w:pPr>
              <w:jc w:val="right"/>
              <w:textAlignment w:val="bottom"/>
            </w:pPr>
            <w:r>
              <w:rPr>
                <w:rFonts w:ascii="Arial" w:eastAsia="宋体" w:hAnsi="Arial" w:cs="Arial"/>
                <w:color w:val="000000"/>
                <w:sz w:val="18"/>
                <w:szCs w:val="18"/>
              </w:rPr>
              <w:t>539 </w:t>
            </w:r>
          </w:p>
        </w:tc>
        <w:tc>
          <w:tcPr>
            <w:tcW w:w="0" w:type="auto"/>
            <w:shd w:val="clear" w:color="auto" w:fill="FFFFFF"/>
            <w:tcMar>
              <w:top w:w="40" w:type="dxa"/>
              <w:left w:w="0" w:type="dxa"/>
              <w:bottom w:w="40" w:type="dxa"/>
              <w:right w:w="20" w:type="dxa"/>
            </w:tcMar>
            <w:vAlign w:val="bottom"/>
          </w:tcPr>
          <w:p w14:paraId="64303D2C" w14:textId="77777777" w:rsidR="009F6D8A" w:rsidRDefault="009F6D8A">
            <w:pPr>
              <w:jc w:val="right"/>
              <w:rPr>
                <w:rFonts w:ascii="宋体"/>
              </w:rPr>
            </w:pPr>
          </w:p>
        </w:tc>
      </w:tr>
      <w:tr w:rsidR="009F6D8A" w14:paraId="64303D36" w14:textId="77777777">
        <w:tc>
          <w:tcPr>
            <w:tcW w:w="0" w:type="auto"/>
            <w:gridSpan w:val="3"/>
            <w:shd w:val="clear" w:color="auto" w:fill="E2E2E2"/>
            <w:tcMar>
              <w:top w:w="40" w:type="dxa"/>
              <w:left w:w="20" w:type="dxa"/>
              <w:bottom w:w="40" w:type="dxa"/>
              <w:right w:w="20" w:type="dxa"/>
            </w:tcMar>
            <w:vAlign w:val="bottom"/>
          </w:tcPr>
          <w:p w14:paraId="64303D2E" w14:textId="77777777" w:rsidR="009F6D8A" w:rsidRDefault="00C50974">
            <w:pPr>
              <w:textAlignment w:val="bottom"/>
            </w:pPr>
            <w:r>
              <w:rPr>
                <w:rFonts w:ascii="Arial" w:eastAsia="宋体" w:hAnsi="Arial" w:cs="Arial"/>
                <w:color w:val="000000"/>
                <w:sz w:val="18"/>
                <w:szCs w:val="18"/>
              </w:rPr>
              <w:t>Equity investments under the equity method of accounting</w:t>
            </w:r>
          </w:p>
        </w:tc>
        <w:tc>
          <w:tcPr>
            <w:tcW w:w="0" w:type="auto"/>
            <w:gridSpan w:val="3"/>
            <w:shd w:val="clear" w:color="auto" w:fill="E2E2E2"/>
            <w:tcMar>
              <w:top w:w="40" w:type="dxa"/>
              <w:left w:w="20" w:type="dxa"/>
              <w:bottom w:w="40" w:type="dxa"/>
              <w:right w:w="20" w:type="dxa"/>
            </w:tcMar>
            <w:vAlign w:val="bottom"/>
          </w:tcPr>
          <w:p w14:paraId="64303D2F" w14:textId="77777777" w:rsidR="009F6D8A" w:rsidRDefault="00C50974">
            <w:pPr>
              <w:jc w:val="right"/>
              <w:textAlignment w:val="bottom"/>
            </w:pPr>
            <w:r>
              <w:rPr>
                <w:rFonts w:ascii="Arial" w:eastAsia="宋体" w:hAnsi="Arial" w:cs="Arial"/>
                <w:color w:val="000000"/>
                <w:sz w:val="18"/>
                <w:szCs w:val="18"/>
              </w:rPr>
              <w:t>Long-term investments</w:t>
            </w:r>
          </w:p>
        </w:tc>
        <w:tc>
          <w:tcPr>
            <w:tcW w:w="0" w:type="auto"/>
            <w:gridSpan w:val="3"/>
            <w:shd w:val="clear" w:color="auto" w:fill="E2E2E2"/>
            <w:tcMar>
              <w:top w:w="0" w:type="dxa"/>
              <w:left w:w="20" w:type="dxa"/>
              <w:bottom w:w="0" w:type="dxa"/>
              <w:right w:w="20" w:type="dxa"/>
            </w:tcMar>
            <w:vAlign w:val="bottom"/>
          </w:tcPr>
          <w:p w14:paraId="64303D30"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D31" w14:textId="77777777" w:rsidR="009F6D8A" w:rsidRDefault="00C50974">
            <w:pPr>
              <w:jc w:val="right"/>
              <w:textAlignment w:val="bottom"/>
            </w:pPr>
            <w:r>
              <w:rPr>
                <w:rFonts w:ascii="Arial" w:eastAsia="宋体" w:hAnsi="Arial" w:cs="Arial"/>
                <w:color w:val="000000"/>
                <w:sz w:val="18"/>
                <w:szCs w:val="18"/>
              </w:rPr>
              <w:t>7 </w:t>
            </w:r>
          </w:p>
        </w:tc>
        <w:tc>
          <w:tcPr>
            <w:tcW w:w="0" w:type="auto"/>
            <w:shd w:val="clear" w:color="auto" w:fill="E2E2E2"/>
            <w:tcMar>
              <w:top w:w="40" w:type="dxa"/>
              <w:left w:w="0" w:type="dxa"/>
              <w:bottom w:w="40" w:type="dxa"/>
              <w:right w:w="20" w:type="dxa"/>
            </w:tcMar>
            <w:vAlign w:val="bottom"/>
          </w:tcPr>
          <w:p w14:paraId="64303D3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D33"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D34" w14:textId="77777777" w:rsidR="009F6D8A" w:rsidRDefault="00C50974">
            <w:pPr>
              <w:jc w:val="right"/>
              <w:textAlignment w:val="bottom"/>
            </w:pPr>
            <w:r>
              <w:rPr>
                <w:rFonts w:ascii="Arial" w:eastAsia="宋体" w:hAnsi="Arial" w:cs="Arial"/>
                <w:color w:val="000000"/>
                <w:sz w:val="18"/>
                <w:szCs w:val="18"/>
              </w:rPr>
              <w:t>8 </w:t>
            </w:r>
          </w:p>
        </w:tc>
        <w:tc>
          <w:tcPr>
            <w:tcW w:w="0" w:type="auto"/>
            <w:shd w:val="clear" w:color="auto" w:fill="E2E2E2"/>
            <w:tcMar>
              <w:top w:w="40" w:type="dxa"/>
              <w:left w:w="0" w:type="dxa"/>
              <w:bottom w:w="40" w:type="dxa"/>
              <w:right w:w="20" w:type="dxa"/>
            </w:tcMar>
            <w:vAlign w:val="bottom"/>
          </w:tcPr>
          <w:p w14:paraId="64303D35" w14:textId="77777777" w:rsidR="009F6D8A" w:rsidRDefault="009F6D8A">
            <w:pPr>
              <w:jc w:val="right"/>
              <w:rPr>
                <w:rFonts w:ascii="宋体"/>
              </w:rPr>
            </w:pPr>
          </w:p>
        </w:tc>
      </w:tr>
      <w:tr w:rsidR="009F6D8A" w14:paraId="64303D41" w14:textId="77777777">
        <w:tc>
          <w:tcPr>
            <w:tcW w:w="0" w:type="auto"/>
            <w:gridSpan w:val="3"/>
            <w:shd w:val="clear" w:color="auto" w:fill="FFFFFF"/>
            <w:tcMar>
              <w:top w:w="40" w:type="dxa"/>
              <w:left w:w="245" w:type="dxa"/>
              <w:bottom w:w="40" w:type="dxa"/>
              <w:right w:w="20" w:type="dxa"/>
            </w:tcMar>
            <w:vAlign w:val="bottom"/>
          </w:tcPr>
          <w:p w14:paraId="64303D37" w14:textId="77777777" w:rsidR="009F6D8A" w:rsidRDefault="00C50974">
            <w:pPr>
              <w:textAlignment w:val="bottom"/>
            </w:pPr>
            <w:r>
              <w:rPr>
                <w:rFonts w:ascii="Arial" w:eastAsia="宋体" w:hAnsi="Arial" w:cs="Arial"/>
                <w:color w:val="000000"/>
                <w:sz w:val="18"/>
                <w:szCs w:val="18"/>
              </w:rPr>
              <w:t>Total equity investments</w:t>
            </w:r>
          </w:p>
        </w:tc>
        <w:tc>
          <w:tcPr>
            <w:tcW w:w="0" w:type="auto"/>
            <w:gridSpan w:val="3"/>
            <w:shd w:val="clear" w:color="auto" w:fill="FFFFFF"/>
            <w:tcMar>
              <w:top w:w="0" w:type="dxa"/>
              <w:left w:w="20" w:type="dxa"/>
              <w:bottom w:w="0" w:type="dxa"/>
              <w:right w:w="20" w:type="dxa"/>
            </w:tcMar>
            <w:vAlign w:val="bottom"/>
          </w:tcPr>
          <w:p w14:paraId="64303D3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D39"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3D3A"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3D3B" w14:textId="77777777" w:rsidR="009F6D8A" w:rsidRDefault="00C50974">
            <w:pPr>
              <w:jc w:val="right"/>
              <w:textAlignment w:val="bottom"/>
            </w:pPr>
            <w:r>
              <w:rPr>
                <w:rFonts w:ascii="Arial" w:eastAsia="宋体" w:hAnsi="Arial" w:cs="Arial"/>
                <w:color w:val="000000"/>
                <w:sz w:val="18"/>
                <w:szCs w:val="18"/>
              </w:rPr>
              <w:t>10,932 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3D3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D3D"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3D3E"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3D3F" w14:textId="77777777" w:rsidR="009F6D8A" w:rsidRDefault="00C50974">
            <w:pPr>
              <w:jc w:val="right"/>
              <w:textAlignment w:val="bottom"/>
            </w:pPr>
            <w:r>
              <w:rPr>
                <w:rFonts w:ascii="Arial" w:eastAsia="宋体" w:hAnsi="Arial" w:cs="Arial"/>
                <w:color w:val="000000"/>
                <w:sz w:val="18"/>
                <w:szCs w:val="18"/>
              </w:rPr>
              <w:t>547 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3D40" w14:textId="77777777" w:rsidR="009F6D8A" w:rsidRDefault="009F6D8A">
            <w:pPr>
              <w:jc w:val="right"/>
              <w:rPr>
                <w:rFonts w:ascii="宋体"/>
              </w:rPr>
            </w:pPr>
          </w:p>
        </w:tc>
      </w:tr>
    </w:tbl>
    <w:p w14:paraId="64303D42" w14:textId="77777777" w:rsidR="009F6D8A" w:rsidRDefault="009F6D8A">
      <w:pPr>
        <w:ind w:firstLine="540"/>
        <w:jc w:val="both"/>
      </w:pPr>
    </w:p>
    <w:p w14:paraId="64303D43" w14:textId="77777777" w:rsidR="009F6D8A" w:rsidRDefault="00C50974">
      <w:pPr>
        <w:ind w:firstLine="540"/>
        <w:jc w:val="both"/>
      </w:pPr>
      <w:r>
        <w:rPr>
          <w:rFonts w:ascii="Arial" w:eastAsia="宋体" w:hAnsi="Arial" w:cs="Arial"/>
          <w:color w:val="000000"/>
          <w:sz w:val="20"/>
          <w:szCs w:val="20"/>
        </w:rPr>
        <w:t>During the second quarter of 2021, we recorded an upward adjustment for an observable price change of $41 million to the carrying value of a strategic investment. The upward adjustment was recorded in interest and other, net on our condensed co</w:t>
      </w:r>
      <w:r>
        <w:rPr>
          <w:rFonts w:ascii="Arial" w:eastAsia="宋体" w:hAnsi="Arial" w:cs="Arial"/>
          <w:color w:val="000000"/>
          <w:sz w:val="20"/>
          <w:szCs w:val="20"/>
        </w:rPr>
        <w:t>nsolidated statement of income.</w:t>
      </w:r>
    </w:p>
    <w:p w14:paraId="64303D44" w14:textId="77777777" w:rsidR="009F6D8A" w:rsidRDefault="009F6D8A">
      <w:pPr>
        <w:ind w:firstLine="540"/>
        <w:jc w:val="both"/>
      </w:pPr>
    </w:p>
    <w:p w14:paraId="64303D45" w14:textId="77777777" w:rsidR="009F6D8A" w:rsidRDefault="00C50974">
      <w:pPr>
        <w:ind w:firstLine="540"/>
        <w:jc w:val="both"/>
      </w:pPr>
      <w:r>
        <w:rPr>
          <w:rFonts w:ascii="Arial" w:eastAsia="宋体" w:hAnsi="Arial" w:cs="Arial"/>
          <w:color w:val="000000"/>
          <w:sz w:val="20"/>
          <w:szCs w:val="20"/>
        </w:rPr>
        <w:t>Upon completion of the transfer of our Classifieds business to Adevinta we retained an equity investment of 44% in Adevinta valued at $10.8 billion at the close of the transfer. At the initial recognition of the equity inve</w:t>
      </w:r>
      <w:r>
        <w:rPr>
          <w:rFonts w:ascii="Arial" w:eastAsia="宋体" w:hAnsi="Arial" w:cs="Arial"/>
          <w:color w:val="000000"/>
          <w:sz w:val="20"/>
          <w:szCs w:val="20"/>
        </w:rPr>
        <w:t>stment, we elected the fair value option where subsequent changes in fair value are recognized in earnings. The investment is classified within Level 1 in the fair value hierarchy as the valuation can be obtained from real time quotes in active markets. Th</w:t>
      </w:r>
      <w:r>
        <w:rPr>
          <w:rFonts w:ascii="Arial" w:eastAsia="宋体" w:hAnsi="Arial" w:cs="Arial"/>
          <w:color w:val="000000"/>
          <w:sz w:val="20"/>
          <w:szCs w:val="20"/>
        </w:rPr>
        <w:t>e fair value of the equity investment is measured based on Adevinta’s closing stock price and prevailing foreign exchange rate at each balance sheet date and the changes in fair value are reflected in interest and other, net in the condensed consolidated s</w:t>
      </w:r>
      <w:r>
        <w:rPr>
          <w:rFonts w:ascii="Arial" w:eastAsia="宋体" w:hAnsi="Arial" w:cs="Arial"/>
          <w:color w:val="000000"/>
          <w:sz w:val="20"/>
          <w:szCs w:val="20"/>
        </w:rPr>
        <w:t xml:space="preserve">tatement of income. We believe the fair value option election creates more transparency of the current value in the equity investment in Adevinta. Our non-voting shares are convertible to voting shares on a one-to-one basis, subject to a limitation of 33% </w:t>
      </w:r>
      <w:r>
        <w:rPr>
          <w:rFonts w:ascii="Arial" w:eastAsia="宋体" w:hAnsi="Arial" w:cs="Arial"/>
          <w:color w:val="000000"/>
          <w:sz w:val="20"/>
          <w:szCs w:val="20"/>
        </w:rPr>
        <w:t xml:space="preserve">voting interest. For the three and six months ended June 30, 2021 a loss of $422 million was recorded in interest and other, net on our condensed consolidated statement of income related to the investment. </w:t>
      </w:r>
    </w:p>
    <w:p w14:paraId="64303D46" w14:textId="77777777" w:rsidR="009F6D8A" w:rsidRDefault="009F6D8A">
      <w:pPr>
        <w:ind w:firstLine="540"/>
        <w:jc w:val="both"/>
      </w:pPr>
    </w:p>
    <w:p w14:paraId="64303D47" w14:textId="77777777" w:rsidR="009F6D8A" w:rsidRDefault="00C50974">
      <w:pPr>
        <w:ind w:firstLine="540"/>
        <w:jc w:val="both"/>
      </w:pPr>
      <w:r>
        <w:rPr>
          <w:rFonts w:ascii="Arial" w:eastAsia="宋体" w:hAnsi="Arial" w:cs="Arial"/>
          <w:color w:val="000000"/>
          <w:sz w:val="20"/>
          <w:szCs w:val="20"/>
        </w:rPr>
        <w:t>On July 14, 2021, we entered into a share purcha</w:t>
      </w:r>
      <w:r>
        <w:rPr>
          <w:rFonts w:ascii="Arial" w:eastAsia="宋体" w:hAnsi="Arial" w:cs="Arial"/>
          <w:color w:val="000000"/>
          <w:sz w:val="20"/>
          <w:szCs w:val="20"/>
        </w:rPr>
        <w:t>se agreement with Permira to sell approximately 125 million of our voting shares in Adevinta for total consideration of $2.25 billion. The price represents an approximate 7% discount to the 10-day VWAP of Adevinta shares as of July 12, 2021 and a 5% discou</w:t>
      </w:r>
      <w:r>
        <w:rPr>
          <w:rFonts w:ascii="Arial" w:eastAsia="宋体" w:hAnsi="Arial" w:cs="Arial"/>
          <w:color w:val="000000"/>
          <w:sz w:val="20"/>
          <w:szCs w:val="20"/>
        </w:rPr>
        <w:t>nt to the 30-day VWAP as of July 12, 2021. In addition, we granted Permira an option, exercisable within 30 days after the date of the purchase agreement, to purchase approximately 10 million additional voting shares for $180 million in consideration. On J</w:t>
      </w:r>
      <w:r>
        <w:rPr>
          <w:rFonts w:ascii="Arial" w:eastAsia="宋体" w:hAnsi="Arial" w:cs="Arial"/>
          <w:color w:val="000000"/>
          <w:sz w:val="20"/>
          <w:szCs w:val="20"/>
        </w:rPr>
        <w:t xml:space="preserve">uly 29, 2021, Permira exercised the option. At the close of both transactions, our ownership in Adevinta will be reduced to 33%. The transactions are expected to close in the fourth quarter of 2021, subject to the receipt of required regulatory approvals. </w:t>
      </w:r>
    </w:p>
    <w:p w14:paraId="64303D48" w14:textId="77777777" w:rsidR="009F6D8A" w:rsidRDefault="009F6D8A">
      <w:pPr>
        <w:ind w:firstLine="540"/>
        <w:jc w:val="both"/>
      </w:pPr>
    </w:p>
    <w:p w14:paraId="64303D49" w14:textId="77777777" w:rsidR="009F6D8A" w:rsidRDefault="009F6D8A">
      <w:pPr>
        <w:jc w:val="center"/>
      </w:pPr>
    </w:p>
    <w:p w14:paraId="64303D4A" w14:textId="77777777" w:rsidR="009F6D8A" w:rsidRDefault="00C50974">
      <w:pPr>
        <w:jc w:val="center"/>
      </w:pPr>
      <w:r>
        <w:rPr>
          <w:rFonts w:ascii="Arial" w:eastAsia="宋体" w:hAnsi="Arial" w:cs="Arial"/>
          <w:color w:val="000000"/>
          <w:sz w:val="20"/>
          <w:szCs w:val="20"/>
        </w:rPr>
        <w:t>21</w:t>
      </w:r>
    </w:p>
    <w:p w14:paraId="64303D4B" w14:textId="77777777" w:rsidR="009F6D8A" w:rsidRDefault="00C50974">
      <w:r>
        <w:pict w14:anchorId="64305818">
          <v:rect id="_x0000_i1045" style="width:415.3pt;height:1.5pt" o:hralign="center" o:hrstd="t" o:hr="t" fillcolor="#a0a0a0" stroked="f"/>
        </w:pict>
      </w:r>
    </w:p>
    <w:p w14:paraId="64303D4C" w14:textId="77777777" w:rsidR="009F6D8A" w:rsidRDefault="009F6D8A">
      <w:pPr>
        <w:jc w:val="center"/>
      </w:pPr>
    </w:p>
    <w:p w14:paraId="64303D4D" w14:textId="77777777" w:rsidR="009F6D8A" w:rsidRDefault="00C50974">
      <w:pPr>
        <w:jc w:val="center"/>
      </w:pPr>
      <w:r>
        <w:rPr>
          <w:rFonts w:ascii="Arial" w:eastAsia="宋体" w:hAnsi="Arial" w:cs="Arial"/>
          <w:b/>
          <w:bCs/>
          <w:color w:val="000000"/>
          <w:sz w:val="20"/>
          <w:szCs w:val="20"/>
        </w:rPr>
        <w:t>eBay Inc.</w:t>
      </w:r>
    </w:p>
    <w:p w14:paraId="64303D4E"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3D4F" w14:textId="77777777" w:rsidR="009F6D8A" w:rsidRDefault="00C50974">
      <w:pPr>
        <w:ind w:firstLine="540"/>
        <w:jc w:val="both"/>
      </w:pPr>
      <w:r>
        <w:rPr>
          <w:rFonts w:ascii="Arial" w:eastAsia="宋体" w:hAnsi="Arial" w:cs="Arial"/>
          <w:color w:val="000000"/>
          <w:sz w:val="20"/>
          <w:szCs w:val="20"/>
        </w:rPr>
        <w:t xml:space="preserve">The following table provides a summary of unrealized gains and losses recorded in interest and other, net during the three and six months ended June 30, 2021 and 2020 </w:t>
      </w:r>
      <w:r>
        <w:rPr>
          <w:rFonts w:ascii="Arial" w:eastAsia="宋体" w:hAnsi="Arial" w:cs="Arial"/>
          <w:color w:val="000000"/>
          <w:sz w:val="20"/>
          <w:szCs w:val="20"/>
        </w:rPr>
        <w:t>related to equity investments held at June 30, 2021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4057"/>
        <w:gridCol w:w="36"/>
        <w:gridCol w:w="36"/>
        <w:gridCol w:w="36"/>
        <w:gridCol w:w="36"/>
        <w:gridCol w:w="121"/>
        <w:gridCol w:w="773"/>
        <w:gridCol w:w="36"/>
        <w:gridCol w:w="36"/>
        <w:gridCol w:w="36"/>
        <w:gridCol w:w="36"/>
        <w:gridCol w:w="122"/>
        <w:gridCol w:w="773"/>
        <w:gridCol w:w="37"/>
        <w:gridCol w:w="36"/>
        <w:gridCol w:w="36"/>
        <w:gridCol w:w="36"/>
        <w:gridCol w:w="121"/>
        <w:gridCol w:w="773"/>
        <w:gridCol w:w="36"/>
        <w:gridCol w:w="36"/>
        <w:gridCol w:w="36"/>
        <w:gridCol w:w="36"/>
        <w:gridCol w:w="122"/>
        <w:gridCol w:w="823"/>
        <w:gridCol w:w="37"/>
      </w:tblGrid>
      <w:tr w:rsidR="009F6D8A" w14:paraId="64303D6B" w14:textId="77777777">
        <w:tc>
          <w:tcPr>
            <w:tcW w:w="50" w:type="pct"/>
            <w:shd w:val="clear" w:color="auto" w:fill="auto"/>
            <w:vAlign w:val="bottom"/>
          </w:tcPr>
          <w:p w14:paraId="64303D50" w14:textId="77777777" w:rsidR="009F6D8A" w:rsidRDefault="009F6D8A">
            <w:pPr>
              <w:rPr>
                <w:rFonts w:ascii="宋体"/>
              </w:rPr>
            </w:pPr>
          </w:p>
        </w:tc>
        <w:tc>
          <w:tcPr>
            <w:tcW w:w="2474" w:type="pct"/>
            <w:shd w:val="clear" w:color="auto" w:fill="auto"/>
            <w:vAlign w:val="bottom"/>
          </w:tcPr>
          <w:p w14:paraId="64303D51" w14:textId="77777777" w:rsidR="009F6D8A" w:rsidRDefault="009F6D8A">
            <w:pPr>
              <w:rPr>
                <w:rFonts w:ascii="宋体"/>
              </w:rPr>
            </w:pPr>
          </w:p>
        </w:tc>
        <w:tc>
          <w:tcPr>
            <w:tcW w:w="5" w:type="pct"/>
            <w:shd w:val="clear" w:color="auto" w:fill="auto"/>
            <w:vAlign w:val="bottom"/>
          </w:tcPr>
          <w:p w14:paraId="64303D52" w14:textId="77777777" w:rsidR="009F6D8A" w:rsidRDefault="009F6D8A">
            <w:pPr>
              <w:rPr>
                <w:rFonts w:ascii="宋体"/>
              </w:rPr>
            </w:pPr>
          </w:p>
        </w:tc>
        <w:tc>
          <w:tcPr>
            <w:tcW w:w="5" w:type="pct"/>
            <w:shd w:val="clear" w:color="auto" w:fill="auto"/>
            <w:vAlign w:val="bottom"/>
          </w:tcPr>
          <w:p w14:paraId="64303D53" w14:textId="77777777" w:rsidR="009F6D8A" w:rsidRDefault="009F6D8A">
            <w:pPr>
              <w:rPr>
                <w:rFonts w:ascii="宋体"/>
              </w:rPr>
            </w:pPr>
          </w:p>
        </w:tc>
        <w:tc>
          <w:tcPr>
            <w:tcW w:w="26" w:type="pct"/>
            <w:shd w:val="clear" w:color="auto" w:fill="auto"/>
            <w:vAlign w:val="bottom"/>
          </w:tcPr>
          <w:p w14:paraId="64303D54" w14:textId="77777777" w:rsidR="009F6D8A" w:rsidRDefault="009F6D8A">
            <w:pPr>
              <w:rPr>
                <w:rFonts w:ascii="宋体"/>
              </w:rPr>
            </w:pPr>
          </w:p>
        </w:tc>
        <w:tc>
          <w:tcPr>
            <w:tcW w:w="5" w:type="pct"/>
            <w:shd w:val="clear" w:color="auto" w:fill="auto"/>
            <w:vAlign w:val="bottom"/>
          </w:tcPr>
          <w:p w14:paraId="64303D55" w14:textId="77777777" w:rsidR="009F6D8A" w:rsidRDefault="009F6D8A">
            <w:pPr>
              <w:rPr>
                <w:rFonts w:ascii="宋体"/>
              </w:rPr>
            </w:pPr>
          </w:p>
        </w:tc>
        <w:tc>
          <w:tcPr>
            <w:tcW w:w="50" w:type="pct"/>
            <w:shd w:val="clear" w:color="auto" w:fill="auto"/>
            <w:vAlign w:val="bottom"/>
          </w:tcPr>
          <w:p w14:paraId="64303D56" w14:textId="77777777" w:rsidR="009F6D8A" w:rsidRDefault="009F6D8A">
            <w:pPr>
              <w:rPr>
                <w:rFonts w:ascii="宋体"/>
              </w:rPr>
            </w:pPr>
          </w:p>
        </w:tc>
        <w:tc>
          <w:tcPr>
            <w:tcW w:w="528" w:type="pct"/>
            <w:shd w:val="clear" w:color="auto" w:fill="auto"/>
            <w:vAlign w:val="bottom"/>
          </w:tcPr>
          <w:p w14:paraId="64303D57" w14:textId="77777777" w:rsidR="009F6D8A" w:rsidRDefault="009F6D8A">
            <w:pPr>
              <w:rPr>
                <w:rFonts w:ascii="宋体"/>
              </w:rPr>
            </w:pPr>
          </w:p>
        </w:tc>
        <w:tc>
          <w:tcPr>
            <w:tcW w:w="5" w:type="pct"/>
            <w:shd w:val="clear" w:color="auto" w:fill="auto"/>
            <w:vAlign w:val="bottom"/>
          </w:tcPr>
          <w:p w14:paraId="64303D58" w14:textId="77777777" w:rsidR="009F6D8A" w:rsidRDefault="009F6D8A">
            <w:pPr>
              <w:rPr>
                <w:rFonts w:ascii="宋体"/>
              </w:rPr>
            </w:pPr>
          </w:p>
        </w:tc>
        <w:tc>
          <w:tcPr>
            <w:tcW w:w="5" w:type="pct"/>
            <w:shd w:val="clear" w:color="auto" w:fill="auto"/>
            <w:vAlign w:val="bottom"/>
          </w:tcPr>
          <w:p w14:paraId="64303D59" w14:textId="77777777" w:rsidR="009F6D8A" w:rsidRDefault="009F6D8A">
            <w:pPr>
              <w:rPr>
                <w:rFonts w:ascii="宋体"/>
              </w:rPr>
            </w:pPr>
          </w:p>
        </w:tc>
        <w:tc>
          <w:tcPr>
            <w:tcW w:w="26" w:type="pct"/>
            <w:shd w:val="clear" w:color="auto" w:fill="auto"/>
            <w:vAlign w:val="bottom"/>
          </w:tcPr>
          <w:p w14:paraId="64303D5A" w14:textId="77777777" w:rsidR="009F6D8A" w:rsidRDefault="009F6D8A">
            <w:pPr>
              <w:rPr>
                <w:rFonts w:ascii="宋体"/>
              </w:rPr>
            </w:pPr>
          </w:p>
        </w:tc>
        <w:tc>
          <w:tcPr>
            <w:tcW w:w="5" w:type="pct"/>
            <w:shd w:val="clear" w:color="auto" w:fill="auto"/>
            <w:vAlign w:val="bottom"/>
          </w:tcPr>
          <w:p w14:paraId="64303D5B" w14:textId="77777777" w:rsidR="009F6D8A" w:rsidRDefault="009F6D8A">
            <w:pPr>
              <w:rPr>
                <w:rFonts w:ascii="宋体"/>
              </w:rPr>
            </w:pPr>
          </w:p>
        </w:tc>
        <w:tc>
          <w:tcPr>
            <w:tcW w:w="50" w:type="pct"/>
            <w:shd w:val="clear" w:color="auto" w:fill="auto"/>
            <w:vAlign w:val="bottom"/>
          </w:tcPr>
          <w:p w14:paraId="64303D5C" w14:textId="77777777" w:rsidR="009F6D8A" w:rsidRDefault="009F6D8A">
            <w:pPr>
              <w:rPr>
                <w:rFonts w:ascii="宋体"/>
              </w:rPr>
            </w:pPr>
          </w:p>
        </w:tc>
        <w:tc>
          <w:tcPr>
            <w:tcW w:w="528" w:type="pct"/>
            <w:shd w:val="clear" w:color="auto" w:fill="auto"/>
            <w:vAlign w:val="bottom"/>
          </w:tcPr>
          <w:p w14:paraId="64303D5D" w14:textId="77777777" w:rsidR="009F6D8A" w:rsidRDefault="009F6D8A">
            <w:pPr>
              <w:rPr>
                <w:rFonts w:ascii="宋体"/>
              </w:rPr>
            </w:pPr>
          </w:p>
        </w:tc>
        <w:tc>
          <w:tcPr>
            <w:tcW w:w="5" w:type="pct"/>
            <w:shd w:val="clear" w:color="auto" w:fill="auto"/>
            <w:vAlign w:val="bottom"/>
          </w:tcPr>
          <w:p w14:paraId="64303D5E" w14:textId="77777777" w:rsidR="009F6D8A" w:rsidRDefault="009F6D8A">
            <w:pPr>
              <w:rPr>
                <w:rFonts w:ascii="宋体"/>
              </w:rPr>
            </w:pPr>
          </w:p>
        </w:tc>
        <w:tc>
          <w:tcPr>
            <w:tcW w:w="5" w:type="pct"/>
            <w:shd w:val="clear" w:color="auto" w:fill="auto"/>
            <w:vAlign w:val="bottom"/>
          </w:tcPr>
          <w:p w14:paraId="64303D5F" w14:textId="77777777" w:rsidR="009F6D8A" w:rsidRDefault="009F6D8A">
            <w:pPr>
              <w:rPr>
                <w:rFonts w:ascii="宋体"/>
              </w:rPr>
            </w:pPr>
          </w:p>
        </w:tc>
        <w:tc>
          <w:tcPr>
            <w:tcW w:w="26" w:type="pct"/>
            <w:shd w:val="clear" w:color="auto" w:fill="auto"/>
            <w:vAlign w:val="bottom"/>
          </w:tcPr>
          <w:p w14:paraId="64303D60" w14:textId="77777777" w:rsidR="009F6D8A" w:rsidRDefault="009F6D8A">
            <w:pPr>
              <w:rPr>
                <w:rFonts w:ascii="宋体"/>
              </w:rPr>
            </w:pPr>
          </w:p>
        </w:tc>
        <w:tc>
          <w:tcPr>
            <w:tcW w:w="5" w:type="pct"/>
            <w:shd w:val="clear" w:color="auto" w:fill="auto"/>
            <w:vAlign w:val="bottom"/>
          </w:tcPr>
          <w:p w14:paraId="64303D61" w14:textId="77777777" w:rsidR="009F6D8A" w:rsidRDefault="009F6D8A">
            <w:pPr>
              <w:rPr>
                <w:rFonts w:ascii="宋体"/>
              </w:rPr>
            </w:pPr>
          </w:p>
        </w:tc>
        <w:tc>
          <w:tcPr>
            <w:tcW w:w="50" w:type="pct"/>
            <w:shd w:val="clear" w:color="auto" w:fill="auto"/>
            <w:vAlign w:val="bottom"/>
          </w:tcPr>
          <w:p w14:paraId="64303D62" w14:textId="77777777" w:rsidR="009F6D8A" w:rsidRDefault="009F6D8A">
            <w:pPr>
              <w:rPr>
                <w:rFonts w:ascii="宋体"/>
              </w:rPr>
            </w:pPr>
          </w:p>
        </w:tc>
        <w:tc>
          <w:tcPr>
            <w:tcW w:w="528" w:type="pct"/>
            <w:shd w:val="clear" w:color="auto" w:fill="auto"/>
            <w:vAlign w:val="bottom"/>
          </w:tcPr>
          <w:p w14:paraId="64303D63" w14:textId="77777777" w:rsidR="009F6D8A" w:rsidRDefault="009F6D8A">
            <w:pPr>
              <w:rPr>
                <w:rFonts w:ascii="宋体"/>
              </w:rPr>
            </w:pPr>
          </w:p>
        </w:tc>
        <w:tc>
          <w:tcPr>
            <w:tcW w:w="5" w:type="pct"/>
            <w:shd w:val="clear" w:color="auto" w:fill="auto"/>
            <w:vAlign w:val="bottom"/>
          </w:tcPr>
          <w:p w14:paraId="64303D64" w14:textId="77777777" w:rsidR="009F6D8A" w:rsidRDefault="009F6D8A">
            <w:pPr>
              <w:rPr>
                <w:rFonts w:ascii="宋体"/>
              </w:rPr>
            </w:pPr>
          </w:p>
        </w:tc>
        <w:tc>
          <w:tcPr>
            <w:tcW w:w="5" w:type="pct"/>
            <w:shd w:val="clear" w:color="auto" w:fill="auto"/>
            <w:vAlign w:val="bottom"/>
          </w:tcPr>
          <w:p w14:paraId="64303D65" w14:textId="77777777" w:rsidR="009F6D8A" w:rsidRDefault="009F6D8A">
            <w:pPr>
              <w:rPr>
                <w:rFonts w:ascii="宋体"/>
              </w:rPr>
            </w:pPr>
          </w:p>
        </w:tc>
        <w:tc>
          <w:tcPr>
            <w:tcW w:w="19" w:type="pct"/>
            <w:shd w:val="clear" w:color="auto" w:fill="auto"/>
            <w:vAlign w:val="bottom"/>
          </w:tcPr>
          <w:p w14:paraId="64303D66" w14:textId="77777777" w:rsidR="009F6D8A" w:rsidRDefault="009F6D8A">
            <w:pPr>
              <w:rPr>
                <w:rFonts w:ascii="宋体"/>
              </w:rPr>
            </w:pPr>
          </w:p>
        </w:tc>
        <w:tc>
          <w:tcPr>
            <w:tcW w:w="5" w:type="pct"/>
            <w:shd w:val="clear" w:color="auto" w:fill="auto"/>
            <w:vAlign w:val="bottom"/>
          </w:tcPr>
          <w:p w14:paraId="64303D67" w14:textId="77777777" w:rsidR="009F6D8A" w:rsidRDefault="009F6D8A">
            <w:pPr>
              <w:rPr>
                <w:rFonts w:ascii="宋体"/>
              </w:rPr>
            </w:pPr>
          </w:p>
        </w:tc>
        <w:tc>
          <w:tcPr>
            <w:tcW w:w="50" w:type="pct"/>
            <w:shd w:val="clear" w:color="auto" w:fill="auto"/>
            <w:vAlign w:val="bottom"/>
          </w:tcPr>
          <w:p w14:paraId="64303D68" w14:textId="77777777" w:rsidR="009F6D8A" w:rsidRDefault="009F6D8A">
            <w:pPr>
              <w:rPr>
                <w:rFonts w:ascii="宋体"/>
              </w:rPr>
            </w:pPr>
          </w:p>
        </w:tc>
        <w:tc>
          <w:tcPr>
            <w:tcW w:w="528" w:type="pct"/>
            <w:shd w:val="clear" w:color="auto" w:fill="auto"/>
            <w:vAlign w:val="bottom"/>
          </w:tcPr>
          <w:p w14:paraId="64303D69" w14:textId="77777777" w:rsidR="009F6D8A" w:rsidRDefault="009F6D8A">
            <w:pPr>
              <w:rPr>
                <w:rFonts w:ascii="宋体"/>
              </w:rPr>
            </w:pPr>
          </w:p>
        </w:tc>
        <w:tc>
          <w:tcPr>
            <w:tcW w:w="5" w:type="pct"/>
            <w:shd w:val="clear" w:color="auto" w:fill="auto"/>
            <w:vAlign w:val="bottom"/>
          </w:tcPr>
          <w:p w14:paraId="64303D6A" w14:textId="77777777" w:rsidR="009F6D8A" w:rsidRDefault="009F6D8A">
            <w:pPr>
              <w:rPr>
                <w:rFonts w:ascii="宋体"/>
              </w:rPr>
            </w:pPr>
          </w:p>
        </w:tc>
      </w:tr>
      <w:tr w:rsidR="009F6D8A" w14:paraId="64303D71" w14:textId="77777777">
        <w:tc>
          <w:tcPr>
            <w:tcW w:w="0" w:type="auto"/>
            <w:gridSpan w:val="3"/>
            <w:shd w:val="clear" w:color="auto" w:fill="auto"/>
            <w:tcMar>
              <w:top w:w="40" w:type="dxa"/>
              <w:left w:w="20" w:type="dxa"/>
              <w:bottom w:w="40" w:type="dxa"/>
              <w:right w:w="20" w:type="dxa"/>
            </w:tcMar>
            <w:vAlign w:val="bottom"/>
          </w:tcPr>
          <w:p w14:paraId="64303D6C" w14:textId="77777777" w:rsidR="009F6D8A" w:rsidRDefault="00C50974">
            <w:pPr>
              <w:textAlignment w:val="bottom"/>
            </w:pPr>
            <w:r>
              <w:rPr>
                <w:rFonts w:ascii="Arial" w:eastAsia="宋体" w:hAnsi="Arial" w:cs="Arial"/>
                <w:color w:val="000000"/>
                <w:sz w:val="16"/>
                <w:szCs w:val="16"/>
              </w:rPr>
              <w:t> </w:t>
            </w:r>
          </w:p>
        </w:tc>
        <w:tc>
          <w:tcPr>
            <w:tcW w:w="0" w:type="auto"/>
            <w:gridSpan w:val="3"/>
            <w:shd w:val="clear" w:color="auto" w:fill="auto"/>
            <w:tcMar>
              <w:top w:w="0" w:type="dxa"/>
              <w:left w:w="20" w:type="dxa"/>
              <w:bottom w:w="0" w:type="dxa"/>
              <w:right w:w="20" w:type="dxa"/>
            </w:tcMar>
            <w:vAlign w:val="bottom"/>
          </w:tcPr>
          <w:p w14:paraId="64303D6D"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3D6E" w14:textId="77777777" w:rsidR="009F6D8A" w:rsidRDefault="00C50974">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Mar>
              <w:top w:w="0" w:type="dxa"/>
              <w:left w:w="20" w:type="dxa"/>
              <w:bottom w:w="0" w:type="dxa"/>
              <w:right w:w="20" w:type="dxa"/>
            </w:tcMar>
            <w:vAlign w:val="bottom"/>
          </w:tcPr>
          <w:p w14:paraId="64303D6F"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3D70" w14:textId="77777777" w:rsidR="009F6D8A" w:rsidRDefault="00C50974">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r>
      <w:tr w:rsidR="009F6D8A" w14:paraId="64303D7B" w14:textId="77777777">
        <w:tc>
          <w:tcPr>
            <w:tcW w:w="0" w:type="auto"/>
            <w:gridSpan w:val="3"/>
            <w:shd w:val="clear" w:color="auto" w:fill="auto"/>
            <w:tcMar>
              <w:top w:w="0" w:type="dxa"/>
              <w:left w:w="20" w:type="dxa"/>
              <w:bottom w:w="0" w:type="dxa"/>
              <w:right w:w="20" w:type="dxa"/>
            </w:tcMar>
            <w:vAlign w:val="bottom"/>
          </w:tcPr>
          <w:p w14:paraId="64303D72"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3D73"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D74"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D75"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D76" w14:textId="77777777" w:rsidR="009F6D8A" w:rsidRDefault="00C50974">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4303D77"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D78"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D79"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D7A" w14:textId="77777777" w:rsidR="009F6D8A" w:rsidRDefault="00C50974">
            <w:pPr>
              <w:jc w:val="center"/>
              <w:textAlignment w:val="bottom"/>
            </w:pPr>
            <w:r>
              <w:rPr>
                <w:rFonts w:ascii="Arial" w:eastAsia="宋体" w:hAnsi="Arial" w:cs="Arial"/>
                <w:b/>
                <w:bCs/>
                <w:color w:val="000000"/>
                <w:sz w:val="16"/>
                <w:szCs w:val="16"/>
              </w:rPr>
              <w:t>2020</w:t>
            </w:r>
          </w:p>
        </w:tc>
      </w:tr>
      <w:tr w:rsidR="009F6D8A" w14:paraId="64303D8D" w14:textId="77777777">
        <w:tc>
          <w:tcPr>
            <w:tcW w:w="0" w:type="auto"/>
            <w:gridSpan w:val="3"/>
            <w:shd w:val="clear" w:color="auto" w:fill="E1E1E1"/>
            <w:tcMar>
              <w:top w:w="40" w:type="dxa"/>
              <w:left w:w="20" w:type="dxa"/>
              <w:bottom w:w="40" w:type="dxa"/>
              <w:right w:w="20" w:type="dxa"/>
            </w:tcMar>
            <w:vAlign w:val="bottom"/>
          </w:tcPr>
          <w:p w14:paraId="64303D7C" w14:textId="77777777" w:rsidR="009F6D8A" w:rsidRDefault="00C50974">
            <w:pPr>
              <w:textAlignment w:val="bottom"/>
            </w:pPr>
            <w:r>
              <w:rPr>
                <w:rFonts w:ascii="Arial" w:eastAsia="宋体" w:hAnsi="Arial" w:cs="Arial"/>
                <w:color w:val="000000"/>
                <w:sz w:val="18"/>
                <w:szCs w:val="18"/>
              </w:rPr>
              <w:t>Net gains/(losses) recognized during the period on equity investments</w:t>
            </w:r>
          </w:p>
        </w:tc>
        <w:tc>
          <w:tcPr>
            <w:tcW w:w="0" w:type="auto"/>
            <w:gridSpan w:val="3"/>
            <w:shd w:val="clear" w:color="auto" w:fill="E1E1E1"/>
            <w:tcMar>
              <w:top w:w="0" w:type="dxa"/>
              <w:left w:w="20" w:type="dxa"/>
              <w:bottom w:w="0" w:type="dxa"/>
              <w:right w:w="20" w:type="dxa"/>
            </w:tcMar>
            <w:vAlign w:val="bottom"/>
          </w:tcPr>
          <w:p w14:paraId="64303D7D"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D7E"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D7F" w14:textId="77777777" w:rsidR="009F6D8A" w:rsidRDefault="00C50974">
            <w:pPr>
              <w:jc w:val="right"/>
              <w:textAlignment w:val="bottom"/>
            </w:pPr>
            <w:r>
              <w:rPr>
                <w:rFonts w:ascii="Arial" w:eastAsia="宋体" w:hAnsi="Arial" w:cs="Arial"/>
                <w:color w:val="000000"/>
                <w:sz w:val="18"/>
                <w:szCs w:val="18"/>
              </w:rPr>
              <w:t>(380)</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D80"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D81"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D82"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D83"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D84"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D85"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D86"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D87" w14:textId="77777777" w:rsidR="009F6D8A" w:rsidRDefault="00C50974">
            <w:pPr>
              <w:jc w:val="right"/>
              <w:textAlignment w:val="bottom"/>
            </w:pPr>
            <w:r>
              <w:rPr>
                <w:rFonts w:ascii="Arial" w:eastAsia="宋体" w:hAnsi="Arial" w:cs="Arial"/>
                <w:color w:val="000000"/>
                <w:sz w:val="18"/>
                <w:szCs w:val="18"/>
              </w:rPr>
              <w:t>(380)</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D88"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D89"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3D8A"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3D8B"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3D8C" w14:textId="77777777" w:rsidR="009F6D8A" w:rsidRDefault="009F6D8A">
            <w:pPr>
              <w:jc w:val="right"/>
              <w:rPr>
                <w:rFonts w:ascii="宋体"/>
              </w:rPr>
            </w:pPr>
          </w:p>
        </w:tc>
      </w:tr>
      <w:tr w:rsidR="009F6D8A" w14:paraId="64303D9B" w14:textId="77777777">
        <w:tc>
          <w:tcPr>
            <w:tcW w:w="0" w:type="auto"/>
            <w:gridSpan w:val="3"/>
            <w:shd w:val="clear" w:color="auto" w:fill="FFFFFF"/>
            <w:tcMar>
              <w:top w:w="40" w:type="dxa"/>
              <w:left w:w="20" w:type="dxa"/>
              <w:bottom w:w="40" w:type="dxa"/>
              <w:right w:w="20" w:type="dxa"/>
            </w:tcMar>
            <w:vAlign w:val="bottom"/>
          </w:tcPr>
          <w:p w14:paraId="64303D8E" w14:textId="77777777" w:rsidR="009F6D8A" w:rsidRDefault="00C50974">
            <w:pPr>
              <w:textAlignment w:val="bottom"/>
            </w:pPr>
            <w:r>
              <w:rPr>
                <w:rFonts w:ascii="Arial" w:eastAsia="宋体" w:hAnsi="Arial" w:cs="Arial"/>
                <w:color w:val="000000"/>
                <w:sz w:val="18"/>
                <w:szCs w:val="18"/>
              </w:rPr>
              <w:t>Less: Net gains/(losses) recognized during the period on equity investments sold during the period</w:t>
            </w:r>
          </w:p>
        </w:tc>
        <w:tc>
          <w:tcPr>
            <w:tcW w:w="0" w:type="auto"/>
            <w:gridSpan w:val="3"/>
            <w:shd w:val="clear" w:color="auto" w:fill="FFFFFF"/>
            <w:tcMar>
              <w:top w:w="0" w:type="dxa"/>
              <w:left w:w="20" w:type="dxa"/>
              <w:bottom w:w="0" w:type="dxa"/>
              <w:right w:w="20" w:type="dxa"/>
            </w:tcMar>
            <w:vAlign w:val="bottom"/>
          </w:tcPr>
          <w:p w14:paraId="64303D8F"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D90"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D9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D9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D93"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D9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D9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D96"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D9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D9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D99"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D9A" w14:textId="77777777" w:rsidR="009F6D8A" w:rsidRDefault="009F6D8A">
            <w:pPr>
              <w:jc w:val="right"/>
              <w:rPr>
                <w:rFonts w:ascii="宋体"/>
              </w:rPr>
            </w:pPr>
          </w:p>
        </w:tc>
      </w:tr>
      <w:tr w:rsidR="009F6D8A" w14:paraId="64303DAD" w14:textId="77777777">
        <w:tc>
          <w:tcPr>
            <w:tcW w:w="0" w:type="auto"/>
            <w:gridSpan w:val="3"/>
            <w:shd w:val="clear" w:color="auto" w:fill="E1E1E1"/>
            <w:tcMar>
              <w:top w:w="40" w:type="dxa"/>
              <w:left w:w="20" w:type="dxa"/>
              <w:bottom w:w="40" w:type="dxa"/>
              <w:right w:w="20" w:type="dxa"/>
            </w:tcMar>
            <w:vAlign w:val="bottom"/>
          </w:tcPr>
          <w:p w14:paraId="64303D9C" w14:textId="77777777" w:rsidR="009F6D8A" w:rsidRDefault="00C50974">
            <w:pPr>
              <w:textAlignment w:val="bottom"/>
            </w:pPr>
            <w:r>
              <w:rPr>
                <w:rFonts w:ascii="Arial" w:eastAsia="宋体" w:hAnsi="Arial" w:cs="Arial"/>
                <w:color w:val="000000"/>
                <w:sz w:val="18"/>
                <w:szCs w:val="18"/>
              </w:rPr>
              <w:t>Total unrealized gains/(losses) on equity investments still held at June 30, 2021</w:t>
            </w:r>
          </w:p>
        </w:tc>
        <w:tc>
          <w:tcPr>
            <w:tcW w:w="0" w:type="auto"/>
            <w:gridSpan w:val="3"/>
            <w:shd w:val="clear" w:color="auto" w:fill="E1E1E1"/>
            <w:tcMar>
              <w:top w:w="0" w:type="dxa"/>
              <w:left w:w="20" w:type="dxa"/>
              <w:bottom w:w="0" w:type="dxa"/>
              <w:right w:w="20" w:type="dxa"/>
            </w:tcMar>
            <w:vAlign w:val="bottom"/>
          </w:tcPr>
          <w:p w14:paraId="64303D9D"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D9E"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D9F" w14:textId="77777777" w:rsidR="009F6D8A" w:rsidRDefault="00C50974">
            <w:pPr>
              <w:jc w:val="right"/>
              <w:textAlignment w:val="bottom"/>
            </w:pPr>
            <w:r>
              <w:rPr>
                <w:rFonts w:ascii="Arial" w:eastAsia="宋体" w:hAnsi="Arial" w:cs="Arial"/>
                <w:color w:val="000000"/>
                <w:sz w:val="18"/>
                <w:szCs w:val="18"/>
              </w:rPr>
              <w:t>(380)</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DA0"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DA1"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DA2"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DA3"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DA4"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DA5"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DA6"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DA7" w14:textId="77777777" w:rsidR="009F6D8A" w:rsidRDefault="00C50974">
            <w:pPr>
              <w:jc w:val="right"/>
              <w:textAlignment w:val="bottom"/>
            </w:pPr>
            <w:r>
              <w:rPr>
                <w:rFonts w:ascii="Arial" w:eastAsia="宋体" w:hAnsi="Arial" w:cs="Arial"/>
                <w:color w:val="000000"/>
                <w:sz w:val="18"/>
                <w:szCs w:val="18"/>
              </w:rPr>
              <w:t>(380)</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DA8"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3DA9"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3DAA"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3DAB"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3DAC" w14:textId="77777777" w:rsidR="009F6D8A" w:rsidRDefault="009F6D8A">
            <w:pPr>
              <w:jc w:val="right"/>
              <w:rPr>
                <w:rFonts w:ascii="宋体"/>
              </w:rPr>
            </w:pPr>
          </w:p>
        </w:tc>
      </w:tr>
    </w:tbl>
    <w:p w14:paraId="64303DAE" w14:textId="77777777" w:rsidR="009F6D8A" w:rsidRDefault="009F6D8A">
      <w:pPr>
        <w:ind w:firstLine="540"/>
        <w:jc w:val="both"/>
      </w:pPr>
    </w:p>
    <w:p w14:paraId="64303DAF" w14:textId="77777777" w:rsidR="009F6D8A" w:rsidRDefault="00C50974">
      <w:pPr>
        <w:spacing w:after="60"/>
        <w:ind w:firstLine="540"/>
        <w:jc w:val="both"/>
      </w:pPr>
      <w:r>
        <w:rPr>
          <w:rFonts w:ascii="Arial" w:eastAsia="宋体" w:hAnsi="Arial" w:cs="Arial"/>
          <w:color w:val="000000"/>
          <w:sz w:val="20"/>
          <w:szCs w:val="20"/>
        </w:rPr>
        <w:t>The following table summarizes the change in total carrying value during the three and six mo</w:t>
      </w:r>
      <w:r>
        <w:rPr>
          <w:rFonts w:ascii="Arial" w:eastAsia="宋体" w:hAnsi="Arial" w:cs="Arial"/>
          <w:color w:val="000000"/>
          <w:sz w:val="20"/>
          <w:szCs w:val="20"/>
        </w:rPr>
        <w:t>nths ended June 30, 2021 and 2020 related to equity investments without readily determinable fair values still held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107"/>
        <w:gridCol w:w="38"/>
        <w:gridCol w:w="121"/>
        <w:gridCol w:w="831"/>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9F6D8A" w14:paraId="64303DC8" w14:textId="77777777">
        <w:trPr>
          <w:jc w:val="center"/>
        </w:trPr>
        <w:tc>
          <w:tcPr>
            <w:tcW w:w="50" w:type="pct"/>
            <w:shd w:val="clear" w:color="auto" w:fill="auto"/>
            <w:vAlign w:val="bottom"/>
          </w:tcPr>
          <w:p w14:paraId="64303DB0" w14:textId="77777777" w:rsidR="009F6D8A" w:rsidRDefault="009F6D8A">
            <w:pPr>
              <w:rPr>
                <w:rFonts w:ascii="宋体"/>
              </w:rPr>
            </w:pPr>
          </w:p>
        </w:tc>
        <w:tc>
          <w:tcPr>
            <w:tcW w:w="2496" w:type="pct"/>
            <w:shd w:val="clear" w:color="auto" w:fill="auto"/>
            <w:vAlign w:val="bottom"/>
          </w:tcPr>
          <w:p w14:paraId="64303DB1" w14:textId="77777777" w:rsidR="009F6D8A" w:rsidRDefault="009F6D8A">
            <w:pPr>
              <w:rPr>
                <w:rFonts w:ascii="宋体"/>
              </w:rPr>
            </w:pPr>
          </w:p>
        </w:tc>
        <w:tc>
          <w:tcPr>
            <w:tcW w:w="5" w:type="pct"/>
            <w:shd w:val="clear" w:color="auto" w:fill="auto"/>
            <w:vAlign w:val="bottom"/>
          </w:tcPr>
          <w:p w14:paraId="64303DB2" w14:textId="77777777" w:rsidR="009F6D8A" w:rsidRDefault="009F6D8A">
            <w:pPr>
              <w:rPr>
                <w:rFonts w:ascii="宋体"/>
              </w:rPr>
            </w:pPr>
          </w:p>
        </w:tc>
        <w:tc>
          <w:tcPr>
            <w:tcW w:w="50" w:type="pct"/>
            <w:shd w:val="clear" w:color="auto" w:fill="auto"/>
            <w:vAlign w:val="bottom"/>
          </w:tcPr>
          <w:p w14:paraId="64303DB3" w14:textId="77777777" w:rsidR="009F6D8A" w:rsidRDefault="009F6D8A">
            <w:pPr>
              <w:rPr>
                <w:rFonts w:ascii="宋体"/>
              </w:rPr>
            </w:pPr>
          </w:p>
        </w:tc>
        <w:tc>
          <w:tcPr>
            <w:tcW w:w="529" w:type="pct"/>
            <w:shd w:val="clear" w:color="auto" w:fill="auto"/>
            <w:vAlign w:val="bottom"/>
          </w:tcPr>
          <w:p w14:paraId="64303DB4" w14:textId="77777777" w:rsidR="009F6D8A" w:rsidRDefault="009F6D8A">
            <w:pPr>
              <w:rPr>
                <w:rFonts w:ascii="宋体"/>
              </w:rPr>
            </w:pPr>
          </w:p>
        </w:tc>
        <w:tc>
          <w:tcPr>
            <w:tcW w:w="5" w:type="pct"/>
            <w:shd w:val="clear" w:color="auto" w:fill="auto"/>
            <w:vAlign w:val="bottom"/>
          </w:tcPr>
          <w:p w14:paraId="64303DB5" w14:textId="77777777" w:rsidR="009F6D8A" w:rsidRDefault="009F6D8A">
            <w:pPr>
              <w:rPr>
                <w:rFonts w:ascii="宋体"/>
              </w:rPr>
            </w:pPr>
          </w:p>
        </w:tc>
        <w:tc>
          <w:tcPr>
            <w:tcW w:w="5" w:type="pct"/>
            <w:shd w:val="clear" w:color="auto" w:fill="auto"/>
            <w:vAlign w:val="bottom"/>
          </w:tcPr>
          <w:p w14:paraId="64303DB6" w14:textId="77777777" w:rsidR="009F6D8A" w:rsidRDefault="009F6D8A">
            <w:pPr>
              <w:rPr>
                <w:rFonts w:ascii="宋体"/>
              </w:rPr>
            </w:pPr>
          </w:p>
        </w:tc>
        <w:tc>
          <w:tcPr>
            <w:tcW w:w="26" w:type="pct"/>
            <w:shd w:val="clear" w:color="auto" w:fill="auto"/>
            <w:vAlign w:val="bottom"/>
          </w:tcPr>
          <w:p w14:paraId="64303DB7" w14:textId="77777777" w:rsidR="009F6D8A" w:rsidRDefault="009F6D8A">
            <w:pPr>
              <w:rPr>
                <w:rFonts w:ascii="宋体"/>
              </w:rPr>
            </w:pPr>
          </w:p>
        </w:tc>
        <w:tc>
          <w:tcPr>
            <w:tcW w:w="5" w:type="pct"/>
            <w:shd w:val="clear" w:color="auto" w:fill="auto"/>
            <w:vAlign w:val="bottom"/>
          </w:tcPr>
          <w:p w14:paraId="64303DB8" w14:textId="77777777" w:rsidR="009F6D8A" w:rsidRDefault="009F6D8A">
            <w:pPr>
              <w:rPr>
                <w:rFonts w:ascii="宋体"/>
              </w:rPr>
            </w:pPr>
          </w:p>
        </w:tc>
        <w:tc>
          <w:tcPr>
            <w:tcW w:w="50" w:type="pct"/>
            <w:shd w:val="clear" w:color="auto" w:fill="auto"/>
            <w:vAlign w:val="bottom"/>
          </w:tcPr>
          <w:p w14:paraId="64303DB9" w14:textId="77777777" w:rsidR="009F6D8A" w:rsidRDefault="009F6D8A">
            <w:pPr>
              <w:rPr>
                <w:rFonts w:ascii="宋体"/>
              </w:rPr>
            </w:pPr>
          </w:p>
        </w:tc>
        <w:tc>
          <w:tcPr>
            <w:tcW w:w="529" w:type="pct"/>
            <w:shd w:val="clear" w:color="auto" w:fill="auto"/>
            <w:vAlign w:val="bottom"/>
          </w:tcPr>
          <w:p w14:paraId="64303DBA" w14:textId="77777777" w:rsidR="009F6D8A" w:rsidRDefault="009F6D8A">
            <w:pPr>
              <w:rPr>
                <w:rFonts w:ascii="宋体"/>
              </w:rPr>
            </w:pPr>
          </w:p>
        </w:tc>
        <w:tc>
          <w:tcPr>
            <w:tcW w:w="5" w:type="pct"/>
            <w:shd w:val="clear" w:color="auto" w:fill="auto"/>
            <w:vAlign w:val="bottom"/>
          </w:tcPr>
          <w:p w14:paraId="64303DBB" w14:textId="77777777" w:rsidR="009F6D8A" w:rsidRDefault="009F6D8A">
            <w:pPr>
              <w:rPr>
                <w:rFonts w:ascii="宋体"/>
              </w:rPr>
            </w:pPr>
          </w:p>
        </w:tc>
        <w:tc>
          <w:tcPr>
            <w:tcW w:w="5" w:type="pct"/>
            <w:shd w:val="clear" w:color="auto" w:fill="auto"/>
            <w:vAlign w:val="bottom"/>
          </w:tcPr>
          <w:p w14:paraId="64303DBC" w14:textId="77777777" w:rsidR="009F6D8A" w:rsidRDefault="009F6D8A">
            <w:pPr>
              <w:rPr>
                <w:rFonts w:ascii="宋体"/>
              </w:rPr>
            </w:pPr>
          </w:p>
        </w:tc>
        <w:tc>
          <w:tcPr>
            <w:tcW w:w="26" w:type="pct"/>
            <w:shd w:val="clear" w:color="auto" w:fill="auto"/>
            <w:vAlign w:val="bottom"/>
          </w:tcPr>
          <w:p w14:paraId="64303DBD" w14:textId="77777777" w:rsidR="009F6D8A" w:rsidRDefault="009F6D8A">
            <w:pPr>
              <w:rPr>
                <w:rFonts w:ascii="宋体"/>
              </w:rPr>
            </w:pPr>
          </w:p>
        </w:tc>
        <w:tc>
          <w:tcPr>
            <w:tcW w:w="5" w:type="pct"/>
            <w:shd w:val="clear" w:color="auto" w:fill="auto"/>
            <w:vAlign w:val="bottom"/>
          </w:tcPr>
          <w:p w14:paraId="64303DBE" w14:textId="77777777" w:rsidR="009F6D8A" w:rsidRDefault="009F6D8A">
            <w:pPr>
              <w:rPr>
                <w:rFonts w:ascii="宋体"/>
              </w:rPr>
            </w:pPr>
          </w:p>
        </w:tc>
        <w:tc>
          <w:tcPr>
            <w:tcW w:w="50" w:type="pct"/>
            <w:shd w:val="clear" w:color="auto" w:fill="auto"/>
            <w:vAlign w:val="bottom"/>
          </w:tcPr>
          <w:p w14:paraId="64303DBF" w14:textId="77777777" w:rsidR="009F6D8A" w:rsidRDefault="009F6D8A">
            <w:pPr>
              <w:rPr>
                <w:rFonts w:ascii="宋体"/>
              </w:rPr>
            </w:pPr>
          </w:p>
        </w:tc>
        <w:tc>
          <w:tcPr>
            <w:tcW w:w="529" w:type="pct"/>
            <w:shd w:val="clear" w:color="auto" w:fill="auto"/>
            <w:vAlign w:val="bottom"/>
          </w:tcPr>
          <w:p w14:paraId="64303DC0" w14:textId="77777777" w:rsidR="009F6D8A" w:rsidRDefault="009F6D8A">
            <w:pPr>
              <w:rPr>
                <w:rFonts w:ascii="宋体"/>
              </w:rPr>
            </w:pPr>
          </w:p>
        </w:tc>
        <w:tc>
          <w:tcPr>
            <w:tcW w:w="5" w:type="pct"/>
            <w:shd w:val="clear" w:color="auto" w:fill="auto"/>
            <w:vAlign w:val="bottom"/>
          </w:tcPr>
          <w:p w14:paraId="64303DC1" w14:textId="77777777" w:rsidR="009F6D8A" w:rsidRDefault="009F6D8A">
            <w:pPr>
              <w:rPr>
                <w:rFonts w:ascii="宋体"/>
              </w:rPr>
            </w:pPr>
          </w:p>
        </w:tc>
        <w:tc>
          <w:tcPr>
            <w:tcW w:w="5" w:type="pct"/>
            <w:shd w:val="clear" w:color="auto" w:fill="auto"/>
            <w:vAlign w:val="bottom"/>
          </w:tcPr>
          <w:p w14:paraId="64303DC2" w14:textId="77777777" w:rsidR="009F6D8A" w:rsidRDefault="009F6D8A">
            <w:pPr>
              <w:rPr>
                <w:rFonts w:ascii="宋体"/>
              </w:rPr>
            </w:pPr>
          </w:p>
        </w:tc>
        <w:tc>
          <w:tcPr>
            <w:tcW w:w="26" w:type="pct"/>
            <w:shd w:val="clear" w:color="auto" w:fill="auto"/>
            <w:vAlign w:val="bottom"/>
          </w:tcPr>
          <w:p w14:paraId="64303DC3" w14:textId="77777777" w:rsidR="009F6D8A" w:rsidRDefault="009F6D8A">
            <w:pPr>
              <w:rPr>
                <w:rFonts w:ascii="宋体"/>
              </w:rPr>
            </w:pPr>
          </w:p>
        </w:tc>
        <w:tc>
          <w:tcPr>
            <w:tcW w:w="5" w:type="pct"/>
            <w:shd w:val="clear" w:color="auto" w:fill="auto"/>
            <w:vAlign w:val="bottom"/>
          </w:tcPr>
          <w:p w14:paraId="64303DC4" w14:textId="77777777" w:rsidR="009F6D8A" w:rsidRDefault="009F6D8A">
            <w:pPr>
              <w:rPr>
                <w:rFonts w:ascii="宋体"/>
              </w:rPr>
            </w:pPr>
          </w:p>
        </w:tc>
        <w:tc>
          <w:tcPr>
            <w:tcW w:w="50" w:type="pct"/>
            <w:shd w:val="clear" w:color="auto" w:fill="auto"/>
            <w:vAlign w:val="bottom"/>
          </w:tcPr>
          <w:p w14:paraId="64303DC5" w14:textId="77777777" w:rsidR="009F6D8A" w:rsidRDefault="009F6D8A">
            <w:pPr>
              <w:rPr>
                <w:rFonts w:ascii="宋体"/>
              </w:rPr>
            </w:pPr>
          </w:p>
        </w:tc>
        <w:tc>
          <w:tcPr>
            <w:tcW w:w="530" w:type="pct"/>
            <w:shd w:val="clear" w:color="auto" w:fill="auto"/>
            <w:vAlign w:val="bottom"/>
          </w:tcPr>
          <w:p w14:paraId="64303DC6" w14:textId="77777777" w:rsidR="009F6D8A" w:rsidRDefault="009F6D8A">
            <w:pPr>
              <w:rPr>
                <w:rFonts w:ascii="宋体"/>
              </w:rPr>
            </w:pPr>
          </w:p>
        </w:tc>
        <w:tc>
          <w:tcPr>
            <w:tcW w:w="5" w:type="pct"/>
            <w:shd w:val="clear" w:color="auto" w:fill="auto"/>
            <w:vAlign w:val="bottom"/>
          </w:tcPr>
          <w:p w14:paraId="64303DC7" w14:textId="77777777" w:rsidR="009F6D8A" w:rsidRDefault="009F6D8A">
            <w:pPr>
              <w:rPr>
                <w:rFonts w:ascii="宋体"/>
              </w:rPr>
            </w:pPr>
          </w:p>
        </w:tc>
      </w:tr>
      <w:tr w:rsidR="009F6D8A" w14:paraId="64303DCD" w14:textId="77777777">
        <w:trPr>
          <w:jc w:val="center"/>
        </w:trPr>
        <w:tc>
          <w:tcPr>
            <w:tcW w:w="0" w:type="auto"/>
            <w:gridSpan w:val="3"/>
            <w:shd w:val="clear" w:color="auto" w:fill="auto"/>
            <w:tcMar>
              <w:top w:w="0" w:type="dxa"/>
              <w:left w:w="20" w:type="dxa"/>
              <w:bottom w:w="0" w:type="dxa"/>
              <w:right w:w="20" w:type="dxa"/>
            </w:tcMar>
            <w:vAlign w:val="bottom"/>
          </w:tcPr>
          <w:p w14:paraId="64303DC9"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3DCA" w14:textId="77777777" w:rsidR="009F6D8A" w:rsidRDefault="00C50974">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Mar>
              <w:top w:w="0" w:type="dxa"/>
              <w:left w:w="20" w:type="dxa"/>
              <w:bottom w:w="0" w:type="dxa"/>
              <w:right w:w="20" w:type="dxa"/>
            </w:tcMar>
            <w:vAlign w:val="bottom"/>
          </w:tcPr>
          <w:p w14:paraId="64303DCB"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3DCC" w14:textId="77777777" w:rsidR="009F6D8A" w:rsidRDefault="00C50974">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r>
      <w:tr w:rsidR="009F6D8A" w14:paraId="64303DD6" w14:textId="77777777">
        <w:trPr>
          <w:jc w:val="center"/>
        </w:trPr>
        <w:tc>
          <w:tcPr>
            <w:tcW w:w="0" w:type="auto"/>
            <w:gridSpan w:val="3"/>
            <w:shd w:val="clear" w:color="auto" w:fill="auto"/>
            <w:tcMar>
              <w:top w:w="0" w:type="dxa"/>
              <w:left w:w="20" w:type="dxa"/>
              <w:bottom w:w="0" w:type="dxa"/>
              <w:right w:w="20" w:type="dxa"/>
            </w:tcMar>
            <w:vAlign w:val="bottom"/>
          </w:tcPr>
          <w:p w14:paraId="64303DCE"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DCF"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DD0"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DD1" w14:textId="77777777" w:rsidR="009F6D8A" w:rsidRDefault="00C50974">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4303DD2"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DD3"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3DD4"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3DD5" w14:textId="77777777" w:rsidR="009F6D8A" w:rsidRDefault="00C50974">
            <w:pPr>
              <w:jc w:val="center"/>
              <w:textAlignment w:val="bottom"/>
            </w:pPr>
            <w:r>
              <w:rPr>
                <w:rFonts w:ascii="Arial" w:eastAsia="宋体" w:hAnsi="Arial" w:cs="Arial"/>
                <w:b/>
                <w:bCs/>
                <w:color w:val="000000"/>
                <w:sz w:val="16"/>
                <w:szCs w:val="16"/>
              </w:rPr>
              <w:t>2020</w:t>
            </w:r>
          </w:p>
        </w:tc>
      </w:tr>
      <w:tr w:rsidR="009F6D8A" w14:paraId="64303DE7" w14:textId="77777777">
        <w:trPr>
          <w:jc w:val="center"/>
        </w:trPr>
        <w:tc>
          <w:tcPr>
            <w:tcW w:w="0" w:type="auto"/>
            <w:gridSpan w:val="3"/>
            <w:shd w:val="clear" w:color="auto" w:fill="E2E2E2"/>
            <w:tcMar>
              <w:top w:w="40" w:type="dxa"/>
              <w:left w:w="20" w:type="dxa"/>
              <w:bottom w:w="40" w:type="dxa"/>
              <w:right w:w="20" w:type="dxa"/>
            </w:tcMar>
            <w:vAlign w:val="bottom"/>
          </w:tcPr>
          <w:p w14:paraId="64303DD7" w14:textId="77777777" w:rsidR="009F6D8A" w:rsidRDefault="00C50974">
            <w:pPr>
              <w:textAlignment w:val="bottom"/>
            </w:pPr>
            <w:r>
              <w:rPr>
                <w:rFonts w:ascii="Arial" w:eastAsia="宋体" w:hAnsi="Arial" w:cs="Arial"/>
                <w:color w:val="000000"/>
                <w:sz w:val="18"/>
                <w:szCs w:val="18"/>
              </w:rPr>
              <w:t>Carrying value, beginning of period</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3DD8"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DD9" w14:textId="77777777" w:rsidR="009F6D8A" w:rsidRDefault="00C50974">
            <w:pPr>
              <w:jc w:val="right"/>
              <w:textAlignment w:val="bottom"/>
            </w:pPr>
            <w:r>
              <w:rPr>
                <w:rFonts w:ascii="Arial" w:eastAsia="宋体" w:hAnsi="Arial" w:cs="Arial"/>
                <w:color w:val="000000"/>
                <w:sz w:val="18"/>
                <w:szCs w:val="18"/>
              </w:rPr>
              <w:t>528 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DD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DDB"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DD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DDD" w14:textId="77777777" w:rsidR="009F6D8A" w:rsidRDefault="00C50974">
            <w:pPr>
              <w:jc w:val="right"/>
              <w:textAlignment w:val="bottom"/>
            </w:pPr>
            <w:r>
              <w:rPr>
                <w:rFonts w:ascii="Arial" w:eastAsia="宋体" w:hAnsi="Arial" w:cs="Arial"/>
                <w:color w:val="000000"/>
                <w:sz w:val="18"/>
                <w:szCs w:val="18"/>
              </w:rPr>
              <w:t>296 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DD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DDF"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DE0"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DE1" w14:textId="77777777" w:rsidR="009F6D8A" w:rsidRDefault="00C50974">
            <w:pPr>
              <w:jc w:val="right"/>
              <w:textAlignment w:val="bottom"/>
            </w:pPr>
            <w:r>
              <w:rPr>
                <w:rFonts w:ascii="Arial" w:eastAsia="宋体" w:hAnsi="Arial" w:cs="Arial"/>
                <w:color w:val="000000"/>
                <w:sz w:val="18"/>
                <w:szCs w:val="18"/>
              </w:rPr>
              <w:t>539 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DE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DE3"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DE4"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DE5" w14:textId="77777777" w:rsidR="009F6D8A" w:rsidRDefault="00C50974">
            <w:pPr>
              <w:jc w:val="right"/>
              <w:textAlignment w:val="bottom"/>
            </w:pPr>
            <w:r>
              <w:rPr>
                <w:rFonts w:ascii="Arial" w:eastAsia="宋体" w:hAnsi="Arial" w:cs="Arial"/>
                <w:color w:val="000000"/>
                <w:sz w:val="18"/>
                <w:szCs w:val="18"/>
              </w:rPr>
              <w:t>307 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DE6" w14:textId="77777777" w:rsidR="009F6D8A" w:rsidRDefault="009F6D8A">
            <w:pPr>
              <w:jc w:val="right"/>
              <w:rPr>
                <w:rFonts w:ascii="宋体"/>
              </w:rPr>
            </w:pPr>
          </w:p>
        </w:tc>
      </w:tr>
      <w:tr w:rsidR="009F6D8A" w14:paraId="64303DF4" w14:textId="77777777">
        <w:trPr>
          <w:jc w:val="center"/>
        </w:trPr>
        <w:tc>
          <w:tcPr>
            <w:tcW w:w="0" w:type="auto"/>
            <w:gridSpan w:val="3"/>
            <w:shd w:val="clear" w:color="auto" w:fill="FFFFFF"/>
            <w:tcMar>
              <w:top w:w="40" w:type="dxa"/>
              <w:left w:w="155" w:type="dxa"/>
              <w:bottom w:w="40" w:type="dxa"/>
              <w:right w:w="20" w:type="dxa"/>
            </w:tcMar>
            <w:vAlign w:val="bottom"/>
          </w:tcPr>
          <w:p w14:paraId="64303DE8" w14:textId="77777777" w:rsidR="009F6D8A" w:rsidRDefault="00C50974">
            <w:pPr>
              <w:textAlignment w:val="bottom"/>
            </w:pPr>
            <w:r>
              <w:rPr>
                <w:rFonts w:ascii="Arial" w:eastAsia="宋体" w:hAnsi="Arial" w:cs="Arial"/>
                <w:color w:val="000000"/>
                <w:sz w:val="18"/>
                <w:szCs w:val="18"/>
              </w:rPr>
              <w:t>Additions</w:t>
            </w:r>
          </w:p>
        </w:tc>
        <w:tc>
          <w:tcPr>
            <w:tcW w:w="0" w:type="auto"/>
            <w:gridSpan w:val="2"/>
            <w:shd w:val="clear" w:color="auto" w:fill="FFFFFF"/>
            <w:tcMar>
              <w:top w:w="40" w:type="dxa"/>
              <w:left w:w="20" w:type="dxa"/>
              <w:bottom w:w="40" w:type="dxa"/>
              <w:right w:w="0" w:type="dxa"/>
            </w:tcMar>
            <w:vAlign w:val="bottom"/>
          </w:tcPr>
          <w:p w14:paraId="64303DE9"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4303DE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DEB"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DEC"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DE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DEE"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DEF"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4303DF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DF1"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DF2"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DF3" w14:textId="77777777" w:rsidR="009F6D8A" w:rsidRDefault="009F6D8A">
            <w:pPr>
              <w:jc w:val="right"/>
              <w:rPr>
                <w:rFonts w:ascii="宋体"/>
              </w:rPr>
            </w:pPr>
          </w:p>
        </w:tc>
      </w:tr>
      <w:tr w:rsidR="009F6D8A" w14:paraId="64303DFD" w14:textId="77777777">
        <w:trPr>
          <w:jc w:val="center"/>
          <w:hidden/>
        </w:trPr>
        <w:tc>
          <w:tcPr>
            <w:tcW w:w="0" w:type="auto"/>
            <w:gridSpan w:val="3"/>
            <w:shd w:val="clear" w:color="auto" w:fill="auto"/>
            <w:vAlign w:val="bottom"/>
          </w:tcPr>
          <w:p w14:paraId="64303DF5" w14:textId="77777777" w:rsidR="009F6D8A" w:rsidRDefault="009F6D8A">
            <w:pPr>
              <w:rPr>
                <w:rFonts w:ascii="宋体"/>
                <w:vanish/>
              </w:rPr>
            </w:pPr>
          </w:p>
        </w:tc>
        <w:tc>
          <w:tcPr>
            <w:tcW w:w="0" w:type="auto"/>
            <w:gridSpan w:val="3"/>
            <w:shd w:val="clear" w:color="auto" w:fill="auto"/>
            <w:vAlign w:val="bottom"/>
          </w:tcPr>
          <w:p w14:paraId="64303DF6" w14:textId="77777777" w:rsidR="009F6D8A" w:rsidRDefault="009F6D8A">
            <w:pPr>
              <w:rPr>
                <w:rFonts w:ascii="宋体"/>
                <w:vanish/>
              </w:rPr>
            </w:pPr>
          </w:p>
        </w:tc>
        <w:tc>
          <w:tcPr>
            <w:tcW w:w="0" w:type="auto"/>
            <w:gridSpan w:val="3"/>
            <w:shd w:val="clear" w:color="auto" w:fill="auto"/>
            <w:vAlign w:val="bottom"/>
          </w:tcPr>
          <w:p w14:paraId="64303DF7" w14:textId="77777777" w:rsidR="009F6D8A" w:rsidRDefault="009F6D8A">
            <w:pPr>
              <w:rPr>
                <w:rFonts w:ascii="宋体"/>
                <w:vanish/>
              </w:rPr>
            </w:pPr>
          </w:p>
        </w:tc>
        <w:tc>
          <w:tcPr>
            <w:tcW w:w="0" w:type="auto"/>
            <w:gridSpan w:val="3"/>
            <w:shd w:val="clear" w:color="auto" w:fill="auto"/>
            <w:vAlign w:val="bottom"/>
          </w:tcPr>
          <w:p w14:paraId="64303DF8" w14:textId="77777777" w:rsidR="009F6D8A" w:rsidRDefault="009F6D8A">
            <w:pPr>
              <w:rPr>
                <w:rFonts w:ascii="宋体"/>
                <w:vanish/>
              </w:rPr>
            </w:pPr>
          </w:p>
        </w:tc>
        <w:tc>
          <w:tcPr>
            <w:tcW w:w="0" w:type="auto"/>
            <w:gridSpan w:val="3"/>
            <w:shd w:val="clear" w:color="auto" w:fill="auto"/>
            <w:vAlign w:val="bottom"/>
          </w:tcPr>
          <w:p w14:paraId="64303DF9" w14:textId="77777777" w:rsidR="009F6D8A" w:rsidRDefault="009F6D8A">
            <w:pPr>
              <w:rPr>
                <w:rFonts w:ascii="宋体"/>
                <w:vanish/>
              </w:rPr>
            </w:pPr>
          </w:p>
        </w:tc>
        <w:tc>
          <w:tcPr>
            <w:tcW w:w="0" w:type="auto"/>
            <w:gridSpan w:val="3"/>
            <w:shd w:val="clear" w:color="auto" w:fill="auto"/>
            <w:vAlign w:val="bottom"/>
          </w:tcPr>
          <w:p w14:paraId="64303DFA" w14:textId="77777777" w:rsidR="009F6D8A" w:rsidRDefault="009F6D8A">
            <w:pPr>
              <w:rPr>
                <w:rFonts w:ascii="宋体"/>
                <w:vanish/>
              </w:rPr>
            </w:pPr>
          </w:p>
        </w:tc>
        <w:tc>
          <w:tcPr>
            <w:tcW w:w="0" w:type="auto"/>
            <w:gridSpan w:val="3"/>
            <w:shd w:val="clear" w:color="auto" w:fill="auto"/>
            <w:vAlign w:val="bottom"/>
          </w:tcPr>
          <w:p w14:paraId="64303DFB" w14:textId="77777777" w:rsidR="009F6D8A" w:rsidRDefault="009F6D8A">
            <w:pPr>
              <w:rPr>
                <w:rFonts w:ascii="宋体"/>
                <w:vanish/>
              </w:rPr>
            </w:pPr>
          </w:p>
        </w:tc>
        <w:tc>
          <w:tcPr>
            <w:tcW w:w="0" w:type="auto"/>
            <w:gridSpan w:val="3"/>
            <w:shd w:val="clear" w:color="auto" w:fill="auto"/>
            <w:vAlign w:val="bottom"/>
          </w:tcPr>
          <w:p w14:paraId="64303DFC" w14:textId="77777777" w:rsidR="009F6D8A" w:rsidRDefault="009F6D8A">
            <w:pPr>
              <w:rPr>
                <w:rFonts w:ascii="宋体"/>
                <w:vanish/>
              </w:rPr>
            </w:pPr>
          </w:p>
        </w:tc>
      </w:tr>
      <w:tr w:rsidR="009F6D8A" w14:paraId="64303E0A" w14:textId="77777777">
        <w:trPr>
          <w:jc w:val="center"/>
        </w:trPr>
        <w:tc>
          <w:tcPr>
            <w:tcW w:w="0" w:type="auto"/>
            <w:gridSpan w:val="3"/>
            <w:shd w:val="clear" w:color="auto" w:fill="E2E2E2"/>
            <w:tcMar>
              <w:top w:w="40" w:type="dxa"/>
              <w:left w:w="155" w:type="dxa"/>
              <w:bottom w:w="40" w:type="dxa"/>
              <w:right w:w="20" w:type="dxa"/>
            </w:tcMar>
            <w:vAlign w:val="bottom"/>
          </w:tcPr>
          <w:p w14:paraId="64303DFE" w14:textId="77777777" w:rsidR="009F6D8A" w:rsidRDefault="00C50974">
            <w:pPr>
              <w:textAlignment w:val="bottom"/>
            </w:pPr>
            <w:r>
              <w:rPr>
                <w:rFonts w:ascii="Arial" w:eastAsia="宋体" w:hAnsi="Arial" w:cs="Arial"/>
                <w:color w:val="000000"/>
                <w:sz w:val="18"/>
                <w:szCs w:val="18"/>
              </w:rPr>
              <w:t>Upward adjustments for observable price changes</w:t>
            </w:r>
          </w:p>
        </w:tc>
        <w:tc>
          <w:tcPr>
            <w:tcW w:w="0" w:type="auto"/>
            <w:gridSpan w:val="2"/>
            <w:shd w:val="clear" w:color="auto" w:fill="E2E2E2"/>
            <w:tcMar>
              <w:top w:w="40" w:type="dxa"/>
              <w:left w:w="20" w:type="dxa"/>
              <w:bottom w:w="40" w:type="dxa"/>
              <w:right w:w="0" w:type="dxa"/>
            </w:tcMar>
            <w:vAlign w:val="bottom"/>
          </w:tcPr>
          <w:p w14:paraId="64303DFF" w14:textId="77777777" w:rsidR="009F6D8A" w:rsidRDefault="00C50974">
            <w:pPr>
              <w:jc w:val="right"/>
              <w:textAlignment w:val="bottom"/>
            </w:pPr>
            <w:r>
              <w:rPr>
                <w:rFonts w:ascii="Arial" w:eastAsia="宋体" w:hAnsi="Arial" w:cs="Arial"/>
                <w:color w:val="000000"/>
                <w:sz w:val="18"/>
                <w:szCs w:val="18"/>
              </w:rPr>
              <w:t>41 </w:t>
            </w:r>
          </w:p>
        </w:tc>
        <w:tc>
          <w:tcPr>
            <w:tcW w:w="0" w:type="auto"/>
            <w:shd w:val="clear" w:color="auto" w:fill="E2E2E2"/>
            <w:tcMar>
              <w:top w:w="40" w:type="dxa"/>
              <w:left w:w="0" w:type="dxa"/>
              <w:bottom w:w="40" w:type="dxa"/>
              <w:right w:w="20" w:type="dxa"/>
            </w:tcMar>
            <w:vAlign w:val="bottom"/>
          </w:tcPr>
          <w:p w14:paraId="64303E00"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E01"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E02"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3E03"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E04"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E05" w14:textId="77777777" w:rsidR="009F6D8A" w:rsidRDefault="00C50974">
            <w:pPr>
              <w:jc w:val="right"/>
              <w:textAlignment w:val="bottom"/>
            </w:pPr>
            <w:r>
              <w:rPr>
                <w:rFonts w:ascii="Arial" w:eastAsia="宋体" w:hAnsi="Arial" w:cs="Arial"/>
                <w:color w:val="000000"/>
                <w:sz w:val="18"/>
                <w:szCs w:val="18"/>
              </w:rPr>
              <w:t>41 </w:t>
            </w:r>
          </w:p>
        </w:tc>
        <w:tc>
          <w:tcPr>
            <w:tcW w:w="0" w:type="auto"/>
            <w:shd w:val="clear" w:color="auto" w:fill="E2E2E2"/>
            <w:tcMar>
              <w:top w:w="40" w:type="dxa"/>
              <w:left w:w="0" w:type="dxa"/>
              <w:bottom w:w="40" w:type="dxa"/>
              <w:right w:w="20" w:type="dxa"/>
            </w:tcMar>
            <w:vAlign w:val="bottom"/>
          </w:tcPr>
          <w:p w14:paraId="64303E0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E07"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E08"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3E09" w14:textId="77777777" w:rsidR="009F6D8A" w:rsidRDefault="009F6D8A">
            <w:pPr>
              <w:jc w:val="right"/>
              <w:rPr>
                <w:rFonts w:ascii="宋体"/>
              </w:rPr>
            </w:pPr>
          </w:p>
        </w:tc>
      </w:tr>
      <w:tr w:rsidR="009F6D8A" w14:paraId="64303E17" w14:textId="77777777">
        <w:trPr>
          <w:jc w:val="center"/>
        </w:trPr>
        <w:tc>
          <w:tcPr>
            <w:tcW w:w="0" w:type="auto"/>
            <w:gridSpan w:val="3"/>
            <w:shd w:val="clear" w:color="auto" w:fill="FFFFFF"/>
            <w:tcMar>
              <w:top w:w="40" w:type="dxa"/>
              <w:left w:w="155" w:type="dxa"/>
              <w:bottom w:w="40" w:type="dxa"/>
              <w:right w:w="20" w:type="dxa"/>
            </w:tcMar>
            <w:vAlign w:val="bottom"/>
          </w:tcPr>
          <w:p w14:paraId="64303E0B" w14:textId="77777777" w:rsidR="009F6D8A" w:rsidRDefault="00C50974">
            <w:pPr>
              <w:textAlignment w:val="bottom"/>
            </w:pPr>
            <w:r>
              <w:rPr>
                <w:rFonts w:ascii="Arial" w:eastAsia="宋体" w:hAnsi="Arial" w:cs="Arial"/>
                <w:color w:val="000000"/>
                <w:sz w:val="18"/>
                <w:szCs w:val="18"/>
              </w:rPr>
              <w:t>Downward adjustments for observable price changes and impairment</w:t>
            </w:r>
          </w:p>
        </w:tc>
        <w:tc>
          <w:tcPr>
            <w:tcW w:w="0" w:type="auto"/>
            <w:gridSpan w:val="2"/>
            <w:shd w:val="clear" w:color="auto" w:fill="FFFFFF"/>
            <w:tcMar>
              <w:top w:w="40" w:type="dxa"/>
              <w:left w:w="20" w:type="dxa"/>
              <w:bottom w:w="40" w:type="dxa"/>
              <w:right w:w="0" w:type="dxa"/>
            </w:tcMar>
            <w:vAlign w:val="bottom"/>
          </w:tcPr>
          <w:p w14:paraId="64303E0C"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E0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E0E"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E0F" w14:textId="77777777" w:rsidR="009F6D8A" w:rsidRDefault="00C50974">
            <w:pPr>
              <w:jc w:val="right"/>
              <w:textAlignment w:val="bottom"/>
            </w:pPr>
            <w:r>
              <w:rPr>
                <w:rFonts w:ascii="Arial" w:eastAsia="宋体" w:hAnsi="Arial" w:cs="Arial"/>
                <w:color w:val="000000"/>
                <w:sz w:val="18"/>
                <w:szCs w:val="18"/>
              </w:rPr>
              <w:t>(40)</w:t>
            </w:r>
          </w:p>
        </w:tc>
        <w:tc>
          <w:tcPr>
            <w:tcW w:w="0" w:type="auto"/>
            <w:shd w:val="clear" w:color="auto" w:fill="FFFFFF"/>
            <w:tcMar>
              <w:top w:w="40" w:type="dxa"/>
              <w:left w:w="0" w:type="dxa"/>
              <w:bottom w:w="40" w:type="dxa"/>
              <w:right w:w="20" w:type="dxa"/>
            </w:tcMar>
            <w:vAlign w:val="bottom"/>
          </w:tcPr>
          <w:p w14:paraId="64303E1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E11"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E12"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E1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E1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E15" w14:textId="77777777" w:rsidR="009F6D8A" w:rsidRDefault="00C50974">
            <w:pPr>
              <w:jc w:val="right"/>
              <w:textAlignment w:val="bottom"/>
            </w:pPr>
            <w:r>
              <w:rPr>
                <w:rFonts w:ascii="Arial" w:eastAsia="宋体" w:hAnsi="Arial" w:cs="Arial"/>
                <w:color w:val="000000"/>
                <w:sz w:val="18"/>
                <w:szCs w:val="18"/>
              </w:rPr>
              <w:t>(40)</w:t>
            </w:r>
          </w:p>
        </w:tc>
        <w:tc>
          <w:tcPr>
            <w:tcW w:w="0" w:type="auto"/>
            <w:shd w:val="clear" w:color="auto" w:fill="FFFFFF"/>
            <w:tcMar>
              <w:top w:w="40" w:type="dxa"/>
              <w:left w:w="0" w:type="dxa"/>
              <w:bottom w:w="40" w:type="dxa"/>
              <w:right w:w="20" w:type="dxa"/>
            </w:tcMar>
            <w:vAlign w:val="bottom"/>
          </w:tcPr>
          <w:p w14:paraId="64303E16" w14:textId="77777777" w:rsidR="009F6D8A" w:rsidRDefault="009F6D8A">
            <w:pPr>
              <w:jc w:val="right"/>
              <w:rPr>
                <w:rFonts w:ascii="宋体"/>
              </w:rPr>
            </w:pPr>
          </w:p>
        </w:tc>
      </w:tr>
      <w:tr w:rsidR="009F6D8A" w14:paraId="64303E24" w14:textId="77777777">
        <w:trPr>
          <w:jc w:val="center"/>
        </w:trPr>
        <w:tc>
          <w:tcPr>
            <w:tcW w:w="0" w:type="auto"/>
            <w:gridSpan w:val="3"/>
            <w:shd w:val="clear" w:color="auto" w:fill="E2E2E2"/>
            <w:tcMar>
              <w:top w:w="40" w:type="dxa"/>
              <w:left w:w="155" w:type="dxa"/>
              <w:bottom w:w="40" w:type="dxa"/>
              <w:right w:w="20" w:type="dxa"/>
            </w:tcMar>
            <w:vAlign w:val="bottom"/>
          </w:tcPr>
          <w:p w14:paraId="64303E18" w14:textId="77777777" w:rsidR="009F6D8A" w:rsidRDefault="00C50974">
            <w:pPr>
              <w:textAlignment w:val="bottom"/>
            </w:pPr>
            <w:r>
              <w:rPr>
                <w:rFonts w:ascii="Arial" w:eastAsia="宋体" w:hAnsi="Arial" w:cs="Arial"/>
                <w:color w:val="000000"/>
                <w:sz w:val="18"/>
                <w:szCs w:val="18"/>
              </w:rPr>
              <w:t>Foreign currency translation and other</w:t>
            </w:r>
          </w:p>
        </w:tc>
        <w:tc>
          <w:tcPr>
            <w:tcW w:w="0" w:type="auto"/>
            <w:gridSpan w:val="2"/>
            <w:shd w:val="clear" w:color="auto" w:fill="E2E2E2"/>
            <w:tcMar>
              <w:top w:w="40" w:type="dxa"/>
              <w:left w:w="20" w:type="dxa"/>
              <w:bottom w:w="40" w:type="dxa"/>
              <w:right w:w="0" w:type="dxa"/>
            </w:tcMar>
            <w:vAlign w:val="bottom"/>
          </w:tcPr>
          <w:p w14:paraId="64303E19"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64303E1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E1B"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E1C" w14:textId="77777777" w:rsidR="009F6D8A" w:rsidRDefault="00C50974">
            <w:pPr>
              <w:jc w:val="right"/>
              <w:textAlignment w:val="bottom"/>
            </w:pPr>
            <w:r>
              <w:rPr>
                <w:rFonts w:ascii="Arial" w:eastAsia="宋体" w:hAnsi="Arial" w:cs="Arial"/>
                <w:color w:val="000000"/>
                <w:sz w:val="18"/>
                <w:szCs w:val="18"/>
              </w:rPr>
              <w:t>5 </w:t>
            </w:r>
          </w:p>
        </w:tc>
        <w:tc>
          <w:tcPr>
            <w:tcW w:w="0" w:type="auto"/>
            <w:shd w:val="clear" w:color="auto" w:fill="E2E2E2"/>
            <w:tcMar>
              <w:top w:w="40" w:type="dxa"/>
              <w:left w:w="0" w:type="dxa"/>
              <w:bottom w:w="40" w:type="dxa"/>
              <w:right w:w="20" w:type="dxa"/>
            </w:tcMar>
            <w:vAlign w:val="bottom"/>
          </w:tcPr>
          <w:p w14:paraId="64303E1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E1E"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E1F" w14:textId="77777777" w:rsidR="009F6D8A" w:rsidRDefault="00C50974">
            <w:pPr>
              <w:jc w:val="right"/>
              <w:textAlignment w:val="bottom"/>
            </w:pPr>
            <w:r>
              <w:rPr>
                <w:rFonts w:ascii="Arial" w:eastAsia="宋体" w:hAnsi="Arial" w:cs="Arial"/>
                <w:color w:val="000000"/>
                <w:sz w:val="18"/>
                <w:szCs w:val="18"/>
              </w:rPr>
              <w:t>(10)</w:t>
            </w:r>
          </w:p>
        </w:tc>
        <w:tc>
          <w:tcPr>
            <w:tcW w:w="0" w:type="auto"/>
            <w:shd w:val="clear" w:color="auto" w:fill="E2E2E2"/>
            <w:tcMar>
              <w:top w:w="40" w:type="dxa"/>
              <w:left w:w="0" w:type="dxa"/>
              <w:bottom w:w="40" w:type="dxa"/>
              <w:right w:w="20" w:type="dxa"/>
            </w:tcMar>
            <w:vAlign w:val="bottom"/>
          </w:tcPr>
          <w:p w14:paraId="64303E20"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E21"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E22" w14:textId="77777777" w:rsidR="009F6D8A" w:rsidRDefault="00C50974">
            <w:pPr>
              <w:jc w:val="right"/>
              <w:textAlignment w:val="bottom"/>
            </w:pPr>
            <w:r>
              <w:rPr>
                <w:rFonts w:ascii="Arial" w:eastAsia="宋体" w:hAnsi="Arial" w:cs="Arial"/>
                <w:color w:val="000000"/>
                <w:sz w:val="18"/>
                <w:szCs w:val="18"/>
              </w:rPr>
              <w:t>(6)</w:t>
            </w:r>
          </w:p>
        </w:tc>
        <w:tc>
          <w:tcPr>
            <w:tcW w:w="0" w:type="auto"/>
            <w:shd w:val="clear" w:color="auto" w:fill="E2E2E2"/>
            <w:tcMar>
              <w:top w:w="40" w:type="dxa"/>
              <w:left w:w="0" w:type="dxa"/>
              <w:bottom w:w="40" w:type="dxa"/>
              <w:right w:w="20" w:type="dxa"/>
            </w:tcMar>
            <w:vAlign w:val="bottom"/>
          </w:tcPr>
          <w:p w14:paraId="64303E23" w14:textId="77777777" w:rsidR="009F6D8A" w:rsidRDefault="009F6D8A">
            <w:pPr>
              <w:jc w:val="right"/>
              <w:rPr>
                <w:rFonts w:ascii="宋体"/>
              </w:rPr>
            </w:pPr>
          </w:p>
        </w:tc>
      </w:tr>
      <w:tr w:rsidR="009F6D8A" w14:paraId="64303E35" w14:textId="77777777">
        <w:trPr>
          <w:jc w:val="center"/>
        </w:trPr>
        <w:tc>
          <w:tcPr>
            <w:tcW w:w="0" w:type="auto"/>
            <w:gridSpan w:val="3"/>
            <w:shd w:val="clear" w:color="auto" w:fill="FFFFFF"/>
            <w:tcMar>
              <w:top w:w="40" w:type="dxa"/>
              <w:left w:w="20" w:type="dxa"/>
              <w:bottom w:w="40" w:type="dxa"/>
              <w:right w:w="20" w:type="dxa"/>
            </w:tcMar>
            <w:vAlign w:val="bottom"/>
          </w:tcPr>
          <w:p w14:paraId="64303E25" w14:textId="77777777" w:rsidR="009F6D8A" w:rsidRDefault="00C50974">
            <w:pPr>
              <w:textAlignment w:val="bottom"/>
            </w:pPr>
            <w:r>
              <w:rPr>
                <w:rFonts w:ascii="Arial" w:eastAsia="宋体" w:hAnsi="Arial" w:cs="Arial"/>
                <w:color w:val="000000"/>
                <w:sz w:val="18"/>
                <w:szCs w:val="18"/>
              </w:rPr>
              <w:t>Carrying value,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3E26"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3E27" w14:textId="77777777" w:rsidR="009F6D8A" w:rsidRDefault="00C50974">
            <w:pPr>
              <w:jc w:val="right"/>
              <w:textAlignment w:val="bottom"/>
            </w:pPr>
            <w:r>
              <w:rPr>
                <w:rFonts w:ascii="Arial" w:eastAsia="宋体" w:hAnsi="Arial" w:cs="Arial"/>
                <w:color w:val="000000"/>
                <w:sz w:val="18"/>
                <w:szCs w:val="18"/>
              </w:rPr>
              <w:t>571 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3E2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E29"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3E2A"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3E2B" w14:textId="77777777" w:rsidR="009F6D8A" w:rsidRDefault="00C50974">
            <w:pPr>
              <w:jc w:val="right"/>
              <w:textAlignment w:val="bottom"/>
            </w:pPr>
            <w:r>
              <w:rPr>
                <w:rFonts w:ascii="Arial" w:eastAsia="宋体" w:hAnsi="Arial" w:cs="Arial"/>
                <w:color w:val="000000"/>
                <w:sz w:val="18"/>
                <w:szCs w:val="18"/>
              </w:rPr>
              <w:t>261 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3E2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E2D"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3E2E"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3E2F" w14:textId="77777777" w:rsidR="009F6D8A" w:rsidRDefault="00C50974">
            <w:pPr>
              <w:jc w:val="right"/>
              <w:textAlignment w:val="bottom"/>
            </w:pPr>
            <w:r>
              <w:rPr>
                <w:rFonts w:ascii="Arial" w:eastAsia="宋体" w:hAnsi="Arial" w:cs="Arial"/>
                <w:color w:val="000000"/>
                <w:sz w:val="18"/>
                <w:szCs w:val="18"/>
              </w:rPr>
              <w:t>571 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3E3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E31"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3E32"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3E33" w14:textId="77777777" w:rsidR="009F6D8A" w:rsidRDefault="00C50974">
            <w:pPr>
              <w:jc w:val="right"/>
              <w:textAlignment w:val="bottom"/>
            </w:pPr>
            <w:r>
              <w:rPr>
                <w:rFonts w:ascii="Arial" w:eastAsia="宋体" w:hAnsi="Arial" w:cs="Arial"/>
                <w:color w:val="000000"/>
                <w:sz w:val="18"/>
                <w:szCs w:val="18"/>
              </w:rPr>
              <w:t>261 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3E34" w14:textId="77777777" w:rsidR="009F6D8A" w:rsidRDefault="009F6D8A">
            <w:pPr>
              <w:jc w:val="right"/>
              <w:rPr>
                <w:rFonts w:ascii="宋体"/>
              </w:rPr>
            </w:pPr>
          </w:p>
        </w:tc>
      </w:tr>
    </w:tbl>
    <w:p w14:paraId="64303E36" w14:textId="77777777" w:rsidR="009F6D8A" w:rsidRDefault="009F6D8A">
      <w:pPr>
        <w:jc w:val="both"/>
      </w:pPr>
    </w:p>
    <w:p w14:paraId="64303E37" w14:textId="77777777" w:rsidR="009F6D8A" w:rsidRDefault="00C50974">
      <w:pPr>
        <w:ind w:firstLine="540"/>
        <w:jc w:val="both"/>
      </w:pPr>
      <w:r>
        <w:rPr>
          <w:rFonts w:ascii="Arial" w:eastAsia="宋体" w:hAnsi="Arial" w:cs="Arial"/>
          <w:color w:val="000000"/>
          <w:sz w:val="20"/>
          <w:szCs w:val="20"/>
        </w:rPr>
        <w:t>For such equity investments without readily determinable fair values still held at June 30, 2021, the cumula</w:t>
      </w:r>
      <w:r>
        <w:rPr>
          <w:rFonts w:ascii="Arial" w:eastAsia="宋体" w:hAnsi="Arial" w:cs="Arial"/>
          <w:color w:val="000000"/>
          <w:sz w:val="20"/>
          <w:szCs w:val="20"/>
        </w:rPr>
        <w:t xml:space="preserve">tive upward adjustment for observable price changes were $280 million and cumulative downward adjustments for observable price changes and impairments were $121 million. </w:t>
      </w:r>
    </w:p>
    <w:p w14:paraId="64303E38" w14:textId="77777777" w:rsidR="009F6D8A" w:rsidRDefault="009F6D8A">
      <w:pPr>
        <w:jc w:val="both"/>
      </w:pPr>
    </w:p>
    <w:p w14:paraId="64303E39" w14:textId="77777777" w:rsidR="009F6D8A" w:rsidRDefault="00C50974">
      <w:r>
        <w:rPr>
          <w:rFonts w:ascii="Arial" w:eastAsia="宋体" w:hAnsi="Arial" w:cs="Arial"/>
          <w:b/>
          <w:bCs/>
          <w:color w:val="000000"/>
          <w:sz w:val="20"/>
          <w:szCs w:val="20"/>
        </w:rPr>
        <w:t xml:space="preserve">Note 7 — Derivative Instruments </w:t>
      </w:r>
    </w:p>
    <w:p w14:paraId="64303E3A" w14:textId="77777777" w:rsidR="009F6D8A" w:rsidRDefault="009F6D8A"/>
    <w:p w14:paraId="64303E3B" w14:textId="77777777" w:rsidR="009F6D8A" w:rsidRDefault="00C50974">
      <w:pPr>
        <w:ind w:firstLine="540"/>
        <w:jc w:val="both"/>
      </w:pPr>
      <w:r>
        <w:rPr>
          <w:rFonts w:ascii="Arial" w:eastAsia="宋体" w:hAnsi="Arial" w:cs="Arial"/>
          <w:color w:val="000000"/>
          <w:sz w:val="20"/>
          <w:szCs w:val="20"/>
        </w:rPr>
        <w:t xml:space="preserve">Our primary objective in holding </w:t>
      </w:r>
      <w:r>
        <w:rPr>
          <w:rFonts w:ascii="Arial" w:eastAsia="宋体" w:hAnsi="Arial" w:cs="Arial"/>
          <w:color w:val="000000"/>
          <w:sz w:val="20"/>
          <w:szCs w:val="20"/>
        </w:rPr>
        <w:t>derivatives is to reduce the volatility of earnings and cash flows associated with changes in foreign currency exchange rates and interest rates. These hedging contracts reduce, but do not entirely eliminate, the impact of adverse foreign exchange rate and</w:t>
      </w:r>
      <w:r>
        <w:rPr>
          <w:rFonts w:ascii="Arial" w:eastAsia="宋体" w:hAnsi="Arial" w:cs="Arial"/>
          <w:color w:val="000000"/>
          <w:sz w:val="20"/>
          <w:szCs w:val="20"/>
        </w:rPr>
        <w:t xml:space="preserve"> interest rate movements. We do not use any of our derivative instruments for trading purposes.</w:t>
      </w:r>
    </w:p>
    <w:p w14:paraId="64303E3C" w14:textId="77777777" w:rsidR="009F6D8A" w:rsidRDefault="009F6D8A">
      <w:pPr>
        <w:ind w:firstLine="540"/>
        <w:jc w:val="both"/>
      </w:pPr>
    </w:p>
    <w:p w14:paraId="64303E3D" w14:textId="77777777" w:rsidR="009F6D8A" w:rsidRDefault="00C50974">
      <w:pPr>
        <w:ind w:firstLine="540"/>
        <w:jc w:val="both"/>
      </w:pPr>
      <w:r>
        <w:rPr>
          <w:rFonts w:ascii="Arial" w:eastAsia="宋体" w:hAnsi="Arial" w:cs="Arial"/>
          <w:color w:val="000000"/>
          <w:sz w:val="20"/>
          <w:szCs w:val="20"/>
        </w:rPr>
        <w:t>We use foreign currency exchange contracts to reduce the volatility of cash flows related to forecasted revenues, expenses, assets and liabilities, including i</w:t>
      </w:r>
      <w:r>
        <w:rPr>
          <w:rFonts w:ascii="Arial" w:eastAsia="宋体" w:hAnsi="Arial" w:cs="Arial"/>
          <w:color w:val="000000"/>
          <w:sz w:val="20"/>
          <w:szCs w:val="20"/>
        </w:rPr>
        <w:t>ntercompany balances denominated in foreign currencies. These contracts are generally one month to one year in duration but with maturities up to 24 months. The objective of the foreign exchange contracts is to better ensure that ultimately the U.S. dollar</w:t>
      </w:r>
      <w:r>
        <w:rPr>
          <w:rFonts w:ascii="Arial" w:eastAsia="宋体" w:hAnsi="Arial" w:cs="Arial"/>
          <w:color w:val="000000"/>
          <w:sz w:val="20"/>
          <w:szCs w:val="20"/>
        </w:rPr>
        <w:t>-equivalent cash flows are not adversely affected by changes in the applicable U.S. dollar/foreign currency exchange rate. We evaluate the effectiveness of our foreign exchange contracts designated as cash flow or net investment hedges on a quarterly basis</w:t>
      </w:r>
      <w:r>
        <w:rPr>
          <w:rFonts w:ascii="Arial" w:eastAsia="宋体" w:hAnsi="Arial" w:cs="Arial"/>
          <w:color w:val="000000"/>
          <w:sz w:val="20"/>
          <w:szCs w:val="20"/>
        </w:rPr>
        <w:t xml:space="preserve">. </w:t>
      </w:r>
    </w:p>
    <w:p w14:paraId="64303E3E" w14:textId="77777777" w:rsidR="009F6D8A" w:rsidRDefault="009F6D8A">
      <w:pPr>
        <w:ind w:firstLine="540"/>
        <w:jc w:val="both"/>
      </w:pPr>
    </w:p>
    <w:p w14:paraId="64303E3F" w14:textId="77777777" w:rsidR="009F6D8A" w:rsidRDefault="00C50974">
      <w:pPr>
        <w:ind w:firstLine="540"/>
        <w:jc w:val="both"/>
      </w:pPr>
      <w:r>
        <w:rPr>
          <w:rFonts w:ascii="Arial" w:eastAsia="宋体" w:hAnsi="Arial" w:cs="Arial"/>
          <w:color w:val="000000"/>
          <w:sz w:val="20"/>
          <w:szCs w:val="20"/>
        </w:rPr>
        <w:t>In 2020, we began to hedge the variability of forecasted interest payments on anticipated debt issuance using forward-starting interest rate swaps. These interest rate swaps effectively fixed the benchmark interest rate and had the economic effect of h</w:t>
      </w:r>
      <w:r>
        <w:rPr>
          <w:rFonts w:ascii="Arial" w:eastAsia="宋体" w:hAnsi="Arial" w:cs="Arial"/>
          <w:color w:val="000000"/>
          <w:sz w:val="20"/>
          <w:szCs w:val="20"/>
        </w:rPr>
        <w:t>edging the variability of forecasted interest payments for up to 10 years on an anticipated debt issuance. Similar to other cash flow hedges, we recorded changes in the fair value of these interest rate swaps in accumulated other comprehensive income (loss</w:t>
      </w:r>
      <w:r>
        <w:rPr>
          <w:rFonts w:ascii="Arial" w:eastAsia="宋体" w:hAnsi="Arial" w:cs="Arial"/>
          <w:color w:val="000000"/>
          <w:sz w:val="20"/>
          <w:szCs w:val="20"/>
        </w:rPr>
        <w:t xml:space="preserve">) until the anticipated debt issuance. In May 2021, we issued $2.5 billion of senior unsecured notes, which consisted of notes maturing in 2026, 2031 and 2051. As a result, we terminated the interest rate swaps and the gain associated with the termination </w:t>
      </w:r>
      <w:r>
        <w:rPr>
          <w:rFonts w:ascii="Arial" w:eastAsia="宋体" w:hAnsi="Arial" w:cs="Arial"/>
          <w:color w:val="000000"/>
          <w:sz w:val="20"/>
          <w:szCs w:val="20"/>
        </w:rPr>
        <w:t>of approximately $45 million will be amortized to interest expense over the terms of our notes due in May 2026 and May 2031.</w:t>
      </w:r>
    </w:p>
    <w:p w14:paraId="64303E40" w14:textId="77777777" w:rsidR="009F6D8A" w:rsidRDefault="009F6D8A">
      <w:pPr>
        <w:ind w:firstLine="540"/>
        <w:jc w:val="both"/>
      </w:pPr>
    </w:p>
    <w:p w14:paraId="64303E41" w14:textId="77777777" w:rsidR="009F6D8A" w:rsidRDefault="009F6D8A">
      <w:pPr>
        <w:jc w:val="center"/>
      </w:pPr>
    </w:p>
    <w:p w14:paraId="64303E42" w14:textId="77777777" w:rsidR="009F6D8A" w:rsidRDefault="00C50974">
      <w:pPr>
        <w:jc w:val="center"/>
      </w:pPr>
      <w:r>
        <w:rPr>
          <w:rFonts w:ascii="Arial" w:eastAsia="宋体" w:hAnsi="Arial" w:cs="Arial"/>
          <w:color w:val="000000"/>
          <w:sz w:val="20"/>
          <w:szCs w:val="20"/>
        </w:rPr>
        <w:t>22</w:t>
      </w:r>
    </w:p>
    <w:p w14:paraId="64303E43" w14:textId="77777777" w:rsidR="009F6D8A" w:rsidRDefault="00C50974">
      <w:r>
        <w:pict w14:anchorId="64305819">
          <v:rect id="_x0000_i1046" style="width:415.3pt;height:1.5pt" o:hralign="center" o:hrstd="t" o:hr="t" fillcolor="#a0a0a0" stroked="f"/>
        </w:pict>
      </w:r>
    </w:p>
    <w:p w14:paraId="64303E44" w14:textId="77777777" w:rsidR="009F6D8A" w:rsidRDefault="009F6D8A">
      <w:pPr>
        <w:jc w:val="center"/>
      </w:pPr>
    </w:p>
    <w:p w14:paraId="64303E45" w14:textId="77777777" w:rsidR="009F6D8A" w:rsidRDefault="00C50974">
      <w:pPr>
        <w:jc w:val="center"/>
      </w:pPr>
      <w:r>
        <w:rPr>
          <w:rFonts w:ascii="Arial" w:eastAsia="宋体" w:hAnsi="Arial" w:cs="Arial"/>
          <w:b/>
          <w:bCs/>
          <w:color w:val="000000"/>
          <w:sz w:val="20"/>
          <w:szCs w:val="20"/>
        </w:rPr>
        <w:t>eBay Inc.</w:t>
      </w:r>
    </w:p>
    <w:p w14:paraId="64303E46"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3E47" w14:textId="77777777" w:rsidR="009F6D8A" w:rsidRDefault="00C50974">
      <w:pPr>
        <w:ind w:firstLine="540"/>
        <w:jc w:val="both"/>
      </w:pPr>
      <w:r>
        <w:rPr>
          <w:rFonts w:ascii="Arial" w:eastAsia="宋体" w:hAnsi="Arial" w:cs="Arial"/>
          <w:color w:val="000000"/>
          <w:sz w:val="20"/>
          <w:szCs w:val="20"/>
        </w:rPr>
        <w:t>During 2020, we began to hedge the variability o</w:t>
      </w:r>
      <w:r>
        <w:rPr>
          <w:rFonts w:ascii="Arial" w:eastAsia="宋体" w:hAnsi="Arial" w:cs="Arial"/>
          <w:color w:val="000000"/>
          <w:sz w:val="20"/>
          <w:szCs w:val="20"/>
        </w:rPr>
        <w:t xml:space="preserve">f the cash flows in interest payments associated with our floating-rate debt using interest rate swaps. These interest rate swap agreements effectively convert our floating-rate debt that is based on London Interbank Offered Rate (“LIBOR”) to a fixed-rate </w:t>
      </w:r>
      <w:r>
        <w:rPr>
          <w:rFonts w:ascii="Arial" w:eastAsia="宋体" w:hAnsi="Arial" w:cs="Arial"/>
          <w:color w:val="000000"/>
          <w:sz w:val="20"/>
          <w:szCs w:val="20"/>
        </w:rPr>
        <w:t>basis, reducing the impact of interest-rate changes on future interest expense. The total notional amount of these interest rate swaps was $400 million as of June 30, 2021 with terms calling for us to receive interest at a variable rate and to pay interest</w:t>
      </w:r>
      <w:r>
        <w:rPr>
          <w:rFonts w:ascii="Arial" w:eastAsia="宋体" w:hAnsi="Arial" w:cs="Arial"/>
          <w:color w:val="000000"/>
          <w:sz w:val="20"/>
          <w:szCs w:val="20"/>
        </w:rPr>
        <w:t xml:space="preserve"> at a fixed rate. Our interest rate swap contracts have maturity dates in 2023. Similar to other cash flow hedges, we record changes in the fair value of these interest rate swaps in accumulated other comprehensive income (loss) and their fair value will b</w:t>
      </w:r>
      <w:r>
        <w:rPr>
          <w:rFonts w:ascii="Arial" w:eastAsia="宋体" w:hAnsi="Arial" w:cs="Arial"/>
          <w:color w:val="000000"/>
          <w:sz w:val="20"/>
          <w:szCs w:val="20"/>
        </w:rPr>
        <w:t xml:space="preserve">e amortized over the term of the debt to interest expense. </w:t>
      </w:r>
    </w:p>
    <w:p w14:paraId="64303E48" w14:textId="77777777" w:rsidR="009F6D8A" w:rsidRDefault="009F6D8A">
      <w:pPr>
        <w:ind w:firstLine="540"/>
        <w:jc w:val="both"/>
      </w:pPr>
    </w:p>
    <w:p w14:paraId="64303E49" w14:textId="77777777" w:rsidR="009F6D8A" w:rsidRDefault="00C50974">
      <w:pPr>
        <w:jc w:val="both"/>
      </w:pPr>
      <w:r>
        <w:rPr>
          <w:rFonts w:ascii="Arial" w:eastAsia="宋体" w:hAnsi="Arial" w:cs="Arial"/>
          <w:b/>
          <w:bCs/>
          <w:i/>
          <w:iCs/>
          <w:color w:val="000000"/>
          <w:sz w:val="20"/>
          <w:szCs w:val="20"/>
        </w:rPr>
        <w:t>Cash Flow Hedges</w:t>
      </w:r>
    </w:p>
    <w:p w14:paraId="64303E4A" w14:textId="77777777" w:rsidR="009F6D8A" w:rsidRDefault="009F6D8A">
      <w:pPr>
        <w:ind w:firstLine="540"/>
        <w:jc w:val="both"/>
      </w:pPr>
    </w:p>
    <w:p w14:paraId="64303E4B" w14:textId="77777777" w:rsidR="009F6D8A" w:rsidRDefault="00C50974">
      <w:pPr>
        <w:ind w:firstLine="540"/>
        <w:jc w:val="both"/>
      </w:pPr>
      <w:r>
        <w:rPr>
          <w:rFonts w:ascii="Arial" w:eastAsia="宋体" w:hAnsi="Arial" w:cs="Arial"/>
          <w:color w:val="000000"/>
          <w:sz w:val="20"/>
          <w:szCs w:val="20"/>
        </w:rPr>
        <w:t xml:space="preserve">For derivative instruments that are designated as cash flow hedges, the derivative’s gain or loss is initially reported as a component of accumulated other comprehensive income </w:t>
      </w:r>
      <w:r>
        <w:rPr>
          <w:rFonts w:ascii="Arial" w:eastAsia="宋体" w:hAnsi="Arial" w:cs="Arial"/>
          <w:color w:val="000000"/>
          <w:sz w:val="20"/>
          <w:szCs w:val="20"/>
        </w:rPr>
        <w:t>(“AOCI”) and subsequently reclassified into earnings in the same period the forecasted hedged transaction affects earnings. Derivative instruments designated as cash flow hedges must be de-designated as hedges when it is probable the forecasted hedged tran</w:t>
      </w:r>
      <w:r>
        <w:rPr>
          <w:rFonts w:ascii="Arial" w:eastAsia="宋体" w:hAnsi="Arial" w:cs="Arial"/>
          <w:color w:val="000000"/>
          <w:sz w:val="20"/>
          <w:szCs w:val="20"/>
        </w:rPr>
        <w:t>saction will not occur in the initially identified time period or within a subsequent two-month time period. Unrealized gains and losses in AOCI associated with such derivative instruments are immediately reclassified into earnings</w:t>
      </w:r>
      <w:r>
        <w:rPr>
          <w:rFonts w:ascii="Times New Roman" w:eastAsia="宋体" w:hAnsi="Times New Roman"/>
          <w:color w:val="000000"/>
          <w:sz w:val="20"/>
          <w:szCs w:val="20"/>
        </w:rPr>
        <w:t xml:space="preserve">. </w:t>
      </w:r>
      <w:r>
        <w:rPr>
          <w:rFonts w:ascii="Arial" w:eastAsia="宋体" w:hAnsi="Arial" w:cs="Arial"/>
          <w:color w:val="000000"/>
          <w:sz w:val="20"/>
          <w:szCs w:val="20"/>
        </w:rPr>
        <w:t>As of June 30, 2021, we</w:t>
      </w:r>
      <w:r>
        <w:rPr>
          <w:rFonts w:ascii="Arial" w:eastAsia="宋体" w:hAnsi="Arial" w:cs="Arial"/>
          <w:color w:val="000000"/>
          <w:sz w:val="20"/>
          <w:szCs w:val="20"/>
        </w:rPr>
        <w:t xml:space="preserve"> have estimated that approximately $43 million of net derivative loss related to our foreign exchange cash flow hedges and $1 million net derivative loss related to our interest rate cash flow hedges included in accumulated other comprehensive income will </w:t>
      </w:r>
      <w:r>
        <w:rPr>
          <w:rFonts w:ascii="Arial" w:eastAsia="宋体" w:hAnsi="Arial" w:cs="Arial"/>
          <w:color w:val="000000"/>
          <w:sz w:val="20"/>
          <w:szCs w:val="20"/>
        </w:rPr>
        <w:t>be reclassified into earnings within the next 12 months. We classify cash flows related to our cash flow hedges as operating activities in our condensed consolidated statement of cash flows.</w:t>
      </w:r>
    </w:p>
    <w:p w14:paraId="64303E4C" w14:textId="77777777" w:rsidR="009F6D8A" w:rsidRDefault="009F6D8A">
      <w:pPr>
        <w:ind w:firstLine="540"/>
        <w:jc w:val="both"/>
      </w:pPr>
    </w:p>
    <w:p w14:paraId="64303E4D" w14:textId="77777777" w:rsidR="009F6D8A" w:rsidRDefault="00C50974">
      <w:pPr>
        <w:jc w:val="both"/>
      </w:pPr>
      <w:r>
        <w:rPr>
          <w:rFonts w:ascii="Arial" w:eastAsia="宋体" w:hAnsi="Arial" w:cs="Arial"/>
          <w:b/>
          <w:bCs/>
          <w:i/>
          <w:iCs/>
          <w:color w:val="000000"/>
          <w:sz w:val="20"/>
          <w:szCs w:val="20"/>
        </w:rPr>
        <w:t>Non-Designated Hedges</w:t>
      </w:r>
    </w:p>
    <w:p w14:paraId="64303E4E" w14:textId="77777777" w:rsidR="009F6D8A" w:rsidRDefault="009F6D8A"/>
    <w:p w14:paraId="64303E4F" w14:textId="77777777" w:rsidR="009F6D8A" w:rsidRDefault="00C50974">
      <w:pPr>
        <w:ind w:firstLine="540"/>
        <w:jc w:val="both"/>
      </w:pPr>
      <w:r>
        <w:rPr>
          <w:rFonts w:ascii="Arial" w:eastAsia="宋体" w:hAnsi="Arial" w:cs="Arial"/>
          <w:color w:val="000000"/>
          <w:sz w:val="20"/>
          <w:szCs w:val="20"/>
        </w:rPr>
        <w:t xml:space="preserve">Our derivatives not designated as </w:t>
      </w:r>
      <w:r>
        <w:rPr>
          <w:rFonts w:ascii="Arial" w:eastAsia="宋体" w:hAnsi="Arial" w:cs="Arial"/>
          <w:color w:val="000000"/>
          <w:sz w:val="20"/>
          <w:szCs w:val="20"/>
        </w:rPr>
        <w:t>hedging instruments consist of foreign currency forward contracts that we primarily use to hedge monetary assets or liabilities, including intercompany balances denominated in non-functional currencies. The gains and losses on our derivatives not designate</w:t>
      </w:r>
      <w:r>
        <w:rPr>
          <w:rFonts w:ascii="Arial" w:eastAsia="宋体" w:hAnsi="Arial" w:cs="Arial"/>
          <w:color w:val="000000"/>
          <w:sz w:val="20"/>
          <w:szCs w:val="20"/>
        </w:rPr>
        <w:t>d as hedging instruments are recorded in interest and other</w:t>
      </w:r>
      <w:r>
        <w:rPr>
          <w:rFonts w:ascii="Times New Roman" w:eastAsia="宋体" w:hAnsi="Times New Roman"/>
          <w:color w:val="000000"/>
          <w:sz w:val="20"/>
          <w:szCs w:val="20"/>
        </w:rPr>
        <w:t>,</w:t>
      </w:r>
      <w:r>
        <w:rPr>
          <w:rFonts w:ascii="Arial" w:eastAsia="宋体" w:hAnsi="Arial" w:cs="Arial"/>
          <w:color w:val="000000"/>
          <w:sz w:val="20"/>
          <w:szCs w:val="20"/>
        </w:rPr>
        <w:t xml:space="preserve"> net, which are offset by the foreign currency gains and losses on the related assets and liabilities that are also recorded in interest and other, net. We classify cash flows related to our non-d</w:t>
      </w:r>
      <w:r>
        <w:rPr>
          <w:rFonts w:ascii="Arial" w:eastAsia="宋体" w:hAnsi="Arial" w:cs="Arial"/>
          <w:color w:val="000000"/>
          <w:sz w:val="20"/>
          <w:szCs w:val="20"/>
        </w:rPr>
        <w:t>esignated hedging instruments as operating activities in our condensed consolidated statement of cash flows.</w:t>
      </w:r>
    </w:p>
    <w:p w14:paraId="64303E50" w14:textId="77777777" w:rsidR="009F6D8A" w:rsidRDefault="009F6D8A">
      <w:pPr>
        <w:ind w:firstLine="540"/>
        <w:jc w:val="both"/>
      </w:pPr>
    </w:p>
    <w:p w14:paraId="64303E51" w14:textId="77777777" w:rsidR="009F6D8A" w:rsidRDefault="00C50974">
      <w:pPr>
        <w:ind w:firstLine="270"/>
      </w:pPr>
      <w:r>
        <w:rPr>
          <w:rFonts w:ascii="Arial" w:eastAsia="宋体" w:hAnsi="Arial" w:cs="Arial"/>
          <w:b/>
          <w:bCs/>
          <w:i/>
          <w:iCs/>
          <w:color w:val="000000"/>
          <w:sz w:val="20"/>
          <w:szCs w:val="20"/>
        </w:rPr>
        <w:t>Warrant</w:t>
      </w:r>
    </w:p>
    <w:p w14:paraId="64303E52" w14:textId="77777777" w:rsidR="009F6D8A" w:rsidRDefault="009F6D8A"/>
    <w:p w14:paraId="64303E53" w14:textId="77777777" w:rsidR="009F6D8A" w:rsidRDefault="00C50974">
      <w:pPr>
        <w:ind w:firstLine="540"/>
        <w:jc w:val="both"/>
      </w:pPr>
      <w:r>
        <w:rPr>
          <w:rFonts w:ascii="Arial" w:eastAsia="宋体" w:hAnsi="Arial" w:cs="Arial"/>
          <w:color w:val="000000"/>
          <w:sz w:val="20"/>
          <w:szCs w:val="20"/>
        </w:rPr>
        <w:t>We entered into a warrant agreement in conjunction with a commercial agreement with Adyen that, subject to meeting certain conditions, en</w:t>
      </w:r>
      <w:r>
        <w:rPr>
          <w:rFonts w:ascii="Arial" w:eastAsia="宋体" w:hAnsi="Arial" w:cs="Arial"/>
          <w:color w:val="000000"/>
          <w:sz w:val="20"/>
          <w:szCs w:val="20"/>
        </w:rPr>
        <w:t>titles us to acquire a fixed number of shares up to 5% of Adyen’s fully diluted issued and outstanding share capital at a specific date. The warrant has a term of seven years and will vest in a series of four tranches, at a specified price per share (fixed</w:t>
      </w:r>
      <w:r>
        <w:rPr>
          <w:rFonts w:ascii="Arial" w:eastAsia="宋体" w:hAnsi="Arial" w:cs="Arial"/>
          <w:color w:val="000000"/>
          <w:sz w:val="20"/>
          <w:szCs w:val="20"/>
        </w:rPr>
        <w:t xml:space="preserve"> for the first two tranches) upon meeting processing volume milestone targets on a calendar year basis. If and when a relevant milestone is reached, the warrant becomes exercisable with respect to the corresponding tranche of warrant shares up until the wa</w:t>
      </w:r>
      <w:r>
        <w:rPr>
          <w:rFonts w:ascii="Arial" w:eastAsia="宋体" w:hAnsi="Arial" w:cs="Arial"/>
          <w:color w:val="000000"/>
          <w:sz w:val="20"/>
          <w:szCs w:val="20"/>
        </w:rPr>
        <w:t>rrant expiration date of January 31, 2025. The maximum number of tranches that can vest in one calendar year is two.</w:t>
      </w:r>
    </w:p>
    <w:p w14:paraId="64303E54" w14:textId="77777777" w:rsidR="009F6D8A" w:rsidRDefault="00C50974">
      <w:pPr>
        <w:ind w:firstLine="450"/>
        <w:jc w:val="both"/>
      </w:pPr>
      <w:r>
        <w:rPr>
          <w:rFonts w:ascii="Arial" w:eastAsia="宋体" w:hAnsi="Arial" w:cs="Arial"/>
          <w:color w:val="000000"/>
          <w:sz w:val="20"/>
          <w:szCs w:val="20"/>
        </w:rPr>
        <w:t> </w:t>
      </w:r>
    </w:p>
    <w:p w14:paraId="64303E55" w14:textId="77777777" w:rsidR="009F6D8A" w:rsidRDefault="00C50974">
      <w:pPr>
        <w:ind w:firstLine="540"/>
        <w:jc w:val="both"/>
      </w:pPr>
      <w:r>
        <w:rPr>
          <w:rFonts w:ascii="Arial" w:eastAsia="宋体" w:hAnsi="Arial" w:cs="Arial"/>
          <w:color w:val="000000"/>
          <w:sz w:val="20"/>
          <w:szCs w:val="20"/>
        </w:rPr>
        <w:t xml:space="preserve">The warrant is accounted for as a derivative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We report the warrant at fair value within war</w:t>
      </w:r>
      <w:r>
        <w:rPr>
          <w:rFonts w:ascii="Arial" w:eastAsia="宋体" w:hAnsi="Arial" w:cs="Arial"/>
          <w:color w:val="000000"/>
          <w:sz w:val="20"/>
          <w:szCs w:val="20"/>
        </w:rPr>
        <w:t>rant asset in our condensed consolidated balance sheets and changes in the fair value of the warrant are recognized in interest and other, net in our condensed consolidated statement of income. The day-one value attributable to the other side of the warran</w:t>
      </w:r>
      <w:r>
        <w:rPr>
          <w:rFonts w:ascii="Arial" w:eastAsia="宋体" w:hAnsi="Arial" w:cs="Arial"/>
          <w:color w:val="000000"/>
          <w:sz w:val="20"/>
          <w:szCs w:val="20"/>
        </w:rPr>
        <w:t xml:space="preserve">t, which was recorded as a deferred credit, is reported within other liabilities in our condensed consolidated balance sheets and will be amortized over the life of the commercial arrangement. </w:t>
      </w:r>
    </w:p>
    <w:p w14:paraId="64303E56" w14:textId="77777777" w:rsidR="009F6D8A" w:rsidRDefault="009F6D8A">
      <w:pPr>
        <w:jc w:val="center"/>
      </w:pPr>
    </w:p>
    <w:p w14:paraId="64303E57" w14:textId="77777777" w:rsidR="009F6D8A" w:rsidRDefault="00C50974">
      <w:pPr>
        <w:jc w:val="center"/>
      </w:pPr>
      <w:r>
        <w:rPr>
          <w:rFonts w:ascii="Arial" w:eastAsia="宋体" w:hAnsi="Arial" w:cs="Arial"/>
          <w:color w:val="000000"/>
          <w:sz w:val="20"/>
          <w:szCs w:val="20"/>
        </w:rPr>
        <w:t>23</w:t>
      </w:r>
    </w:p>
    <w:p w14:paraId="64303E58" w14:textId="77777777" w:rsidR="009F6D8A" w:rsidRDefault="00C50974">
      <w:r>
        <w:pict w14:anchorId="6430581A">
          <v:rect id="_x0000_i1047" style="width:415.3pt;height:1.5pt" o:hralign="center" o:hrstd="t" o:hr="t" fillcolor="#a0a0a0" stroked="f"/>
        </w:pict>
      </w:r>
    </w:p>
    <w:p w14:paraId="64303E59" w14:textId="77777777" w:rsidR="009F6D8A" w:rsidRDefault="009F6D8A">
      <w:pPr>
        <w:jc w:val="center"/>
      </w:pPr>
    </w:p>
    <w:p w14:paraId="64303E5A" w14:textId="77777777" w:rsidR="009F6D8A" w:rsidRDefault="00C50974">
      <w:pPr>
        <w:jc w:val="center"/>
      </w:pPr>
      <w:r>
        <w:rPr>
          <w:rFonts w:ascii="Arial" w:eastAsia="宋体" w:hAnsi="Arial" w:cs="Arial"/>
          <w:b/>
          <w:bCs/>
          <w:color w:val="000000"/>
          <w:sz w:val="20"/>
          <w:szCs w:val="20"/>
        </w:rPr>
        <w:t>eBay Inc.</w:t>
      </w:r>
    </w:p>
    <w:p w14:paraId="64303E5B" w14:textId="77777777" w:rsidR="009F6D8A" w:rsidRDefault="00C50974">
      <w:pPr>
        <w:spacing w:after="240"/>
        <w:jc w:val="center"/>
      </w:pPr>
      <w:r>
        <w:rPr>
          <w:rFonts w:ascii="Arial" w:eastAsia="宋体" w:hAnsi="Arial" w:cs="Arial"/>
          <w:b/>
          <w:bCs/>
          <w:color w:val="000000"/>
          <w:sz w:val="20"/>
          <w:szCs w:val="20"/>
        </w:rPr>
        <w:t>NOTES TO CONDENSED CONSOLIDATED FINANCIAL STA</w:t>
      </w:r>
      <w:r>
        <w:rPr>
          <w:rFonts w:ascii="Arial" w:eastAsia="宋体" w:hAnsi="Arial" w:cs="Arial"/>
          <w:b/>
          <w:bCs/>
          <w:color w:val="000000"/>
          <w:sz w:val="20"/>
          <w:szCs w:val="20"/>
        </w:rPr>
        <w:t>TEMENTS—(Continued)</w:t>
      </w:r>
    </w:p>
    <w:p w14:paraId="64303E5C" w14:textId="77777777" w:rsidR="009F6D8A" w:rsidRDefault="009F6D8A"/>
    <w:p w14:paraId="64303E5D" w14:textId="77777777" w:rsidR="009F6D8A" w:rsidRDefault="00C50974">
      <w:r>
        <w:rPr>
          <w:rFonts w:ascii="Arial" w:eastAsia="宋体" w:hAnsi="Arial" w:cs="Arial"/>
          <w:b/>
          <w:bCs/>
          <w:i/>
          <w:iCs/>
          <w:color w:val="000000"/>
          <w:sz w:val="20"/>
          <w:szCs w:val="20"/>
        </w:rPr>
        <w:t>Fair Value of Derivative Contracts</w:t>
      </w:r>
    </w:p>
    <w:p w14:paraId="64303E5E" w14:textId="77777777" w:rsidR="009F6D8A" w:rsidRDefault="009F6D8A">
      <w:pPr>
        <w:ind w:firstLine="720"/>
      </w:pPr>
    </w:p>
    <w:p w14:paraId="64303E5F" w14:textId="77777777" w:rsidR="009F6D8A" w:rsidRDefault="00C50974">
      <w:pPr>
        <w:ind w:firstLine="540"/>
      </w:pPr>
      <w:r>
        <w:rPr>
          <w:rFonts w:ascii="Arial" w:eastAsia="宋体" w:hAnsi="Arial" w:cs="Arial"/>
          <w:color w:val="000000"/>
          <w:sz w:val="20"/>
          <w:szCs w:val="20"/>
        </w:rPr>
        <w:t>The fair values of our outstanding derivative instruments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45"/>
        <w:gridCol w:w="4224"/>
        <w:gridCol w:w="39"/>
        <w:gridCol w:w="45"/>
        <w:gridCol w:w="1590"/>
        <w:gridCol w:w="37"/>
        <w:gridCol w:w="36"/>
        <w:gridCol w:w="36"/>
        <w:gridCol w:w="36"/>
        <w:gridCol w:w="121"/>
        <w:gridCol w:w="900"/>
        <w:gridCol w:w="36"/>
        <w:gridCol w:w="36"/>
        <w:gridCol w:w="36"/>
        <w:gridCol w:w="36"/>
        <w:gridCol w:w="122"/>
        <w:gridCol w:w="900"/>
        <w:gridCol w:w="36"/>
      </w:tblGrid>
      <w:tr w:rsidR="009F6D8A" w14:paraId="64303E72" w14:textId="77777777">
        <w:tc>
          <w:tcPr>
            <w:tcW w:w="50" w:type="pct"/>
            <w:shd w:val="clear" w:color="auto" w:fill="auto"/>
            <w:vAlign w:val="bottom"/>
          </w:tcPr>
          <w:p w14:paraId="64303E60" w14:textId="77777777" w:rsidR="009F6D8A" w:rsidRDefault="009F6D8A">
            <w:pPr>
              <w:rPr>
                <w:rFonts w:ascii="宋体"/>
              </w:rPr>
            </w:pPr>
          </w:p>
        </w:tc>
        <w:tc>
          <w:tcPr>
            <w:tcW w:w="2562" w:type="pct"/>
            <w:shd w:val="clear" w:color="auto" w:fill="auto"/>
            <w:vAlign w:val="bottom"/>
          </w:tcPr>
          <w:p w14:paraId="64303E61" w14:textId="77777777" w:rsidR="009F6D8A" w:rsidRDefault="009F6D8A">
            <w:pPr>
              <w:rPr>
                <w:rFonts w:ascii="宋体"/>
              </w:rPr>
            </w:pPr>
          </w:p>
        </w:tc>
        <w:tc>
          <w:tcPr>
            <w:tcW w:w="5" w:type="pct"/>
            <w:shd w:val="clear" w:color="auto" w:fill="auto"/>
            <w:vAlign w:val="bottom"/>
          </w:tcPr>
          <w:p w14:paraId="64303E62" w14:textId="77777777" w:rsidR="009F6D8A" w:rsidRDefault="009F6D8A">
            <w:pPr>
              <w:rPr>
                <w:rFonts w:ascii="宋体"/>
              </w:rPr>
            </w:pPr>
          </w:p>
        </w:tc>
        <w:tc>
          <w:tcPr>
            <w:tcW w:w="50" w:type="pct"/>
            <w:shd w:val="clear" w:color="auto" w:fill="auto"/>
            <w:vAlign w:val="bottom"/>
          </w:tcPr>
          <w:p w14:paraId="64303E63" w14:textId="77777777" w:rsidR="009F6D8A" w:rsidRDefault="009F6D8A">
            <w:pPr>
              <w:rPr>
                <w:rFonts w:ascii="宋体"/>
              </w:rPr>
            </w:pPr>
          </w:p>
        </w:tc>
        <w:tc>
          <w:tcPr>
            <w:tcW w:w="978" w:type="pct"/>
            <w:shd w:val="clear" w:color="auto" w:fill="auto"/>
            <w:vAlign w:val="bottom"/>
          </w:tcPr>
          <w:p w14:paraId="64303E64" w14:textId="77777777" w:rsidR="009F6D8A" w:rsidRDefault="009F6D8A">
            <w:pPr>
              <w:rPr>
                <w:rFonts w:ascii="宋体"/>
              </w:rPr>
            </w:pPr>
          </w:p>
        </w:tc>
        <w:tc>
          <w:tcPr>
            <w:tcW w:w="5" w:type="pct"/>
            <w:shd w:val="clear" w:color="auto" w:fill="auto"/>
            <w:vAlign w:val="bottom"/>
          </w:tcPr>
          <w:p w14:paraId="64303E65" w14:textId="77777777" w:rsidR="009F6D8A" w:rsidRDefault="009F6D8A">
            <w:pPr>
              <w:rPr>
                <w:rFonts w:ascii="宋体"/>
              </w:rPr>
            </w:pPr>
          </w:p>
        </w:tc>
        <w:tc>
          <w:tcPr>
            <w:tcW w:w="5" w:type="pct"/>
            <w:shd w:val="clear" w:color="auto" w:fill="auto"/>
            <w:vAlign w:val="bottom"/>
          </w:tcPr>
          <w:p w14:paraId="64303E66" w14:textId="77777777" w:rsidR="009F6D8A" w:rsidRDefault="009F6D8A">
            <w:pPr>
              <w:rPr>
                <w:rFonts w:ascii="宋体"/>
              </w:rPr>
            </w:pPr>
          </w:p>
        </w:tc>
        <w:tc>
          <w:tcPr>
            <w:tcW w:w="26" w:type="pct"/>
            <w:shd w:val="clear" w:color="auto" w:fill="auto"/>
            <w:vAlign w:val="bottom"/>
          </w:tcPr>
          <w:p w14:paraId="64303E67" w14:textId="77777777" w:rsidR="009F6D8A" w:rsidRDefault="009F6D8A">
            <w:pPr>
              <w:rPr>
                <w:rFonts w:ascii="宋体"/>
              </w:rPr>
            </w:pPr>
          </w:p>
        </w:tc>
        <w:tc>
          <w:tcPr>
            <w:tcW w:w="5" w:type="pct"/>
            <w:shd w:val="clear" w:color="auto" w:fill="auto"/>
            <w:vAlign w:val="bottom"/>
          </w:tcPr>
          <w:p w14:paraId="64303E68" w14:textId="77777777" w:rsidR="009F6D8A" w:rsidRDefault="009F6D8A">
            <w:pPr>
              <w:rPr>
                <w:rFonts w:ascii="宋体"/>
              </w:rPr>
            </w:pPr>
          </w:p>
        </w:tc>
        <w:tc>
          <w:tcPr>
            <w:tcW w:w="50" w:type="pct"/>
            <w:shd w:val="clear" w:color="auto" w:fill="auto"/>
            <w:vAlign w:val="bottom"/>
          </w:tcPr>
          <w:p w14:paraId="64303E69" w14:textId="77777777" w:rsidR="009F6D8A" w:rsidRDefault="009F6D8A">
            <w:pPr>
              <w:rPr>
                <w:rFonts w:ascii="宋体"/>
              </w:rPr>
            </w:pPr>
          </w:p>
        </w:tc>
        <w:tc>
          <w:tcPr>
            <w:tcW w:w="582" w:type="pct"/>
            <w:shd w:val="clear" w:color="auto" w:fill="auto"/>
            <w:vAlign w:val="bottom"/>
          </w:tcPr>
          <w:p w14:paraId="64303E6A" w14:textId="77777777" w:rsidR="009F6D8A" w:rsidRDefault="009F6D8A">
            <w:pPr>
              <w:rPr>
                <w:rFonts w:ascii="宋体"/>
              </w:rPr>
            </w:pPr>
          </w:p>
        </w:tc>
        <w:tc>
          <w:tcPr>
            <w:tcW w:w="5" w:type="pct"/>
            <w:shd w:val="clear" w:color="auto" w:fill="auto"/>
            <w:vAlign w:val="bottom"/>
          </w:tcPr>
          <w:p w14:paraId="64303E6B" w14:textId="77777777" w:rsidR="009F6D8A" w:rsidRDefault="009F6D8A">
            <w:pPr>
              <w:rPr>
                <w:rFonts w:ascii="宋体"/>
              </w:rPr>
            </w:pPr>
          </w:p>
        </w:tc>
        <w:tc>
          <w:tcPr>
            <w:tcW w:w="5" w:type="pct"/>
            <w:shd w:val="clear" w:color="auto" w:fill="auto"/>
            <w:vAlign w:val="bottom"/>
          </w:tcPr>
          <w:p w14:paraId="64303E6C" w14:textId="77777777" w:rsidR="009F6D8A" w:rsidRDefault="009F6D8A">
            <w:pPr>
              <w:rPr>
                <w:rFonts w:ascii="宋体"/>
              </w:rPr>
            </w:pPr>
          </w:p>
        </w:tc>
        <w:tc>
          <w:tcPr>
            <w:tcW w:w="26" w:type="pct"/>
            <w:shd w:val="clear" w:color="auto" w:fill="auto"/>
            <w:vAlign w:val="bottom"/>
          </w:tcPr>
          <w:p w14:paraId="64303E6D" w14:textId="77777777" w:rsidR="009F6D8A" w:rsidRDefault="009F6D8A">
            <w:pPr>
              <w:rPr>
                <w:rFonts w:ascii="宋体"/>
              </w:rPr>
            </w:pPr>
          </w:p>
        </w:tc>
        <w:tc>
          <w:tcPr>
            <w:tcW w:w="5" w:type="pct"/>
            <w:shd w:val="clear" w:color="auto" w:fill="auto"/>
            <w:vAlign w:val="bottom"/>
          </w:tcPr>
          <w:p w14:paraId="64303E6E" w14:textId="77777777" w:rsidR="009F6D8A" w:rsidRDefault="009F6D8A">
            <w:pPr>
              <w:rPr>
                <w:rFonts w:ascii="宋体"/>
              </w:rPr>
            </w:pPr>
          </w:p>
        </w:tc>
        <w:tc>
          <w:tcPr>
            <w:tcW w:w="50" w:type="pct"/>
            <w:shd w:val="clear" w:color="auto" w:fill="auto"/>
            <w:vAlign w:val="bottom"/>
          </w:tcPr>
          <w:p w14:paraId="64303E6F" w14:textId="77777777" w:rsidR="009F6D8A" w:rsidRDefault="009F6D8A">
            <w:pPr>
              <w:rPr>
                <w:rFonts w:ascii="宋体"/>
              </w:rPr>
            </w:pPr>
          </w:p>
        </w:tc>
        <w:tc>
          <w:tcPr>
            <w:tcW w:w="582" w:type="pct"/>
            <w:shd w:val="clear" w:color="auto" w:fill="auto"/>
            <w:vAlign w:val="bottom"/>
          </w:tcPr>
          <w:p w14:paraId="64303E70" w14:textId="77777777" w:rsidR="009F6D8A" w:rsidRDefault="009F6D8A">
            <w:pPr>
              <w:rPr>
                <w:rFonts w:ascii="宋体"/>
              </w:rPr>
            </w:pPr>
          </w:p>
        </w:tc>
        <w:tc>
          <w:tcPr>
            <w:tcW w:w="5" w:type="pct"/>
            <w:shd w:val="clear" w:color="auto" w:fill="auto"/>
            <w:vAlign w:val="bottom"/>
          </w:tcPr>
          <w:p w14:paraId="64303E71" w14:textId="77777777" w:rsidR="009F6D8A" w:rsidRDefault="009F6D8A">
            <w:pPr>
              <w:rPr>
                <w:rFonts w:ascii="宋体"/>
              </w:rPr>
            </w:pPr>
          </w:p>
        </w:tc>
      </w:tr>
      <w:tr w:rsidR="009F6D8A" w14:paraId="64303E79" w14:textId="77777777">
        <w:tc>
          <w:tcPr>
            <w:tcW w:w="0" w:type="auto"/>
            <w:gridSpan w:val="3"/>
            <w:shd w:val="clear" w:color="auto" w:fill="auto"/>
            <w:tcMar>
              <w:top w:w="40" w:type="dxa"/>
              <w:left w:w="20" w:type="dxa"/>
              <w:bottom w:w="40" w:type="dxa"/>
              <w:right w:w="20" w:type="dxa"/>
            </w:tcMar>
            <w:vAlign w:val="bottom"/>
          </w:tcPr>
          <w:p w14:paraId="64303E73" w14:textId="77777777" w:rsidR="009F6D8A" w:rsidRDefault="00C50974">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303E74" w14:textId="77777777" w:rsidR="009F6D8A" w:rsidRDefault="00C50974">
            <w:pPr>
              <w:jc w:val="center"/>
              <w:textAlignment w:val="bottom"/>
            </w:pPr>
            <w:r>
              <w:rPr>
                <w:rFonts w:ascii="Arial" w:eastAsia="宋体" w:hAnsi="Arial" w:cs="Arial"/>
                <w:b/>
                <w:bCs/>
                <w:color w:val="000000"/>
                <w:sz w:val="16"/>
                <w:szCs w:val="16"/>
              </w:rPr>
              <w:t>Balance Sheet Location</w:t>
            </w:r>
          </w:p>
        </w:tc>
        <w:tc>
          <w:tcPr>
            <w:tcW w:w="0" w:type="auto"/>
            <w:gridSpan w:val="3"/>
            <w:shd w:val="clear" w:color="auto" w:fill="auto"/>
            <w:tcMar>
              <w:top w:w="0" w:type="dxa"/>
              <w:left w:w="20" w:type="dxa"/>
              <w:bottom w:w="0" w:type="dxa"/>
              <w:right w:w="20" w:type="dxa"/>
            </w:tcMar>
            <w:vAlign w:val="bottom"/>
          </w:tcPr>
          <w:p w14:paraId="64303E75"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3E76" w14:textId="77777777" w:rsidR="009F6D8A" w:rsidRDefault="00C50974">
            <w:pPr>
              <w:jc w:val="center"/>
              <w:textAlignment w:val="bottom"/>
            </w:pPr>
            <w:r>
              <w:rPr>
                <w:rFonts w:ascii="Arial" w:eastAsia="宋体" w:hAnsi="Arial" w:cs="Arial"/>
                <w:b/>
                <w:bCs/>
                <w:color w:val="000000"/>
                <w:sz w:val="16"/>
                <w:szCs w:val="16"/>
              </w:rPr>
              <w:t>June 30,</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64303E77" w14:textId="77777777" w:rsidR="009F6D8A" w:rsidRDefault="009F6D8A">
            <w:pPr>
              <w:rPr>
                <w:rFonts w:ascii="宋体"/>
              </w:rPr>
            </w:pPr>
          </w:p>
        </w:tc>
        <w:tc>
          <w:tcPr>
            <w:tcW w:w="0" w:type="auto"/>
            <w:gridSpan w:val="3"/>
            <w:shd w:val="clear" w:color="auto" w:fill="FFFFFF"/>
            <w:tcMar>
              <w:top w:w="40" w:type="dxa"/>
              <w:left w:w="20" w:type="dxa"/>
              <w:bottom w:w="40" w:type="dxa"/>
              <w:right w:w="20" w:type="dxa"/>
            </w:tcMar>
            <w:vAlign w:val="bottom"/>
          </w:tcPr>
          <w:p w14:paraId="64303E78" w14:textId="77777777" w:rsidR="009F6D8A" w:rsidRDefault="00C50974">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2020</w:t>
            </w:r>
          </w:p>
        </w:tc>
      </w:tr>
      <w:tr w:rsidR="009F6D8A" w14:paraId="64303E80" w14:textId="77777777">
        <w:tc>
          <w:tcPr>
            <w:tcW w:w="0" w:type="auto"/>
            <w:gridSpan w:val="3"/>
            <w:shd w:val="clear" w:color="auto" w:fill="E2E2E2"/>
            <w:tcMar>
              <w:top w:w="40" w:type="dxa"/>
              <w:left w:w="20" w:type="dxa"/>
              <w:bottom w:w="40" w:type="dxa"/>
              <w:right w:w="20" w:type="dxa"/>
            </w:tcMar>
            <w:vAlign w:val="bottom"/>
          </w:tcPr>
          <w:p w14:paraId="64303E7A" w14:textId="77777777" w:rsidR="009F6D8A" w:rsidRDefault="00C50974">
            <w:pPr>
              <w:textAlignment w:val="bottom"/>
            </w:pPr>
            <w:r>
              <w:rPr>
                <w:rFonts w:ascii="Arial" w:eastAsia="宋体" w:hAnsi="Arial" w:cs="Arial"/>
                <w:b/>
                <w:bCs/>
                <w:color w:val="000000"/>
                <w:sz w:val="18"/>
                <w:szCs w:val="18"/>
              </w:rPr>
              <w:t>Derivative Assets: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3E7B"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E7C"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3E7D"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E7E"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3E7F" w14:textId="77777777" w:rsidR="009F6D8A" w:rsidRDefault="009F6D8A">
            <w:pPr>
              <w:rPr>
                <w:rFonts w:ascii="宋体"/>
              </w:rPr>
            </w:pPr>
          </w:p>
        </w:tc>
      </w:tr>
      <w:tr w:rsidR="009F6D8A" w14:paraId="64303E8B" w14:textId="77777777">
        <w:tc>
          <w:tcPr>
            <w:tcW w:w="0" w:type="auto"/>
            <w:gridSpan w:val="3"/>
            <w:shd w:val="clear" w:color="auto" w:fill="FFFFFF"/>
            <w:tcMar>
              <w:top w:w="40" w:type="dxa"/>
              <w:left w:w="20" w:type="dxa"/>
              <w:bottom w:w="40" w:type="dxa"/>
              <w:right w:w="20" w:type="dxa"/>
            </w:tcMar>
            <w:vAlign w:val="bottom"/>
          </w:tcPr>
          <w:p w14:paraId="64303E81" w14:textId="77777777" w:rsidR="009F6D8A" w:rsidRDefault="00C50974">
            <w:pPr>
              <w:textAlignment w:val="bottom"/>
            </w:pPr>
            <w:r>
              <w:rPr>
                <w:rFonts w:ascii="Arial" w:eastAsia="宋体" w:hAnsi="Arial" w:cs="Arial"/>
                <w:color w:val="000000"/>
                <w:sz w:val="18"/>
                <w:szCs w:val="18"/>
              </w:rPr>
              <w:t>Foreign exchange contracts designated as cash flow hedges</w:t>
            </w:r>
          </w:p>
        </w:tc>
        <w:tc>
          <w:tcPr>
            <w:tcW w:w="0" w:type="auto"/>
            <w:gridSpan w:val="3"/>
            <w:shd w:val="clear" w:color="auto" w:fill="FFFFFF"/>
            <w:tcMar>
              <w:top w:w="40" w:type="dxa"/>
              <w:left w:w="20" w:type="dxa"/>
              <w:bottom w:w="40" w:type="dxa"/>
              <w:right w:w="20" w:type="dxa"/>
            </w:tcMar>
            <w:vAlign w:val="bottom"/>
          </w:tcPr>
          <w:p w14:paraId="64303E82" w14:textId="77777777" w:rsidR="009F6D8A" w:rsidRDefault="00C50974">
            <w:pPr>
              <w:jc w:val="right"/>
              <w:textAlignment w:val="bottom"/>
            </w:pPr>
            <w:r>
              <w:rPr>
                <w:rFonts w:ascii="Arial" w:eastAsia="宋体" w:hAnsi="Arial" w:cs="Arial"/>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64303E83"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E84"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E85" w14:textId="77777777" w:rsidR="009F6D8A" w:rsidRDefault="00C50974">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64303E8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E87"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E88"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E89" w14:textId="77777777" w:rsidR="009F6D8A" w:rsidRDefault="00C50974">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64303E8A" w14:textId="77777777" w:rsidR="009F6D8A" w:rsidRDefault="009F6D8A">
            <w:pPr>
              <w:jc w:val="right"/>
              <w:rPr>
                <w:rFonts w:ascii="宋体"/>
              </w:rPr>
            </w:pPr>
          </w:p>
        </w:tc>
      </w:tr>
      <w:tr w:rsidR="009F6D8A" w14:paraId="64303E92" w14:textId="77777777">
        <w:trPr>
          <w:hidden/>
        </w:trPr>
        <w:tc>
          <w:tcPr>
            <w:tcW w:w="0" w:type="auto"/>
            <w:gridSpan w:val="3"/>
            <w:shd w:val="clear" w:color="auto" w:fill="auto"/>
            <w:vAlign w:val="bottom"/>
          </w:tcPr>
          <w:p w14:paraId="64303E8C" w14:textId="77777777" w:rsidR="009F6D8A" w:rsidRDefault="009F6D8A">
            <w:pPr>
              <w:rPr>
                <w:rFonts w:ascii="宋体"/>
                <w:vanish/>
              </w:rPr>
            </w:pPr>
          </w:p>
        </w:tc>
        <w:tc>
          <w:tcPr>
            <w:tcW w:w="0" w:type="auto"/>
            <w:gridSpan w:val="3"/>
            <w:shd w:val="clear" w:color="auto" w:fill="auto"/>
            <w:vAlign w:val="bottom"/>
          </w:tcPr>
          <w:p w14:paraId="64303E8D" w14:textId="77777777" w:rsidR="009F6D8A" w:rsidRDefault="009F6D8A">
            <w:pPr>
              <w:rPr>
                <w:rFonts w:ascii="宋体"/>
                <w:vanish/>
              </w:rPr>
            </w:pPr>
          </w:p>
        </w:tc>
        <w:tc>
          <w:tcPr>
            <w:tcW w:w="0" w:type="auto"/>
            <w:gridSpan w:val="3"/>
            <w:shd w:val="clear" w:color="auto" w:fill="auto"/>
            <w:vAlign w:val="bottom"/>
          </w:tcPr>
          <w:p w14:paraId="64303E8E" w14:textId="77777777" w:rsidR="009F6D8A" w:rsidRDefault="009F6D8A">
            <w:pPr>
              <w:rPr>
                <w:rFonts w:ascii="宋体"/>
                <w:vanish/>
              </w:rPr>
            </w:pPr>
          </w:p>
        </w:tc>
        <w:tc>
          <w:tcPr>
            <w:tcW w:w="0" w:type="auto"/>
            <w:gridSpan w:val="3"/>
            <w:shd w:val="clear" w:color="auto" w:fill="auto"/>
            <w:vAlign w:val="bottom"/>
          </w:tcPr>
          <w:p w14:paraId="64303E8F" w14:textId="77777777" w:rsidR="009F6D8A" w:rsidRDefault="009F6D8A">
            <w:pPr>
              <w:rPr>
                <w:rFonts w:ascii="宋体"/>
                <w:vanish/>
              </w:rPr>
            </w:pPr>
          </w:p>
        </w:tc>
        <w:tc>
          <w:tcPr>
            <w:tcW w:w="0" w:type="auto"/>
            <w:gridSpan w:val="3"/>
            <w:shd w:val="clear" w:color="auto" w:fill="auto"/>
            <w:vAlign w:val="bottom"/>
          </w:tcPr>
          <w:p w14:paraId="64303E90" w14:textId="77777777" w:rsidR="009F6D8A" w:rsidRDefault="009F6D8A">
            <w:pPr>
              <w:rPr>
                <w:rFonts w:ascii="宋体"/>
                <w:vanish/>
              </w:rPr>
            </w:pPr>
          </w:p>
        </w:tc>
        <w:tc>
          <w:tcPr>
            <w:tcW w:w="0" w:type="auto"/>
            <w:gridSpan w:val="3"/>
            <w:shd w:val="clear" w:color="auto" w:fill="auto"/>
            <w:vAlign w:val="bottom"/>
          </w:tcPr>
          <w:p w14:paraId="64303E91" w14:textId="77777777" w:rsidR="009F6D8A" w:rsidRDefault="009F6D8A">
            <w:pPr>
              <w:rPr>
                <w:rFonts w:ascii="宋体"/>
                <w:vanish/>
              </w:rPr>
            </w:pPr>
          </w:p>
        </w:tc>
      </w:tr>
      <w:tr w:rsidR="009F6D8A" w14:paraId="64303E9B" w14:textId="77777777">
        <w:tc>
          <w:tcPr>
            <w:tcW w:w="0" w:type="auto"/>
            <w:gridSpan w:val="3"/>
            <w:shd w:val="clear" w:color="auto" w:fill="E2E2E2"/>
            <w:tcMar>
              <w:top w:w="40" w:type="dxa"/>
              <w:left w:w="20" w:type="dxa"/>
              <w:bottom w:w="40" w:type="dxa"/>
              <w:right w:w="20" w:type="dxa"/>
            </w:tcMar>
            <w:vAlign w:val="bottom"/>
          </w:tcPr>
          <w:p w14:paraId="64303E93" w14:textId="77777777" w:rsidR="009F6D8A" w:rsidRDefault="00C50974">
            <w:pPr>
              <w:textAlignment w:val="bottom"/>
            </w:pPr>
            <w:r>
              <w:rPr>
                <w:rFonts w:ascii="Arial" w:eastAsia="宋体" w:hAnsi="Arial" w:cs="Arial"/>
                <w:color w:val="000000"/>
                <w:sz w:val="18"/>
                <w:szCs w:val="18"/>
              </w:rPr>
              <w:t>Foreign exchange contracts not designated as hedging instruments</w:t>
            </w:r>
          </w:p>
        </w:tc>
        <w:tc>
          <w:tcPr>
            <w:tcW w:w="0" w:type="auto"/>
            <w:gridSpan w:val="3"/>
            <w:shd w:val="clear" w:color="auto" w:fill="E2E2E2"/>
            <w:tcMar>
              <w:top w:w="40" w:type="dxa"/>
              <w:left w:w="20" w:type="dxa"/>
              <w:bottom w:w="40" w:type="dxa"/>
              <w:right w:w="20" w:type="dxa"/>
            </w:tcMar>
            <w:vAlign w:val="bottom"/>
          </w:tcPr>
          <w:p w14:paraId="64303E94" w14:textId="77777777" w:rsidR="009F6D8A" w:rsidRDefault="00C50974">
            <w:pPr>
              <w:jc w:val="right"/>
              <w:textAlignment w:val="bottom"/>
            </w:pPr>
            <w:r>
              <w:rPr>
                <w:rFonts w:ascii="Arial" w:eastAsia="宋体" w:hAnsi="Arial" w:cs="Arial"/>
                <w:color w:val="000000"/>
                <w:sz w:val="18"/>
                <w:szCs w:val="18"/>
              </w:rPr>
              <w:t>Other Current Assets</w:t>
            </w:r>
          </w:p>
        </w:tc>
        <w:tc>
          <w:tcPr>
            <w:tcW w:w="0" w:type="auto"/>
            <w:gridSpan w:val="3"/>
            <w:shd w:val="clear" w:color="auto" w:fill="E2E2E2"/>
            <w:tcMar>
              <w:top w:w="0" w:type="dxa"/>
              <w:left w:w="20" w:type="dxa"/>
              <w:bottom w:w="0" w:type="dxa"/>
              <w:right w:w="20" w:type="dxa"/>
            </w:tcMar>
            <w:vAlign w:val="bottom"/>
          </w:tcPr>
          <w:p w14:paraId="64303E95"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E96" w14:textId="77777777" w:rsidR="009F6D8A" w:rsidRDefault="00C50974">
            <w:pPr>
              <w:jc w:val="right"/>
              <w:textAlignment w:val="bottom"/>
            </w:pPr>
            <w:r>
              <w:rPr>
                <w:rFonts w:ascii="Arial" w:eastAsia="宋体" w:hAnsi="Arial" w:cs="Arial"/>
                <w:color w:val="000000"/>
                <w:sz w:val="18"/>
                <w:szCs w:val="18"/>
              </w:rPr>
              <w:t>13 </w:t>
            </w:r>
          </w:p>
        </w:tc>
        <w:tc>
          <w:tcPr>
            <w:tcW w:w="0" w:type="auto"/>
            <w:shd w:val="clear" w:color="auto" w:fill="E2E2E2"/>
            <w:tcMar>
              <w:top w:w="40" w:type="dxa"/>
              <w:left w:w="0" w:type="dxa"/>
              <w:bottom w:w="40" w:type="dxa"/>
              <w:right w:w="20" w:type="dxa"/>
            </w:tcMar>
            <w:vAlign w:val="bottom"/>
          </w:tcPr>
          <w:p w14:paraId="64303E97"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E98"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E99" w14:textId="77777777" w:rsidR="009F6D8A" w:rsidRDefault="00C50974">
            <w:pPr>
              <w:jc w:val="right"/>
              <w:textAlignment w:val="bottom"/>
            </w:pPr>
            <w:r>
              <w:rPr>
                <w:rFonts w:ascii="Arial" w:eastAsia="宋体" w:hAnsi="Arial" w:cs="Arial"/>
                <w:color w:val="000000"/>
                <w:sz w:val="18"/>
                <w:szCs w:val="18"/>
              </w:rPr>
              <w:t>23 </w:t>
            </w:r>
          </w:p>
        </w:tc>
        <w:tc>
          <w:tcPr>
            <w:tcW w:w="0" w:type="auto"/>
            <w:shd w:val="clear" w:color="auto" w:fill="E2E2E2"/>
            <w:tcMar>
              <w:top w:w="40" w:type="dxa"/>
              <w:left w:w="0" w:type="dxa"/>
              <w:bottom w:w="40" w:type="dxa"/>
              <w:right w:w="20" w:type="dxa"/>
            </w:tcMar>
            <w:vAlign w:val="bottom"/>
          </w:tcPr>
          <w:p w14:paraId="64303E9A" w14:textId="77777777" w:rsidR="009F6D8A" w:rsidRDefault="009F6D8A">
            <w:pPr>
              <w:jc w:val="right"/>
              <w:rPr>
                <w:rFonts w:ascii="宋体"/>
              </w:rPr>
            </w:pPr>
          </w:p>
        </w:tc>
      </w:tr>
      <w:tr w:rsidR="009F6D8A" w14:paraId="64303EA2" w14:textId="77777777">
        <w:trPr>
          <w:hidden/>
        </w:trPr>
        <w:tc>
          <w:tcPr>
            <w:tcW w:w="0" w:type="auto"/>
            <w:gridSpan w:val="3"/>
            <w:shd w:val="clear" w:color="auto" w:fill="auto"/>
            <w:vAlign w:val="bottom"/>
          </w:tcPr>
          <w:p w14:paraId="64303E9C" w14:textId="77777777" w:rsidR="009F6D8A" w:rsidRDefault="009F6D8A">
            <w:pPr>
              <w:rPr>
                <w:rFonts w:ascii="宋体"/>
                <w:vanish/>
              </w:rPr>
            </w:pPr>
          </w:p>
        </w:tc>
        <w:tc>
          <w:tcPr>
            <w:tcW w:w="0" w:type="auto"/>
            <w:gridSpan w:val="3"/>
            <w:shd w:val="clear" w:color="auto" w:fill="auto"/>
            <w:vAlign w:val="bottom"/>
          </w:tcPr>
          <w:p w14:paraId="64303E9D" w14:textId="77777777" w:rsidR="009F6D8A" w:rsidRDefault="009F6D8A">
            <w:pPr>
              <w:rPr>
                <w:rFonts w:ascii="宋体"/>
                <w:vanish/>
              </w:rPr>
            </w:pPr>
          </w:p>
        </w:tc>
        <w:tc>
          <w:tcPr>
            <w:tcW w:w="0" w:type="auto"/>
            <w:gridSpan w:val="3"/>
            <w:shd w:val="clear" w:color="auto" w:fill="auto"/>
            <w:vAlign w:val="bottom"/>
          </w:tcPr>
          <w:p w14:paraId="64303E9E" w14:textId="77777777" w:rsidR="009F6D8A" w:rsidRDefault="009F6D8A">
            <w:pPr>
              <w:rPr>
                <w:rFonts w:ascii="宋体"/>
                <w:vanish/>
              </w:rPr>
            </w:pPr>
          </w:p>
        </w:tc>
        <w:tc>
          <w:tcPr>
            <w:tcW w:w="0" w:type="auto"/>
            <w:gridSpan w:val="3"/>
            <w:shd w:val="clear" w:color="auto" w:fill="auto"/>
            <w:vAlign w:val="bottom"/>
          </w:tcPr>
          <w:p w14:paraId="64303E9F" w14:textId="77777777" w:rsidR="009F6D8A" w:rsidRDefault="009F6D8A">
            <w:pPr>
              <w:rPr>
                <w:rFonts w:ascii="宋体"/>
                <w:vanish/>
              </w:rPr>
            </w:pPr>
          </w:p>
        </w:tc>
        <w:tc>
          <w:tcPr>
            <w:tcW w:w="0" w:type="auto"/>
            <w:gridSpan w:val="3"/>
            <w:shd w:val="clear" w:color="auto" w:fill="auto"/>
            <w:vAlign w:val="bottom"/>
          </w:tcPr>
          <w:p w14:paraId="64303EA0" w14:textId="77777777" w:rsidR="009F6D8A" w:rsidRDefault="009F6D8A">
            <w:pPr>
              <w:rPr>
                <w:rFonts w:ascii="宋体"/>
                <w:vanish/>
              </w:rPr>
            </w:pPr>
          </w:p>
        </w:tc>
        <w:tc>
          <w:tcPr>
            <w:tcW w:w="0" w:type="auto"/>
            <w:gridSpan w:val="3"/>
            <w:shd w:val="clear" w:color="auto" w:fill="auto"/>
            <w:vAlign w:val="bottom"/>
          </w:tcPr>
          <w:p w14:paraId="64303EA1" w14:textId="77777777" w:rsidR="009F6D8A" w:rsidRDefault="009F6D8A">
            <w:pPr>
              <w:rPr>
                <w:rFonts w:ascii="宋体"/>
                <w:vanish/>
              </w:rPr>
            </w:pPr>
          </w:p>
        </w:tc>
      </w:tr>
      <w:tr w:rsidR="009F6D8A" w14:paraId="64303EAB" w14:textId="77777777">
        <w:tc>
          <w:tcPr>
            <w:tcW w:w="0" w:type="auto"/>
            <w:gridSpan w:val="3"/>
            <w:shd w:val="clear" w:color="auto" w:fill="FFFFFF"/>
            <w:tcMar>
              <w:top w:w="40" w:type="dxa"/>
              <w:left w:w="20" w:type="dxa"/>
              <w:bottom w:w="40" w:type="dxa"/>
              <w:right w:w="20" w:type="dxa"/>
            </w:tcMar>
            <w:vAlign w:val="bottom"/>
          </w:tcPr>
          <w:p w14:paraId="64303EA3" w14:textId="77777777" w:rsidR="009F6D8A" w:rsidRDefault="00C50974">
            <w:pPr>
              <w:textAlignment w:val="bottom"/>
            </w:pPr>
            <w:r>
              <w:rPr>
                <w:rFonts w:ascii="Arial" w:eastAsia="宋体" w:hAnsi="Arial" w:cs="Arial"/>
                <w:color w:val="000000"/>
                <w:sz w:val="18"/>
                <w:szCs w:val="18"/>
              </w:rPr>
              <w:t>Warrant</w:t>
            </w:r>
          </w:p>
        </w:tc>
        <w:tc>
          <w:tcPr>
            <w:tcW w:w="0" w:type="auto"/>
            <w:gridSpan w:val="3"/>
            <w:shd w:val="clear" w:color="auto" w:fill="FFFFFF"/>
            <w:tcMar>
              <w:top w:w="40" w:type="dxa"/>
              <w:left w:w="20" w:type="dxa"/>
              <w:bottom w:w="40" w:type="dxa"/>
              <w:right w:w="20" w:type="dxa"/>
            </w:tcMar>
            <w:vAlign w:val="bottom"/>
          </w:tcPr>
          <w:p w14:paraId="64303EA4" w14:textId="77777777" w:rsidR="009F6D8A" w:rsidRDefault="00C50974">
            <w:pPr>
              <w:jc w:val="right"/>
              <w:textAlignment w:val="bottom"/>
            </w:pPr>
            <w:r>
              <w:rPr>
                <w:rFonts w:ascii="Arial" w:eastAsia="宋体" w:hAnsi="Arial" w:cs="Arial"/>
                <w:color w:val="000000"/>
                <w:sz w:val="18"/>
                <w:szCs w:val="18"/>
              </w:rPr>
              <w:t>Warrant Asset</w:t>
            </w:r>
          </w:p>
        </w:tc>
        <w:tc>
          <w:tcPr>
            <w:tcW w:w="0" w:type="auto"/>
            <w:gridSpan w:val="3"/>
            <w:shd w:val="clear" w:color="auto" w:fill="FFFFFF"/>
            <w:tcMar>
              <w:top w:w="0" w:type="dxa"/>
              <w:left w:w="20" w:type="dxa"/>
              <w:bottom w:w="0" w:type="dxa"/>
              <w:right w:w="20" w:type="dxa"/>
            </w:tcMar>
            <w:vAlign w:val="bottom"/>
          </w:tcPr>
          <w:p w14:paraId="64303EA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EA6" w14:textId="77777777" w:rsidR="009F6D8A" w:rsidRDefault="00C50974">
            <w:pPr>
              <w:jc w:val="right"/>
              <w:textAlignment w:val="bottom"/>
            </w:pPr>
            <w:r>
              <w:rPr>
                <w:rFonts w:ascii="Arial" w:eastAsia="宋体" w:hAnsi="Arial" w:cs="Arial"/>
                <w:color w:val="000000"/>
                <w:sz w:val="18"/>
                <w:szCs w:val="18"/>
              </w:rPr>
              <w:t>1,123 </w:t>
            </w:r>
          </w:p>
        </w:tc>
        <w:tc>
          <w:tcPr>
            <w:tcW w:w="0" w:type="auto"/>
            <w:shd w:val="clear" w:color="auto" w:fill="FFFFFF"/>
            <w:tcMar>
              <w:top w:w="40" w:type="dxa"/>
              <w:left w:w="0" w:type="dxa"/>
              <w:bottom w:w="40" w:type="dxa"/>
              <w:right w:w="20" w:type="dxa"/>
            </w:tcMar>
            <w:vAlign w:val="bottom"/>
          </w:tcPr>
          <w:p w14:paraId="64303EA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EA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EA9" w14:textId="77777777" w:rsidR="009F6D8A" w:rsidRDefault="00C50974">
            <w:pPr>
              <w:jc w:val="right"/>
              <w:textAlignment w:val="bottom"/>
            </w:pPr>
            <w:r>
              <w:rPr>
                <w:rFonts w:ascii="Arial" w:eastAsia="宋体" w:hAnsi="Arial" w:cs="Arial"/>
                <w:color w:val="000000"/>
                <w:sz w:val="18"/>
                <w:szCs w:val="18"/>
              </w:rPr>
              <w:t>1,051 </w:t>
            </w:r>
          </w:p>
        </w:tc>
        <w:tc>
          <w:tcPr>
            <w:tcW w:w="0" w:type="auto"/>
            <w:shd w:val="clear" w:color="auto" w:fill="FFFFFF"/>
            <w:tcMar>
              <w:top w:w="40" w:type="dxa"/>
              <w:left w:w="0" w:type="dxa"/>
              <w:bottom w:w="40" w:type="dxa"/>
              <w:right w:w="20" w:type="dxa"/>
            </w:tcMar>
            <w:vAlign w:val="bottom"/>
          </w:tcPr>
          <w:p w14:paraId="64303EAA" w14:textId="77777777" w:rsidR="009F6D8A" w:rsidRDefault="009F6D8A">
            <w:pPr>
              <w:jc w:val="right"/>
              <w:rPr>
                <w:rFonts w:ascii="宋体"/>
              </w:rPr>
            </w:pPr>
          </w:p>
        </w:tc>
      </w:tr>
      <w:tr w:rsidR="009F6D8A" w14:paraId="64303EB4" w14:textId="77777777">
        <w:tc>
          <w:tcPr>
            <w:tcW w:w="0" w:type="auto"/>
            <w:gridSpan w:val="3"/>
            <w:shd w:val="clear" w:color="auto" w:fill="E2E2E2"/>
            <w:tcMar>
              <w:top w:w="40" w:type="dxa"/>
              <w:left w:w="20" w:type="dxa"/>
              <w:bottom w:w="40" w:type="dxa"/>
              <w:right w:w="20" w:type="dxa"/>
            </w:tcMar>
            <w:vAlign w:val="bottom"/>
          </w:tcPr>
          <w:p w14:paraId="64303EAC" w14:textId="77777777" w:rsidR="009F6D8A" w:rsidRDefault="00C50974">
            <w:pPr>
              <w:textAlignment w:val="bottom"/>
            </w:pPr>
            <w:r>
              <w:rPr>
                <w:rFonts w:ascii="Arial" w:eastAsia="宋体" w:hAnsi="Arial" w:cs="Arial"/>
                <w:color w:val="000000"/>
                <w:sz w:val="18"/>
                <w:szCs w:val="18"/>
              </w:rPr>
              <w:t>Foreign exchange contracts designated as cash flow hedges</w:t>
            </w:r>
          </w:p>
        </w:tc>
        <w:tc>
          <w:tcPr>
            <w:tcW w:w="0" w:type="auto"/>
            <w:gridSpan w:val="3"/>
            <w:shd w:val="clear" w:color="auto" w:fill="E2E2E2"/>
            <w:tcMar>
              <w:top w:w="40" w:type="dxa"/>
              <w:left w:w="20" w:type="dxa"/>
              <w:bottom w:w="40" w:type="dxa"/>
              <w:right w:w="20" w:type="dxa"/>
            </w:tcMar>
            <w:vAlign w:val="bottom"/>
          </w:tcPr>
          <w:p w14:paraId="64303EAD" w14:textId="77777777" w:rsidR="009F6D8A" w:rsidRDefault="00C50974">
            <w:pPr>
              <w:jc w:val="right"/>
              <w:textAlignment w:val="bottom"/>
            </w:pPr>
            <w:r>
              <w:rPr>
                <w:rFonts w:ascii="Arial" w:eastAsia="宋体" w:hAnsi="Arial" w:cs="Arial"/>
                <w:color w:val="000000"/>
                <w:sz w:val="18"/>
                <w:szCs w:val="18"/>
              </w:rPr>
              <w:t>Other Assets</w:t>
            </w:r>
          </w:p>
        </w:tc>
        <w:tc>
          <w:tcPr>
            <w:tcW w:w="0" w:type="auto"/>
            <w:gridSpan w:val="3"/>
            <w:shd w:val="clear" w:color="auto" w:fill="E2E2E2"/>
            <w:tcMar>
              <w:top w:w="0" w:type="dxa"/>
              <w:left w:w="20" w:type="dxa"/>
              <w:bottom w:w="0" w:type="dxa"/>
              <w:right w:w="20" w:type="dxa"/>
            </w:tcMar>
            <w:vAlign w:val="bottom"/>
          </w:tcPr>
          <w:p w14:paraId="64303EAE"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EAF" w14:textId="77777777" w:rsidR="009F6D8A" w:rsidRDefault="00C50974">
            <w:pPr>
              <w:jc w:val="right"/>
              <w:textAlignment w:val="bottom"/>
            </w:pPr>
            <w:r>
              <w:rPr>
                <w:rFonts w:ascii="Arial" w:eastAsia="宋体" w:hAnsi="Arial" w:cs="Arial"/>
                <w:color w:val="000000"/>
                <w:sz w:val="18"/>
                <w:szCs w:val="18"/>
              </w:rPr>
              <w:t>22 </w:t>
            </w:r>
          </w:p>
        </w:tc>
        <w:tc>
          <w:tcPr>
            <w:tcW w:w="0" w:type="auto"/>
            <w:shd w:val="clear" w:color="auto" w:fill="E2E2E2"/>
            <w:tcMar>
              <w:top w:w="40" w:type="dxa"/>
              <w:left w:w="0" w:type="dxa"/>
              <w:bottom w:w="40" w:type="dxa"/>
              <w:right w:w="20" w:type="dxa"/>
            </w:tcMar>
            <w:vAlign w:val="bottom"/>
          </w:tcPr>
          <w:p w14:paraId="64303EB0"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EB1"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EB2" w14:textId="77777777" w:rsidR="009F6D8A" w:rsidRDefault="00C50974">
            <w:pPr>
              <w:jc w:val="right"/>
              <w:textAlignment w:val="bottom"/>
            </w:pPr>
            <w:r>
              <w:rPr>
                <w:rFonts w:ascii="Arial" w:eastAsia="宋体" w:hAnsi="Arial" w:cs="Arial"/>
                <w:color w:val="000000"/>
                <w:sz w:val="18"/>
                <w:szCs w:val="18"/>
              </w:rPr>
              <w:t>14 </w:t>
            </w:r>
          </w:p>
        </w:tc>
        <w:tc>
          <w:tcPr>
            <w:tcW w:w="0" w:type="auto"/>
            <w:shd w:val="clear" w:color="auto" w:fill="E2E2E2"/>
            <w:tcMar>
              <w:top w:w="40" w:type="dxa"/>
              <w:left w:w="0" w:type="dxa"/>
              <w:bottom w:w="40" w:type="dxa"/>
              <w:right w:w="20" w:type="dxa"/>
            </w:tcMar>
            <w:vAlign w:val="bottom"/>
          </w:tcPr>
          <w:p w14:paraId="64303EB3" w14:textId="77777777" w:rsidR="009F6D8A" w:rsidRDefault="009F6D8A">
            <w:pPr>
              <w:jc w:val="right"/>
              <w:rPr>
                <w:rFonts w:ascii="宋体"/>
              </w:rPr>
            </w:pPr>
          </w:p>
        </w:tc>
      </w:tr>
      <w:tr w:rsidR="009F6D8A" w14:paraId="64303EBD" w14:textId="77777777">
        <w:tc>
          <w:tcPr>
            <w:tcW w:w="0" w:type="auto"/>
            <w:gridSpan w:val="3"/>
            <w:shd w:val="clear" w:color="auto" w:fill="FFFFFF"/>
            <w:tcMar>
              <w:top w:w="40" w:type="dxa"/>
              <w:left w:w="20" w:type="dxa"/>
              <w:bottom w:w="40" w:type="dxa"/>
              <w:right w:w="20" w:type="dxa"/>
            </w:tcMar>
            <w:vAlign w:val="bottom"/>
          </w:tcPr>
          <w:p w14:paraId="64303EB5" w14:textId="77777777" w:rsidR="009F6D8A" w:rsidRDefault="00C50974">
            <w:pPr>
              <w:textAlignment w:val="bottom"/>
            </w:pPr>
            <w:r>
              <w:rPr>
                <w:rFonts w:ascii="Arial" w:eastAsia="宋体" w:hAnsi="Arial" w:cs="Arial"/>
                <w:color w:val="000000"/>
                <w:sz w:val="18"/>
                <w:szCs w:val="18"/>
              </w:rPr>
              <w:t>Interest rate contracts designated as cash flow hedges</w:t>
            </w:r>
          </w:p>
        </w:tc>
        <w:tc>
          <w:tcPr>
            <w:tcW w:w="0" w:type="auto"/>
            <w:gridSpan w:val="3"/>
            <w:shd w:val="clear" w:color="auto" w:fill="FFFFFF"/>
            <w:tcMar>
              <w:top w:w="40" w:type="dxa"/>
              <w:left w:w="20" w:type="dxa"/>
              <w:bottom w:w="40" w:type="dxa"/>
              <w:right w:w="20" w:type="dxa"/>
            </w:tcMar>
            <w:vAlign w:val="bottom"/>
          </w:tcPr>
          <w:p w14:paraId="64303EB6" w14:textId="77777777" w:rsidR="009F6D8A" w:rsidRDefault="00C50974">
            <w:pPr>
              <w:jc w:val="right"/>
              <w:textAlignment w:val="bottom"/>
            </w:pPr>
            <w:r>
              <w:rPr>
                <w:rFonts w:ascii="Arial" w:eastAsia="宋体" w:hAnsi="Arial" w:cs="Arial"/>
                <w:color w:val="000000"/>
                <w:sz w:val="18"/>
                <w:szCs w:val="18"/>
              </w:rPr>
              <w:t>Other Assets</w:t>
            </w:r>
          </w:p>
        </w:tc>
        <w:tc>
          <w:tcPr>
            <w:tcW w:w="0" w:type="auto"/>
            <w:gridSpan w:val="3"/>
            <w:shd w:val="clear" w:color="auto" w:fill="FFFFFF"/>
            <w:tcMar>
              <w:top w:w="0" w:type="dxa"/>
              <w:left w:w="20" w:type="dxa"/>
              <w:bottom w:w="0" w:type="dxa"/>
              <w:right w:w="20" w:type="dxa"/>
            </w:tcMar>
            <w:vAlign w:val="bottom"/>
          </w:tcPr>
          <w:p w14:paraId="64303EB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EB8"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EB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EB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EBB" w14:textId="77777777" w:rsidR="009F6D8A" w:rsidRDefault="00C50974">
            <w:pPr>
              <w:jc w:val="right"/>
              <w:textAlignment w:val="bottom"/>
            </w:pPr>
            <w:r>
              <w:rPr>
                <w:rFonts w:ascii="Arial" w:eastAsia="宋体" w:hAnsi="Arial" w:cs="Arial"/>
                <w:color w:val="000000"/>
                <w:sz w:val="18"/>
                <w:szCs w:val="18"/>
              </w:rPr>
              <w:t>13 </w:t>
            </w:r>
          </w:p>
        </w:tc>
        <w:tc>
          <w:tcPr>
            <w:tcW w:w="0" w:type="auto"/>
            <w:shd w:val="clear" w:color="auto" w:fill="FFFFFF"/>
            <w:tcMar>
              <w:top w:w="40" w:type="dxa"/>
              <w:left w:w="0" w:type="dxa"/>
              <w:bottom w:w="40" w:type="dxa"/>
              <w:right w:w="20" w:type="dxa"/>
            </w:tcMar>
            <w:vAlign w:val="bottom"/>
          </w:tcPr>
          <w:p w14:paraId="64303EBC" w14:textId="77777777" w:rsidR="009F6D8A" w:rsidRDefault="009F6D8A">
            <w:pPr>
              <w:jc w:val="right"/>
              <w:rPr>
                <w:rFonts w:ascii="宋体"/>
              </w:rPr>
            </w:pPr>
          </w:p>
        </w:tc>
      </w:tr>
      <w:tr w:rsidR="009F6D8A" w14:paraId="64303EC4" w14:textId="77777777">
        <w:trPr>
          <w:hidden/>
        </w:trPr>
        <w:tc>
          <w:tcPr>
            <w:tcW w:w="0" w:type="auto"/>
            <w:gridSpan w:val="3"/>
            <w:shd w:val="clear" w:color="auto" w:fill="auto"/>
            <w:vAlign w:val="bottom"/>
          </w:tcPr>
          <w:p w14:paraId="64303EBE" w14:textId="77777777" w:rsidR="009F6D8A" w:rsidRDefault="009F6D8A">
            <w:pPr>
              <w:rPr>
                <w:rFonts w:ascii="宋体"/>
                <w:vanish/>
              </w:rPr>
            </w:pPr>
          </w:p>
        </w:tc>
        <w:tc>
          <w:tcPr>
            <w:tcW w:w="0" w:type="auto"/>
            <w:gridSpan w:val="3"/>
            <w:shd w:val="clear" w:color="auto" w:fill="auto"/>
            <w:vAlign w:val="bottom"/>
          </w:tcPr>
          <w:p w14:paraId="64303EBF" w14:textId="77777777" w:rsidR="009F6D8A" w:rsidRDefault="009F6D8A">
            <w:pPr>
              <w:rPr>
                <w:rFonts w:ascii="宋体"/>
                <w:vanish/>
              </w:rPr>
            </w:pPr>
          </w:p>
        </w:tc>
        <w:tc>
          <w:tcPr>
            <w:tcW w:w="0" w:type="auto"/>
            <w:gridSpan w:val="3"/>
            <w:shd w:val="clear" w:color="auto" w:fill="auto"/>
            <w:vAlign w:val="bottom"/>
          </w:tcPr>
          <w:p w14:paraId="64303EC0" w14:textId="77777777" w:rsidR="009F6D8A" w:rsidRDefault="009F6D8A">
            <w:pPr>
              <w:rPr>
                <w:rFonts w:ascii="宋体"/>
                <w:vanish/>
              </w:rPr>
            </w:pPr>
          </w:p>
        </w:tc>
        <w:tc>
          <w:tcPr>
            <w:tcW w:w="0" w:type="auto"/>
            <w:gridSpan w:val="3"/>
            <w:shd w:val="clear" w:color="auto" w:fill="auto"/>
            <w:vAlign w:val="bottom"/>
          </w:tcPr>
          <w:p w14:paraId="64303EC1" w14:textId="77777777" w:rsidR="009F6D8A" w:rsidRDefault="009F6D8A">
            <w:pPr>
              <w:rPr>
                <w:rFonts w:ascii="宋体"/>
                <w:vanish/>
              </w:rPr>
            </w:pPr>
          </w:p>
        </w:tc>
        <w:tc>
          <w:tcPr>
            <w:tcW w:w="0" w:type="auto"/>
            <w:gridSpan w:val="3"/>
            <w:shd w:val="clear" w:color="auto" w:fill="auto"/>
            <w:vAlign w:val="bottom"/>
          </w:tcPr>
          <w:p w14:paraId="64303EC2" w14:textId="77777777" w:rsidR="009F6D8A" w:rsidRDefault="009F6D8A">
            <w:pPr>
              <w:rPr>
                <w:rFonts w:ascii="宋体"/>
                <w:vanish/>
              </w:rPr>
            </w:pPr>
          </w:p>
        </w:tc>
        <w:tc>
          <w:tcPr>
            <w:tcW w:w="0" w:type="auto"/>
            <w:gridSpan w:val="3"/>
            <w:shd w:val="clear" w:color="auto" w:fill="auto"/>
            <w:vAlign w:val="bottom"/>
          </w:tcPr>
          <w:p w14:paraId="64303EC3" w14:textId="77777777" w:rsidR="009F6D8A" w:rsidRDefault="009F6D8A">
            <w:pPr>
              <w:rPr>
                <w:rFonts w:ascii="宋体"/>
                <w:vanish/>
              </w:rPr>
            </w:pPr>
          </w:p>
        </w:tc>
      </w:tr>
      <w:tr w:rsidR="009F6D8A" w14:paraId="64303ECF" w14:textId="77777777">
        <w:tc>
          <w:tcPr>
            <w:tcW w:w="0" w:type="auto"/>
            <w:gridSpan w:val="3"/>
            <w:shd w:val="clear" w:color="auto" w:fill="E2E2E2"/>
            <w:tcMar>
              <w:top w:w="40" w:type="dxa"/>
              <w:left w:w="245" w:type="dxa"/>
              <w:bottom w:w="40" w:type="dxa"/>
              <w:right w:w="20" w:type="dxa"/>
            </w:tcMar>
            <w:vAlign w:val="bottom"/>
          </w:tcPr>
          <w:p w14:paraId="64303EC5" w14:textId="77777777" w:rsidR="009F6D8A" w:rsidRDefault="00C50974">
            <w:pPr>
              <w:textAlignment w:val="bottom"/>
            </w:pPr>
            <w:r>
              <w:rPr>
                <w:rFonts w:ascii="Arial" w:eastAsia="宋体" w:hAnsi="Arial" w:cs="Arial"/>
                <w:color w:val="000000"/>
                <w:sz w:val="18"/>
                <w:szCs w:val="18"/>
              </w:rPr>
              <w:t>Total derivative assets</w:t>
            </w:r>
          </w:p>
        </w:tc>
        <w:tc>
          <w:tcPr>
            <w:tcW w:w="0" w:type="auto"/>
            <w:gridSpan w:val="3"/>
            <w:shd w:val="clear" w:color="auto" w:fill="E2E2E2"/>
            <w:tcMar>
              <w:top w:w="0" w:type="dxa"/>
              <w:left w:w="20" w:type="dxa"/>
              <w:bottom w:w="0" w:type="dxa"/>
              <w:right w:w="20" w:type="dxa"/>
            </w:tcMar>
            <w:vAlign w:val="bottom"/>
          </w:tcPr>
          <w:p w14:paraId="64303EC6"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EC7"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EC8"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EC9" w14:textId="77777777" w:rsidR="009F6D8A" w:rsidRDefault="00C50974">
            <w:pPr>
              <w:jc w:val="right"/>
              <w:textAlignment w:val="bottom"/>
            </w:pPr>
            <w:r>
              <w:rPr>
                <w:rFonts w:ascii="Arial" w:eastAsia="宋体" w:hAnsi="Arial" w:cs="Arial"/>
                <w:color w:val="000000"/>
                <w:sz w:val="18"/>
                <w:szCs w:val="18"/>
              </w:rPr>
              <w:t>1,180 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EC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ECB"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EC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ECD" w14:textId="77777777" w:rsidR="009F6D8A" w:rsidRDefault="00C50974">
            <w:pPr>
              <w:jc w:val="right"/>
              <w:textAlignment w:val="bottom"/>
            </w:pPr>
            <w:r>
              <w:rPr>
                <w:rFonts w:ascii="Arial" w:eastAsia="宋体" w:hAnsi="Arial" w:cs="Arial"/>
                <w:color w:val="000000"/>
                <w:sz w:val="18"/>
                <w:szCs w:val="18"/>
              </w:rPr>
              <w:t>1,113 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ECE" w14:textId="77777777" w:rsidR="009F6D8A" w:rsidRDefault="009F6D8A">
            <w:pPr>
              <w:jc w:val="right"/>
              <w:rPr>
                <w:rFonts w:ascii="宋体"/>
              </w:rPr>
            </w:pPr>
          </w:p>
        </w:tc>
      </w:tr>
      <w:tr w:rsidR="009F6D8A" w14:paraId="64303ED6" w14:textId="77777777">
        <w:trPr>
          <w:trHeight w:val="280"/>
        </w:trPr>
        <w:tc>
          <w:tcPr>
            <w:tcW w:w="0" w:type="auto"/>
            <w:gridSpan w:val="3"/>
            <w:shd w:val="clear" w:color="auto" w:fill="FFFFFF"/>
            <w:tcMar>
              <w:top w:w="0" w:type="dxa"/>
              <w:left w:w="20" w:type="dxa"/>
              <w:bottom w:w="0" w:type="dxa"/>
              <w:right w:w="20" w:type="dxa"/>
            </w:tcMar>
            <w:vAlign w:val="bottom"/>
          </w:tcPr>
          <w:p w14:paraId="64303ED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ED1"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ED2"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ED3"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ED4"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3ED5" w14:textId="77777777" w:rsidR="009F6D8A" w:rsidRDefault="009F6D8A">
            <w:pPr>
              <w:rPr>
                <w:rFonts w:ascii="宋体"/>
              </w:rPr>
            </w:pPr>
          </w:p>
        </w:tc>
      </w:tr>
      <w:tr w:rsidR="009F6D8A" w14:paraId="64303EDD" w14:textId="77777777">
        <w:tc>
          <w:tcPr>
            <w:tcW w:w="0" w:type="auto"/>
            <w:gridSpan w:val="3"/>
            <w:shd w:val="clear" w:color="auto" w:fill="E2E2E2"/>
            <w:tcMar>
              <w:top w:w="40" w:type="dxa"/>
              <w:left w:w="20" w:type="dxa"/>
              <w:bottom w:w="40" w:type="dxa"/>
              <w:right w:w="20" w:type="dxa"/>
            </w:tcMar>
            <w:vAlign w:val="bottom"/>
          </w:tcPr>
          <w:p w14:paraId="64303ED7" w14:textId="77777777" w:rsidR="009F6D8A" w:rsidRDefault="00C50974">
            <w:pPr>
              <w:textAlignment w:val="bottom"/>
            </w:pPr>
            <w:r>
              <w:rPr>
                <w:rFonts w:ascii="Arial" w:eastAsia="宋体" w:hAnsi="Arial" w:cs="Arial"/>
                <w:b/>
                <w:bCs/>
                <w:color w:val="000000"/>
                <w:sz w:val="18"/>
                <w:szCs w:val="18"/>
              </w:rPr>
              <w:t xml:space="preserve">Derivative </w:t>
            </w:r>
            <w:r>
              <w:rPr>
                <w:rFonts w:ascii="Arial" w:eastAsia="宋体" w:hAnsi="Arial" w:cs="Arial"/>
                <w:b/>
                <w:bCs/>
                <w:color w:val="000000"/>
                <w:sz w:val="18"/>
                <w:szCs w:val="18"/>
              </w:rPr>
              <w:t>Liabilities:</w:t>
            </w:r>
          </w:p>
        </w:tc>
        <w:tc>
          <w:tcPr>
            <w:tcW w:w="0" w:type="auto"/>
            <w:gridSpan w:val="3"/>
            <w:shd w:val="clear" w:color="auto" w:fill="E2E2E2"/>
            <w:tcMar>
              <w:top w:w="0" w:type="dxa"/>
              <w:left w:w="20" w:type="dxa"/>
              <w:bottom w:w="0" w:type="dxa"/>
              <w:right w:w="20" w:type="dxa"/>
            </w:tcMar>
            <w:vAlign w:val="bottom"/>
          </w:tcPr>
          <w:p w14:paraId="64303ED8"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ED9"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EDA"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EDB"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EDC" w14:textId="77777777" w:rsidR="009F6D8A" w:rsidRDefault="009F6D8A">
            <w:pPr>
              <w:rPr>
                <w:rFonts w:ascii="宋体"/>
              </w:rPr>
            </w:pPr>
          </w:p>
        </w:tc>
      </w:tr>
      <w:tr w:rsidR="009F6D8A" w14:paraId="64303EE8" w14:textId="77777777">
        <w:tc>
          <w:tcPr>
            <w:tcW w:w="0" w:type="auto"/>
            <w:gridSpan w:val="3"/>
            <w:shd w:val="clear" w:color="auto" w:fill="FFFFFF"/>
            <w:tcMar>
              <w:top w:w="40" w:type="dxa"/>
              <w:left w:w="20" w:type="dxa"/>
              <w:bottom w:w="40" w:type="dxa"/>
              <w:right w:w="20" w:type="dxa"/>
            </w:tcMar>
            <w:vAlign w:val="bottom"/>
          </w:tcPr>
          <w:p w14:paraId="64303EDE" w14:textId="77777777" w:rsidR="009F6D8A" w:rsidRDefault="00C50974">
            <w:pPr>
              <w:textAlignment w:val="bottom"/>
            </w:pPr>
            <w:r>
              <w:rPr>
                <w:rFonts w:ascii="Arial" w:eastAsia="宋体" w:hAnsi="Arial" w:cs="Arial"/>
                <w:color w:val="000000"/>
                <w:sz w:val="18"/>
                <w:szCs w:val="18"/>
              </w:rPr>
              <w:t>Foreign exchange contracts designated as cash flow hedges</w:t>
            </w:r>
          </w:p>
        </w:tc>
        <w:tc>
          <w:tcPr>
            <w:tcW w:w="0" w:type="auto"/>
            <w:gridSpan w:val="3"/>
            <w:shd w:val="clear" w:color="auto" w:fill="FFFFFF"/>
            <w:tcMar>
              <w:top w:w="40" w:type="dxa"/>
              <w:left w:w="20" w:type="dxa"/>
              <w:bottom w:w="40" w:type="dxa"/>
              <w:right w:w="20" w:type="dxa"/>
            </w:tcMar>
            <w:vAlign w:val="bottom"/>
          </w:tcPr>
          <w:p w14:paraId="64303EDF" w14:textId="77777777" w:rsidR="009F6D8A" w:rsidRDefault="00C50974">
            <w:pPr>
              <w:jc w:val="right"/>
              <w:textAlignment w:val="bottom"/>
            </w:pPr>
            <w:r>
              <w:rPr>
                <w:rFonts w:ascii="Arial" w:eastAsia="宋体" w:hAnsi="Arial" w:cs="Arial"/>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64303EE0"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EE1"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EE2" w14:textId="77777777" w:rsidR="009F6D8A" w:rsidRDefault="00C50974">
            <w:pPr>
              <w:jc w:val="right"/>
              <w:textAlignment w:val="bottom"/>
            </w:pPr>
            <w:r>
              <w:rPr>
                <w:rFonts w:ascii="Arial" w:eastAsia="宋体" w:hAnsi="Arial" w:cs="Arial"/>
                <w:color w:val="000000"/>
                <w:sz w:val="18"/>
                <w:szCs w:val="18"/>
              </w:rPr>
              <w:t>9 </w:t>
            </w:r>
          </w:p>
        </w:tc>
        <w:tc>
          <w:tcPr>
            <w:tcW w:w="0" w:type="auto"/>
            <w:shd w:val="clear" w:color="auto" w:fill="FFFFFF"/>
            <w:tcMar>
              <w:top w:w="40" w:type="dxa"/>
              <w:left w:w="0" w:type="dxa"/>
              <w:bottom w:w="40" w:type="dxa"/>
              <w:right w:w="20" w:type="dxa"/>
            </w:tcMar>
            <w:vAlign w:val="bottom"/>
          </w:tcPr>
          <w:p w14:paraId="64303EE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EE4"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3EE5"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3EE6" w14:textId="77777777" w:rsidR="009F6D8A" w:rsidRDefault="00C50974">
            <w:pPr>
              <w:jc w:val="right"/>
              <w:textAlignment w:val="bottom"/>
            </w:pPr>
            <w:r>
              <w:rPr>
                <w:rFonts w:ascii="Arial" w:eastAsia="宋体" w:hAnsi="Arial" w:cs="Arial"/>
                <w:color w:val="000000"/>
                <w:sz w:val="18"/>
                <w:szCs w:val="18"/>
              </w:rPr>
              <w:t>17 </w:t>
            </w:r>
          </w:p>
        </w:tc>
        <w:tc>
          <w:tcPr>
            <w:tcW w:w="0" w:type="auto"/>
            <w:shd w:val="clear" w:color="auto" w:fill="FFFFFF"/>
            <w:tcMar>
              <w:top w:w="40" w:type="dxa"/>
              <w:left w:w="0" w:type="dxa"/>
              <w:bottom w:w="40" w:type="dxa"/>
              <w:right w:w="20" w:type="dxa"/>
            </w:tcMar>
            <w:vAlign w:val="bottom"/>
          </w:tcPr>
          <w:p w14:paraId="64303EE7" w14:textId="77777777" w:rsidR="009F6D8A" w:rsidRDefault="009F6D8A">
            <w:pPr>
              <w:jc w:val="right"/>
              <w:rPr>
                <w:rFonts w:ascii="宋体"/>
              </w:rPr>
            </w:pPr>
          </w:p>
        </w:tc>
      </w:tr>
      <w:tr w:rsidR="009F6D8A" w14:paraId="64303EEF" w14:textId="77777777">
        <w:trPr>
          <w:hidden/>
        </w:trPr>
        <w:tc>
          <w:tcPr>
            <w:tcW w:w="0" w:type="auto"/>
            <w:gridSpan w:val="3"/>
            <w:shd w:val="clear" w:color="auto" w:fill="auto"/>
            <w:vAlign w:val="bottom"/>
          </w:tcPr>
          <w:p w14:paraId="64303EE9" w14:textId="77777777" w:rsidR="009F6D8A" w:rsidRDefault="009F6D8A">
            <w:pPr>
              <w:rPr>
                <w:rFonts w:ascii="宋体"/>
                <w:vanish/>
              </w:rPr>
            </w:pPr>
          </w:p>
        </w:tc>
        <w:tc>
          <w:tcPr>
            <w:tcW w:w="0" w:type="auto"/>
            <w:gridSpan w:val="3"/>
            <w:shd w:val="clear" w:color="auto" w:fill="auto"/>
            <w:vAlign w:val="bottom"/>
          </w:tcPr>
          <w:p w14:paraId="64303EEA" w14:textId="77777777" w:rsidR="009F6D8A" w:rsidRDefault="009F6D8A">
            <w:pPr>
              <w:rPr>
                <w:rFonts w:ascii="宋体"/>
                <w:vanish/>
              </w:rPr>
            </w:pPr>
          </w:p>
        </w:tc>
        <w:tc>
          <w:tcPr>
            <w:tcW w:w="0" w:type="auto"/>
            <w:gridSpan w:val="3"/>
            <w:shd w:val="clear" w:color="auto" w:fill="auto"/>
            <w:vAlign w:val="bottom"/>
          </w:tcPr>
          <w:p w14:paraId="64303EEB" w14:textId="77777777" w:rsidR="009F6D8A" w:rsidRDefault="009F6D8A">
            <w:pPr>
              <w:rPr>
                <w:rFonts w:ascii="宋体"/>
                <w:vanish/>
              </w:rPr>
            </w:pPr>
          </w:p>
        </w:tc>
        <w:tc>
          <w:tcPr>
            <w:tcW w:w="0" w:type="auto"/>
            <w:gridSpan w:val="3"/>
            <w:shd w:val="clear" w:color="auto" w:fill="auto"/>
            <w:vAlign w:val="bottom"/>
          </w:tcPr>
          <w:p w14:paraId="64303EEC" w14:textId="77777777" w:rsidR="009F6D8A" w:rsidRDefault="009F6D8A">
            <w:pPr>
              <w:rPr>
                <w:rFonts w:ascii="宋体"/>
                <w:vanish/>
              </w:rPr>
            </w:pPr>
          </w:p>
        </w:tc>
        <w:tc>
          <w:tcPr>
            <w:tcW w:w="0" w:type="auto"/>
            <w:gridSpan w:val="3"/>
            <w:shd w:val="clear" w:color="auto" w:fill="auto"/>
            <w:vAlign w:val="bottom"/>
          </w:tcPr>
          <w:p w14:paraId="64303EED" w14:textId="77777777" w:rsidR="009F6D8A" w:rsidRDefault="009F6D8A">
            <w:pPr>
              <w:rPr>
                <w:rFonts w:ascii="宋体"/>
                <w:vanish/>
              </w:rPr>
            </w:pPr>
          </w:p>
        </w:tc>
        <w:tc>
          <w:tcPr>
            <w:tcW w:w="0" w:type="auto"/>
            <w:gridSpan w:val="3"/>
            <w:shd w:val="clear" w:color="auto" w:fill="auto"/>
            <w:vAlign w:val="bottom"/>
          </w:tcPr>
          <w:p w14:paraId="64303EEE" w14:textId="77777777" w:rsidR="009F6D8A" w:rsidRDefault="009F6D8A">
            <w:pPr>
              <w:rPr>
                <w:rFonts w:ascii="宋体"/>
                <w:vanish/>
              </w:rPr>
            </w:pPr>
          </w:p>
        </w:tc>
      </w:tr>
      <w:tr w:rsidR="009F6D8A" w14:paraId="64303EF6" w14:textId="77777777">
        <w:trPr>
          <w:hidden/>
        </w:trPr>
        <w:tc>
          <w:tcPr>
            <w:tcW w:w="0" w:type="auto"/>
            <w:gridSpan w:val="3"/>
            <w:shd w:val="clear" w:color="auto" w:fill="auto"/>
            <w:vAlign w:val="bottom"/>
          </w:tcPr>
          <w:p w14:paraId="64303EF0" w14:textId="77777777" w:rsidR="009F6D8A" w:rsidRDefault="009F6D8A">
            <w:pPr>
              <w:rPr>
                <w:rFonts w:ascii="宋体"/>
                <w:vanish/>
              </w:rPr>
            </w:pPr>
          </w:p>
        </w:tc>
        <w:tc>
          <w:tcPr>
            <w:tcW w:w="0" w:type="auto"/>
            <w:gridSpan w:val="3"/>
            <w:shd w:val="clear" w:color="auto" w:fill="auto"/>
            <w:vAlign w:val="bottom"/>
          </w:tcPr>
          <w:p w14:paraId="64303EF1" w14:textId="77777777" w:rsidR="009F6D8A" w:rsidRDefault="009F6D8A">
            <w:pPr>
              <w:rPr>
                <w:rFonts w:ascii="宋体"/>
                <w:vanish/>
              </w:rPr>
            </w:pPr>
          </w:p>
        </w:tc>
        <w:tc>
          <w:tcPr>
            <w:tcW w:w="0" w:type="auto"/>
            <w:gridSpan w:val="3"/>
            <w:shd w:val="clear" w:color="auto" w:fill="auto"/>
            <w:vAlign w:val="bottom"/>
          </w:tcPr>
          <w:p w14:paraId="64303EF2" w14:textId="77777777" w:rsidR="009F6D8A" w:rsidRDefault="009F6D8A">
            <w:pPr>
              <w:rPr>
                <w:rFonts w:ascii="宋体"/>
                <w:vanish/>
              </w:rPr>
            </w:pPr>
          </w:p>
        </w:tc>
        <w:tc>
          <w:tcPr>
            <w:tcW w:w="0" w:type="auto"/>
            <w:gridSpan w:val="3"/>
            <w:shd w:val="clear" w:color="auto" w:fill="auto"/>
            <w:vAlign w:val="bottom"/>
          </w:tcPr>
          <w:p w14:paraId="64303EF3" w14:textId="77777777" w:rsidR="009F6D8A" w:rsidRDefault="009F6D8A">
            <w:pPr>
              <w:rPr>
                <w:rFonts w:ascii="宋体"/>
                <w:vanish/>
              </w:rPr>
            </w:pPr>
          </w:p>
        </w:tc>
        <w:tc>
          <w:tcPr>
            <w:tcW w:w="0" w:type="auto"/>
            <w:gridSpan w:val="3"/>
            <w:shd w:val="clear" w:color="auto" w:fill="auto"/>
            <w:vAlign w:val="bottom"/>
          </w:tcPr>
          <w:p w14:paraId="64303EF4" w14:textId="77777777" w:rsidR="009F6D8A" w:rsidRDefault="009F6D8A">
            <w:pPr>
              <w:rPr>
                <w:rFonts w:ascii="宋体"/>
                <w:vanish/>
              </w:rPr>
            </w:pPr>
          </w:p>
        </w:tc>
        <w:tc>
          <w:tcPr>
            <w:tcW w:w="0" w:type="auto"/>
            <w:gridSpan w:val="3"/>
            <w:shd w:val="clear" w:color="auto" w:fill="auto"/>
            <w:vAlign w:val="bottom"/>
          </w:tcPr>
          <w:p w14:paraId="64303EF5" w14:textId="77777777" w:rsidR="009F6D8A" w:rsidRDefault="009F6D8A">
            <w:pPr>
              <w:rPr>
                <w:rFonts w:ascii="宋体"/>
                <w:vanish/>
              </w:rPr>
            </w:pPr>
          </w:p>
        </w:tc>
      </w:tr>
      <w:tr w:rsidR="009F6D8A" w14:paraId="64303EFF" w14:textId="77777777">
        <w:tc>
          <w:tcPr>
            <w:tcW w:w="0" w:type="auto"/>
            <w:gridSpan w:val="3"/>
            <w:shd w:val="clear" w:color="auto" w:fill="E2E2E2"/>
            <w:tcMar>
              <w:top w:w="40" w:type="dxa"/>
              <w:left w:w="20" w:type="dxa"/>
              <w:bottom w:w="40" w:type="dxa"/>
              <w:right w:w="20" w:type="dxa"/>
            </w:tcMar>
            <w:vAlign w:val="bottom"/>
          </w:tcPr>
          <w:p w14:paraId="64303EF7" w14:textId="77777777" w:rsidR="009F6D8A" w:rsidRDefault="00C50974">
            <w:pPr>
              <w:textAlignment w:val="bottom"/>
            </w:pPr>
            <w:r>
              <w:rPr>
                <w:rFonts w:ascii="Arial" w:eastAsia="宋体" w:hAnsi="Arial" w:cs="Arial"/>
                <w:color w:val="000000"/>
                <w:sz w:val="18"/>
                <w:szCs w:val="18"/>
              </w:rPr>
              <w:t>Foreign exchange contracts not designated as hedging instruments</w:t>
            </w:r>
          </w:p>
        </w:tc>
        <w:tc>
          <w:tcPr>
            <w:tcW w:w="0" w:type="auto"/>
            <w:gridSpan w:val="3"/>
            <w:shd w:val="clear" w:color="auto" w:fill="E2E2E2"/>
            <w:tcMar>
              <w:top w:w="40" w:type="dxa"/>
              <w:left w:w="20" w:type="dxa"/>
              <w:bottom w:w="40" w:type="dxa"/>
              <w:right w:w="20" w:type="dxa"/>
            </w:tcMar>
            <w:vAlign w:val="bottom"/>
          </w:tcPr>
          <w:p w14:paraId="64303EF8" w14:textId="77777777" w:rsidR="009F6D8A" w:rsidRDefault="00C50974">
            <w:pPr>
              <w:jc w:val="right"/>
              <w:textAlignment w:val="bottom"/>
            </w:pPr>
            <w:r>
              <w:rPr>
                <w:rFonts w:ascii="Arial" w:eastAsia="宋体" w:hAnsi="Arial" w:cs="Arial"/>
                <w:color w:val="000000"/>
                <w:sz w:val="18"/>
                <w:szCs w:val="18"/>
              </w:rPr>
              <w:t>Other Current Liabilities</w:t>
            </w:r>
          </w:p>
        </w:tc>
        <w:tc>
          <w:tcPr>
            <w:tcW w:w="0" w:type="auto"/>
            <w:gridSpan w:val="3"/>
            <w:shd w:val="clear" w:color="auto" w:fill="E2E2E2"/>
            <w:tcMar>
              <w:top w:w="0" w:type="dxa"/>
              <w:left w:w="20" w:type="dxa"/>
              <w:bottom w:w="0" w:type="dxa"/>
              <w:right w:w="20" w:type="dxa"/>
            </w:tcMar>
            <w:vAlign w:val="bottom"/>
          </w:tcPr>
          <w:p w14:paraId="64303EF9"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EFA" w14:textId="77777777" w:rsidR="009F6D8A" w:rsidRDefault="00C50974">
            <w:pPr>
              <w:jc w:val="right"/>
              <w:textAlignment w:val="bottom"/>
            </w:pPr>
            <w:r>
              <w:rPr>
                <w:rFonts w:ascii="Arial" w:eastAsia="宋体" w:hAnsi="Arial" w:cs="Arial"/>
                <w:color w:val="000000"/>
                <w:sz w:val="18"/>
                <w:szCs w:val="18"/>
              </w:rPr>
              <w:t>15 </w:t>
            </w:r>
          </w:p>
        </w:tc>
        <w:tc>
          <w:tcPr>
            <w:tcW w:w="0" w:type="auto"/>
            <w:shd w:val="clear" w:color="auto" w:fill="E2E2E2"/>
            <w:tcMar>
              <w:top w:w="40" w:type="dxa"/>
              <w:left w:w="0" w:type="dxa"/>
              <w:bottom w:w="40" w:type="dxa"/>
              <w:right w:w="20" w:type="dxa"/>
            </w:tcMar>
            <w:vAlign w:val="bottom"/>
          </w:tcPr>
          <w:p w14:paraId="64303EF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EFC"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EFD" w14:textId="77777777" w:rsidR="009F6D8A" w:rsidRDefault="00C50974">
            <w:pPr>
              <w:jc w:val="right"/>
              <w:textAlignment w:val="bottom"/>
            </w:pPr>
            <w:r>
              <w:rPr>
                <w:rFonts w:ascii="Arial" w:eastAsia="宋体" w:hAnsi="Arial" w:cs="Arial"/>
                <w:color w:val="000000"/>
                <w:sz w:val="18"/>
                <w:szCs w:val="18"/>
              </w:rPr>
              <w:t>25 </w:t>
            </w:r>
          </w:p>
        </w:tc>
        <w:tc>
          <w:tcPr>
            <w:tcW w:w="0" w:type="auto"/>
            <w:shd w:val="clear" w:color="auto" w:fill="E2E2E2"/>
            <w:tcMar>
              <w:top w:w="40" w:type="dxa"/>
              <w:left w:w="0" w:type="dxa"/>
              <w:bottom w:w="40" w:type="dxa"/>
              <w:right w:w="20" w:type="dxa"/>
            </w:tcMar>
            <w:vAlign w:val="bottom"/>
          </w:tcPr>
          <w:p w14:paraId="64303EFE" w14:textId="77777777" w:rsidR="009F6D8A" w:rsidRDefault="009F6D8A">
            <w:pPr>
              <w:jc w:val="right"/>
              <w:rPr>
                <w:rFonts w:ascii="宋体"/>
              </w:rPr>
            </w:pPr>
          </w:p>
        </w:tc>
      </w:tr>
      <w:tr w:rsidR="009F6D8A" w14:paraId="64303F08" w14:textId="77777777">
        <w:tc>
          <w:tcPr>
            <w:tcW w:w="0" w:type="auto"/>
            <w:gridSpan w:val="3"/>
            <w:shd w:val="clear" w:color="auto" w:fill="FFFFFF"/>
            <w:tcMar>
              <w:top w:w="40" w:type="dxa"/>
              <w:left w:w="20" w:type="dxa"/>
              <w:bottom w:w="40" w:type="dxa"/>
              <w:right w:w="20" w:type="dxa"/>
            </w:tcMar>
            <w:vAlign w:val="bottom"/>
          </w:tcPr>
          <w:p w14:paraId="64303F00" w14:textId="77777777" w:rsidR="009F6D8A" w:rsidRDefault="00C50974">
            <w:pPr>
              <w:textAlignment w:val="bottom"/>
            </w:pPr>
            <w:r>
              <w:rPr>
                <w:rFonts w:ascii="Arial" w:eastAsia="宋体" w:hAnsi="Arial" w:cs="Arial"/>
                <w:color w:val="000000"/>
                <w:sz w:val="18"/>
                <w:szCs w:val="18"/>
              </w:rPr>
              <w:t xml:space="preserve">Interest rate contracts designated as cash flow hedges </w:t>
            </w:r>
          </w:p>
        </w:tc>
        <w:tc>
          <w:tcPr>
            <w:tcW w:w="0" w:type="auto"/>
            <w:gridSpan w:val="3"/>
            <w:shd w:val="clear" w:color="auto" w:fill="FFFFFF"/>
            <w:tcMar>
              <w:top w:w="40" w:type="dxa"/>
              <w:left w:w="20" w:type="dxa"/>
              <w:bottom w:w="40" w:type="dxa"/>
              <w:right w:w="20" w:type="dxa"/>
            </w:tcMar>
            <w:vAlign w:val="bottom"/>
          </w:tcPr>
          <w:p w14:paraId="64303F01" w14:textId="77777777" w:rsidR="009F6D8A" w:rsidRDefault="00C50974">
            <w:pPr>
              <w:jc w:val="right"/>
              <w:textAlignment w:val="bottom"/>
            </w:pPr>
            <w:r>
              <w:rPr>
                <w:rFonts w:ascii="Arial" w:eastAsia="宋体" w:hAnsi="Arial" w:cs="Arial"/>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64303F0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F03"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4303F0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F0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F06"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4303F07" w14:textId="77777777" w:rsidR="009F6D8A" w:rsidRDefault="009F6D8A">
            <w:pPr>
              <w:jc w:val="right"/>
              <w:rPr>
                <w:rFonts w:ascii="宋体"/>
              </w:rPr>
            </w:pPr>
          </w:p>
        </w:tc>
      </w:tr>
      <w:tr w:rsidR="009F6D8A" w14:paraId="64303F11" w14:textId="77777777">
        <w:tc>
          <w:tcPr>
            <w:tcW w:w="0" w:type="auto"/>
            <w:gridSpan w:val="3"/>
            <w:shd w:val="clear" w:color="auto" w:fill="E2E2E2"/>
            <w:tcMar>
              <w:top w:w="40" w:type="dxa"/>
              <w:left w:w="20" w:type="dxa"/>
              <w:bottom w:w="40" w:type="dxa"/>
              <w:right w:w="20" w:type="dxa"/>
            </w:tcMar>
            <w:vAlign w:val="bottom"/>
          </w:tcPr>
          <w:p w14:paraId="64303F09" w14:textId="77777777" w:rsidR="009F6D8A" w:rsidRDefault="00C50974">
            <w:pPr>
              <w:textAlignment w:val="bottom"/>
            </w:pPr>
            <w:r>
              <w:rPr>
                <w:rFonts w:ascii="Arial" w:eastAsia="宋体" w:hAnsi="Arial" w:cs="Arial"/>
                <w:color w:val="000000"/>
                <w:sz w:val="18"/>
                <w:szCs w:val="18"/>
              </w:rPr>
              <w:t>Interest rate contracts designated as cash flow hedges</w:t>
            </w:r>
          </w:p>
        </w:tc>
        <w:tc>
          <w:tcPr>
            <w:tcW w:w="0" w:type="auto"/>
            <w:gridSpan w:val="3"/>
            <w:shd w:val="clear" w:color="auto" w:fill="E2E2E2"/>
            <w:tcMar>
              <w:top w:w="40" w:type="dxa"/>
              <w:left w:w="20" w:type="dxa"/>
              <w:bottom w:w="40" w:type="dxa"/>
              <w:right w:w="20" w:type="dxa"/>
            </w:tcMar>
            <w:vAlign w:val="bottom"/>
          </w:tcPr>
          <w:p w14:paraId="64303F0A" w14:textId="77777777" w:rsidR="009F6D8A" w:rsidRDefault="00C50974">
            <w:pPr>
              <w:jc w:val="right"/>
              <w:textAlignment w:val="bottom"/>
            </w:pPr>
            <w:r>
              <w:rPr>
                <w:rFonts w:ascii="Arial" w:eastAsia="宋体" w:hAnsi="Arial" w:cs="Arial"/>
                <w:color w:val="000000"/>
                <w:sz w:val="18"/>
                <w:szCs w:val="18"/>
              </w:rPr>
              <w:t>Other Liabilities</w:t>
            </w:r>
          </w:p>
        </w:tc>
        <w:tc>
          <w:tcPr>
            <w:tcW w:w="0" w:type="auto"/>
            <w:gridSpan w:val="3"/>
            <w:shd w:val="clear" w:color="auto" w:fill="E2E2E2"/>
            <w:tcMar>
              <w:top w:w="0" w:type="dxa"/>
              <w:left w:w="20" w:type="dxa"/>
              <w:bottom w:w="0" w:type="dxa"/>
              <w:right w:w="20" w:type="dxa"/>
            </w:tcMar>
            <w:vAlign w:val="bottom"/>
          </w:tcPr>
          <w:p w14:paraId="64303F0B"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F0C"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64303F0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F0E"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3F0F"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64303F10" w14:textId="77777777" w:rsidR="009F6D8A" w:rsidRDefault="009F6D8A">
            <w:pPr>
              <w:jc w:val="right"/>
              <w:rPr>
                <w:rFonts w:ascii="宋体"/>
              </w:rPr>
            </w:pPr>
          </w:p>
        </w:tc>
      </w:tr>
      <w:tr w:rsidR="009F6D8A" w14:paraId="64303F18" w14:textId="77777777">
        <w:trPr>
          <w:hidden/>
        </w:trPr>
        <w:tc>
          <w:tcPr>
            <w:tcW w:w="0" w:type="auto"/>
            <w:gridSpan w:val="3"/>
            <w:shd w:val="clear" w:color="auto" w:fill="auto"/>
            <w:vAlign w:val="bottom"/>
          </w:tcPr>
          <w:p w14:paraId="64303F12" w14:textId="77777777" w:rsidR="009F6D8A" w:rsidRDefault="009F6D8A">
            <w:pPr>
              <w:rPr>
                <w:rFonts w:ascii="宋体"/>
                <w:vanish/>
              </w:rPr>
            </w:pPr>
          </w:p>
        </w:tc>
        <w:tc>
          <w:tcPr>
            <w:tcW w:w="0" w:type="auto"/>
            <w:gridSpan w:val="3"/>
            <w:shd w:val="clear" w:color="auto" w:fill="auto"/>
            <w:vAlign w:val="bottom"/>
          </w:tcPr>
          <w:p w14:paraId="64303F13" w14:textId="77777777" w:rsidR="009F6D8A" w:rsidRDefault="009F6D8A">
            <w:pPr>
              <w:rPr>
                <w:rFonts w:ascii="宋体"/>
                <w:vanish/>
              </w:rPr>
            </w:pPr>
          </w:p>
        </w:tc>
        <w:tc>
          <w:tcPr>
            <w:tcW w:w="0" w:type="auto"/>
            <w:gridSpan w:val="3"/>
            <w:shd w:val="clear" w:color="auto" w:fill="auto"/>
            <w:vAlign w:val="bottom"/>
          </w:tcPr>
          <w:p w14:paraId="64303F14" w14:textId="77777777" w:rsidR="009F6D8A" w:rsidRDefault="009F6D8A">
            <w:pPr>
              <w:rPr>
                <w:rFonts w:ascii="宋体"/>
                <w:vanish/>
              </w:rPr>
            </w:pPr>
          </w:p>
        </w:tc>
        <w:tc>
          <w:tcPr>
            <w:tcW w:w="0" w:type="auto"/>
            <w:gridSpan w:val="3"/>
            <w:shd w:val="clear" w:color="auto" w:fill="auto"/>
            <w:vAlign w:val="bottom"/>
          </w:tcPr>
          <w:p w14:paraId="64303F15" w14:textId="77777777" w:rsidR="009F6D8A" w:rsidRDefault="009F6D8A">
            <w:pPr>
              <w:rPr>
                <w:rFonts w:ascii="宋体"/>
                <w:vanish/>
              </w:rPr>
            </w:pPr>
          </w:p>
        </w:tc>
        <w:tc>
          <w:tcPr>
            <w:tcW w:w="0" w:type="auto"/>
            <w:gridSpan w:val="3"/>
            <w:shd w:val="clear" w:color="auto" w:fill="auto"/>
            <w:vAlign w:val="bottom"/>
          </w:tcPr>
          <w:p w14:paraId="64303F16" w14:textId="77777777" w:rsidR="009F6D8A" w:rsidRDefault="009F6D8A">
            <w:pPr>
              <w:rPr>
                <w:rFonts w:ascii="宋体"/>
                <w:vanish/>
              </w:rPr>
            </w:pPr>
          </w:p>
        </w:tc>
        <w:tc>
          <w:tcPr>
            <w:tcW w:w="0" w:type="auto"/>
            <w:gridSpan w:val="3"/>
            <w:shd w:val="clear" w:color="auto" w:fill="auto"/>
            <w:vAlign w:val="bottom"/>
          </w:tcPr>
          <w:p w14:paraId="64303F17" w14:textId="77777777" w:rsidR="009F6D8A" w:rsidRDefault="009F6D8A">
            <w:pPr>
              <w:rPr>
                <w:rFonts w:ascii="宋体"/>
                <w:vanish/>
              </w:rPr>
            </w:pPr>
          </w:p>
        </w:tc>
      </w:tr>
      <w:tr w:rsidR="009F6D8A" w14:paraId="64303F23" w14:textId="77777777">
        <w:tc>
          <w:tcPr>
            <w:tcW w:w="0" w:type="auto"/>
            <w:gridSpan w:val="3"/>
            <w:shd w:val="clear" w:color="auto" w:fill="FFFFFF"/>
            <w:tcMar>
              <w:top w:w="40" w:type="dxa"/>
              <w:left w:w="245" w:type="dxa"/>
              <w:bottom w:w="40" w:type="dxa"/>
              <w:right w:w="20" w:type="dxa"/>
            </w:tcMar>
            <w:vAlign w:val="bottom"/>
          </w:tcPr>
          <w:p w14:paraId="64303F19" w14:textId="77777777" w:rsidR="009F6D8A" w:rsidRDefault="00C50974">
            <w:pPr>
              <w:textAlignment w:val="bottom"/>
            </w:pPr>
            <w:r>
              <w:rPr>
                <w:rFonts w:ascii="Arial" w:eastAsia="宋体" w:hAnsi="Arial" w:cs="Arial"/>
                <w:color w:val="000000"/>
                <w:sz w:val="18"/>
                <w:szCs w:val="18"/>
              </w:rPr>
              <w:t>Total derivative liabilities</w:t>
            </w:r>
          </w:p>
        </w:tc>
        <w:tc>
          <w:tcPr>
            <w:tcW w:w="0" w:type="auto"/>
            <w:gridSpan w:val="3"/>
            <w:shd w:val="clear" w:color="auto" w:fill="FFFFFF"/>
            <w:tcMar>
              <w:top w:w="0" w:type="dxa"/>
              <w:left w:w="20" w:type="dxa"/>
              <w:bottom w:w="0" w:type="dxa"/>
              <w:right w:w="20" w:type="dxa"/>
            </w:tcMar>
            <w:vAlign w:val="bottom"/>
          </w:tcPr>
          <w:p w14:paraId="64303F1A"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F1B"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3F1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F1D" w14:textId="77777777" w:rsidR="009F6D8A" w:rsidRDefault="00C50974">
            <w:pPr>
              <w:jc w:val="right"/>
              <w:textAlignment w:val="bottom"/>
            </w:pPr>
            <w:r>
              <w:rPr>
                <w:rFonts w:ascii="Arial" w:eastAsia="宋体" w:hAnsi="Arial" w:cs="Arial"/>
                <w:color w:val="000000"/>
                <w:sz w:val="18"/>
                <w:szCs w:val="18"/>
              </w:rPr>
              <w:t>26 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F1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F1F"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3F20"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3F21" w14:textId="77777777" w:rsidR="009F6D8A" w:rsidRDefault="00C50974">
            <w:pPr>
              <w:jc w:val="right"/>
              <w:textAlignment w:val="bottom"/>
            </w:pPr>
            <w:r>
              <w:rPr>
                <w:rFonts w:ascii="Arial" w:eastAsia="宋体" w:hAnsi="Arial" w:cs="Arial"/>
                <w:color w:val="000000"/>
                <w:sz w:val="18"/>
                <w:szCs w:val="18"/>
              </w:rPr>
              <w:t>44 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3F22" w14:textId="77777777" w:rsidR="009F6D8A" w:rsidRDefault="009F6D8A">
            <w:pPr>
              <w:jc w:val="right"/>
              <w:rPr>
                <w:rFonts w:ascii="宋体"/>
              </w:rPr>
            </w:pPr>
          </w:p>
        </w:tc>
      </w:tr>
      <w:tr w:rsidR="009F6D8A" w14:paraId="64303F2A" w14:textId="77777777">
        <w:trPr>
          <w:trHeight w:val="280"/>
        </w:trPr>
        <w:tc>
          <w:tcPr>
            <w:tcW w:w="0" w:type="auto"/>
            <w:gridSpan w:val="3"/>
            <w:shd w:val="clear" w:color="auto" w:fill="E2E2E2"/>
            <w:tcMar>
              <w:top w:w="0" w:type="dxa"/>
              <w:left w:w="20" w:type="dxa"/>
              <w:bottom w:w="0" w:type="dxa"/>
              <w:right w:w="20" w:type="dxa"/>
            </w:tcMar>
            <w:vAlign w:val="bottom"/>
          </w:tcPr>
          <w:p w14:paraId="64303F24"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F25"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F26"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F27"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F28"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3F29" w14:textId="77777777" w:rsidR="009F6D8A" w:rsidRDefault="009F6D8A">
            <w:pPr>
              <w:rPr>
                <w:rFonts w:ascii="宋体"/>
              </w:rPr>
            </w:pPr>
          </w:p>
        </w:tc>
      </w:tr>
      <w:tr w:rsidR="009F6D8A" w14:paraId="64303F35" w14:textId="77777777">
        <w:tc>
          <w:tcPr>
            <w:tcW w:w="0" w:type="auto"/>
            <w:gridSpan w:val="3"/>
            <w:shd w:val="clear" w:color="auto" w:fill="FFFFFF"/>
            <w:tcMar>
              <w:top w:w="40" w:type="dxa"/>
              <w:left w:w="245" w:type="dxa"/>
              <w:bottom w:w="40" w:type="dxa"/>
              <w:right w:w="20" w:type="dxa"/>
            </w:tcMar>
            <w:vAlign w:val="bottom"/>
          </w:tcPr>
          <w:p w14:paraId="64303F2B" w14:textId="77777777" w:rsidR="009F6D8A" w:rsidRDefault="00C50974">
            <w:pPr>
              <w:textAlignment w:val="bottom"/>
            </w:pPr>
            <w:r>
              <w:rPr>
                <w:rFonts w:ascii="Arial" w:eastAsia="宋体" w:hAnsi="Arial" w:cs="Arial"/>
                <w:color w:val="000000"/>
                <w:sz w:val="18"/>
                <w:szCs w:val="18"/>
              </w:rPr>
              <w:t xml:space="preserve">Total fair </w:t>
            </w:r>
            <w:r>
              <w:rPr>
                <w:rFonts w:ascii="Arial" w:eastAsia="宋体" w:hAnsi="Arial" w:cs="Arial"/>
                <w:color w:val="000000"/>
                <w:sz w:val="18"/>
                <w:szCs w:val="18"/>
              </w:rPr>
              <w:t>value of derivative instruments</w:t>
            </w:r>
          </w:p>
        </w:tc>
        <w:tc>
          <w:tcPr>
            <w:tcW w:w="0" w:type="auto"/>
            <w:gridSpan w:val="3"/>
            <w:shd w:val="clear" w:color="auto" w:fill="FFFFFF"/>
            <w:tcMar>
              <w:top w:w="0" w:type="dxa"/>
              <w:left w:w="20" w:type="dxa"/>
              <w:bottom w:w="0" w:type="dxa"/>
              <w:right w:w="20" w:type="dxa"/>
            </w:tcMar>
            <w:vAlign w:val="bottom"/>
          </w:tcPr>
          <w:p w14:paraId="64303F2C"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3F2D"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3F2E"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3F2F" w14:textId="77777777" w:rsidR="009F6D8A" w:rsidRDefault="00C50974">
            <w:pPr>
              <w:jc w:val="right"/>
              <w:textAlignment w:val="bottom"/>
            </w:pPr>
            <w:r>
              <w:rPr>
                <w:rFonts w:ascii="Arial" w:eastAsia="宋体" w:hAnsi="Arial" w:cs="Arial"/>
                <w:color w:val="000000"/>
                <w:sz w:val="18"/>
                <w:szCs w:val="18"/>
              </w:rPr>
              <w:t>1,154 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3F3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F31"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3F32"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3F33" w14:textId="77777777" w:rsidR="009F6D8A" w:rsidRDefault="00C50974">
            <w:pPr>
              <w:jc w:val="right"/>
              <w:textAlignment w:val="bottom"/>
            </w:pPr>
            <w:r>
              <w:rPr>
                <w:rFonts w:ascii="Arial" w:eastAsia="宋体" w:hAnsi="Arial" w:cs="Arial"/>
                <w:color w:val="000000"/>
                <w:sz w:val="18"/>
                <w:szCs w:val="18"/>
              </w:rPr>
              <w:t>1,069 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3F34" w14:textId="77777777" w:rsidR="009F6D8A" w:rsidRDefault="009F6D8A">
            <w:pPr>
              <w:jc w:val="right"/>
              <w:rPr>
                <w:rFonts w:ascii="宋体"/>
              </w:rPr>
            </w:pPr>
          </w:p>
        </w:tc>
      </w:tr>
    </w:tbl>
    <w:p w14:paraId="64303F36" w14:textId="77777777" w:rsidR="009F6D8A" w:rsidRDefault="009F6D8A"/>
    <w:p w14:paraId="64303F37" w14:textId="77777777" w:rsidR="009F6D8A" w:rsidRDefault="00C50974">
      <w:pPr>
        <w:ind w:firstLine="540"/>
        <w:jc w:val="both"/>
      </w:pPr>
      <w:r>
        <w:rPr>
          <w:rFonts w:ascii="Arial" w:eastAsia="宋体" w:hAnsi="Arial" w:cs="Arial"/>
          <w:color w:val="000000"/>
          <w:sz w:val="20"/>
          <w:szCs w:val="20"/>
        </w:rPr>
        <w:t xml:space="preserve">Under </w:t>
      </w:r>
      <w:r>
        <w:rPr>
          <w:rFonts w:ascii="Arial" w:eastAsia="宋体" w:hAnsi="Arial" w:cs="Arial"/>
          <w:color w:val="000000"/>
          <w:sz w:val="20"/>
          <w:szCs w:val="20"/>
        </w:rPr>
        <w:t>the master netting agreements with the respective counterparties to our derivative contracts, subject to applicable requirements, we are allowed to net settle transactions of the same type with a single net amount payable by one party to the other. However</w:t>
      </w:r>
      <w:r>
        <w:rPr>
          <w:rFonts w:ascii="Arial" w:eastAsia="宋体" w:hAnsi="Arial" w:cs="Arial"/>
          <w:color w:val="000000"/>
          <w:sz w:val="20"/>
          <w:szCs w:val="20"/>
        </w:rPr>
        <w:t xml:space="preserve">, we have elected to present the derivative assets and derivative liabilities on a gross basis on our condensed consolidated balance sheet. As of June 30, 2021, the potential effect of rights of set-off associated with the foreign exchange contracts would </w:t>
      </w:r>
      <w:r>
        <w:rPr>
          <w:rFonts w:ascii="Arial" w:eastAsia="宋体" w:hAnsi="Arial" w:cs="Arial"/>
          <w:color w:val="000000"/>
          <w:sz w:val="20"/>
          <w:szCs w:val="20"/>
        </w:rPr>
        <w:t>be an offset to both assets and liabilities by $21 million, resulting in net derivative assets of $36 million and net derivative liabilities of $4 million. As of June 30, 2021, the potential effect of rights of set-off associated with the interest rate con</w:t>
      </w:r>
      <w:r>
        <w:rPr>
          <w:rFonts w:ascii="Arial" w:eastAsia="宋体" w:hAnsi="Arial" w:cs="Arial"/>
          <w:color w:val="000000"/>
          <w:sz w:val="20"/>
          <w:szCs w:val="20"/>
        </w:rPr>
        <w:t xml:space="preserve">tracts would be an offset to both assets and liabilities by zero, resulting in net derivative assets of zero and net derivative liabilities of $1 million. </w:t>
      </w:r>
    </w:p>
    <w:p w14:paraId="64303F38" w14:textId="77777777" w:rsidR="009F6D8A" w:rsidRDefault="009F6D8A"/>
    <w:p w14:paraId="64303F39" w14:textId="77777777" w:rsidR="009F6D8A" w:rsidRDefault="009F6D8A">
      <w:pPr>
        <w:jc w:val="center"/>
      </w:pPr>
    </w:p>
    <w:p w14:paraId="64303F3A" w14:textId="77777777" w:rsidR="009F6D8A" w:rsidRDefault="00C50974">
      <w:pPr>
        <w:jc w:val="center"/>
      </w:pPr>
      <w:r>
        <w:rPr>
          <w:rFonts w:ascii="Arial" w:eastAsia="宋体" w:hAnsi="Arial" w:cs="Arial"/>
          <w:color w:val="000000"/>
          <w:sz w:val="20"/>
          <w:szCs w:val="20"/>
        </w:rPr>
        <w:t>24</w:t>
      </w:r>
    </w:p>
    <w:p w14:paraId="64303F3B" w14:textId="77777777" w:rsidR="009F6D8A" w:rsidRDefault="00C50974">
      <w:r>
        <w:pict w14:anchorId="6430581B">
          <v:rect id="_x0000_i1048" style="width:415.3pt;height:1.5pt" o:hralign="center" o:hrstd="t" o:hr="t" fillcolor="#a0a0a0" stroked="f"/>
        </w:pict>
      </w:r>
    </w:p>
    <w:p w14:paraId="64303F3C" w14:textId="77777777" w:rsidR="009F6D8A" w:rsidRDefault="009F6D8A">
      <w:pPr>
        <w:jc w:val="center"/>
      </w:pPr>
    </w:p>
    <w:p w14:paraId="64303F3D" w14:textId="77777777" w:rsidR="009F6D8A" w:rsidRDefault="00C50974">
      <w:pPr>
        <w:jc w:val="center"/>
      </w:pPr>
      <w:r>
        <w:rPr>
          <w:rFonts w:ascii="Arial" w:eastAsia="宋体" w:hAnsi="Arial" w:cs="Arial"/>
          <w:b/>
          <w:bCs/>
          <w:color w:val="000000"/>
          <w:sz w:val="20"/>
          <w:szCs w:val="20"/>
        </w:rPr>
        <w:t>eBay Inc.</w:t>
      </w:r>
    </w:p>
    <w:p w14:paraId="64303F3E" w14:textId="77777777" w:rsidR="009F6D8A" w:rsidRDefault="00C50974">
      <w:pPr>
        <w:spacing w:after="24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64303F3F" w14:textId="77777777" w:rsidR="009F6D8A" w:rsidRDefault="00C50974">
      <w:r>
        <w:rPr>
          <w:rFonts w:ascii="Arial" w:eastAsia="宋体" w:hAnsi="Arial" w:cs="Arial"/>
          <w:b/>
          <w:bCs/>
          <w:i/>
          <w:iCs/>
          <w:color w:val="000000"/>
          <w:sz w:val="20"/>
          <w:szCs w:val="20"/>
        </w:rPr>
        <w:t>Effect of Derivative Contracts on Accumulated Other Comprehensive Income</w:t>
      </w:r>
    </w:p>
    <w:p w14:paraId="64303F40" w14:textId="77777777" w:rsidR="009F6D8A" w:rsidRDefault="009F6D8A">
      <w:pPr>
        <w:ind w:firstLine="495"/>
      </w:pPr>
    </w:p>
    <w:p w14:paraId="64303F41" w14:textId="77777777" w:rsidR="009F6D8A" w:rsidRDefault="00C50974">
      <w:pPr>
        <w:ind w:firstLine="540"/>
        <w:jc w:val="both"/>
      </w:pPr>
      <w:r>
        <w:rPr>
          <w:rFonts w:ascii="Arial" w:eastAsia="宋体" w:hAnsi="Arial" w:cs="Arial"/>
          <w:color w:val="000000"/>
          <w:sz w:val="20"/>
          <w:szCs w:val="20"/>
        </w:rPr>
        <w:t>The following tables present the activity of derivative instruments designated as cash flow hedges as of June 30, 2021 and December 31, 2020, and the impact of</w:t>
      </w:r>
      <w:r>
        <w:rPr>
          <w:rFonts w:ascii="Arial" w:eastAsia="宋体" w:hAnsi="Arial" w:cs="Arial"/>
          <w:color w:val="000000"/>
          <w:sz w:val="20"/>
          <w:szCs w:val="20"/>
        </w:rPr>
        <w:t xml:space="preserve"> these derivative contracts on AOCI for the six months ended June 30, 2021 and 2020 (in millions): </w:t>
      </w:r>
    </w:p>
    <w:tbl>
      <w:tblPr>
        <w:tblW w:w="5000" w:type="pct"/>
        <w:tblCellMar>
          <w:top w:w="15" w:type="dxa"/>
          <w:left w:w="15" w:type="dxa"/>
          <w:bottom w:w="15" w:type="dxa"/>
          <w:right w:w="15" w:type="dxa"/>
        </w:tblCellMar>
        <w:tblLook w:val="04A0" w:firstRow="1" w:lastRow="0" w:firstColumn="1" w:lastColumn="0" w:noHBand="0" w:noVBand="1"/>
      </w:tblPr>
      <w:tblGrid>
        <w:gridCol w:w="37"/>
        <w:gridCol w:w="2498"/>
        <w:gridCol w:w="36"/>
        <w:gridCol w:w="122"/>
        <w:gridCol w:w="1161"/>
        <w:gridCol w:w="36"/>
        <w:gridCol w:w="36"/>
        <w:gridCol w:w="36"/>
        <w:gridCol w:w="36"/>
        <w:gridCol w:w="122"/>
        <w:gridCol w:w="1338"/>
        <w:gridCol w:w="36"/>
        <w:gridCol w:w="36"/>
        <w:gridCol w:w="36"/>
        <w:gridCol w:w="36"/>
        <w:gridCol w:w="122"/>
        <w:gridCol w:w="1192"/>
        <w:gridCol w:w="36"/>
        <w:gridCol w:w="36"/>
        <w:gridCol w:w="36"/>
        <w:gridCol w:w="36"/>
        <w:gridCol w:w="121"/>
        <w:gridCol w:w="1119"/>
        <w:gridCol w:w="36"/>
      </w:tblGrid>
      <w:tr w:rsidR="009F6D8A" w14:paraId="64303F5A" w14:textId="77777777">
        <w:tc>
          <w:tcPr>
            <w:tcW w:w="50" w:type="pct"/>
            <w:shd w:val="clear" w:color="auto" w:fill="auto"/>
            <w:vAlign w:val="bottom"/>
          </w:tcPr>
          <w:p w14:paraId="64303F42" w14:textId="77777777" w:rsidR="009F6D8A" w:rsidRDefault="009F6D8A">
            <w:pPr>
              <w:rPr>
                <w:rFonts w:ascii="宋体"/>
              </w:rPr>
            </w:pPr>
          </w:p>
        </w:tc>
        <w:tc>
          <w:tcPr>
            <w:tcW w:w="1531" w:type="pct"/>
            <w:shd w:val="clear" w:color="auto" w:fill="auto"/>
            <w:vAlign w:val="bottom"/>
          </w:tcPr>
          <w:p w14:paraId="64303F43" w14:textId="77777777" w:rsidR="009F6D8A" w:rsidRDefault="009F6D8A">
            <w:pPr>
              <w:rPr>
                <w:rFonts w:ascii="宋体"/>
              </w:rPr>
            </w:pPr>
          </w:p>
        </w:tc>
        <w:tc>
          <w:tcPr>
            <w:tcW w:w="5" w:type="pct"/>
            <w:shd w:val="clear" w:color="auto" w:fill="auto"/>
            <w:vAlign w:val="bottom"/>
          </w:tcPr>
          <w:p w14:paraId="64303F44" w14:textId="77777777" w:rsidR="009F6D8A" w:rsidRDefault="009F6D8A">
            <w:pPr>
              <w:rPr>
                <w:rFonts w:ascii="宋体"/>
              </w:rPr>
            </w:pPr>
          </w:p>
        </w:tc>
        <w:tc>
          <w:tcPr>
            <w:tcW w:w="50" w:type="pct"/>
            <w:shd w:val="clear" w:color="auto" w:fill="auto"/>
            <w:vAlign w:val="bottom"/>
          </w:tcPr>
          <w:p w14:paraId="64303F45" w14:textId="77777777" w:rsidR="009F6D8A" w:rsidRDefault="009F6D8A">
            <w:pPr>
              <w:rPr>
                <w:rFonts w:ascii="宋体"/>
              </w:rPr>
            </w:pPr>
          </w:p>
        </w:tc>
        <w:tc>
          <w:tcPr>
            <w:tcW w:w="727" w:type="pct"/>
            <w:shd w:val="clear" w:color="auto" w:fill="auto"/>
            <w:vAlign w:val="bottom"/>
          </w:tcPr>
          <w:p w14:paraId="64303F46" w14:textId="77777777" w:rsidR="009F6D8A" w:rsidRDefault="009F6D8A">
            <w:pPr>
              <w:rPr>
                <w:rFonts w:ascii="宋体"/>
              </w:rPr>
            </w:pPr>
          </w:p>
        </w:tc>
        <w:tc>
          <w:tcPr>
            <w:tcW w:w="5" w:type="pct"/>
            <w:shd w:val="clear" w:color="auto" w:fill="auto"/>
            <w:vAlign w:val="bottom"/>
          </w:tcPr>
          <w:p w14:paraId="64303F47" w14:textId="77777777" w:rsidR="009F6D8A" w:rsidRDefault="009F6D8A">
            <w:pPr>
              <w:rPr>
                <w:rFonts w:ascii="宋体"/>
              </w:rPr>
            </w:pPr>
          </w:p>
        </w:tc>
        <w:tc>
          <w:tcPr>
            <w:tcW w:w="5" w:type="pct"/>
            <w:shd w:val="clear" w:color="auto" w:fill="auto"/>
            <w:vAlign w:val="bottom"/>
          </w:tcPr>
          <w:p w14:paraId="64303F48" w14:textId="77777777" w:rsidR="009F6D8A" w:rsidRDefault="009F6D8A">
            <w:pPr>
              <w:rPr>
                <w:rFonts w:ascii="宋体"/>
              </w:rPr>
            </w:pPr>
          </w:p>
        </w:tc>
        <w:tc>
          <w:tcPr>
            <w:tcW w:w="26" w:type="pct"/>
            <w:shd w:val="clear" w:color="auto" w:fill="auto"/>
            <w:vAlign w:val="bottom"/>
          </w:tcPr>
          <w:p w14:paraId="64303F49" w14:textId="77777777" w:rsidR="009F6D8A" w:rsidRDefault="009F6D8A">
            <w:pPr>
              <w:rPr>
                <w:rFonts w:ascii="宋体"/>
              </w:rPr>
            </w:pPr>
          </w:p>
        </w:tc>
        <w:tc>
          <w:tcPr>
            <w:tcW w:w="5" w:type="pct"/>
            <w:shd w:val="clear" w:color="auto" w:fill="auto"/>
            <w:vAlign w:val="bottom"/>
          </w:tcPr>
          <w:p w14:paraId="64303F4A" w14:textId="77777777" w:rsidR="009F6D8A" w:rsidRDefault="009F6D8A">
            <w:pPr>
              <w:rPr>
                <w:rFonts w:ascii="宋体"/>
              </w:rPr>
            </w:pPr>
          </w:p>
        </w:tc>
        <w:tc>
          <w:tcPr>
            <w:tcW w:w="50" w:type="pct"/>
            <w:shd w:val="clear" w:color="auto" w:fill="auto"/>
            <w:vAlign w:val="bottom"/>
          </w:tcPr>
          <w:p w14:paraId="64303F4B" w14:textId="77777777" w:rsidR="009F6D8A" w:rsidRDefault="009F6D8A">
            <w:pPr>
              <w:rPr>
                <w:rFonts w:ascii="宋体"/>
              </w:rPr>
            </w:pPr>
          </w:p>
        </w:tc>
        <w:tc>
          <w:tcPr>
            <w:tcW w:w="858" w:type="pct"/>
            <w:shd w:val="clear" w:color="auto" w:fill="auto"/>
            <w:vAlign w:val="bottom"/>
          </w:tcPr>
          <w:p w14:paraId="64303F4C" w14:textId="77777777" w:rsidR="009F6D8A" w:rsidRDefault="009F6D8A">
            <w:pPr>
              <w:rPr>
                <w:rFonts w:ascii="宋体"/>
              </w:rPr>
            </w:pPr>
          </w:p>
        </w:tc>
        <w:tc>
          <w:tcPr>
            <w:tcW w:w="5" w:type="pct"/>
            <w:shd w:val="clear" w:color="auto" w:fill="auto"/>
            <w:vAlign w:val="bottom"/>
          </w:tcPr>
          <w:p w14:paraId="64303F4D" w14:textId="77777777" w:rsidR="009F6D8A" w:rsidRDefault="009F6D8A">
            <w:pPr>
              <w:rPr>
                <w:rFonts w:ascii="宋体"/>
              </w:rPr>
            </w:pPr>
          </w:p>
        </w:tc>
        <w:tc>
          <w:tcPr>
            <w:tcW w:w="5" w:type="pct"/>
            <w:shd w:val="clear" w:color="auto" w:fill="auto"/>
            <w:vAlign w:val="bottom"/>
          </w:tcPr>
          <w:p w14:paraId="64303F4E" w14:textId="77777777" w:rsidR="009F6D8A" w:rsidRDefault="009F6D8A">
            <w:pPr>
              <w:rPr>
                <w:rFonts w:ascii="宋体"/>
              </w:rPr>
            </w:pPr>
          </w:p>
        </w:tc>
        <w:tc>
          <w:tcPr>
            <w:tcW w:w="26" w:type="pct"/>
            <w:shd w:val="clear" w:color="auto" w:fill="auto"/>
            <w:vAlign w:val="bottom"/>
          </w:tcPr>
          <w:p w14:paraId="64303F4F" w14:textId="77777777" w:rsidR="009F6D8A" w:rsidRDefault="009F6D8A">
            <w:pPr>
              <w:rPr>
                <w:rFonts w:ascii="宋体"/>
              </w:rPr>
            </w:pPr>
          </w:p>
        </w:tc>
        <w:tc>
          <w:tcPr>
            <w:tcW w:w="5" w:type="pct"/>
            <w:shd w:val="clear" w:color="auto" w:fill="auto"/>
            <w:vAlign w:val="bottom"/>
          </w:tcPr>
          <w:p w14:paraId="64303F50" w14:textId="77777777" w:rsidR="009F6D8A" w:rsidRDefault="009F6D8A">
            <w:pPr>
              <w:rPr>
                <w:rFonts w:ascii="宋体"/>
              </w:rPr>
            </w:pPr>
          </w:p>
        </w:tc>
        <w:tc>
          <w:tcPr>
            <w:tcW w:w="50" w:type="pct"/>
            <w:shd w:val="clear" w:color="auto" w:fill="auto"/>
            <w:vAlign w:val="bottom"/>
          </w:tcPr>
          <w:p w14:paraId="64303F51" w14:textId="77777777" w:rsidR="009F6D8A" w:rsidRDefault="009F6D8A">
            <w:pPr>
              <w:rPr>
                <w:rFonts w:ascii="宋体"/>
              </w:rPr>
            </w:pPr>
          </w:p>
        </w:tc>
        <w:tc>
          <w:tcPr>
            <w:tcW w:w="771" w:type="pct"/>
            <w:shd w:val="clear" w:color="auto" w:fill="auto"/>
            <w:vAlign w:val="bottom"/>
          </w:tcPr>
          <w:p w14:paraId="64303F52" w14:textId="77777777" w:rsidR="009F6D8A" w:rsidRDefault="009F6D8A">
            <w:pPr>
              <w:rPr>
                <w:rFonts w:ascii="宋体"/>
              </w:rPr>
            </w:pPr>
          </w:p>
        </w:tc>
        <w:tc>
          <w:tcPr>
            <w:tcW w:w="5" w:type="pct"/>
            <w:shd w:val="clear" w:color="auto" w:fill="auto"/>
            <w:vAlign w:val="bottom"/>
          </w:tcPr>
          <w:p w14:paraId="64303F53" w14:textId="77777777" w:rsidR="009F6D8A" w:rsidRDefault="009F6D8A">
            <w:pPr>
              <w:rPr>
                <w:rFonts w:ascii="宋体"/>
              </w:rPr>
            </w:pPr>
          </w:p>
        </w:tc>
        <w:tc>
          <w:tcPr>
            <w:tcW w:w="5" w:type="pct"/>
            <w:shd w:val="clear" w:color="auto" w:fill="auto"/>
            <w:vAlign w:val="bottom"/>
          </w:tcPr>
          <w:p w14:paraId="64303F54" w14:textId="77777777" w:rsidR="009F6D8A" w:rsidRDefault="009F6D8A">
            <w:pPr>
              <w:rPr>
                <w:rFonts w:ascii="宋体"/>
              </w:rPr>
            </w:pPr>
          </w:p>
        </w:tc>
        <w:tc>
          <w:tcPr>
            <w:tcW w:w="26" w:type="pct"/>
            <w:shd w:val="clear" w:color="auto" w:fill="auto"/>
            <w:vAlign w:val="bottom"/>
          </w:tcPr>
          <w:p w14:paraId="64303F55" w14:textId="77777777" w:rsidR="009F6D8A" w:rsidRDefault="009F6D8A">
            <w:pPr>
              <w:rPr>
                <w:rFonts w:ascii="宋体"/>
              </w:rPr>
            </w:pPr>
          </w:p>
        </w:tc>
        <w:tc>
          <w:tcPr>
            <w:tcW w:w="5" w:type="pct"/>
            <w:shd w:val="clear" w:color="auto" w:fill="auto"/>
            <w:vAlign w:val="bottom"/>
          </w:tcPr>
          <w:p w14:paraId="64303F56" w14:textId="77777777" w:rsidR="009F6D8A" w:rsidRDefault="009F6D8A">
            <w:pPr>
              <w:rPr>
                <w:rFonts w:ascii="宋体"/>
              </w:rPr>
            </w:pPr>
          </w:p>
        </w:tc>
        <w:tc>
          <w:tcPr>
            <w:tcW w:w="50" w:type="pct"/>
            <w:shd w:val="clear" w:color="auto" w:fill="auto"/>
            <w:vAlign w:val="bottom"/>
          </w:tcPr>
          <w:p w14:paraId="64303F57" w14:textId="77777777" w:rsidR="009F6D8A" w:rsidRDefault="009F6D8A">
            <w:pPr>
              <w:rPr>
                <w:rFonts w:ascii="宋体"/>
              </w:rPr>
            </w:pPr>
          </w:p>
        </w:tc>
        <w:tc>
          <w:tcPr>
            <w:tcW w:w="727" w:type="pct"/>
            <w:shd w:val="clear" w:color="auto" w:fill="auto"/>
            <w:vAlign w:val="bottom"/>
          </w:tcPr>
          <w:p w14:paraId="64303F58" w14:textId="77777777" w:rsidR="009F6D8A" w:rsidRDefault="009F6D8A">
            <w:pPr>
              <w:rPr>
                <w:rFonts w:ascii="宋体"/>
              </w:rPr>
            </w:pPr>
          </w:p>
        </w:tc>
        <w:tc>
          <w:tcPr>
            <w:tcW w:w="5" w:type="pct"/>
            <w:shd w:val="clear" w:color="auto" w:fill="auto"/>
            <w:vAlign w:val="bottom"/>
          </w:tcPr>
          <w:p w14:paraId="64303F59" w14:textId="77777777" w:rsidR="009F6D8A" w:rsidRDefault="009F6D8A">
            <w:pPr>
              <w:rPr>
                <w:rFonts w:ascii="宋体"/>
              </w:rPr>
            </w:pPr>
          </w:p>
        </w:tc>
      </w:tr>
      <w:tr w:rsidR="009F6D8A" w14:paraId="64303F66" w14:textId="77777777">
        <w:tc>
          <w:tcPr>
            <w:tcW w:w="0" w:type="auto"/>
            <w:gridSpan w:val="3"/>
            <w:shd w:val="clear" w:color="auto" w:fill="auto"/>
            <w:tcMar>
              <w:top w:w="40" w:type="dxa"/>
              <w:left w:w="20" w:type="dxa"/>
              <w:bottom w:w="40" w:type="dxa"/>
              <w:right w:w="20" w:type="dxa"/>
            </w:tcMar>
            <w:vAlign w:val="bottom"/>
          </w:tcPr>
          <w:p w14:paraId="64303F5B" w14:textId="77777777" w:rsidR="009F6D8A" w:rsidRDefault="00C50974">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303F5C" w14:textId="77777777" w:rsidR="009F6D8A" w:rsidRDefault="00C50974">
            <w:pPr>
              <w:jc w:val="center"/>
              <w:textAlignment w:val="bottom"/>
            </w:pPr>
            <w:r>
              <w:rPr>
                <w:rFonts w:ascii="Arial" w:eastAsia="宋体" w:hAnsi="Arial" w:cs="Arial"/>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14:paraId="64303F5D"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3F5E" w14:textId="77777777" w:rsidR="009F6D8A" w:rsidRDefault="00C50974">
            <w:pPr>
              <w:jc w:val="center"/>
              <w:textAlignment w:val="bottom"/>
            </w:pPr>
            <w:r>
              <w:rPr>
                <w:rFonts w:ascii="Arial" w:eastAsia="宋体" w:hAnsi="Arial" w:cs="Arial"/>
                <w:b/>
                <w:bCs/>
                <w:color w:val="000000"/>
                <w:sz w:val="16"/>
                <w:szCs w:val="16"/>
              </w:rPr>
              <w:t>Amount of Gain (Loss)</w:t>
            </w:r>
          </w:p>
          <w:p w14:paraId="64303F5F" w14:textId="77777777" w:rsidR="009F6D8A" w:rsidRDefault="00C50974">
            <w:pPr>
              <w:jc w:val="center"/>
              <w:textAlignment w:val="bottom"/>
            </w:pPr>
            <w:r>
              <w:rPr>
                <w:rFonts w:ascii="Arial" w:eastAsia="宋体" w:hAnsi="Arial" w:cs="Arial"/>
                <w:b/>
                <w:bCs/>
                <w:color w:val="000000"/>
                <w:sz w:val="16"/>
                <w:szCs w:val="16"/>
              </w:rPr>
              <w:t>Recognized in Other</w:t>
            </w:r>
          </w:p>
          <w:p w14:paraId="64303F60" w14:textId="77777777" w:rsidR="009F6D8A" w:rsidRDefault="00C50974">
            <w:pPr>
              <w:jc w:val="center"/>
              <w:textAlignment w:val="bottom"/>
            </w:pPr>
            <w:r>
              <w:rPr>
                <w:rFonts w:ascii="Arial" w:eastAsia="宋体" w:hAnsi="Arial" w:cs="Arial"/>
                <w:b/>
                <w:bCs/>
                <w:color w:val="000000"/>
                <w:sz w:val="16"/>
                <w:szCs w:val="16"/>
              </w:rPr>
              <w:t>Comprehensive </w:t>
            </w:r>
          </w:p>
          <w:p w14:paraId="64303F61" w14:textId="77777777" w:rsidR="009F6D8A" w:rsidRDefault="00C50974">
            <w:pPr>
              <w:jc w:val="center"/>
              <w:textAlignment w:val="bottom"/>
            </w:pPr>
            <w:r>
              <w:rPr>
                <w:rFonts w:ascii="Arial" w:eastAsia="宋体" w:hAnsi="Arial" w:cs="Arial"/>
                <w:b/>
                <w:bCs/>
                <w:color w:val="000000"/>
                <w:sz w:val="16"/>
                <w:szCs w:val="16"/>
              </w:rPr>
              <w:t>Income</w:t>
            </w:r>
          </w:p>
        </w:tc>
        <w:tc>
          <w:tcPr>
            <w:tcW w:w="0" w:type="auto"/>
            <w:gridSpan w:val="3"/>
            <w:shd w:val="clear" w:color="auto" w:fill="auto"/>
            <w:tcMar>
              <w:top w:w="0" w:type="dxa"/>
              <w:left w:w="20" w:type="dxa"/>
              <w:bottom w:w="0" w:type="dxa"/>
              <w:right w:w="20" w:type="dxa"/>
            </w:tcMar>
            <w:vAlign w:val="bottom"/>
          </w:tcPr>
          <w:p w14:paraId="64303F62"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3F63" w14:textId="77777777" w:rsidR="009F6D8A" w:rsidRDefault="00C50974">
            <w:pPr>
              <w:jc w:val="center"/>
              <w:textAlignment w:val="bottom"/>
            </w:pPr>
            <w:r>
              <w:rPr>
                <w:rFonts w:ascii="Arial" w:eastAsia="宋体" w:hAnsi="Arial" w:cs="Arial"/>
                <w:b/>
                <w:bCs/>
                <w:color w:val="000000"/>
                <w:sz w:val="16"/>
                <w:szCs w:val="16"/>
              </w:rPr>
              <w:t>Less: Amount of Gain (Loss)</w:t>
            </w:r>
            <w:r>
              <w:rPr>
                <w:rFonts w:ascii="Arial" w:eastAsia="宋体" w:hAnsi="Arial" w:cs="Arial"/>
                <w:b/>
                <w:bCs/>
                <w:color w:val="000000"/>
                <w:sz w:val="16"/>
                <w:szCs w:val="16"/>
              </w:rPr>
              <w:br/>
              <w:t>Reclassified From</w:t>
            </w:r>
            <w:r>
              <w:rPr>
                <w:rFonts w:ascii="Arial" w:eastAsia="宋体" w:hAnsi="Arial" w:cs="Arial"/>
                <w:b/>
                <w:bCs/>
                <w:color w:val="000000"/>
                <w:sz w:val="16"/>
                <w:szCs w:val="16"/>
              </w:rPr>
              <w:br/>
              <w:t>AOCI to Earnings</w:t>
            </w:r>
          </w:p>
        </w:tc>
        <w:tc>
          <w:tcPr>
            <w:tcW w:w="0" w:type="auto"/>
            <w:gridSpan w:val="3"/>
            <w:shd w:val="clear" w:color="auto" w:fill="auto"/>
            <w:tcMar>
              <w:top w:w="0" w:type="dxa"/>
              <w:left w:w="20" w:type="dxa"/>
              <w:bottom w:w="0" w:type="dxa"/>
              <w:right w:w="20" w:type="dxa"/>
            </w:tcMar>
            <w:vAlign w:val="bottom"/>
          </w:tcPr>
          <w:p w14:paraId="64303F64"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3F65" w14:textId="77777777" w:rsidR="009F6D8A" w:rsidRDefault="00C50974">
            <w:pPr>
              <w:jc w:val="center"/>
              <w:textAlignment w:val="bottom"/>
            </w:pPr>
            <w:r>
              <w:rPr>
                <w:rFonts w:ascii="Arial" w:eastAsia="宋体" w:hAnsi="Arial" w:cs="Arial"/>
                <w:b/>
                <w:bCs/>
                <w:color w:val="000000"/>
                <w:sz w:val="16"/>
                <w:szCs w:val="16"/>
              </w:rPr>
              <w:t>June 30, 2021</w:t>
            </w:r>
          </w:p>
        </w:tc>
      </w:tr>
      <w:tr w:rsidR="009F6D8A" w14:paraId="64303F77" w14:textId="77777777">
        <w:tc>
          <w:tcPr>
            <w:tcW w:w="0" w:type="auto"/>
            <w:gridSpan w:val="3"/>
            <w:shd w:val="clear" w:color="auto" w:fill="E2E2E2"/>
            <w:tcMar>
              <w:top w:w="40" w:type="dxa"/>
              <w:left w:w="20" w:type="dxa"/>
              <w:bottom w:w="40" w:type="dxa"/>
              <w:right w:w="20" w:type="dxa"/>
            </w:tcMar>
            <w:vAlign w:val="bottom"/>
          </w:tcPr>
          <w:p w14:paraId="64303F67" w14:textId="77777777" w:rsidR="009F6D8A" w:rsidRDefault="00C50974">
            <w:pPr>
              <w:textAlignment w:val="bottom"/>
            </w:pPr>
            <w:r>
              <w:rPr>
                <w:rFonts w:ascii="Arial" w:eastAsia="宋体" w:hAnsi="Arial" w:cs="Arial"/>
                <w:color w:val="000000"/>
                <w:sz w:val="18"/>
                <w:szCs w:val="18"/>
              </w:rPr>
              <w:t xml:space="preserve">Foreign exchange contracts designated as cash flow </w:t>
            </w:r>
            <w:r>
              <w:rPr>
                <w:rFonts w:ascii="Arial" w:eastAsia="宋体" w:hAnsi="Arial" w:cs="Arial"/>
                <w:color w:val="000000"/>
                <w:sz w:val="18"/>
                <w:szCs w:val="18"/>
              </w:rPr>
              <w:t>hedges</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3F68"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F69" w14:textId="77777777" w:rsidR="009F6D8A" w:rsidRDefault="00C50974">
            <w:pPr>
              <w:jc w:val="right"/>
              <w:textAlignment w:val="bottom"/>
            </w:pPr>
            <w:r>
              <w:rPr>
                <w:rFonts w:ascii="Arial" w:eastAsia="宋体" w:hAnsi="Arial" w:cs="Arial"/>
                <w:color w:val="000000"/>
                <w:sz w:val="18"/>
                <w:szCs w:val="18"/>
              </w:rPr>
              <w:t>(95)</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F6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F6B"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F6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F6D" w14:textId="77777777" w:rsidR="009F6D8A" w:rsidRDefault="00C50974">
            <w:pPr>
              <w:jc w:val="right"/>
              <w:textAlignment w:val="bottom"/>
            </w:pPr>
            <w:r>
              <w:rPr>
                <w:rFonts w:ascii="Arial" w:eastAsia="宋体" w:hAnsi="Arial" w:cs="Arial"/>
                <w:color w:val="000000"/>
                <w:sz w:val="18"/>
                <w:szCs w:val="18"/>
              </w:rPr>
              <w:t>(6)</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F6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F6F"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F70"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F71" w14:textId="77777777" w:rsidR="009F6D8A" w:rsidRDefault="00C50974">
            <w:pPr>
              <w:jc w:val="right"/>
              <w:textAlignment w:val="bottom"/>
            </w:pPr>
            <w:r>
              <w:rPr>
                <w:rFonts w:ascii="Arial" w:eastAsia="宋体" w:hAnsi="Arial" w:cs="Arial"/>
                <w:color w:val="000000"/>
                <w:sz w:val="18"/>
                <w:szCs w:val="18"/>
              </w:rPr>
              <w:t>(44)</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F7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F73"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F74"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F75" w14:textId="77777777" w:rsidR="009F6D8A" w:rsidRDefault="00C50974">
            <w:pPr>
              <w:jc w:val="right"/>
              <w:textAlignment w:val="bottom"/>
            </w:pPr>
            <w:r>
              <w:rPr>
                <w:rFonts w:ascii="Arial" w:eastAsia="宋体" w:hAnsi="Arial" w:cs="Arial"/>
                <w:color w:val="000000"/>
                <w:sz w:val="18"/>
                <w:szCs w:val="18"/>
              </w:rPr>
              <w:t>(57)</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F76" w14:textId="77777777" w:rsidR="009F6D8A" w:rsidRDefault="009F6D8A">
            <w:pPr>
              <w:jc w:val="right"/>
              <w:rPr>
                <w:rFonts w:ascii="宋体"/>
              </w:rPr>
            </w:pPr>
          </w:p>
        </w:tc>
      </w:tr>
      <w:tr w:rsidR="009F6D8A" w14:paraId="64303F84" w14:textId="77777777">
        <w:tc>
          <w:tcPr>
            <w:tcW w:w="0" w:type="auto"/>
            <w:gridSpan w:val="3"/>
            <w:shd w:val="clear" w:color="auto" w:fill="FFFFFF"/>
            <w:tcMar>
              <w:top w:w="40" w:type="dxa"/>
              <w:left w:w="20" w:type="dxa"/>
              <w:bottom w:w="40" w:type="dxa"/>
              <w:right w:w="20" w:type="dxa"/>
            </w:tcMar>
            <w:vAlign w:val="bottom"/>
          </w:tcPr>
          <w:p w14:paraId="64303F78" w14:textId="77777777" w:rsidR="009F6D8A" w:rsidRDefault="00C50974">
            <w:pPr>
              <w:textAlignment w:val="bottom"/>
            </w:pPr>
            <w:r>
              <w:rPr>
                <w:rFonts w:ascii="Arial" w:eastAsia="宋体" w:hAnsi="Arial" w:cs="Arial"/>
                <w:color w:val="000000"/>
                <w:sz w:val="18"/>
                <w:szCs w:val="18"/>
              </w:rPr>
              <w:t>Interest rate contracts designated as cash flow hedges</w:t>
            </w:r>
          </w:p>
        </w:tc>
        <w:tc>
          <w:tcPr>
            <w:tcW w:w="0" w:type="auto"/>
            <w:gridSpan w:val="2"/>
            <w:shd w:val="clear" w:color="auto" w:fill="FFFFFF"/>
            <w:tcMar>
              <w:top w:w="40" w:type="dxa"/>
              <w:left w:w="20" w:type="dxa"/>
              <w:bottom w:w="40" w:type="dxa"/>
              <w:right w:w="0" w:type="dxa"/>
            </w:tcMar>
            <w:vAlign w:val="bottom"/>
          </w:tcPr>
          <w:p w14:paraId="64303F79" w14:textId="77777777" w:rsidR="009F6D8A" w:rsidRDefault="00C50974">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64303F7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F7B"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F7C" w14:textId="77777777" w:rsidR="009F6D8A" w:rsidRDefault="00C50974">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64303F7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F7E"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F7F"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F8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F81"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F82" w14:textId="77777777" w:rsidR="009F6D8A" w:rsidRDefault="00C50974">
            <w:pPr>
              <w:jc w:val="right"/>
              <w:textAlignment w:val="bottom"/>
            </w:pPr>
            <w:r>
              <w:rPr>
                <w:rFonts w:ascii="Arial" w:eastAsia="宋体" w:hAnsi="Arial" w:cs="Arial"/>
                <w:color w:val="000000"/>
                <w:sz w:val="18"/>
                <w:szCs w:val="18"/>
              </w:rPr>
              <w:t>32 </w:t>
            </w:r>
          </w:p>
        </w:tc>
        <w:tc>
          <w:tcPr>
            <w:tcW w:w="0" w:type="auto"/>
            <w:shd w:val="clear" w:color="auto" w:fill="FFFFFF"/>
            <w:tcMar>
              <w:top w:w="40" w:type="dxa"/>
              <w:left w:w="0" w:type="dxa"/>
              <w:bottom w:w="40" w:type="dxa"/>
              <w:right w:w="20" w:type="dxa"/>
            </w:tcMar>
            <w:vAlign w:val="bottom"/>
          </w:tcPr>
          <w:p w14:paraId="64303F83" w14:textId="77777777" w:rsidR="009F6D8A" w:rsidRDefault="009F6D8A">
            <w:pPr>
              <w:jc w:val="right"/>
              <w:rPr>
                <w:rFonts w:ascii="宋体"/>
              </w:rPr>
            </w:pPr>
          </w:p>
        </w:tc>
      </w:tr>
      <w:tr w:rsidR="009F6D8A" w14:paraId="64303F95" w14:textId="77777777">
        <w:tc>
          <w:tcPr>
            <w:tcW w:w="0" w:type="auto"/>
            <w:gridSpan w:val="3"/>
            <w:shd w:val="clear" w:color="auto" w:fill="E2E2E2"/>
            <w:tcMar>
              <w:top w:w="40" w:type="dxa"/>
              <w:left w:w="20" w:type="dxa"/>
              <w:bottom w:w="40" w:type="dxa"/>
              <w:right w:w="20" w:type="dxa"/>
            </w:tcMar>
            <w:vAlign w:val="bottom"/>
          </w:tcPr>
          <w:p w14:paraId="64303F85" w14:textId="77777777" w:rsidR="009F6D8A" w:rsidRDefault="00C50974">
            <w:pPr>
              <w:ind w:firstLine="180"/>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F86"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F87" w14:textId="77777777" w:rsidR="009F6D8A" w:rsidRDefault="00C50974">
            <w:pPr>
              <w:jc w:val="right"/>
              <w:textAlignment w:val="bottom"/>
            </w:pPr>
            <w:r>
              <w:rPr>
                <w:rFonts w:ascii="Arial" w:eastAsia="宋体" w:hAnsi="Arial" w:cs="Arial"/>
                <w:color w:val="000000"/>
                <w:sz w:val="18"/>
                <w:szCs w:val="18"/>
              </w:rPr>
              <w:t>(85)</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F8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F89"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F8A"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F8B" w14:textId="77777777" w:rsidR="009F6D8A" w:rsidRDefault="00C50974">
            <w:pPr>
              <w:jc w:val="right"/>
              <w:textAlignment w:val="bottom"/>
            </w:pPr>
            <w:r>
              <w:rPr>
                <w:rFonts w:ascii="Arial" w:eastAsia="宋体" w:hAnsi="Arial" w:cs="Arial"/>
                <w:color w:val="000000"/>
                <w:sz w:val="18"/>
                <w:szCs w:val="18"/>
              </w:rPr>
              <w:t>16 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F8C"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F8D"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F8E"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F8F" w14:textId="77777777" w:rsidR="009F6D8A" w:rsidRDefault="00C50974">
            <w:pPr>
              <w:jc w:val="right"/>
              <w:textAlignment w:val="bottom"/>
            </w:pPr>
            <w:r>
              <w:rPr>
                <w:rFonts w:ascii="Arial" w:eastAsia="宋体" w:hAnsi="Arial" w:cs="Arial"/>
                <w:color w:val="000000"/>
                <w:sz w:val="18"/>
                <w:szCs w:val="18"/>
              </w:rPr>
              <w:t>(44)</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F90"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F91"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F92"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F93" w14:textId="77777777" w:rsidR="009F6D8A" w:rsidRDefault="00C50974">
            <w:pPr>
              <w:jc w:val="right"/>
              <w:textAlignment w:val="bottom"/>
            </w:pPr>
            <w:r>
              <w:rPr>
                <w:rFonts w:ascii="Arial" w:eastAsia="宋体" w:hAnsi="Arial" w:cs="Arial"/>
                <w:color w:val="000000"/>
                <w:sz w:val="18"/>
                <w:szCs w:val="18"/>
              </w:rPr>
              <w:t>(25)</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F94" w14:textId="77777777" w:rsidR="009F6D8A" w:rsidRDefault="009F6D8A">
            <w:pPr>
              <w:jc w:val="right"/>
              <w:rPr>
                <w:rFonts w:ascii="宋体"/>
              </w:rPr>
            </w:pPr>
          </w:p>
        </w:tc>
      </w:tr>
    </w:tbl>
    <w:p w14:paraId="64303F96" w14:textId="77777777" w:rsidR="009F6D8A" w:rsidRDefault="009F6D8A">
      <w:pPr>
        <w:jc w:val="both"/>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498"/>
        <w:gridCol w:w="36"/>
        <w:gridCol w:w="122"/>
        <w:gridCol w:w="1161"/>
        <w:gridCol w:w="36"/>
        <w:gridCol w:w="36"/>
        <w:gridCol w:w="36"/>
        <w:gridCol w:w="36"/>
        <w:gridCol w:w="122"/>
        <w:gridCol w:w="1337"/>
        <w:gridCol w:w="36"/>
        <w:gridCol w:w="36"/>
        <w:gridCol w:w="36"/>
        <w:gridCol w:w="36"/>
        <w:gridCol w:w="122"/>
        <w:gridCol w:w="1192"/>
        <w:gridCol w:w="36"/>
        <w:gridCol w:w="36"/>
        <w:gridCol w:w="36"/>
        <w:gridCol w:w="36"/>
        <w:gridCol w:w="122"/>
        <w:gridCol w:w="1119"/>
        <w:gridCol w:w="36"/>
      </w:tblGrid>
      <w:tr w:rsidR="009F6D8A" w14:paraId="64303FAF" w14:textId="77777777">
        <w:trPr>
          <w:jc w:val="center"/>
        </w:trPr>
        <w:tc>
          <w:tcPr>
            <w:tcW w:w="50" w:type="pct"/>
            <w:shd w:val="clear" w:color="auto" w:fill="auto"/>
            <w:vAlign w:val="bottom"/>
          </w:tcPr>
          <w:p w14:paraId="64303F97" w14:textId="77777777" w:rsidR="009F6D8A" w:rsidRDefault="009F6D8A">
            <w:pPr>
              <w:rPr>
                <w:rFonts w:ascii="宋体"/>
              </w:rPr>
            </w:pPr>
          </w:p>
        </w:tc>
        <w:tc>
          <w:tcPr>
            <w:tcW w:w="1531" w:type="pct"/>
            <w:shd w:val="clear" w:color="auto" w:fill="auto"/>
            <w:vAlign w:val="bottom"/>
          </w:tcPr>
          <w:p w14:paraId="64303F98" w14:textId="77777777" w:rsidR="009F6D8A" w:rsidRDefault="009F6D8A">
            <w:pPr>
              <w:rPr>
                <w:rFonts w:ascii="宋体"/>
              </w:rPr>
            </w:pPr>
          </w:p>
        </w:tc>
        <w:tc>
          <w:tcPr>
            <w:tcW w:w="5" w:type="pct"/>
            <w:shd w:val="clear" w:color="auto" w:fill="auto"/>
            <w:vAlign w:val="bottom"/>
          </w:tcPr>
          <w:p w14:paraId="64303F99" w14:textId="77777777" w:rsidR="009F6D8A" w:rsidRDefault="009F6D8A">
            <w:pPr>
              <w:rPr>
                <w:rFonts w:ascii="宋体"/>
              </w:rPr>
            </w:pPr>
          </w:p>
        </w:tc>
        <w:tc>
          <w:tcPr>
            <w:tcW w:w="50" w:type="pct"/>
            <w:shd w:val="clear" w:color="auto" w:fill="auto"/>
            <w:vAlign w:val="bottom"/>
          </w:tcPr>
          <w:p w14:paraId="64303F9A" w14:textId="77777777" w:rsidR="009F6D8A" w:rsidRDefault="009F6D8A">
            <w:pPr>
              <w:rPr>
                <w:rFonts w:ascii="宋体"/>
              </w:rPr>
            </w:pPr>
          </w:p>
        </w:tc>
        <w:tc>
          <w:tcPr>
            <w:tcW w:w="727" w:type="pct"/>
            <w:shd w:val="clear" w:color="auto" w:fill="auto"/>
            <w:vAlign w:val="bottom"/>
          </w:tcPr>
          <w:p w14:paraId="64303F9B" w14:textId="77777777" w:rsidR="009F6D8A" w:rsidRDefault="009F6D8A">
            <w:pPr>
              <w:rPr>
                <w:rFonts w:ascii="宋体"/>
              </w:rPr>
            </w:pPr>
          </w:p>
        </w:tc>
        <w:tc>
          <w:tcPr>
            <w:tcW w:w="5" w:type="pct"/>
            <w:shd w:val="clear" w:color="auto" w:fill="auto"/>
            <w:vAlign w:val="bottom"/>
          </w:tcPr>
          <w:p w14:paraId="64303F9C" w14:textId="77777777" w:rsidR="009F6D8A" w:rsidRDefault="009F6D8A">
            <w:pPr>
              <w:rPr>
                <w:rFonts w:ascii="宋体"/>
              </w:rPr>
            </w:pPr>
          </w:p>
        </w:tc>
        <w:tc>
          <w:tcPr>
            <w:tcW w:w="5" w:type="pct"/>
            <w:shd w:val="clear" w:color="auto" w:fill="auto"/>
            <w:vAlign w:val="bottom"/>
          </w:tcPr>
          <w:p w14:paraId="64303F9D" w14:textId="77777777" w:rsidR="009F6D8A" w:rsidRDefault="009F6D8A">
            <w:pPr>
              <w:rPr>
                <w:rFonts w:ascii="宋体"/>
              </w:rPr>
            </w:pPr>
          </w:p>
        </w:tc>
        <w:tc>
          <w:tcPr>
            <w:tcW w:w="26" w:type="pct"/>
            <w:shd w:val="clear" w:color="auto" w:fill="auto"/>
            <w:vAlign w:val="bottom"/>
          </w:tcPr>
          <w:p w14:paraId="64303F9E" w14:textId="77777777" w:rsidR="009F6D8A" w:rsidRDefault="009F6D8A">
            <w:pPr>
              <w:rPr>
                <w:rFonts w:ascii="宋体"/>
              </w:rPr>
            </w:pPr>
          </w:p>
        </w:tc>
        <w:tc>
          <w:tcPr>
            <w:tcW w:w="5" w:type="pct"/>
            <w:shd w:val="clear" w:color="auto" w:fill="auto"/>
            <w:vAlign w:val="bottom"/>
          </w:tcPr>
          <w:p w14:paraId="64303F9F" w14:textId="77777777" w:rsidR="009F6D8A" w:rsidRDefault="009F6D8A">
            <w:pPr>
              <w:rPr>
                <w:rFonts w:ascii="宋体"/>
              </w:rPr>
            </w:pPr>
          </w:p>
        </w:tc>
        <w:tc>
          <w:tcPr>
            <w:tcW w:w="50" w:type="pct"/>
            <w:shd w:val="clear" w:color="auto" w:fill="auto"/>
            <w:vAlign w:val="bottom"/>
          </w:tcPr>
          <w:p w14:paraId="64303FA0" w14:textId="77777777" w:rsidR="009F6D8A" w:rsidRDefault="009F6D8A">
            <w:pPr>
              <w:rPr>
                <w:rFonts w:ascii="宋体"/>
              </w:rPr>
            </w:pPr>
          </w:p>
        </w:tc>
        <w:tc>
          <w:tcPr>
            <w:tcW w:w="858" w:type="pct"/>
            <w:shd w:val="clear" w:color="auto" w:fill="auto"/>
            <w:vAlign w:val="bottom"/>
          </w:tcPr>
          <w:p w14:paraId="64303FA1" w14:textId="77777777" w:rsidR="009F6D8A" w:rsidRDefault="009F6D8A">
            <w:pPr>
              <w:rPr>
                <w:rFonts w:ascii="宋体"/>
              </w:rPr>
            </w:pPr>
          </w:p>
        </w:tc>
        <w:tc>
          <w:tcPr>
            <w:tcW w:w="5" w:type="pct"/>
            <w:shd w:val="clear" w:color="auto" w:fill="auto"/>
            <w:vAlign w:val="bottom"/>
          </w:tcPr>
          <w:p w14:paraId="64303FA2" w14:textId="77777777" w:rsidR="009F6D8A" w:rsidRDefault="009F6D8A">
            <w:pPr>
              <w:rPr>
                <w:rFonts w:ascii="宋体"/>
              </w:rPr>
            </w:pPr>
          </w:p>
        </w:tc>
        <w:tc>
          <w:tcPr>
            <w:tcW w:w="5" w:type="pct"/>
            <w:shd w:val="clear" w:color="auto" w:fill="auto"/>
            <w:vAlign w:val="bottom"/>
          </w:tcPr>
          <w:p w14:paraId="64303FA3" w14:textId="77777777" w:rsidR="009F6D8A" w:rsidRDefault="009F6D8A">
            <w:pPr>
              <w:rPr>
                <w:rFonts w:ascii="宋体"/>
              </w:rPr>
            </w:pPr>
          </w:p>
        </w:tc>
        <w:tc>
          <w:tcPr>
            <w:tcW w:w="26" w:type="pct"/>
            <w:shd w:val="clear" w:color="auto" w:fill="auto"/>
            <w:vAlign w:val="bottom"/>
          </w:tcPr>
          <w:p w14:paraId="64303FA4" w14:textId="77777777" w:rsidR="009F6D8A" w:rsidRDefault="009F6D8A">
            <w:pPr>
              <w:rPr>
                <w:rFonts w:ascii="宋体"/>
              </w:rPr>
            </w:pPr>
          </w:p>
        </w:tc>
        <w:tc>
          <w:tcPr>
            <w:tcW w:w="5" w:type="pct"/>
            <w:shd w:val="clear" w:color="auto" w:fill="auto"/>
            <w:vAlign w:val="bottom"/>
          </w:tcPr>
          <w:p w14:paraId="64303FA5" w14:textId="77777777" w:rsidR="009F6D8A" w:rsidRDefault="009F6D8A">
            <w:pPr>
              <w:rPr>
                <w:rFonts w:ascii="宋体"/>
              </w:rPr>
            </w:pPr>
          </w:p>
        </w:tc>
        <w:tc>
          <w:tcPr>
            <w:tcW w:w="50" w:type="pct"/>
            <w:shd w:val="clear" w:color="auto" w:fill="auto"/>
            <w:vAlign w:val="bottom"/>
          </w:tcPr>
          <w:p w14:paraId="64303FA6" w14:textId="77777777" w:rsidR="009F6D8A" w:rsidRDefault="009F6D8A">
            <w:pPr>
              <w:rPr>
                <w:rFonts w:ascii="宋体"/>
              </w:rPr>
            </w:pPr>
          </w:p>
        </w:tc>
        <w:tc>
          <w:tcPr>
            <w:tcW w:w="771" w:type="pct"/>
            <w:shd w:val="clear" w:color="auto" w:fill="auto"/>
            <w:vAlign w:val="bottom"/>
          </w:tcPr>
          <w:p w14:paraId="64303FA7" w14:textId="77777777" w:rsidR="009F6D8A" w:rsidRDefault="009F6D8A">
            <w:pPr>
              <w:rPr>
                <w:rFonts w:ascii="宋体"/>
              </w:rPr>
            </w:pPr>
          </w:p>
        </w:tc>
        <w:tc>
          <w:tcPr>
            <w:tcW w:w="5" w:type="pct"/>
            <w:shd w:val="clear" w:color="auto" w:fill="auto"/>
            <w:vAlign w:val="bottom"/>
          </w:tcPr>
          <w:p w14:paraId="64303FA8" w14:textId="77777777" w:rsidR="009F6D8A" w:rsidRDefault="009F6D8A">
            <w:pPr>
              <w:rPr>
                <w:rFonts w:ascii="宋体"/>
              </w:rPr>
            </w:pPr>
          </w:p>
        </w:tc>
        <w:tc>
          <w:tcPr>
            <w:tcW w:w="5" w:type="pct"/>
            <w:shd w:val="clear" w:color="auto" w:fill="auto"/>
            <w:vAlign w:val="bottom"/>
          </w:tcPr>
          <w:p w14:paraId="64303FA9" w14:textId="77777777" w:rsidR="009F6D8A" w:rsidRDefault="009F6D8A">
            <w:pPr>
              <w:rPr>
                <w:rFonts w:ascii="宋体"/>
              </w:rPr>
            </w:pPr>
          </w:p>
        </w:tc>
        <w:tc>
          <w:tcPr>
            <w:tcW w:w="26" w:type="pct"/>
            <w:shd w:val="clear" w:color="auto" w:fill="auto"/>
            <w:vAlign w:val="bottom"/>
          </w:tcPr>
          <w:p w14:paraId="64303FAA" w14:textId="77777777" w:rsidR="009F6D8A" w:rsidRDefault="009F6D8A">
            <w:pPr>
              <w:rPr>
                <w:rFonts w:ascii="宋体"/>
              </w:rPr>
            </w:pPr>
          </w:p>
        </w:tc>
        <w:tc>
          <w:tcPr>
            <w:tcW w:w="5" w:type="pct"/>
            <w:shd w:val="clear" w:color="auto" w:fill="auto"/>
            <w:vAlign w:val="bottom"/>
          </w:tcPr>
          <w:p w14:paraId="64303FAB" w14:textId="77777777" w:rsidR="009F6D8A" w:rsidRDefault="009F6D8A">
            <w:pPr>
              <w:rPr>
                <w:rFonts w:ascii="宋体"/>
              </w:rPr>
            </w:pPr>
          </w:p>
        </w:tc>
        <w:tc>
          <w:tcPr>
            <w:tcW w:w="50" w:type="pct"/>
            <w:shd w:val="clear" w:color="auto" w:fill="auto"/>
            <w:vAlign w:val="bottom"/>
          </w:tcPr>
          <w:p w14:paraId="64303FAC" w14:textId="77777777" w:rsidR="009F6D8A" w:rsidRDefault="009F6D8A">
            <w:pPr>
              <w:rPr>
                <w:rFonts w:ascii="宋体"/>
              </w:rPr>
            </w:pPr>
          </w:p>
        </w:tc>
        <w:tc>
          <w:tcPr>
            <w:tcW w:w="727" w:type="pct"/>
            <w:shd w:val="clear" w:color="auto" w:fill="auto"/>
            <w:vAlign w:val="bottom"/>
          </w:tcPr>
          <w:p w14:paraId="64303FAD" w14:textId="77777777" w:rsidR="009F6D8A" w:rsidRDefault="009F6D8A">
            <w:pPr>
              <w:rPr>
                <w:rFonts w:ascii="宋体"/>
              </w:rPr>
            </w:pPr>
          </w:p>
        </w:tc>
        <w:tc>
          <w:tcPr>
            <w:tcW w:w="5" w:type="pct"/>
            <w:shd w:val="clear" w:color="auto" w:fill="auto"/>
            <w:vAlign w:val="bottom"/>
          </w:tcPr>
          <w:p w14:paraId="64303FAE" w14:textId="77777777" w:rsidR="009F6D8A" w:rsidRDefault="009F6D8A">
            <w:pPr>
              <w:rPr>
                <w:rFonts w:ascii="宋体"/>
              </w:rPr>
            </w:pPr>
          </w:p>
        </w:tc>
      </w:tr>
      <w:tr w:rsidR="009F6D8A" w14:paraId="64303FBB" w14:textId="77777777">
        <w:trPr>
          <w:jc w:val="center"/>
        </w:trPr>
        <w:tc>
          <w:tcPr>
            <w:tcW w:w="0" w:type="auto"/>
            <w:gridSpan w:val="3"/>
            <w:shd w:val="clear" w:color="auto" w:fill="auto"/>
            <w:tcMar>
              <w:top w:w="40" w:type="dxa"/>
              <w:left w:w="20" w:type="dxa"/>
              <w:bottom w:w="40" w:type="dxa"/>
              <w:right w:w="20" w:type="dxa"/>
            </w:tcMar>
            <w:vAlign w:val="bottom"/>
          </w:tcPr>
          <w:p w14:paraId="64303FB0" w14:textId="77777777" w:rsidR="009F6D8A" w:rsidRDefault="00C50974">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303FB1" w14:textId="77777777" w:rsidR="009F6D8A" w:rsidRDefault="00C50974">
            <w:pPr>
              <w:jc w:val="center"/>
              <w:textAlignment w:val="bottom"/>
            </w:pPr>
            <w:r>
              <w:rPr>
                <w:rFonts w:ascii="Arial" w:eastAsia="宋体" w:hAnsi="Arial" w:cs="Arial"/>
                <w:b/>
                <w:bCs/>
                <w:color w:val="000000"/>
                <w:sz w:val="16"/>
                <w:szCs w:val="16"/>
              </w:rPr>
              <w:t>December 31, 2019</w:t>
            </w:r>
          </w:p>
        </w:tc>
        <w:tc>
          <w:tcPr>
            <w:tcW w:w="0" w:type="auto"/>
            <w:gridSpan w:val="3"/>
            <w:shd w:val="clear" w:color="auto" w:fill="auto"/>
            <w:tcMar>
              <w:top w:w="0" w:type="dxa"/>
              <w:left w:w="20" w:type="dxa"/>
              <w:bottom w:w="0" w:type="dxa"/>
              <w:right w:w="20" w:type="dxa"/>
            </w:tcMar>
            <w:vAlign w:val="bottom"/>
          </w:tcPr>
          <w:p w14:paraId="64303FB2"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3FB3" w14:textId="77777777" w:rsidR="009F6D8A" w:rsidRDefault="00C50974">
            <w:pPr>
              <w:jc w:val="center"/>
              <w:textAlignment w:val="bottom"/>
            </w:pPr>
            <w:r>
              <w:rPr>
                <w:rFonts w:ascii="Arial" w:eastAsia="宋体" w:hAnsi="Arial" w:cs="Arial"/>
                <w:b/>
                <w:bCs/>
                <w:color w:val="000000"/>
                <w:sz w:val="16"/>
                <w:szCs w:val="16"/>
              </w:rPr>
              <w:t>Amount of Gain (Loss)</w:t>
            </w:r>
          </w:p>
          <w:p w14:paraId="64303FB4" w14:textId="77777777" w:rsidR="009F6D8A" w:rsidRDefault="00C50974">
            <w:pPr>
              <w:jc w:val="center"/>
              <w:textAlignment w:val="bottom"/>
            </w:pPr>
            <w:r>
              <w:rPr>
                <w:rFonts w:ascii="Arial" w:eastAsia="宋体" w:hAnsi="Arial" w:cs="Arial"/>
                <w:b/>
                <w:bCs/>
                <w:color w:val="000000"/>
                <w:sz w:val="16"/>
                <w:szCs w:val="16"/>
              </w:rPr>
              <w:t>Recognized in Other</w:t>
            </w:r>
          </w:p>
          <w:p w14:paraId="64303FB5" w14:textId="77777777" w:rsidR="009F6D8A" w:rsidRDefault="00C50974">
            <w:pPr>
              <w:jc w:val="center"/>
              <w:textAlignment w:val="bottom"/>
            </w:pPr>
            <w:r>
              <w:rPr>
                <w:rFonts w:ascii="Arial" w:eastAsia="宋体" w:hAnsi="Arial" w:cs="Arial"/>
                <w:b/>
                <w:bCs/>
                <w:color w:val="000000"/>
                <w:sz w:val="16"/>
                <w:szCs w:val="16"/>
              </w:rPr>
              <w:t>Comprehensive </w:t>
            </w:r>
          </w:p>
          <w:p w14:paraId="64303FB6" w14:textId="77777777" w:rsidR="009F6D8A" w:rsidRDefault="00C50974">
            <w:pPr>
              <w:jc w:val="center"/>
              <w:textAlignment w:val="bottom"/>
            </w:pPr>
            <w:r>
              <w:rPr>
                <w:rFonts w:ascii="Arial" w:eastAsia="宋体" w:hAnsi="Arial" w:cs="Arial"/>
                <w:b/>
                <w:bCs/>
                <w:color w:val="000000"/>
                <w:sz w:val="16"/>
                <w:szCs w:val="16"/>
              </w:rPr>
              <w:t>Income</w:t>
            </w:r>
          </w:p>
        </w:tc>
        <w:tc>
          <w:tcPr>
            <w:tcW w:w="0" w:type="auto"/>
            <w:gridSpan w:val="3"/>
            <w:shd w:val="clear" w:color="auto" w:fill="auto"/>
            <w:tcMar>
              <w:top w:w="0" w:type="dxa"/>
              <w:left w:w="20" w:type="dxa"/>
              <w:bottom w:w="0" w:type="dxa"/>
              <w:right w:w="20" w:type="dxa"/>
            </w:tcMar>
            <w:vAlign w:val="bottom"/>
          </w:tcPr>
          <w:p w14:paraId="64303FB7"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3FB8" w14:textId="77777777" w:rsidR="009F6D8A" w:rsidRDefault="00C50974">
            <w:pPr>
              <w:jc w:val="center"/>
              <w:textAlignment w:val="bottom"/>
            </w:pPr>
            <w:r>
              <w:rPr>
                <w:rFonts w:ascii="Arial" w:eastAsia="宋体" w:hAnsi="Arial" w:cs="Arial"/>
                <w:b/>
                <w:bCs/>
                <w:color w:val="000000"/>
                <w:sz w:val="16"/>
                <w:szCs w:val="16"/>
              </w:rPr>
              <w:t>Less: Amount of Gain (Loss)</w:t>
            </w:r>
            <w:r>
              <w:rPr>
                <w:rFonts w:ascii="Arial" w:eastAsia="宋体" w:hAnsi="Arial" w:cs="Arial"/>
                <w:b/>
                <w:bCs/>
                <w:color w:val="000000"/>
                <w:sz w:val="16"/>
                <w:szCs w:val="16"/>
              </w:rPr>
              <w:br/>
              <w:t>Reclassified From</w:t>
            </w:r>
            <w:r>
              <w:rPr>
                <w:rFonts w:ascii="Arial" w:eastAsia="宋体" w:hAnsi="Arial" w:cs="Arial"/>
                <w:b/>
                <w:bCs/>
                <w:color w:val="000000"/>
                <w:sz w:val="16"/>
                <w:szCs w:val="16"/>
              </w:rPr>
              <w:br/>
              <w:t>AOCI to Earnings</w:t>
            </w:r>
          </w:p>
        </w:tc>
        <w:tc>
          <w:tcPr>
            <w:tcW w:w="0" w:type="auto"/>
            <w:gridSpan w:val="3"/>
            <w:shd w:val="clear" w:color="auto" w:fill="auto"/>
            <w:tcMar>
              <w:top w:w="0" w:type="dxa"/>
              <w:left w:w="20" w:type="dxa"/>
              <w:bottom w:w="0" w:type="dxa"/>
              <w:right w:w="20" w:type="dxa"/>
            </w:tcMar>
            <w:vAlign w:val="bottom"/>
          </w:tcPr>
          <w:p w14:paraId="64303FB9" w14:textId="77777777" w:rsidR="009F6D8A" w:rsidRDefault="009F6D8A">
            <w:pPr>
              <w:rPr>
                <w:rFonts w:ascii="宋体"/>
              </w:rPr>
            </w:pPr>
          </w:p>
        </w:tc>
        <w:tc>
          <w:tcPr>
            <w:tcW w:w="0" w:type="auto"/>
            <w:gridSpan w:val="3"/>
            <w:shd w:val="clear" w:color="auto" w:fill="FFFFFF"/>
            <w:tcMar>
              <w:top w:w="40" w:type="dxa"/>
              <w:left w:w="20" w:type="dxa"/>
              <w:bottom w:w="40" w:type="dxa"/>
              <w:right w:w="20" w:type="dxa"/>
            </w:tcMar>
            <w:vAlign w:val="bottom"/>
          </w:tcPr>
          <w:p w14:paraId="64303FBA" w14:textId="77777777" w:rsidR="009F6D8A" w:rsidRDefault="00C50974">
            <w:pPr>
              <w:jc w:val="center"/>
              <w:textAlignment w:val="bottom"/>
            </w:pPr>
            <w:r>
              <w:rPr>
                <w:rFonts w:ascii="Arial" w:eastAsia="宋体" w:hAnsi="Arial" w:cs="Arial"/>
                <w:b/>
                <w:bCs/>
                <w:color w:val="000000"/>
                <w:sz w:val="16"/>
                <w:szCs w:val="16"/>
              </w:rPr>
              <w:t>June 30, 2020</w:t>
            </w:r>
          </w:p>
        </w:tc>
      </w:tr>
      <w:tr w:rsidR="009F6D8A" w14:paraId="64303FCC" w14:textId="77777777">
        <w:trPr>
          <w:jc w:val="center"/>
        </w:trPr>
        <w:tc>
          <w:tcPr>
            <w:tcW w:w="0" w:type="auto"/>
            <w:gridSpan w:val="3"/>
            <w:shd w:val="clear" w:color="auto" w:fill="E2E2E2"/>
            <w:tcMar>
              <w:top w:w="40" w:type="dxa"/>
              <w:left w:w="20" w:type="dxa"/>
              <w:bottom w:w="40" w:type="dxa"/>
              <w:right w:w="20" w:type="dxa"/>
            </w:tcMar>
            <w:vAlign w:val="bottom"/>
          </w:tcPr>
          <w:p w14:paraId="64303FBC" w14:textId="77777777" w:rsidR="009F6D8A" w:rsidRDefault="00C50974">
            <w:pPr>
              <w:textAlignment w:val="bottom"/>
            </w:pPr>
            <w:r>
              <w:rPr>
                <w:rFonts w:ascii="Arial" w:eastAsia="宋体" w:hAnsi="Arial" w:cs="Arial"/>
                <w:color w:val="000000"/>
                <w:sz w:val="18"/>
                <w:szCs w:val="18"/>
              </w:rPr>
              <w:t xml:space="preserve">Foreign exchange contracts designated as cash flow </w:t>
            </w:r>
            <w:r>
              <w:rPr>
                <w:rFonts w:ascii="Arial" w:eastAsia="宋体" w:hAnsi="Arial" w:cs="Arial"/>
                <w:color w:val="000000"/>
                <w:sz w:val="18"/>
                <w:szCs w:val="18"/>
              </w:rPr>
              <w:t>hedges</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3FBD"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FBE" w14:textId="77777777" w:rsidR="009F6D8A" w:rsidRDefault="00C50974">
            <w:pPr>
              <w:jc w:val="right"/>
              <w:textAlignment w:val="bottom"/>
            </w:pPr>
            <w:r>
              <w:rPr>
                <w:rFonts w:ascii="Arial" w:eastAsia="宋体" w:hAnsi="Arial" w:cs="Arial"/>
                <w:color w:val="000000"/>
                <w:sz w:val="18"/>
                <w:szCs w:val="18"/>
              </w:rPr>
              <w:t>(9)</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FB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FC0"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FC1"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FC2" w14:textId="77777777" w:rsidR="009F6D8A" w:rsidRDefault="00C50974">
            <w:pPr>
              <w:jc w:val="right"/>
              <w:textAlignment w:val="bottom"/>
            </w:pPr>
            <w:r>
              <w:rPr>
                <w:rFonts w:ascii="Arial" w:eastAsia="宋体" w:hAnsi="Arial" w:cs="Arial"/>
                <w:color w:val="000000"/>
                <w:sz w:val="18"/>
                <w:szCs w:val="18"/>
              </w:rPr>
              <w:t>21 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FC3"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FC4"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FC5"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FC6" w14:textId="77777777" w:rsidR="009F6D8A" w:rsidRDefault="00C50974">
            <w:pPr>
              <w:jc w:val="right"/>
              <w:textAlignment w:val="bottom"/>
            </w:pPr>
            <w:r>
              <w:rPr>
                <w:rFonts w:ascii="Arial" w:eastAsia="宋体" w:hAnsi="Arial" w:cs="Arial"/>
                <w:color w:val="000000"/>
                <w:sz w:val="18"/>
                <w:szCs w:val="18"/>
              </w:rPr>
              <w:t>17 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FC7"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FC8"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3FC9"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3FCA" w14:textId="77777777" w:rsidR="009F6D8A" w:rsidRDefault="00C50974">
            <w:pPr>
              <w:jc w:val="right"/>
              <w:textAlignment w:val="bottom"/>
            </w:pPr>
            <w:r>
              <w:rPr>
                <w:rFonts w:ascii="Arial" w:eastAsia="宋体" w:hAnsi="Arial" w:cs="Arial"/>
                <w:color w:val="000000"/>
                <w:sz w:val="18"/>
                <w:szCs w:val="18"/>
              </w:rPr>
              <w:t>(5)</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3FCB" w14:textId="77777777" w:rsidR="009F6D8A" w:rsidRDefault="009F6D8A">
            <w:pPr>
              <w:jc w:val="right"/>
              <w:rPr>
                <w:rFonts w:ascii="宋体"/>
              </w:rPr>
            </w:pPr>
          </w:p>
        </w:tc>
      </w:tr>
      <w:tr w:rsidR="009F6D8A" w14:paraId="64303FD9" w14:textId="77777777">
        <w:trPr>
          <w:jc w:val="center"/>
        </w:trPr>
        <w:tc>
          <w:tcPr>
            <w:tcW w:w="0" w:type="auto"/>
            <w:gridSpan w:val="3"/>
            <w:shd w:val="clear" w:color="auto" w:fill="FFFFFF"/>
            <w:tcMar>
              <w:top w:w="40" w:type="dxa"/>
              <w:left w:w="20" w:type="dxa"/>
              <w:bottom w:w="40" w:type="dxa"/>
              <w:right w:w="20" w:type="dxa"/>
            </w:tcMar>
            <w:vAlign w:val="bottom"/>
          </w:tcPr>
          <w:p w14:paraId="64303FCD" w14:textId="77777777" w:rsidR="009F6D8A" w:rsidRDefault="00C50974">
            <w:pPr>
              <w:textAlignment w:val="bottom"/>
            </w:pPr>
            <w:r>
              <w:rPr>
                <w:rFonts w:ascii="Arial" w:eastAsia="宋体" w:hAnsi="Arial" w:cs="Arial"/>
                <w:color w:val="000000"/>
                <w:sz w:val="18"/>
                <w:szCs w:val="18"/>
              </w:rPr>
              <w:t>Interest rate contracts designated as cash flow hedges</w:t>
            </w:r>
          </w:p>
        </w:tc>
        <w:tc>
          <w:tcPr>
            <w:tcW w:w="0" w:type="auto"/>
            <w:gridSpan w:val="2"/>
            <w:shd w:val="clear" w:color="auto" w:fill="FFFFFF"/>
            <w:tcMar>
              <w:top w:w="40" w:type="dxa"/>
              <w:left w:w="20" w:type="dxa"/>
              <w:bottom w:w="40" w:type="dxa"/>
              <w:right w:w="0" w:type="dxa"/>
            </w:tcMar>
            <w:vAlign w:val="bottom"/>
          </w:tcPr>
          <w:p w14:paraId="64303FCE"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FC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FD0"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FD1" w14:textId="77777777" w:rsidR="009F6D8A" w:rsidRDefault="00C50974">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64303FD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FD3"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FD4"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3FD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3FD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3FD7" w14:textId="77777777" w:rsidR="009F6D8A" w:rsidRDefault="00C50974">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64303FD8" w14:textId="77777777" w:rsidR="009F6D8A" w:rsidRDefault="009F6D8A">
            <w:pPr>
              <w:jc w:val="right"/>
              <w:rPr>
                <w:rFonts w:ascii="宋体"/>
              </w:rPr>
            </w:pPr>
          </w:p>
        </w:tc>
      </w:tr>
      <w:tr w:rsidR="009F6D8A" w14:paraId="64303FEA" w14:textId="77777777">
        <w:trPr>
          <w:jc w:val="center"/>
        </w:trPr>
        <w:tc>
          <w:tcPr>
            <w:tcW w:w="0" w:type="auto"/>
            <w:gridSpan w:val="3"/>
            <w:shd w:val="clear" w:color="auto" w:fill="E2E2E2"/>
            <w:tcMar>
              <w:top w:w="40" w:type="dxa"/>
              <w:left w:w="20" w:type="dxa"/>
              <w:bottom w:w="40" w:type="dxa"/>
              <w:right w:w="20" w:type="dxa"/>
            </w:tcMar>
            <w:vAlign w:val="bottom"/>
          </w:tcPr>
          <w:p w14:paraId="64303FDA" w14:textId="77777777" w:rsidR="009F6D8A" w:rsidRDefault="00C50974">
            <w:pPr>
              <w:ind w:firstLine="180"/>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FD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FDC" w14:textId="77777777" w:rsidR="009F6D8A" w:rsidRDefault="00C50974">
            <w:pPr>
              <w:jc w:val="right"/>
              <w:textAlignment w:val="bottom"/>
            </w:pPr>
            <w:r>
              <w:rPr>
                <w:rFonts w:ascii="Arial" w:eastAsia="宋体" w:hAnsi="Arial" w:cs="Arial"/>
                <w:color w:val="000000"/>
                <w:sz w:val="18"/>
                <w:szCs w:val="18"/>
              </w:rPr>
              <w:t>(9)</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FD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FDE"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FD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FE0" w14:textId="77777777" w:rsidR="009F6D8A" w:rsidRDefault="00C50974">
            <w:pPr>
              <w:jc w:val="right"/>
              <w:textAlignment w:val="bottom"/>
            </w:pPr>
            <w:r>
              <w:rPr>
                <w:rFonts w:ascii="Arial" w:eastAsia="宋体" w:hAnsi="Arial" w:cs="Arial"/>
                <w:color w:val="000000"/>
                <w:sz w:val="18"/>
                <w:szCs w:val="18"/>
              </w:rPr>
              <w:t>18 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FE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FE2"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FE3"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FE4" w14:textId="77777777" w:rsidR="009F6D8A" w:rsidRDefault="00C50974">
            <w:pPr>
              <w:jc w:val="right"/>
              <w:textAlignment w:val="bottom"/>
            </w:pPr>
            <w:r>
              <w:rPr>
                <w:rFonts w:ascii="Arial" w:eastAsia="宋体" w:hAnsi="Arial" w:cs="Arial"/>
                <w:color w:val="000000"/>
                <w:sz w:val="18"/>
                <w:szCs w:val="18"/>
              </w:rPr>
              <w:t>17 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FE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3FE6"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3FE7"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3FE8" w14:textId="77777777" w:rsidR="009F6D8A" w:rsidRDefault="00C50974">
            <w:pPr>
              <w:jc w:val="right"/>
              <w:textAlignment w:val="bottom"/>
            </w:pPr>
            <w:r>
              <w:rPr>
                <w:rFonts w:ascii="Arial" w:eastAsia="宋体" w:hAnsi="Arial" w:cs="Arial"/>
                <w:color w:val="000000"/>
                <w:sz w:val="18"/>
                <w:szCs w:val="18"/>
              </w:rPr>
              <w:t>(8)</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3FE9" w14:textId="77777777" w:rsidR="009F6D8A" w:rsidRDefault="009F6D8A">
            <w:pPr>
              <w:jc w:val="right"/>
              <w:rPr>
                <w:rFonts w:ascii="宋体"/>
              </w:rPr>
            </w:pPr>
          </w:p>
        </w:tc>
      </w:tr>
    </w:tbl>
    <w:p w14:paraId="64303FEB" w14:textId="77777777" w:rsidR="009F6D8A" w:rsidRDefault="009F6D8A">
      <w:pPr>
        <w:jc w:val="center"/>
      </w:pPr>
    </w:p>
    <w:p w14:paraId="64303FEC" w14:textId="77777777" w:rsidR="009F6D8A" w:rsidRDefault="00C50974">
      <w:r>
        <w:rPr>
          <w:rFonts w:ascii="Arial" w:eastAsia="宋体" w:hAnsi="Arial" w:cs="Arial"/>
          <w:b/>
          <w:bCs/>
          <w:i/>
          <w:iCs/>
          <w:color w:val="000000"/>
          <w:sz w:val="20"/>
          <w:szCs w:val="20"/>
        </w:rPr>
        <w:t xml:space="preserve">Effect of Derivative Contracts on </w:t>
      </w:r>
      <w:r>
        <w:rPr>
          <w:rFonts w:ascii="Arial" w:eastAsia="宋体" w:hAnsi="Arial" w:cs="Arial"/>
          <w:b/>
          <w:bCs/>
          <w:i/>
          <w:iCs/>
          <w:color w:val="000000"/>
          <w:sz w:val="20"/>
          <w:szCs w:val="20"/>
        </w:rPr>
        <w:t>Condensed Consolidated Statement of Income</w:t>
      </w:r>
    </w:p>
    <w:p w14:paraId="64303FED" w14:textId="77777777" w:rsidR="009F6D8A" w:rsidRDefault="009F6D8A">
      <w:pPr>
        <w:ind w:firstLine="495"/>
      </w:pPr>
    </w:p>
    <w:p w14:paraId="64303FEE" w14:textId="77777777" w:rsidR="009F6D8A" w:rsidRDefault="00C50974">
      <w:pPr>
        <w:spacing w:after="120"/>
        <w:ind w:firstLine="540"/>
      </w:pPr>
      <w:r>
        <w:rPr>
          <w:rFonts w:ascii="Arial" w:eastAsia="宋体" w:hAnsi="Arial" w:cs="Arial"/>
          <w:color w:val="000000"/>
          <w:sz w:val="20"/>
          <w:szCs w:val="20"/>
        </w:rPr>
        <w:t>The following table provides a summary of the total gain (loss) recognized in the condensed consolidated statement of income from our foreign exchange derivative contracts by location (in millions): </w:t>
      </w:r>
    </w:p>
    <w:tbl>
      <w:tblPr>
        <w:tblW w:w="5000" w:type="pct"/>
        <w:tblCellMar>
          <w:top w:w="15" w:type="dxa"/>
          <w:left w:w="15" w:type="dxa"/>
          <w:bottom w:w="15" w:type="dxa"/>
          <w:right w:w="15" w:type="dxa"/>
        </w:tblCellMar>
        <w:tblLook w:val="04A0" w:firstRow="1" w:lastRow="0" w:firstColumn="1" w:lastColumn="0" w:noHBand="0" w:noVBand="1"/>
      </w:tblPr>
      <w:tblGrid>
        <w:gridCol w:w="38"/>
        <w:gridCol w:w="4108"/>
        <w:gridCol w:w="37"/>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9F6D8A" w14:paraId="64304007" w14:textId="77777777">
        <w:tc>
          <w:tcPr>
            <w:tcW w:w="50" w:type="pct"/>
            <w:shd w:val="clear" w:color="auto" w:fill="auto"/>
            <w:vAlign w:val="bottom"/>
          </w:tcPr>
          <w:p w14:paraId="64303FEF" w14:textId="77777777" w:rsidR="009F6D8A" w:rsidRDefault="009F6D8A">
            <w:pPr>
              <w:rPr>
                <w:rFonts w:ascii="宋体"/>
              </w:rPr>
            </w:pPr>
          </w:p>
        </w:tc>
        <w:tc>
          <w:tcPr>
            <w:tcW w:w="2496" w:type="pct"/>
            <w:shd w:val="clear" w:color="auto" w:fill="auto"/>
            <w:vAlign w:val="bottom"/>
          </w:tcPr>
          <w:p w14:paraId="64303FF0" w14:textId="77777777" w:rsidR="009F6D8A" w:rsidRDefault="009F6D8A">
            <w:pPr>
              <w:rPr>
                <w:rFonts w:ascii="宋体"/>
              </w:rPr>
            </w:pPr>
          </w:p>
        </w:tc>
        <w:tc>
          <w:tcPr>
            <w:tcW w:w="5" w:type="pct"/>
            <w:shd w:val="clear" w:color="auto" w:fill="auto"/>
            <w:vAlign w:val="bottom"/>
          </w:tcPr>
          <w:p w14:paraId="64303FF1" w14:textId="77777777" w:rsidR="009F6D8A" w:rsidRDefault="009F6D8A">
            <w:pPr>
              <w:rPr>
                <w:rFonts w:ascii="宋体"/>
              </w:rPr>
            </w:pPr>
          </w:p>
        </w:tc>
        <w:tc>
          <w:tcPr>
            <w:tcW w:w="50" w:type="pct"/>
            <w:shd w:val="clear" w:color="auto" w:fill="auto"/>
            <w:vAlign w:val="bottom"/>
          </w:tcPr>
          <w:p w14:paraId="64303FF2" w14:textId="77777777" w:rsidR="009F6D8A" w:rsidRDefault="009F6D8A">
            <w:pPr>
              <w:rPr>
                <w:rFonts w:ascii="宋体"/>
              </w:rPr>
            </w:pPr>
          </w:p>
        </w:tc>
        <w:tc>
          <w:tcPr>
            <w:tcW w:w="529" w:type="pct"/>
            <w:shd w:val="clear" w:color="auto" w:fill="auto"/>
            <w:vAlign w:val="bottom"/>
          </w:tcPr>
          <w:p w14:paraId="64303FF3" w14:textId="77777777" w:rsidR="009F6D8A" w:rsidRDefault="009F6D8A">
            <w:pPr>
              <w:rPr>
                <w:rFonts w:ascii="宋体"/>
              </w:rPr>
            </w:pPr>
          </w:p>
        </w:tc>
        <w:tc>
          <w:tcPr>
            <w:tcW w:w="5" w:type="pct"/>
            <w:shd w:val="clear" w:color="auto" w:fill="auto"/>
            <w:vAlign w:val="bottom"/>
          </w:tcPr>
          <w:p w14:paraId="64303FF4" w14:textId="77777777" w:rsidR="009F6D8A" w:rsidRDefault="009F6D8A">
            <w:pPr>
              <w:rPr>
                <w:rFonts w:ascii="宋体"/>
              </w:rPr>
            </w:pPr>
          </w:p>
        </w:tc>
        <w:tc>
          <w:tcPr>
            <w:tcW w:w="5" w:type="pct"/>
            <w:shd w:val="clear" w:color="auto" w:fill="auto"/>
            <w:vAlign w:val="bottom"/>
          </w:tcPr>
          <w:p w14:paraId="64303FF5" w14:textId="77777777" w:rsidR="009F6D8A" w:rsidRDefault="009F6D8A">
            <w:pPr>
              <w:rPr>
                <w:rFonts w:ascii="宋体"/>
              </w:rPr>
            </w:pPr>
          </w:p>
        </w:tc>
        <w:tc>
          <w:tcPr>
            <w:tcW w:w="26" w:type="pct"/>
            <w:shd w:val="clear" w:color="auto" w:fill="auto"/>
            <w:vAlign w:val="bottom"/>
          </w:tcPr>
          <w:p w14:paraId="64303FF6" w14:textId="77777777" w:rsidR="009F6D8A" w:rsidRDefault="009F6D8A">
            <w:pPr>
              <w:rPr>
                <w:rFonts w:ascii="宋体"/>
              </w:rPr>
            </w:pPr>
          </w:p>
        </w:tc>
        <w:tc>
          <w:tcPr>
            <w:tcW w:w="5" w:type="pct"/>
            <w:shd w:val="clear" w:color="auto" w:fill="auto"/>
            <w:vAlign w:val="bottom"/>
          </w:tcPr>
          <w:p w14:paraId="64303FF7" w14:textId="77777777" w:rsidR="009F6D8A" w:rsidRDefault="009F6D8A">
            <w:pPr>
              <w:rPr>
                <w:rFonts w:ascii="宋体"/>
              </w:rPr>
            </w:pPr>
          </w:p>
        </w:tc>
        <w:tc>
          <w:tcPr>
            <w:tcW w:w="50" w:type="pct"/>
            <w:shd w:val="clear" w:color="auto" w:fill="auto"/>
            <w:vAlign w:val="bottom"/>
          </w:tcPr>
          <w:p w14:paraId="64303FF8" w14:textId="77777777" w:rsidR="009F6D8A" w:rsidRDefault="009F6D8A">
            <w:pPr>
              <w:rPr>
                <w:rFonts w:ascii="宋体"/>
              </w:rPr>
            </w:pPr>
          </w:p>
        </w:tc>
        <w:tc>
          <w:tcPr>
            <w:tcW w:w="529" w:type="pct"/>
            <w:shd w:val="clear" w:color="auto" w:fill="auto"/>
            <w:vAlign w:val="bottom"/>
          </w:tcPr>
          <w:p w14:paraId="64303FF9" w14:textId="77777777" w:rsidR="009F6D8A" w:rsidRDefault="009F6D8A">
            <w:pPr>
              <w:rPr>
                <w:rFonts w:ascii="宋体"/>
              </w:rPr>
            </w:pPr>
          </w:p>
        </w:tc>
        <w:tc>
          <w:tcPr>
            <w:tcW w:w="5" w:type="pct"/>
            <w:shd w:val="clear" w:color="auto" w:fill="auto"/>
            <w:vAlign w:val="bottom"/>
          </w:tcPr>
          <w:p w14:paraId="64303FFA" w14:textId="77777777" w:rsidR="009F6D8A" w:rsidRDefault="009F6D8A">
            <w:pPr>
              <w:rPr>
                <w:rFonts w:ascii="宋体"/>
              </w:rPr>
            </w:pPr>
          </w:p>
        </w:tc>
        <w:tc>
          <w:tcPr>
            <w:tcW w:w="5" w:type="pct"/>
            <w:shd w:val="clear" w:color="auto" w:fill="auto"/>
            <w:vAlign w:val="bottom"/>
          </w:tcPr>
          <w:p w14:paraId="64303FFB" w14:textId="77777777" w:rsidR="009F6D8A" w:rsidRDefault="009F6D8A">
            <w:pPr>
              <w:rPr>
                <w:rFonts w:ascii="宋体"/>
              </w:rPr>
            </w:pPr>
          </w:p>
        </w:tc>
        <w:tc>
          <w:tcPr>
            <w:tcW w:w="26" w:type="pct"/>
            <w:shd w:val="clear" w:color="auto" w:fill="auto"/>
            <w:vAlign w:val="bottom"/>
          </w:tcPr>
          <w:p w14:paraId="64303FFC" w14:textId="77777777" w:rsidR="009F6D8A" w:rsidRDefault="009F6D8A">
            <w:pPr>
              <w:rPr>
                <w:rFonts w:ascii="宋体"/>
              </w:rPr>
            </w:pPr>
          </w:p>
        </w:tc>
        <w:tc>
          <w:tcPr>
            <w:tcW w:w="5" w:type="pct"/>
            <w:shd w:val="clear" w:color="auto" w:fill="auto"/>
            <w:vAlign w:val="bottom"/>
          </w:tcPr>
          <w:p w14:paraId="64303FFD" w14:textId="77777777" w:rsidR="009F6D8A" w:rsidRDefault="009F6D8A">
            <w:pPr>
              <w:rPr>
                <w:rFonts w:ascii="宋体"/>
              </w:rPr>
            </w:pPr>
          </w:p>
        </w:tc>
        <w:tc>
          <w:tcPr>
            <w:tcW w:w="50" w:type="pct"/>
            <w:shd w:val="clear" w:color="auto" w:fill="auto"/>
            <w:vAlign w:val="bottom"/>
          </w:tcPr>
          <w:p w14:paraId="64303FFE" w14:textId="77777777" w:rsidR="009F6D8A" w:rsidRDefault="009F6D8A">
            <w:pPr>
              <w:rPr>
                <w:rFonts w:ascii="宋体"/>
              </w:rPr>
            </w:pPr>
          </w:p>
        </w:tc>
        <w:tc>
          <w:tcPr>
            <w:tcW w:w="529" w:type="pct"/>
            <w:shd w:val="clear" w:color="auto" w:fill="auto"/>
            <w:vAlign w:val="bottom"/>
          </w:tcPr>
          <w:p w14:paraId="64303FFF" w14:textId="77777777" w:rsidR="009F6D8A" w:rsidRDefault="009F6D8A">
            <w:pPr>
              <w:rPr>
                <w:rFonts w:ascii="宋体"/>
              </w:rPr>
            </w:pPr>
          </w:p>
        </w:tc>
        <w:tc>
          <w:tcPr>
            <w:tcW w:w="5" w:type="pct"/>
            <w:shd w:val="clear" w:color="auto" w:fill="auto"/>
            <w:vAlign w:val="bottom"/>
          </w:tcPr>
          <w:p w14:paraId="64304000" w14:textId="77777777" w:rsidR="009F6D8A" w:rsidRDefault="009F6D8A">
            <w:pPr>
              <w:rPr>
                <w:rFonts w:ascii="宋体"/>
              </w:rPr>
            </w:pPr>
          </w:p>
        </w:tc>
        <w:tc>
          <w:tcPr>
            <w:tcW w:w="5" w:type="pct"/>
            <w:shd w:val="clear" w:color="auto" w:fill="auto"/>
            <w:vAlign w:val="bottom"/>
          </w:tcPr>
          <w:p w14:paraId="64304001" w14:textId="77777777" w:rsidR="009F6D8A" w:rsidRDefault="009F6D8A">
            <w:pPr>
              <w:rPr>
                <w:rFonts w:ascii="宋体"/>
              </w:rPr>
            </w:pPr>
          </w:p>
        </w:tc>
        <w:tc>
          <w:tcPr>
            <w:tcW w:w="26" w:type="pct"/>
            <w:shd w:val="clear" w:color="auto" w:fill="auto"/>
            <w:vAlign w:val="bottom"/>
          </w:tcPr>
          <w:p w14:paraId="64304002" w14:textId="77777777" w:rsidR="009F6D8A" w:rsidRDefault="009F6D8A">
            <w:pPr>
              <w:rPr>
                <w:rFonts w:ascii="宋体"/>
              </w:rPr>
            </w:pPr>
          </w:p>
        </w:tc>
        <w:tc>
          <w:tcPr>
            <w:tcW w:w="5" w:type="pct"/>
            <w:shd w:val="clear" w:color="auto" w:fill="auto"/>
            <w:vAlign w:val="bottom"/>
          </w:tcPr>
          <w:p w14:paraId="64304003" w14:textId="77777777" w:rsidR="009F6D8A" w:rsidRDefault="009F6D8A">
            <w:pPr>
              <w:rPr>
                <w:rFonts w:ascii="宋体"/>
              </w:rPr>
            </w:pPr>
          </w:p>
        </w:tc>
        <w:tc>
          <w:tcPr>
            <w:tcW w:w="50" w:type="pct"/>
            <w:shd w:val="clear" w:color="auto" w:fill="auto"/>
            <w:vAlign w:val="bottom"/>
          </w:tcPr>
          <w:p w14:paraId="64304004" w14:textId="77777777" w:rsidR="009F6D8A" w:rsidRDefault="009F6D8A">
            <w:pPr>
              <w:rPr>
                <w:rFonts w:ascii="宋体"/>
              </w:rPr>
            </w:pPr>
          </w:p>
        </w:tc>
        <w:tc>
          <w:tcPr>
            <w:tcW w:w="530" w:type="pct"/>
            <w:shd w:val="clear" w:color="auto" w:fill="auto"/>
            <w:vAlign w:val="bottom"/>
          </w:tcPr>
          <w:p w14:paraId="64304005" w14:textId="77777777" w:rsidR="009F6D8A" w:rsidRDefault="009F6D8A">
            <w:pPr>
              <w:rPr>
                <w:rFonts w:ascii="宋体"/>
              </w:rPr>
            </w:pPr>
          </w:p>
        </w:tc>
        <w:tc>
          <w:tcPr>
            <w:tcW w:w="5" w:type="pct"/>
            <w:shd w:val="clear" w:color="auto" w:fill="auto"/>
            <w:vAlign w:val="bottom"/>
          </w:tcPr>
          <w:p w14:paraId="64304006" w14:textId="77777777" w:rsidR="009F6D8A" w:rsidRDefault="009F6D8A">
            <w:pPr>
              <w:rPr>
                <w:rFonts w:ascii="宋体"/>
              </w:rPr>
            </w:pPr>
          </w:p>
        </w:tc>
      </w:tr>
      <w:tr w:rsidR="009F6D8A" w14:paraId="6430400C" w14:textId="77777777">
        <w:tc>
          <w:tcPr>
            <w:tcW w:w="0" w:type="auto"/>
            <w:gridSpan w:val="3"/>
            <w:shd w:val="clear" w:color="auto" w:fill="auto"/>
            <w:tcMar>
              <w:top w:w="0" w:type="dxa"/>
              <w:left w:w="20" w:type="dxa"/>
              <w:bottom w:w="0" w:type="dxa"/>
              <w:right w:w="20" w:type="dxa"/>
            </w:tcMar>
            <w:vAlign w:val="bottom"/>
          </w:tcPr>
          <w:p w14:paraId="64304008"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4009" w14:textId="77777777" w:rsidR="009F6D8A" w:rsidRDefault="00C50974">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Mar>
              <w:top w:w="0" w:type="dxa"/>
              <w:left w:w="20" w:type="dxa"/>
              <w:bottom w:w="0" w:type="dxa"/>
              <w:right w:w="20" w:type="dxa"/>
            </w:tcMar>
            <w:vAlign w:val="bottom"/>
          </w:tcPr>
          <w:p w14:paraId="6430400A"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400B" w14:textId="77777777" w:rsidR="009F6D8A" w:rsidRDefault="00C50974">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r>
      <w:tr w:rsidR="009F6D8A" w14:paraId="64304015" w14:textId="77777777">
        <w:tc>
          <w:tcPr>
            <w:tcW w:w="0" w:type="auto"/>
            <w:gridSpan w:val="3"/>
            <w:shd w:val="clear" w:color="auto" w:fill="auto"/>
            <w:tcMar>
              <w:top w:w="40" w:type="dxa"/>
              <w:left w:w="20" w:type="dxa"/>
              <w:bottom w:w="40" w:type="dxa"/>
              <w:right w:w="20" w:type="dxa"/>
            </w:tcMar>
            <w:vAlign w:val="bottom"/>
          </w:tcPr>
          <w:p w14:paraId="6430400D" w14:textId="77777777" w:rsidR="009F6D8A" w:rsidRDefault="00C50974">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00E"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00F"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010" w14:textId="77777777" w:rsidR="009F6D8A" w:rsidRDefault="00C50974">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4304011"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012"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013" w14:textId="77777777" w:rsidR="009F6D8A" w:rsidRDefault="009F6D8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64304014" w14:textId="77777777" w:rsidR="009F6D8A" w:rsidRDefault="00C50974">
            <w:pPr>
              <w:jc w:val="center"/>
              <w:textAlignment w:val="bottom"/>
            </w:pPr>
            <w:r>
              <w:rPr>
                <w:rFonts w:ascii="Arial" w:eastAsia="宋体" w:hAnsi="Arial" w:cs="Arial"/>
                <w:b/>
                <w:bCs/>
                <w:color w:val="000000"/>
                <w:sz w:val="16"/>
                <w:szCs w:val="16"/>
              </w:rPr>
              <w:t>2020</w:t>
            </w:r>
          </w:p>
        </w:tc>
      </w:tr>
      <w:tr w:rsidR="009F6D8A" w14:paraId="64304026" w14:textId="77777777">
        <w:tc>
          <w:tcPr>
            <w:tcW w:w="0" w:type="auto"/>
            <w:gridSpan w:val="3"/>
            <w:shd w:val="clear" w:color="auto" w:fill="E2E2E2"/>
            <w:tcMar>
              <w:top w:w="40" w:type="dxa"/>
              <w:left w:w="20" w:type="dxa"/>
              <w:bottom w:w="40" w:type="dxa"/>
              <w:right w:w="20" w:type="dxa"/>
            </w:tcMar>
            <w:vAlign w:val="bottom"/>
          </w:tcPr>
          <w:p w14:paraId="64304016" w14:textId="77777777" w:rsidR="009F6D8A" w:rsidRDefault="00C50974">
            <w:pPr>
              <w:textAlignment w:val="bottom"/>
            </w:pPr>
            <w:r>
              <w:rPr>
                <w:rFonts w:ascii="Arial" w:eastAsia="宋体" w:hAnsi="Arial" w:cs="Arial"/>
                <w:color w:val="000000"/>
                <w:sz w:val="18"/>
                <w:szCs w:val="18"/>
              </w:rPr>
              <w:t>Foreign exchange contracts designated as cash flow hedges recognized in net revenues</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4017"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018" w14:textId="77777777" w:rsidR="009F6D8A" w:rsidRDefault="00C50974">
            <w:pPr>
              <w:jc w:val="right"/>
              <w:textAlignment w:val="bottom"/>
            </w:pPr>
            <w:r>
              <w:rPr>
                <w:rFonts w:ascii="Arial" w:eastAsia="宋体" w:hAnsi="Arial" w:cs="Arial"/>
                <w:color w:val="000000"/>
                <w:sz w:val="18"/>
                <w:szCs w:val="18"/>
              </w:rPr>
              <w:t>(18)</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019"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01A"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01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01C" w14:textId="77777777" w:rsidR="009F6D8A" w:rsidRDefault="00C50974">
            <w:pPr>
              <w:jc w:val="right"/>
              <w:textAlignment w:val="bottom"/>
            </w:pPr>
            <w:r>
              <w:rPr>
                <w:rFonts w:ascii="Arial" w:eastAsia="宋体" w:hAnsi="Arial" w:cs="Arial"/>
                <w:color w:val="000000"/>
                <w:sz w:val="18"/>
                <w:szCs w:val="18"/>
              </w:rPr>
              <w:t>17 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01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01E"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01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020" w14:textId="77777777" w:rsidR="009F6D8A" w:rsidRDefault="00C50974">
            <w:pPr>
              <w:jc w:val="right"/>
              <w:textAlignment w:val="bottom"/>
            </w:pPr>
            <w:r>
              <w:rPr>
                <w:rFonts w:ascii="Arial" w:eastAsia="宋体" w:hAnsi="Arial" w:cs="Arial"/>
                <w:color w:val="000000"/>
                <w:sz w:val="18"/>
                <w:szCs w:val="18"/>
              </w:rPr>
              <w:t>(46)</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02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022"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023"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024" w14:textId="77777777" w:rsidR="009F6D8A" w:rsidRDefault="00C50974">
            <w:pPr>
              <w:jc w:val="right"/>
              <w:textAlignment w:val="bottom"/>
            </w:pPr>
            <w:r>
              <w:rPr>
                <w:rFonts w:ascii="Arial" w:eastAsia="宋体" w:hAnsi="Arial" w:cs="Arial"/>
                <w:color w:val="000000"/>
                <w:sz w:val="18"/>
                <w:szCs w:val="18"/>
              </w:rPr>
              <w:t>17 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025" w14:textId="77777777" w:rsidR="009F6D8A" w:rsidRDefault="009F6D8A">
            <w:pPr>
              <w:jc w:val="right"/>
              <w:rPr>
                <w:rFonts w:ascii="宋体"/>
              </w:rPr>
            </w:pPr>
          </w:p>
        </w:tc>
      </w:tr>
      <w:tr w:rsidR="009F6D8A" w14:paraId="64304033" w14:textId="77777777">
        <w:tc>
          <w:tcPr>
            <w:tcW w:w="0" w:type="auto"/>
            <w:gridSpan w:val="3"/>
            <w:shd w:val="clear" w:color="auto" w:fill="FFFFFF"/>
            <w:tcMar>
              <w:top w:w="40" w:type="dxa"/>
              <w:left w:w="20" w:type="dxa"/>
              <w:bottom w:w="40" w:type="dxa"/>
              <w:right w:w="20" w:type="dxa"/>
            </w:tcMar>
            <w:vAlign w:val="bottom"/>
          </w:tcPr>
          <w:p w14:paraId="64304027" w14:textId="77777777" w:rsidR="009F6D8A" w:rsidRDefault="00C50974">
            <w:pPr>
              <w:textAlignment w:val="bottom"/>
            </w:pPr>
            <w:r>
              <w:rPr>
                <w:rFonts w:ascii="Arial" w:eastAsia="宋体" w:hAnsi="Arial" w:cs="Arial"/>
                <w:color w:val="000000"/>
                <w:sz w:val="18"/>
                <w:szCs w:val="18"/>
              </w:rPr>
              <w:t>Foreign exchange contracts designated as cash flow hedges recognized in cost of net revenues</w:t>
            </w:r>
          </w:p>
        </w:tc>
        <w:tc>
          <w:tcPr>
            <w:tcW w:w="0" w:type="auto"/>
            <w:gridSpan w:val="2"/>
            <w:shd w:val="clear" w:color="auto" w:fill="FFFFFF"/>
            <w:tcMar>
              <w:top w:w="40" w:type="dxa"/>
              <w:left w:w="20" w:type="dxa"/>
              <w:bottom w:w="40" w:type="dxa"/>
              <w:right w:w="0" w:type="dxa"/>
            </w:tcMar>
            <w:vAlign w:val="bottom"/>
          </w:tcPr>
          <w:p w14:paraId="64304028"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430402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02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02B"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402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02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02E" w14:textId="77777777" w:rsidR="009F6D8A" w:rsidRDefault="00C50974">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6430402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030"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031"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4032" w14:textId="77777777" w:rsidR="009F6D8A" w:rsidRDefault="009F6D8A">
            <w:pPr>
              <w:jc w:val="right"/>
              <w:rPr>
                <w:rFonts w:ascii="宋体"/>
              </w:rPr>
            </w:pPr>
          </w:p>
        </w:tc>
      </w:tr>
      <w:tr w:rsidR="009F6D8A" w14:paraId="6430403C" w14:textId="77777777">
        <w:trPr>
          <w:hidden/>
        </w:trPr>
        <w:tc>
          <w:tcPr>
            <w:tcW w:w="0" w:type="auto"/>
            <w:gridSpan w:val="3"/>
            <w:shd w:val="clear" w:color="auto" w:fill="auto"/>
            <w:vAlign w:val="bottom"/>
          </w:tcPr>
          <w:p w14:paraId="64304034" w14:textId="77777777" w:rsidR="009F6D8A" w:rsidRDefault="009F6D8A">
            <w:pPr>
              <w:rPr>
                <w:rFonts w:ascii="宋体"/>
                <w:vanish/>
              </w:rPr>
            </w:pPr>
          </w:p>
        </w:tc>
        <w:tc>
          <w:tcPr>
            <w:tcW w:w="0" w:type="auto"/>
            <w:gridSpan w:val="3"/>
            <w:shd w:val="clear" w:color="auto" w:fill="auto"/>
            <w:vAlign w:val="bottom"/>
          </w:tcPr>
          <w:p w14:paraId="64304035" w14:textId="77777777" w:rsidR="009F6D8A" w:rsidRDefault="009F6D8A">
            <w:pPr>
              <w:rPr>
                <w:rFonts w:ascii="宋体"/>
                <w:vanish/>
              </w:rPr>
            </w:pPr>
          </w:p>
        </w:tc>
        <w:tc>
          <w:tcPr>
            <w:tcW w:w="0" w:type="auto"/>
            <w:gridSpan w:val="3"/>
            <w:shd w:val="clear" w:color="auto" w:fill="auto"/>
            <w:vAlign w:val="bottom"/>
          </w:tcPr>
          <w:p w14:paraId="64304036" w14:textId="77777777" w:rsidR="009F6D8A" w:rsidRDefault="009F6D8A">
            <w:pPr>
              <w:rPr>
                <w:rFonts w:ascii="宋体"/>
                <w:vanish/>
              </w:rPr>
            </w:pPr>
          </w:p>
        </w:tc>
        <w:tc>
          <w:tcPr>
            <w:tcW w:w="0" w:type="auto"/>
            <w:gridSpan w:val="3"/>
            <w:shd w:val="clear" w:color="auto" w:fill="auto"/>
            <w:vAlign w:val="bottom"/>
          </w:tcPr>
          <w:p w14:paraId="64304037" w14:textId="77777777" w:rsidR="009F6D8A" w:rsidRDefault="009F6D8A">
            <w:pPr>
              <w:rPr>
                <w:rFonts w:ascii="宋体"/>
                <w:vanish/>
              </w:rPr>
            </w:pPr>
          </w:p>
        </w:tc>
        <w:tc>
          <w:tcPr>
            <w:tcW w:w="0" w:type="auto"/>
            <w:gridSpan w:val="3"/>
            <w:shd w:val="clear" w:color="auto" w:fill="auto"/>
            <w:vAlign w:val="bottom"/>
          </w:tcPr>
          <w:p w14:paraId="64304038" w14:textId="77777777" w:rsidR="009F6D8A" w:rsidRDefault="009F6D8A">
            <w:pPr>
              <w:rPr>
                <w:rFonts w:ascii="宋体"/>
                <w:vanish/>
              </w:rPr>
            </w:pPr>
          </w:p>
        </w:tc>
        <w:tc>
          <w:tcPr>
            <w:tcW w:w="0" w:type="auto"/>
            <w:gridSpan w:val="3"/>
            <w:shd w:val="clear" w:color="auto" w:fill="auto"/>
            <w:vAlign w:val="bottom"/>
          </w:tcPr>
          <w:p w14:paraId="64304039" w14:textId="77777777" w:rsidR="009F6D8A" w:rsidRDefault="009F6D8A">
            <w:pPr>
              <w:rPr>
                <w:rFonts w:ascii="宋体"/>
                <w:vanish/>
              </w:rPr>
            </w:pPr>
          </w:p>
        </w:tc>
        <w:tc>
          <w:tcPr>
            <w:tcW w:w="0" w:type="auto"/>
            <w:gridSpan w:val="3"/>
            <w:shd w:val="clear" w:color="auto" w:fill="auto"/>
            <w:vAlign w:val="bottom"/>
          </w:tcPr>
          <w:p w14:paraId="6430403A" w14:textId="77777777" w:rsidR="009F6D8A" w:rsidRDefault="009F6D8A">
            <w:pPr>
              <w:rPr>
                <w:rFonts w:ascii="宋体"/>
                <w:vanish/>
              </w:rPr>
            </w:pPr>
          </w:p>
        </w:tc>
        <w:tc>
          <w:tcPr>
            <w:tcW w:w="0" w:type="auto"/>
            <w:gridSpan w:val="3"/>
            <w:shd w:val="clear" w:color="auto" w:fill="auto"/>
            <w:vAlign w:val="bottom"/>
          </w:tcPr>
          <w:p w14:paraId="6430403B" w14:textId="77777777" w:rsidR="009F6D8A" w:rsidRDefault="009F6D8A">
            <w:pPr>
              <w:rPr>
                <w:rFonts w:ascii="宋体"/>
                <w:vanish/>
              </w:rPr>
            </w:pPr>
          </w:p>
        </w:tc>
      </w:tr>
      <w:tr w:rsidR="009F6D8A" w14:paraId="64304049" w14:textId="77777777">
        <w:tc>
          <w:tcPr>
            <w:tcW w:w="0" w:type="auto"/>
            <w:gridSpan w:val="3"/>
            <w:shd w:val="clear" w:color="auto" w:fill="E2E2E2"/>
            <w:tcMar>
              <w:top w:w="40" w:type="dxa"/>
              <w:left w:w="20" w:type="dxa"/>
              <w:bottom w:w="40" w:type="dxa"/>
              <w:right w:w="20" w:type="dxa"/>
            </w:tcMar>
            <w:vAlign w:val="bottom"/>
          </w:tcPr>
          <w:p w14:paraId="6430403D" w14:textId="77777777" w:rsidR="009F6D8A" w:rsidRDefault="00C50974">
            <w:pPr>
              <w:textAlignment w:val="bottom"/>
            </w:pPr>
            <w:r>
              <w:rPr>
                <w:rFonts w:ascii="Arial" w:eastAsia="宋体" w:hAnsi="Arial" w:cs="Arial"/>
                <w:color w:val="000000"/>
                <w:sz w:val="18"/>
                <w:szCs w:val="18"/>
              </w:rPr>
              <w:t>Foreign exchange contracts not designated as hedging instruments recognized in interest and other, net</w:t>
            </w:r>
          </w:p>
        </w:tc>
        <w:tc>
          <w:tcPr>
            <w:tcW w:w="0" w:type="auto"/>
            <w:gridSpan w:val="2"/>
            <w:shd w:val="clear" w:color="auto" w:fill="E2E2E2"/>
            <w:tcMar>
              <w:top w:w="40" w:type="dxa"/>
              <w:left w:w="20" w:type="dxa"/>
              <w:bottom w:w="40" w:type="dxa"/>
              <w:right w:w="0" w:type="dxa"/>
            </w:tcMar>
            <w:vAlign w:val="bottom"/>
          </w:tcPr>
          <w:p w14:paraId="6430403E"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403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040"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041" w14:textId="77777777" w:rsidR="009F6D8A" w:rsidRDefault="00C50974">
            <w:pPr>
              <w:jc w:val="right"/>
              <w:textAlignment w:val="bottom"/>
            </w:pPr>
            <w:r>
              <w:rPr>
                <w:rFonts w:ascii="Arial" w:eastAsia="宋体" w:hAnsi="Arial" w:cs="Arial"/>
                <w:color w:val="000000"/>
                <w:sz w:val="18"/>
                <w:szCs w:val="18"/>
              </w:rPr>
              <w:t>(1)</w:t>
            </w:r>
          </w:p>
        </w:tc>
        <w:tc>
          <w:tcPr>
            <w:tcW w:w="0" w:type="auto"/>
            <w:shd w:val="clear" w:color="auto" w:fill="E2E2E2"/>
            <w:tcMar>
              <w:top w:w="40" w:type="dxa"/>
              <w:left w:w="0" w:type="dxa"/>
              <w:bottom w:w="40" w:type="dxa"/>
              <w:right w:w="20" w:type="dxa"/>
            </w:tcMar>
            <w:vAlign w:val="bottom"/>
          </w:tcPr>
          <w:p w14:paraId="6430404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043"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044" w14:textId="77777777" w:rsidR="009F6D8A" w:rsidRDefault="00C50974">
            <w:pPr>
              <w:jc w:val="right"/>
              <w:textAlignment w:val="bottom"/>
            </w:pPr>
            <w:r>
              <w:rPr>
                <w:rFonts w:ascii="Arial" w:eastAsia="宋体" w:hAnsi="Arial" w:cs="Arial"/>
                <w:color w:val="000000"/>
                <w:sz w:val="18"/>
                <w:szCs w:val="18"/>
              </w:rPr>
              <w:t>(6)</w:t>
            </w:r>
          </w:p>
        </w:tc>
        <w:tc>
          <w:tcPr>
            <w:tcW w:w="0" w:type="auto"/>
            <w:shd w:val="clear" w:color="auto" w:fill="E2E2E2"/>
            <w:tcMar>
              <w:top w:w="40" w:type="dxa"/>
              <w:left w:w="0" w:type="dxa"/>
              <w:bottom w:w="40" w:type="dxa"/>
              <w:right w:w="20" w:type="dxa"/>
            </w:tcMar>
            <w:vAlign w:val="bottom"/>
          </w:tcPr>
          <w:p w14:paraId="6430404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046"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047" w14:textId="77777777" w:rsidR="009F6D8A" w:rsidRDefault="00C50974">
            <w:pPr>
              <w:jc w:val="right"/>
              <w:textAlignment w:val="bottom"/>
            </w:pPr>
            <w:r>
              <w:rPr>
                <w:rFonts w:ascii="Arial" w:eastAsia="宋体" w:hAnsi="Arial" w:cs="Arial"/>
                <w:color w:val="000000"/>
                <w:sz w:val="18"/>
                <w:szCs w:val="18"/>
              </w:rPr>
              <w:t>9 </w:t>
            </w:r>
          </w:p>
        </w:tc>
        <w:tc>
          <w:tcPr>
            <w:tcW w:w="0" w:type="auto"/>
            <w:shd w:val="clear" w:color="auto" w:fill="E2E2E2"/>
            <w:tcMar>
              <w:top w:w="40" w:type="dxa"/>
              <w:left w:w="0" w:type="dxa"/>
              <w:bottom w:w="40" w:type="dxa"/>
              <w:right w:w="20" w:type="dxa"/>
            </w:tcMar>
            <w:vAlign w:val="bottom"/>
          </w:tcPr>
          <w:p w14:paraId="64304048" w14:textId="77777777" w:rsidR="009F6D8A" w:rsidRDefault="009F6D8A">
            <w:pPr>
              <w:jc w:val="right"/>
              <w:rPr>
                <w:rFonts w:ascii="宋体"/>
              </w:rPr>
            </w:pPr>
          </w:p>
        </w:tc>
      </w:tr>
      <w:tr w:rsidR="009F6D8A" w14:paraId="6430405A" w14:textId="77777777">
        <w:tc>
          <w:tcPr>
            <w:tcW w:w="0" w:type="auto"/>
            <w:gridSpan w:val="3"/>
            <w:shd w:val="clear" w:color="auto" w:fill="FFFFFF"/>
            <w:tcMar>
              <w:top w:w="40" w:type="dxa"/>
              <w:left w:w="245" w:type="dxa"/>
              <w:bottom w:w="40" w:type="dxa"/>
              <w:right w:w="20" w:type="dxa"/>
            </w:tcMar>
            <w:vAlign w:val="bottom"/>
          </w:tcPr>
          <w:p w14:paraId="6430404A" w14:textId="77777777" w:rsidR="009F6D8A" w:rsidRDefault="00C50974">
            <w:pPr>
              <w:textAlignment w:val="bottom"/>
            </w:pPr>
            <w:r>
              <w:rPr>
                <w:rFonts w:ascii="Arial" w:eastAsia="宋体" w:hAnsi="Arial" w:cs="Arial"/>
                <w:color w:val="000000"/>
                <w:sz w:val="18"/>
                <w:szCs w:val="18"/>
              </w:rPr>
              <w:t>Total gain (loss) recognized from foreign exchange derivative contracts in the condensed consolidated statement of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404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404C" w14:textId="77777777" w:rsidR="009F6D8A" w:rsidRDefault="00C50974">
            <w:pPr>
              <w:jc w:val="right"/>
              <w:textAlignment w:val="bottom"/>
            </w:pPr>
            <w:r>
              <w:rPr>
                <w:rFonts w:ascii="Arial" w:eastAsia="宋体" w:hAnsi="Arial" w:cs="Arial"/>
                <w:color w:val="000000"/>
                <w:sz w:val="18"/>
                <w:szCs w:val="18"/>
              </w:rPr>
              <w:t>(17)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404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04E"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404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4050" w14:textId="77777777" w:rsidR="009F6D8A" w:rsidRDefault="00C50974">
            <w:pPr>
              <w:jc w:val="right"/>
              <w:textAlignment w:val="bottom"/>
            </w:pPr>
            <w:r>
              <w:rPr>
                <w:rFonts w:ascii="Arial" w:eastAsia="宋体" w:hAnsi="Arial" w:cs="Arial"/>
                <w:color w:val="000000"/>
                <w:sz w:val="18"/>
                <w:szCs w:val="18"/>
              </w:rPr>
              <w:t>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405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052"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4053"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4054" w14:textId="77777777" w:rsidR="009F6D8A" w:rsidRDefault="00C50974">
            <w:pPr>
              <w:jc w:val="right"/>
              <w:textAlignment w:val="bottom"/>
            </w:pPr>
            <w:r>
              <w:rPr>
                <w:rFonts w:ascii="Arial" w:eastAsia="宋体" w:hAnsi="Arial" w:cs="Arial"/>
                <w:color w:val="000000"/>
                <w:sz w:val="18"/>
                <w:szCs w:val="18"/>
              </w:rPr>
              <w:t>(50)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405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056"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4057"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4058" w14:textId="77777777" w:rsidR="009F6D8A" w:rsidRDefault="00C50974">
            <w:pPr>
              <w:jc w:val="right"/>
              <w:textAlignment w:val="bottom"/>
            </w:pPr>
            <w:r>
              <w:rPr>
                <w:rFonts w:ascii="Arial" w:eastAsia="宋体" w:hAnsi="Arial" w:cs="Arial"/>
                <w:color w:val="000000"/>
                <w:sz w:val="18"/>
                <w:szCs w:val="18"/>
              </w:rPr>
              <w:t>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4059" w14:textId="77777777" w:rsidR="009F6D8A" w:rsidRDefault="009F6D8A">
            <w:pPr>
              <w:jc w:val="right"/>
              <w:rPr>
                <w:rFonts w:ascii="宋体"/>
              </w:rPr>
            </w:pPr>
          </w:p>
        </w:tc>
      </w:tr>
    </w:tbl>
    <w:p w14:paraId="6430405B" w14:textId="77777777" w:rsidR="009F6D8A" w:rsidRDefault="00C50974">
      <w:pPr>
        <w:spacing w:after="120"/>
        <w:ind w:firstLine="540"/>
      </w:pPr>
      <w:r>
        <w:rPr>
          <w:rFonts w:ascii="Arial" w:eastAsia="宋体" w:hAnsi="Arial" w:cs="Arial"/>
          <w:color w:val="000000"/>
          <w:sz w:val="20"/>
          <w:szCs w:val="20"/>
        </w:rPr>
        <w:t>The following table provides a summary of the total gain (loss) recognized in the condensed consolidated s</w:t>
      </w:r>
      <w:r>
        <w:rPr>
          <w:rFonts w:ascii="Arial" w:eastAsia="宋体" w:hAnsi="Arial" w:cs="Arial"/>
          <w:color w:val="000000"/>
          <w:sz w:val="20"/>
          <w:szCs w:val="20"/>
        </w:rPr>
        <w:t>tatement of income from our interest rate derivative contracts by location (in millions): </w:t>
      </w:r>
    </w:p>
    <w:tbl>
      <w:tblPr>
        <w:tblW w:w="5000" w:type="pct"/>
        <w:tblCellMar>
          <w:top w:w="15" w:type="dxa"/>
          <w:left w:w="15" w:type="dxa"/>
          <w:bottom w:w="15" w:type="dxa"/>
          <w:right w:w="15" w:type="dxa"/>
        </w:tblCellMar>
        <w:tblLook w:val="04A0" w:firstRow="1" w:lastRow="0" w:firstColumn="1" w:lastColumn="0" w:noHBand="0" w:noVBand="1"/>
      </w:tblPr>
      <w:tblGrid>
        <w:gridCol w:w="37"/>
        <w:gridCol w:w="4109"/>
        <w:gridCol w:w="36"/>
        <w:gridCol w:w="122"/>
        <w:gridCol w:w="831"/>
        <w:gridCol w:w="37"/>
        <w:gridCol w:w="36"/>
        <w:gridCol w:w="36"/>
        <w:gridCol w:w="36"/>
        <w:gridCol w:w="122"/>
        <w:gridCol w:w="787"/>
        <w:gridCol w:w="37"/>
        <w:gridCol w:w="36"/>
        <w:gridCol w:w="36"/>
        <w:gridCol w:w="36"/>
        <w:gridCol w:w="122"/>
        <w:gridCol w:w="787"/>
        <w:gridCol w:w="37"/>
        <w:gridCol w:w="36"/>
        <w:gridCol w:w="36"/>
        <w:gridCol w:w="36"/>
        <w:gridCol w:w="122"/>
        <w:gridCol w:w="789"/>
        <w:gridCol w:w="37"/>
      </w:tblGrid>
      <w:tr w:rsidR="009F6D8A" w14:paraId="64304074" w14:textId="77777777">
        <w:tc>
          <w:tcPr>
            <w:tcW w:w="50" w:type="pct"/>
            <w:shd w:val="clear" w:color="auto" w:fill="auto"/>
            <w:vAlign w:val="bottom"/>
          </w:tcPr>
          <w:p w14:paraId="6430405C" w14:textId="77777777" w:rsidR="009F6D8A" w:rsidRDefault="009F6D8A">
            <w:pPr>
              <w:rPr>
                <w:rFonts w:ascii="宋体"/>
              </w:rPr>
            </w:pPr>
          </w:p>
        </w:tc>
        <w:tc>
          <w:tcPr>
            <w:tcW w:w="2496" w:type="pct"/>
            <w:shd w:val="clear" w:color="auto" w:fill="auto"/>
            <w:vAlign w:val="bottom"/>
          </w:tcPr>
          <w:p w14:paraId="6430405D" w14:textId="77777777" w:rsidR="009F6D8A" w:rsidRDefault="009F6D8A">
            <w:pPr>
              <w:rPr>
                <w:rFonts w:ascii="宋体"/>
              </w:rPr>
            </w:pPr>
          </w:p>
        </w:tc>
        <w:tc>
          <w:tcPr>
            <w:tcW w:w="5" w:type="pct"/>
            <w:shd w:val="clear" w:color="auto" w:fill="auto"/>
            <w:vAlign w:val="bottom"/>
          </w:tcPr>
          <w:p w14:paraId="6430405E" w14:textId="77777777" w:rsidR="009F6D8A" w:rsidRDefault="009F6D8A">
            <w:pPr>
              <w:rPr>
                <w:rFonts w:ascii="宋体"/>
              </w:rPr>
            </w:pPr>
          </w:p>
        </w:tc>
        <w:tc>
          <w:tcPr>
            <w:tcW w:w="50" w:type="pct"/>
            <w:shd w:val="clear" w:color="auto" w:fill="auto"/>
            <w:vAlign w:val="bottom"/>
          </w:tcPr>
          <w:p w14:paraId="6430405F" w14:textId="77777777" w:rsidR="009F6D8A" w:rsidRDefault="009F6D8A">
            <w:pPr>
              <w:rPr>
                <w:rFonts w:ascii="宋体"/>
              </w:rPr>
            </w:pPr>
          </w:p>
        </w:tc>
        <w:tc>
          <w:tcPr>
            <w:tcW w:w="529" w:type="pct"/>
            <w:shd w:val="clear" w:color="auto" w:fill="auto"/>
            <w:vAlign w:val="bottom"/>
          </w:tcPr>
          <w:p w14:paraId="64304060" w14:textId="77777777" w:rsidR="009F6D8A" w:rsidRDefault="009F6D8A">
            <w:pPr>
              <w:rPr>
                <w:rFonts w:ascii="宋体"/>
              </w:rPr>
            </w:pPr>
          </w:p>
        </w:tc>
        <w:tc>
          <w:tcPr>
            <w:tcW w:w="5" w:type="pct"/>
            <w:shd w:val="clear" w:color="auto" w:fill="auto"/>
            <w:vAlign w:val="bottom"/>
          </w:tcPr>
          <w:p w14:paraId="64304061" w14:textId="77777777" w:rsidR="009F6D8A" w:rsidRDefault="009F6D8A">
            <w:pPr>
              <w:rPr>
                <w:rFonts w:ascii="宋体"/>
              </w:rPr>
            </w:pPr>
          </w:p>
        </w:tc>
        <w:tc>
          <w:tcPr>
            <w:tcW w:w="5" w:type="pct"/>
            <w:shd w:val="clear" w:color="auto" w:fill="auto"/>
            <w:vAlign w:val="bottom"/>
          </w:tcPr>
          <w:p w14:paraId="64304062" w14:textId="77777777" w:rsidR="009F6D8A" w:rsidRDefault="009F6D8A">
            <w:pPr>
              <w:rPr>
                <w:rFonts w:ascii="宋体"/>
              </w:rPr>
            </w:pPr>
          </w:p>
        </w:tc>
        <w:tc>
          <w:tcPr>
            <w:tcW w:w="26" w:type="pct"/>
            <w:shd w:val="clear" w:color="auto" w:fill="auto"/>
            <w:vAlign w:val="bottom"/>
          </w:tcPr>
          <w:p w14:paraId="64304063" w14:textId="77777777" w:rsidR="009F6D8A" w:rsidRDefault="009F6D8A">
            <w:pPr>
              <w:rPr>
                <w:rFonts w:ascii="宋体"/>
              </w:rPr>
            </w:pPr>
          </w:p>
        </w:tc>
        <w:tc>
          <w:tcPr>
            <w:tcW w:w="5" w:type="pct"/>
            <w:shd w:val="clear" w:color="auto" w:fill="auto"/>
            <w:vAlign w:val="bottom"/>
          </w:tcPr>
          <w:p w14:paraId="64304064" w14:textId="77777777" w:rsidR="009F6D8A" w:rsidRDefault="009F6D8A">
            <w:pPr>
              <w:rPr>
                <w:rFonts w:ascii="宋体"/>
              </w:rPr>
            </w:pPr>
          </w:p>
        </w:tc>
        <w:tc>
          <w:tcPr>
            <w:tcW w:w="50" w:type="pct"/>
            <w:shd w:val="clear" w:color="auto" w:fill="auto"/>
            <w:vAlign w:val="bottom"/>
          </w:tcPr>
          <w:p w14:paraId="64304065" w14:textId="77777777" w:rsidR="009F6D8A" w:rsidRDefault="009F6D8A">
            <w:pPr>
              <w:rPr>
                <w:rFonts w:ascii="宋体"/>
              </w:rPr>
            </w:pPr>
          </w:p>
        </w:tc>
        <w:tc>
          <w:tcPr>
            <w:tcW w:w="529" w:type="pct"/>
            <w:shd w:val="clear" w:color="auto" w:fill="auto"/>
            <w:vAlign w:val="bottom"/>
          </w:tcPr>
          <w:p w14:paraId="64304066" w14:textId="77777777" w:rsidR="009F6D8A" w:rsidRDefault="009F6D8A">
            <w:pPr>
              <w:rPr>
                <w:rFonts w:ascii="宋体"/>
              </w:rPr>
            </w:pPr>
          </w:p>
        </w:tc>
        <w:tc>
          <w:tcPr>
            <w:tcW w:w="5" w:type="pct"/>
            <w:shd w:val="clear" w:color="auto" w:fill="auto"/>
            <w:vAlign w:val="bottom"/>
          </w:tcPr>
          <w:p w14:paraId="64304067" w14:textId="77777777" w:rsidR="009F6D8A" w:rsidRDefault="009F6D8A">
            <w:pPr>
              <w:rPr>
                <w:rFonts w:ascii="宋体"/>
              </w:rPr>
            </w:pPr>
          </w:p>
        </w:tc>
        <w:tc>
          <w:tcPr>
            <w:tcW w:w="5" w:type="pct"/>
            <w:shd w:val="clear" w:color="auto" w:fill="auto"/>
            <w:vAlign w:val="bottom"/>
          </w:tcPr>
          <w:p w14:paraId="64304068" w14:textId="77777777" w:rsidR="009F6D8A" w:rsidRDefault="009F6D8A">
            <w:pPr>
              <w:rPr>
                <w:rFonts w:ascii="宋体"/>
              </w:rPr>
            </w:pPr>
          </w:p>
        </w:tc>
        <w:tc>
          <w:tcPr>
            <w:tcW w:w="26" w:type="pct"/>
            <w:shd w:val="clear" w:color="auto" w:fill="auto"/>
            <w:vAlign w:val="bottom"/>
          </w:tcPr>
          <w:p w14:paraId="64304069" w14:textId="77777777" w:rsidR="009F6D8A" w:rsidRDefault="009F6D8A">
            <w:pPr>
              <w:rPr>
                <w:rFonts w:ascii="宋体"/>
              </w:rPr>
            </w:pPr>
          </w:p>
        </w:tc>
        <w:tc>
          <w:tcPr>
            <w:tcW w:w="5" w:type="pct"/>
            <w:shd w:val="clear" w:color="auto" w:fill="auto"/>
            <w:vAlign w:val="bottom"/>
          </w:tcPr>
          <w:p w14:paraId="6430406A" w14:textId="77777777" w:rsidR="009F6D8A" w:rsidRDefault="009F6D8A">
            <w:pPr>
              <w:rPr>
                <w:rFonts w:ascii="宋体"/>
              </w:rPr>
            </w:pPr>
          </w:p>
        </w:tc>
        <w:tc>
          <w:tcPr>
            <w:tcW w:w="50" w:type="pct"/>
            <w:shd w:val="clear" w:color="auto" w:fill="auto"/>
            <w:vAlign w:val="bottom"/>
          </w:tcPr>
          <w:p w14:paraId="6430406B" w14:textId="77777777" w:rsidR="009F6D8A" w:rsidRDefault="009F6D8A">
            <w:pPr>
              <w:rPr>
                <w:rFonts w:ascii="宋体"/>
              </w:rPr>
            </w:pPr>
          </w:p>
        </w:tc>
        <w:tc>
          <w:tcPr>
            <w:tcW w:w="529" w:type="pct"/>
            <w:shd w:val="clear" w:color="auto" w:fill="auto"/>
            <w:vAlign w:val="bottom"/>
          </w:tcPr>
          <w:p w14:paraId="6430406C" w14:textId="77777777" w:rsidR="009F6D8A" w:rsidRDefault="009F6D8A">
            <w:pPr>
              <w:rPr>
                <w:rFonts w:ascii="宋体"/>
              </w:rPr>
            </w:pPr>
          </w:p>
        </w:tc>
        <w:tc>
          <w:tcPr>
            <w:tcW w:w="5" w:type="pct"/>
            <w:shd w:val="clear" w:color="auto" w:fill="auto"/>
            <w:vAlign w:val="bottom"/>
          </w:tcPr>
          <w:p w14:paraId="6430406D" w14:textId="77777777" w:rsidR="009F6D8A" w:rsidRDefault="009F6D8A">
            <w:pPr>
              <w:rPr>
                <w:rFonts w:ascii="宋体"/>
              </w:rPr>
            </w:pPr>
          </w:p>
        </w:tc>
        <w:tc>
          <w:tcPr>
            <w:tcW w:w="5" w:type="pct"/>
            <w:shd w:val="clear" w:color="auto" w:fill="auto"/>
            <w:vAlign w:val="bottom"/>
          </w:tcPr>
          <w:p w14:paraId="6430406E" w14:textId="77777777" w:rsidR="009F6D8A" w:rsidRDefault="009F6D8A">
            <w:pPr>
              <w:rPr>
                <w:rFonts w:ascii="宋体"/>
              </w:rPr>
            </w:pPr>
          </w:p>
        </w:tc>
        <w:tc>
          <w:tcPr>
            <w:tcW w:w="26" w:type="pct"/>
            <w:shd w:val="clear" w:color="auto" w:fill="auto"/>
            <w:vAlign w:val="bottom"/>
          </w:tcPr>
          <w:p w14:paraId="6430406F" w14:textId="77777777" w:rsidR="009F6D8A" w:rsidRDefault="009F6D8A">
            <w:pPr>
              <w:rPr>
                <w:rFonts w:ascii="宋体"/>
              </w:rPr>
            </w:pPr>
          </w:p>
        </w:tc>
        <w:tc>
          <w:tcPr>
            <w:tcW w:w="5" w:type="pct"/>
            <w:shd w:val="clear" w:color="auto" w:fill="auto"/>
            <w:vAlign w:val="bottom"/>
          </w:tcPr>
          <w:p w14:paraId="64304070" w14:textId="77777777" w:rsidR="009F6D8A" w:rsidRDefault="009F6D8A">
            <w:pPr>
              <w:rPr>
                <w:rFonts w:ascii="宋体"/>
              </w:rPr>
            </w:pPr>
          </w:p>
        </w:tc>
        <w:tc>
          <w:tcPr>
            <w:tcW w:w="50" w:type="pct"/>
            <w:shd w:val="clear" w:color="auto" w:fill="auto"/>
            <w:vAlign w:val="bottom"/>
          </w:tcPr>
          <w:p w14:paraId="64304071" w14:textId="77777777" w:rsidR="009F6D8A" w:rsidRDefault="009F6D8A">
            <w:pPr>
              <w:rPr>
                <w:rFonts w:ascii="宋体"/>
              </w:rPr>
            </w:pPr>
          </w:p>
        </w:tc>
        <w:tc>
          <w:tcPr>
            <w:tcW w:w="530" w:type="pct"/>
            <w:shd w:val="clear" w:color="auto" w:fill="auto"/>
            <w:vAlign w:val="bottom"/>
          </w:tcPr>
          <w:p w14:paraId="64304072" w14:textId="77777777" w:rsidR="009F6D8A" w:rsidRDefault="009F6D8A">
            <w:pPr>
              <w:rPr>
                <w:rFonts w:ascii="宋体"/>
              </w:rPr>
            </w:pPr>
          </w:p>
        </w:tc>
        <w:tc>
          <w:tcPr>
            <w:tcW w:w="5" w:type="pct"/>
            <w:shd w:val="clear" w:color="auto" w:fill="auto"/>
            <w:vAlign w:val="bottom"/>
          </w:tcPr>
          <w:p w14:paraId="64304073" w14:textId="77777777" w:rsidR="009F6D8A" w:rsidRDefault="009F6D8A">
            <w:pPr>
              <w:rPr>
                <w:rFonts w:ascii="宋体"/>
              </w:rPr>
            </w:pPr>
          </w:p>
        </w:tc>
      </w:tr>
      <w:tr w:rsidR="009F6D8A" w14:paraId="64304079" w14:textId="77777777">
        <w:tc>
          <w:tcPr>
            <w:tcW w:w="0" w:type="auto"/>
            <w:gridSpan w:val="3"/>
            <w:shd w:val="clear" w:color="auto" w:fill="auto"/>
            <w:tcMar>
              <w:top w:w="0" w:type="dxa"/>
              <w:left w:w="20" w:type="dxa"/>
              <w:bottom w:w="0" w:type="dxa"/>
              <w:right w:w="20" w:type="dxa"/>
            </w:tcMar>
            <w:vAlign w:val="bottom"/>
          </w:tcPr>
          <w:p w14:paraId="64304075"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4076" w14:textId="77777777" w:rsidR="009F6D8A" w:rsidRDefault="00C50974">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Mar>
              <w:top w:w="0" w:type="dxa"/>
              <w:left w:w="20" w:type="dxa"/>
              <w:bottom w:w="0" w:type="dxa"/>
              <w:right w:w="20" w:type="dxa"/>
            </w:tcMar>
            <w:vAlign w:val="bottom"/>
          </w:tcPr>
          <w:p w14:paraId="64304077"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4078" w14:textId="77777777" w:rsidR="009F6D8A" w:rsidRDefault="00C50974">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r>
      <w:tr w:rsidR="009F6D8A" w14:paraId="64304082" w14:textId="77777777">
        <w:tc>
          <w:tcPr>
            <w:tcW w:w="0" w:type="auto"/>
            <w:gridSpan w:val="3"/>
            <w:shd w:val="clear" w:color="auto" w:fill="auto"/>
            <w:tcMar>
              <w:top w:w="40" w:type="dxa"/>
              <w:left w:w="20" w:type="dxa"/>
              <w:bottom w:w="40" w:type="dxa"/>
              <w:right w:w="20" w:type="dxa"/>
            </w:tcMar>
            <w:vAlign w:val="bottom"/>
          </w:tcPr>
          <w:p w14:paraId="6430407A" w14:textId="77777777" w:rsidR="009F6D8A" w:rsidRDefault="00C50974">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07B"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07C"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07D" w14:textId="77777777" w:rsidR="009F6D8A" w:rsidRDefault="00C50974">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430407E"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07F"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080" w14:textId="77777777" w:rsidR="009F6D8A" w:rsidRDefault="009F6D8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64304081" w14:textId="77777777" w:rsidR="009F6D8A" w:rsidRDefault="00C50974">
            <w:pPr>
              <w:jc w:val="center"/>
              <w:textAlignment w:val="bottom"/>
            </w:pPr>
            <w:r>
              <w:rPr>
                <w:rFonts w:ascii="Arial" w:eastAsia="宋体" w:hAnsi="Arial" w:cs="Arial"/>
                <w:b/>
                <w:bCs/>
                <w:color w:val="000000"/>
                <w:sz w:val="16"/>
                <w:szCs w:val="16"/>
              </w:rPr>
              <w:t>2020</w:t>
            </w:r>
          </w:p>
        </w:tc>
      </w:tr>
      <w:tr w:rsidR="009F6D8A" w14:paraId="6430408B" w14:textId="77777777">
        <w:trPr>
          <w:hidden/>
        </w:trPr>
        <w:tc>
          <w:tcPr>
            <w:tcW w:w="0" w:type="auto"/>
            <w:gridSpan w:val="3"/>
            <w:shd w:val="clear" w:color="auto" w:fill="auto"/>
            <w:vAlign w:val="bottom"/>
          </w:tcPr>
          <w:p w14:paraId="64304083" w14:textId="77777777" w:rsidR="009F6D8A" w:rsidRDefault="009F6D8A">
            <w:pPr>
              <w:rPr>
                <w:rFonts w:ascii="宋体"/>
                <w:vanish/>
              </w:rPr>
            </w:pPr>
          </w:p>
        </w:tc>
        <w:tc>
          <w:tcPr>
            <w:tcW w:w="0" w:type="auto"/>
            <w:gridSpan w:val="3"/>
            <w:shd w:val="clear" w:color="auto" w:fill="auto"/>
            <w:vAlign w:val="bottom"/>
          </w:tcPr>
          <w:p w14:paraId="64304084" w14:textId="77777777" w:rsidR="009F6D8A" w:rsidRDefault="009F6D8A">
            <w:pPr>
              <w:rPr>
                <w:rFonts w:ascii="宋体"/>
                <w:vanish/>
              </w:rPr>
            </w:pPr>
          </w:p>
        </w:tc>
        <w:tc>
          <w:tcPr>
            <w:tcW w:w="0" w:type="auto"/>
            <w:gridSpan w:val="3"/>
            <w:shd w:val="clear" w:color="auto" w:fill="auto"/>
            <w:vAlign w:val="bottom"/>
          </w:tcPr>
          <w:p w14:paraId="64304085" w14:textId="77777777" w:rsidR="009F6D8A" w:rsidRDefault="009F6D8A">
            <w:pPr>
              <w:rPr>
                <w:rFonts w:ascii="宋体"/>
                <w:vanish/>
              </w:rPr>
            </w:pPr>
          </w:p>
        </w:tc>
        <w:tc>
          <w:tcPr>
            <w:tcW w:w="0" w:type="auto"/>
            <w:gridSpan w:val="3"/>
            <w:shd w:val="clear" w:color="auto" w:fill="auto"/>
            <w:vAlign w:val="bottom"/>
          </w:tcPr>
          <w:p w14:paraId="64304086" w14:textId="77777777" w:rsidR="009F6D8A" w:rsidRDefault="009F6D8A">
            <w:pPr>
              <w:rPr>
                <w:rFonts w:ascii="宋体"/>
                <w:vanish/>
              </w:rPr>
            </w:pPr>
          </w:p>
        </w:tc>
        <w:tc>
          <w:tcPr>
            <w:tcW w:w="0" w:type="auto"/>
            <w:gridSpan w:val="3"/>
            <w:shd w:val="clear" w:color="auto" w:fill="auto"/>
            <w:vAlign w:val="bottom"/>
          </w:tcPr>
          <w:p w14:paraId="64304087" w14:textId="77777777" w:rsidR="009F6D8A" w:rsidRDefault="009F6D8A">
            <w:pPr>
              <w:rPr>
                <w:rFonts w:ascii="宋体"/>
                <w:vanish/>
              </w:rPr>
            </w:pPr>
          </w:p>
        </w:tc>
        <w:tc>
          <w:tcPr>
            <w:tcW w:w="0" w:type="auto"/>
            <w:gridSpan w:val="3"/>
            <w:shd w:val="clear" w:color="auto" w:fill="auto"/>
            <w:vAlign w:val="bottom"/>
          </w:tcPr>
          <w:p w14:paraId="64304088" w14:textId="77777777" w:rsidR="009F6D8A" w:rsidRDefault="009F6D8A">
            <w:pPr>
              <w:rPr>
                <w:rFonts w:ascii="宋体"/>
                <w:vanish/>
              </w:rPr>
            </w:pPr>
          </w:p>
        </w:tc>
        <w:tc>
          <w:tcPr>
            <w:tcW w:w="0" w:type="auto"/>
            <w:gridSpan w:val="3"/>
            <w:shd w:val="clear" w:color="auto" w:fill="auto"/>
            <w:vAlign w:val="bottom"/>
          </w:tcPr>
          <w:p w14:paraId="64304089" w14:textId="77777777" w:rsidR="009F6D8A" w:rsidRDefault="009F6D8A">
            <w:pPr>
              <w:rPr>
                <w:rFonts w:ascii="宋体"/>
                <w:vanish/>
              </w:rPr>
            </w:pPr>
          </w:p>
        </w:tc>
        <w:tc>
          <w:tcPr>
            <w:tcW w:w="0" w:type="auto"/>
            <w:gridSpan w:val="3"/>
            <w:shd w:val="clear" w:color="auto" w:fill="auto"/>
            <w:vAlign w:val="bottom"/>
          </w:tcPr>
          <w:p w14:paraId="6430408A" w14:textId="77777777" w:rsidR="009F6D8A" w:rsidRDefault="009F6D8A">
            <w:pPr>
              <w:rPr>
                <w:rFonts w:ascii="宋体"/>
                <w:vanish/>
              </w:rPr>
            </w:pPr>
          </w:p>
        </w:tc>
      </w:tr>
      <w:tr w:rsidR="009F6D8A" w14:paraId="64304094" w14:textId="77777777">
        <w:trPr>
          <w:hidden/>
        </w:trPr>
        <w:tc>
          <w:tcPr>
            <w:tcW w:w="0" w:type="auto"/>
            <w:gridSpan w:val="3"/>
            <w:shd w:val="clear" w:color="auto" w:fill="auto"/>
            <w:vAlign w:val="bottom"/>
          </w:tcPr>
          <w:p w14:paraId="6430408C" w14:textId="77777777" w:rsidR="009F6D8A" w:rsidRDefault="009F6D8A">
            <w:pPr>
              <w:rPr>
                <w:rFonts w:ascii="宋体"/>
                <w:vanish/>
              </w:rPr>
            </w:pPr>
          </w:p>
        </w:tc>
        <w:tc>
          <w:tcPr>
            <w:tcW w:w="0" w:type="auto"/>
            <w:gridSpan w:val="3"/>
            <w:shd w:val="clear" w:color="auto" w:fill="auto"/>
            <w:vAlign w:val="bottom"/>
          </w:tcPr>
          <w:p w14:paraId="6430408D" w14:textId="77777777" w:rsidR="009F6D8A" w:rsidRDefault="009F6D8A">
            <w:pPr>
              <w:rPr>
                <w:rFonts w:ascii="宋体"/>
                <w:vanish/>
              </w:rPr>
            </w:pPr>
          </w:p>
        </w:tc>
        <w:tc>
          <w:tcPr>
            <w:tcW w:w="0" w:type="auto"/>
            <w:gridSpan w:val="3"/>
            <w:shd w:val="clear" w:color="auto" w:fill="auto"/>
            <w:vAlign w:val="bottom"/>
          </w:tcPr>
          <w:p w14:paraId="6430408E" w14:textId="77777777" w:rsidR="009F6D8A" w:rsidRDefault="009F6D8A">
            <w:pPr>
              <w:rPr>
                <w:rFonts w:ascii="宋体"/>
                <w:vanish/>
              </w:rPr>
            </w:pPr>
          </w:p>
        </w:tc>
        <w:tc>
          <w:tcPr>
            <w:tcW w:w="0" w:type="auto"/>
            <w:gridSpan w:val="3"/>
            <w:shd w:val="clear" w:color="auto" w:fill="auto"/>
            <w:vAlign w:val="bottom"/>
          </w:tcPr>
          <w:p w14:paraId="6430408F" w14:textId="77777777" w:rsidR="009F6D8A" w:rsidRDefault="009F6D8A">
            <w:pPr>
              <w:rPr>
                <w:rFonts w:ascii="宋体"/>
                <w:vanish/>
              </w:rPr>
            </w:pPr>
          </w:p>
        </w:tc>
        <w:tc>
          <w:tcPr>
            <w:tcW w:w="0" w:type="auto"/>
            <w:gridSpan w:val="3"/>
            <w:shd w:val="clear" w:color="auto" w:fill="auto"/>
            <w:vAlign w:val="bottom"/>
          </w:tcPr>
          <w:p w14:paraId="64304090" w14:textId="77777777" w:rsidR="009F6D8A" w:rsidRDefault="009F6D8A">
            <w:pPr>
              <w:rPr>
                <w:rFonts w:ascii="宋体"/>
                <w:vanish/>
              </w:rPr>
            </w:pPr>
          </w:p>
        </w:tc>
        <w:tc>
          <w:tcPr>
            <w:tcW w:w="0" w:type="auto"/>
            <w:gridSpan w:val="3"/>
            <w:shd w:val="clear" w:color="auto" w:fill="auto"/>
            <w:vAlign w:val="bottom"/>
          </w:tcPr>
          <w:p w14:paraId="64304091" w14:textId="77777777" w:rsidR="009F6D8A" w:rsidRDefault="009F6D8A">
            <w:pPr>
              <w:rPr>
                <w:rFonts w:ascii="宋体"/>
                <w:vanish/>
              </w:rPr>
            </w:pPr>
          </w:p>
        </w:tc>
        <w:tc>
          <w:tcPr>
            <w:tcW w:w="0" w:type="auto"/>
            <w:gridSpan w:val="3"/>
            <w:shd w:val="clear" w:color="auto" w:fill="auto"/>
            <w:vAlign w:val="bottom"/>
          </w:tcPr>
          <w:p w14:paraId="64304092" w14:textId="77777777" w:rsidR="009F6D8A" w:rsidRDefault="009F6D8A">
            <w:pPr>
              <w:rPr>
                <w:rFonts w:ascii="宋体"/>
                <w:vanish/>
              </w:rPr>
            </w:pPr>
          </w:p>
        </w:tc>
        <w:tc>
          <w:tcPr>
            <w:tcW w:w="0" w:type="auto"/>
            <w:gridSpan w:val="3"/>
            <w:shd w:val="clear" w:color="auto" w:fill="auto"/>
            <w:vAlign w:val="bottom"/>
          </w:tcPr>
          <w:p w14:paraId="64304093" w14:textId="77777777" w:rsidR="009F6D8A" w:rsidRDefault="009F6D8A">
            <w:pPr>
              <w:rPr>
                <w:rFonts w:ascii="宋体"/>
                <w:vanish/>
              </w:rPr>
            </w:pPr>
          </w:p>
        </w:tc>
      </w:tr>
      <w:tr w:rsidR="009F6D8A" w14:paraId="643040A5" w14:textId="77777777">
        <w:tc>
          <w:tcPr>
            <w:tcW w:w="0" w:type="auto"/>
            <w:gridSpan w:val="3"/>
            <w:shd w:val="clear" w:color="auto" w:fill="E2E2E2"/>
            <w:tcMar>
              <w:top w:w="40" w:type="dxa"/>
              <w:left w:w="20" w:type="dxa"/>
              <w:bottom w:w="40" w:type="dxa"/>
              <w:right w:w="20" w:type="dxa"/>
            </w:tcMar>
            <w:vAlign w:val="bottom"/>
          </w:tcPr>
          <w:p w14:paraId="64304095" w14:textId="77777777" w:rsidR="009F6D8A" w:rsidRDefault="00C50974">
            <w:pPr>
              <w:textAlignment w:val="bottom"/>
            </w:pPr>
            <w:r>
              <w:rPr>
                <w:rFonts w:ascii="Arial" w:eastAsia="宋体" w:hAnsi="Arial" w:cs="Arial"/>
                <w:color w:val="000000"/>
                <w:sz w:val="18"/>
                <w:szCs w:val="18"/>
              </w:rPr>
              <w:t>Gain (loss) from interest rate contracts designated as cash flow hedges recognized in interest and other, net</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096"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097" w14:textId="77777777" w:rsidR="009F6D8A" w:rsidRDefault="00C50974">
            <w:pPr>
              <w:jc w:val="right"/>
              <w:textAlignment w:val="bottom"/>
            </w:pPr>
            <w:r>
              <w:rPr>
                <w:rFonts w:ascii="Arial" w:eastAsia="宋体" w:hAnsi="Arial" w:cs="Arial"/>
                <w:color w:val="000000"/>
                <w:sz w:val="18"/>
                <w:szCs w:val="18"/>
              </w:rPr>
              <w:t>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09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099"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09A"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09B"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09C"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09D"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09E"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09F"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0A0"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0A1"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0A2"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0A3"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0A4" w14:textId="77777777" w:rsidR="009F6D8A" w:rsidRDefault="009F6D8A">
            <w:pPr>
              <w:jc w:val="right"/>
              <w:rPr>
                <w:rFonts w:ascii="宋体"/>
              </w:rPr>
            </w:pPr>
          </w:p>
        </w:tc>
      </w:tr>
      <w:tr w:rsidR="009F6D8A" w14:paraId="643040AE" w14:textId="77777777">
        <w:trPr>
          <w:hidden/>
        </w:trPr>
        <w:tc>
          <w:tcPr>
            <w:tcW w:w="0" w:type="auto"/>
            <w:gridSpan w:val="3"/>
            <w:shd w:val="clear" w:color="auto" w:fill="auto"/>
            <w:vAlign w:val="bottom"/>
          </w:tcPr>
          <w:p w14:paraId="643040A6" w14:textId="77777777" w:rsidR="009F6D8A" w:rsidRDefault="009F6D8A">
            <w:pPr>
              <w:rPr>
                <w:rFonts w:ascii="宋体"/>
                <w:vanish/>
              </w:rPr>
            </w:pPr>
          </w:p>
        </w:tc>
        <w:tc>
          <w:tcPr>
            <w:tcW w:w="0" w:type="auto"/>
            <w:gridSpan w:val="3"/>
            <w:shd w:val="clear" w:color="auto" w:fill="auto"/>
            <w:vAlign w:val="bottom"/>
          </w:tcPr>
          <w:p w14:paraId="643040A7" w14:textId="77777777" w:rsidR="009F6D8A" w:rsidRDefault="009F6D8A">
            <w:pPr>
              <w:rPr>
                <w:rFonts w:ascii="宋体"/>
                <w:vanish/>
              </w:rPr>
            </w:pPr>
          </w:p>
        </w:tc>
        <w:tc>
          <w:tcPr>
            <w:tcW w:w="0" w:type="auto"/>
            <w:gridSpan w:val="3"/>
            <w:shd w:val="clear" w:color="auto" w:fill="auto"/>
            <w:vAlign w:val="bottom"/>
          </w:tcPr>
          <w:p w14:paraId="643040A8" w14:textId="77777777" w:rsidR="009F6D8A" w:rsidRDefault="009F6D8A">
            <w:pPr>
              <w:rPr>
                <w:rFonts w:ascii="宋体"/>
                <w:vanish/>
              </w:rPr>
            </w:pPr>
          </w:p>
        </w:tc>
        <w:tc>
          <w:tcPr>
            <w:tcW w:w="0" w:type="auto"/>
            <w:gridSpan w:val="3"/>
            <w:shd w:val="clear" w:color="auto" w:fill="auto"/>
            <w:vAlign w:val="bottom"/>
          </w:tcPr>
          <w:p w14:paraId="643040A9" w14:textId="77777777" w:rsidR="009F6D8A" w:rsidRDefault="009F6D8A">
            <w:pPr>
              <w:rPr>
                <w:rFonts w:ascii="宋体"/>
                <w:vanish/>
              </w:rPr>
            </w:pPr>
          </w:p>
        </w:tc>
        <w:tc>
          <w:tcPr>
            <w:tcW w:w="0" w:type="auto"/>
            <w:gridSpan w:val="3"/>
            <w:shd w:val="clear" w:color="auto" w:fill="auto"/>
            <w:vAlign w:val="bottom"/>
          </w:tcPr>
          <w:p w14:paraId="643040AA" w14:textId="77777777" w:rsidR="009F6D8A" w:rsidRDefault="009F6D8A">
            <w:pPr>
              <w:rPr>
                <w:rFonts w:ascii="宋体"/>
                <w:vanish/>
              </w:rPr>
            </w:pPr>
          </w:p>
        </w:tc>
        <w:tc>
          <w:tcPr>
            <w:tcW w:w="0" w:type="auto"/>
            <w:gridSpan w:val="3"/>
            <w:shd w:val="clear" w:color="auto" w:fill="auto"/>
            <w:vAlign w:val="bottom"/>
          </w:tcPr>
          <w:p w14:paraId="643040AB" w14:textId="77777777" w:rsidR="009F6D8A" w:rsidRDefault="009F6D8A">
            <w:pPr>
              <w:rPr>
                <w:rFonts w:ascii="宋体"/>
                <w:vanish/>
              </w:rPr>
            </w:pPr>
          </w:p>
        </w:tc>
        <w:tc>
          <w:tcPr>
            <w:tcW w:w="0" w:type="auto"/>
            <w:gridSpan w:val="3"/>
            <w:shd w:val="clear" w:color="auto" w:fill="auto"/>
            <w:vAlign w:val="bottom"/>
          </w:tcPr>
          <w:p w14:paraId="643040AC" w14:textId="77777777" w:rsidR="009F6D8A" w:rsidRDefault="009F6D8A">
            <w:pPr>
              <w:rPr>
                <w:rFonts w:ascii="宋体"/>
                <w:vanish/>
              </w:rPr>
            </w:pPr>
          </w:p>
        </w:tc>
        <w:tc>
          <w:tcPr>
            <w:tcW w:w="0" w:type="auto"/>
            <w:gridSpan w:val="3"/>
            <w:shd w:val="clear" w:color="auto" w:fill="auto"/>
            <w:vAlign w:val="bottom"/>
          </w:tcPr>
          <w:p w14:paraId="643040AD" w14:textId="77777777" w:rsidR="009F6D8A" w:rsidRDefault="009F6D8A">
            <w:pPr>
              <w:rPr>
                <w:rFonts w:ascii="宋体"/>
                <w:vanish/>
              </w:rPr>
            </w:pPr>
          </w:p>
        </w:tc>
      </w:tr>
    </w:tbl>
    <w:p w14:paraId="643040AF" w14:textId="77777777" w:rsidR="009F6D8A" w:rsidRDefault="009F6D8A">
      <w:pPr>
        <w:spacing w:after="120"/>
      </w:pPr>
    </w:p>
    <w:p w14:paraId="643040B0" w14:textId="77777777" w:rsidR="009F6D8A" w:rsidRDefault="009F6D8A">
      <w:pPr>
        <w:jc w:val="center"/>
      </w:pPr>
    </w:p>
    <w:p w14:paraId="643040B1" w14:textId="77777777" w:rsidR="009F6D8A" w:rsidRDefault="00C50974">
      <w:pPr>
        <w:jc w:val="center"/>
      </w:pPr>
      <w:r>
        <w:rPr>
          <w:rFonts w:ascii="Arial" w:eastAsia="宋体" w:hAnsi="Arial" w:cs="Arial"/>
          <w:color w:val="000000"/>
          <w:sz w:val="20"/>
          <w:szCs w:val="20"/>
        </w:rPr>
        <w:t>25</w:t>
      </w:r>
    </w:p>
    <w:p w14:paraId="643040B2" w14:textId="77777777" w:rsidR="009F6D8A" w:rsidRDefault="00C50974">
      <w:r>
        <w:pict w14:anchorId="6430581C">
          <v:rect id="_x0000_i1049" style="width:415.3pt;height:1.5pt" o:hralign="center" o:hrstd="t" o:hr="t" fillcolor="#a0a0a0" stroked="f"/>
        </w:pict>
      </w:r>
    </w:p>
    <w:p w14:paraId="643040B3" w14:textId="77777777" w:rsidR="009F6D8A" w:rsidRDefault="009F6D8A">
      <w:pPr>
        <w:jc w:val="center"/>
      </w:pPr>
    </w:p>
    <w:p w14:paraId="643040B4" w14:textId="77777777" w:rsidR="009F6D8A" w:rsidRDefault="00C50974">
      <w:pPr>
        <w:jc w:val="center"/>
      </w:pPr>
      <w:r>
        <w:rPr>
          <w:rFonts w:ascii="Arial" w:eastAsia="宋体" w:hAnsi="Arial" w:cs="Arial"/>
          <w:b/>
          <w:bCs/>
          <w:color w:val="000000"/>
          <w:sz w:val="20"/>
          <w:szCs w:val="20"/>
        </w:rPr>
        <w:t>eBay Inc.</w:t>
      </w:r>
    </w:p>
    <w:p w14:paraId="643040B5" w14:textId="77777777" w:rsidR="009F6D8A" w:rsidRDefault="00C50974">
      <w:pPr>
        <w:spacing w:after="24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643040B6" w14:textId="77777777" w:rsidR="009F6D8A" w:rsidRDefault="00C50974">
      <w:pPr>
        <w:spacing w:after="120"/>
        <w:ind w:firstLine="540"/>
      </w:pPr>
      <w:r>
        <w:rPr>
          <w:rFonts w:ascii="Arial" w:eastAsia="宋体" w:hAnsi="Arial" w:cs="Arial"/>
          <w:color w:val="000000"/>
          <w:sz w:val="20"/>
          <w:szCs w:val="20"/>
        </w:rPr>
        <w:t>The following table provides a summary of the total gain (loss) recognized in the condensed consolidated statement of income due to changes in the fair value of the warrant (in millions): </w:t>
      </w:r>
    </w:p>
    <w:tbl>
      <w:tblPr>
        <w:tblW w:w="5000" w:type="pct"/>
        <w:tblCellMar>
          <w:top w:w="15" w:type="dxa"/>
          <w:left w:w="15" w:type="dxa"/>
          <w:bottom w:w="15" w:type="dxa"/>
          <w:right w:w="15" w:type="dxa"/>
        </w:tblCellMar>
        <w:tblLook w:val="04A0" w:firstRow="1" w:lastRow="0" w:firstColumn="1" w:lastColumn="0" w:noHBand="0" w:noVBand="1"/>
      </w:tblPr>
      <w:tblGrid>
        <w:gridCol w:w="37"/>
        <w:gridCol w:w="4110"/>
        <w:gridCol w:w="36"/>
        <w:gridCol w:w="121"/>
        <w:gridCol w:w="832"/>
        <w:gridCol w:w="36"/>
        <w:gridCol w:w="36"/>
        <w:gridCol w:w="36"/>
        <w:gridCol w:w="36"/>
        <w:gridCol w:w="121"/>
        <w:gridCol w:w="789"/>
        <w:gridCol w:w="36"/>
        <w:gridCol w:w="36"/>
        <w:gridCol w:w="36"/>
        <w:gridCol w:w="36"/>
        <w:gridCol w:w="121"/>
        <w:gridCol w:w="789"/>
        <w:gridCol w:w="36"/>
        <w:gridCol w:w="36"/>
        <w:gridCol w:w="36"/>
        <w:gridCol w:w="36"/>
        <w:gridCol w:w="121"/>
        <w:gridCol w:w="791"/>
        <w:gridCol w:w="36"/>
      </w:tblGrid>
      <w:tr w:rsidR="009F6D8A" w14:paraId="643040CF" w14:textId="77777777">
        <w:tc>
          <w:tcPr>
            <w:tcW w:w="50" w:type="pct"/>
            <w:shd w:val="clear" w:color="auto" w:fill="auto"/>
            <w:vAlign w:val="bottom"/>
          </w:tcPr>
          <w:p w14:paraId="643040B7" w14:textId="77777777" w:rsidR="009F6D8A" w:rsidRDefault="009F6D8A">
            <w:pPr>
              <w:rPr>
                <w:rFonts w:ascii="宋体"/>
              </w:rPr>
            </w:pPr>
          </w:p>
        </w:tc>
        <w:tc>
          <w:tcPr>
            <w:tcW w:w="2496" w:type="pct"/>
            <w:shd w:val="clear" w:color="auto" w:fill="auto"/>
            <w:vAlign w:val="bottom"/>
          </w:tcPr>
          <w:p w14:paraId="643040B8" w14:textId="77777777" w:rsidR="009F6D8A" w:rsidRDefault="009F6D8A">
            <w:pPr>
              <w:rPr>
                <w:rFonts w:ascii="宋体"/>
              </w:rPr>
            </w:pPr>
          </w:p>
        </w:tc>
        <w:tc>
          <w:tcPr>
            <w:tcW w:w="5" w:type="pct"/>
            <w:shd w:val="clear" w:color="auto" w:fill="auto"/>
            <w:vAlign w:val="bottom"/>
          </w:tcPr>
          <w:p w14:paraId="643040B9" w14:textId="77777777" w:rsidR="009F6D8A" w:rsidRDefault="009F6D8A">
            <w:pPr>
              <w:rPr>
                <w:rFonts w:ascii="宋体"/>
              </w:rPr>
            </w:pPr>
          </w:p>
        </w:tc>
        <w:tc>
          <w:tcPr>
            <w:tcW w:w="50" w:type="pct"/>
            <w:shd w:val="clear" w:color="auto" w:fill="auto"/>
            <w:vAlign w:val="bottom"/>
          </w:tcPr>
          <w:p w14:paraId="643040BA" w14:textId="77777777" w:rsidR="009F6D8A" w:rsidRDefault="009F6D8A">
            <w:pPr>
              <w:rPr>
                <w:rFonts w:ascii="宋体"/>
              </w:rPr>
            </w:pPr>
          </w:p>
        </w:tc>
        <w:tc>
          <w:tcPr>
            <w:tcW w:w="529" w:type="pct"/>
            <w:shd w:val="clear" w:color="auto" w:fill="auto"/>
            <w:vAlign w:val="bottom"/>
          </w:tcPr>
          <w:p w14:paraId="643040BB" w14:textId="77777777" w:rsidR="009F6D8A" w:rsidRDefault="009F6D8A">
            <w:pPr>
              <w:rPr>
                <w:rFonts w:ascii="宋体"/>
              </w:rPr>
            </w:pPr>
          </w:p>
        </w:tc>
        <w:tc>
          <w:tcPr>
            <w:tcW w:w="5" w:type="pct"/>
            <w:shd w:val="clear" w:color="auto" w:fill="auto"/>
            <w:vAlign w:val="bottom"/>
          </w:tcPr>
          <w:p w14:paraId="643040BC" w14:textId="77777777" w:rsidR="009F6D8A" w:rsidRDefault="009F6D8A">
            <w:pPr>
              <w:rPr>
                <w:rFonts w:ascii="宋体"/>
              </w:rPr>
            </w:pPr>
          </w:p>
        </w:tc>
        <w:tc>
          <w:tcPr>
            <w:tcW w:w="5" w:type="pct"/>
            <w:shd w:val="clear" w:color="auto" w:fill="auto"/>
            <w:vAlign w:val="bottom"/>
          </w:tcPr>
          <w:p w14:paraId="643040BD" w14:textId="77777777" w:rsidR="009F6D8A" w:rsidRDefault="009F6D8A">
            <w:pPr>
              <w:rPr>
                <w:rFonts w:ascii="宋体"/>
              </w:rPr>
            </w:pPr>
          </w:p>
        </w:tc>
        <w:tc>
          <w:tcPr>
            <w:tcW w:w="26" w:type="pct"/>
            <w:shd w:val="clear" w:color="auto" w:fill="auto"/>
            <w:vAlign w:val="bottom"/>
          </w:tcPr>
          <w:p w14:paraId="643040BE" w14:textId="77777777" w:rsidR="009F6D8A" w:rsidRDefault="009F6D8A">
            <w:pPr>
              <w:rPr>
                <w:rFonts w:ascii="宋体"/>
              </w:rPr>
            </w:pPr>
          </w:p>
        </w:tc>
        <w:tc>
          <w:tcPr>
            <w:tcW w:w="5" w:type="pct"/>
            <w:shd w:val="clear" w:color="auto" w:fill="auto"/>
            <w:vAlign w:val="bottom"/>
          </w:tcPr>
          <w:p w14:paraId="643040BF" w14:textId="77777777" w:rsidR="009F6D8A" w:rsidRDefault="009F6D8A">
            <w:pPr>
              <w:rPr>
                <w:rFonts w:ascii="宋体"/>
              </w:rPr>
            </w:pPr>
          </w:p>
        </w:tc>
        <w:tc>
          <w:tcPr>
            <w:tcW w:w="50" w:type="pct"/>
            <w:shd w:val="clear" w:color="auto" w:fill="auto"/>
            <w:vAlign w:val="bottom"/>
          </w:tcPr>
          <w:p w14:paraId="643040C0" w14:textId="77777777" w:rsidR="009F6D8A" w:rsidRDefault="009F6D8A">
            <w:pPr>
              <w:rPr>
                <w:rFonts w:ascii="宋体"/>
              </w:rPr>
            </w:pPr>
          </w:p>
        </w:tc>
        <w:tc>
          <w:tcPr>
            <w:tcW w:w="529" w:type="pct"/>
            <w:shd w:val="clear" w:color="auto" w:fill="auto"/>
            <w:vAlign w:val="bottom"/>
          </w:tcPr>
          <w:p w14:paraId="643040C1" w14:textId="77777777" w:rsidR="009F6D8A" w:rsidRDefault="009F6D8A">
            <w:pPr>
              <w:rPr>
                <w:rFonts w:ascii="宋体"/>
              </w:rPr>
            </w:pPr>
          </w:p>
        </w:tc>
        <w:tc>
          <w:tcPr>
            <w:tcW w:w="5" w:type="pct"/>
            <w:shd w:val="clear" w:color="auto" w:fill="auto"/>
            <w:vAlign w:val="bottom"/>
          </w:tcPr>
          <w:p w14:paraId="643040C2" w14:textId="77777777" w:rsidR="009F6D8A" w:rsidRDefault="009F6D8A">
            <w:pPr>
              <w:rPr>
                <w:rFonts w:ascii="宋体"/>
              </w:rPr>
            </w:pPr>
          </w:p>
        </w:tc>
        <w:tc>
          <w:tcPr>
            <w:tcW w:w="5" w:type="pct"/>
            <w:shd w:val="clear" w:color="auto" w:fill="auto"/>
            <w:vAlign w:val="bottom"/>
          </w:tcPr>
          <w:p w14:paraId="643040C3" w14:textId="77777777" w:rsidR="009F6D8A" w:rsidRDefault="009F6D8A">
            <w:pPr>
              <w:rPr>
                <w:rFonts w:ascii="宋体"/>
              </w:rPr>
            </w:pPr>
          </w:p>
        </w:tc>
        <w:tc>
          <w:tcPr>
            <w:tcW w:w="26" w:type="pct"/>
            <w:shd w:val="clear" w:color="auto" w:fill="auto"/>
            <w:vAlign w:val="bottom"/>
          </w:tcPr>
          <w:p w14:paraId="643040C4" w14:textId="77777777" w:rsidR="009F6D8A" w:rsidRDefault="009F6D8A">
            <w:pPr>
              <w:rPr>
                <w:rFonts w:ascii="宋体"/>
              </w:rPr>
            </w:pPr>
          </w:p>
        </w:tc>
        <w:tc>
          <w:tcPr>
            <w:tcW w:w="5" w:type="pct"/>
            <w:shd w:val="clear" w:color="auto" w:fill="auto"/>
            <w:vAlign w:val="bottom"/>
          </w:tcPr>
          <w:p w14:paraId="643040C5" w14:textId="77777777" w:rsidR="009F6D8A" w:rsidRDefault="009F6D8A">
            <w:pPr>
              <w:rPr>
                <w:rFonts w:ascii="宋体"/>
              </w:rPr>
            </w:pPr>
          </w:p>
        </w:tc>
        <w:tc>
          <w:tcPr>
            <w:tcW w:w="50" w:type="pct"/>
            <w:shd w:val="clear" w:color="auto" w:fill="auto"/>
            <w:vAlign w:val="bottom"/>
          </w:tcPr>
          <w:p w14:paraId="643040C6" w14:textId="77777777" w:rsidR="009F6D8A" w:rsidRDefault="009F6D8A">
            <w:pPr>
              <w:rPr>
                <w:rFonts w:ascii="宋体"/>
              </w:rPr>
            </w:pPr>
          </w:p>
        </w:tc>
        <w:tc>
          <w:tcPr>
            <w:tcW w:w="529" w:type="pct"/>
            <w:shd w:val="clear" w:color="auto" w:fill="auto"/>
            <w:vAlign w:val="bottom"/>
          </w:tcPr>
          <w:p w14:paraId="643040C7" w14:textId="77777777" w:rsidR="009F6D8A" w:rsidRDefault="009F6D8A">
            <w:pPr>
              <w:rPr>
                <w:rFonts w:ascii="宋体"/>
              </w:rPr>
            </w:pPr>
          </w:p>
        </w:tc>
        <w:tc>
          <w:tcPr>
            <w:tcW w:w="5" w:type="pct"/>
            <w:shd w:val="clear" w:color="auto" w:fill="auto"/>
            <w:vAlign w:val="bottom"/>
          </w:tcPr>
          <w:p w14:paraId="643040C8" w14:textId="77777777" w:rsidR="009F6D8A" w:rsidRDefault="009F6D8A">
            <w:pPr>
              <w:rPr>
                <w:rFonts w:ascii="宋体"/>
              </w:rPr>
            </w:pPr>
          </w:p>
        </w:tc>
        <w:tc>
          <w:tcPr>
            <w:tcW w:w="5" w:type="pct"/>
            <w:shd w:val="clear" w:color="auto" w:fill="auto"/>
            <w:vAlign w:val="bottom"/>
          </w:tcPr>
          <w:p w14:paraId="643040C9" w14:textId="77777777" w:rsidR="009F6D8A" w:rsidRDefault="009F6D8A">
            <w:pPr>
              <w:rPr>
                <w:rFonts w:ascii="宋体"/>
              </w:rPr>
            </w:pPr>
          </w:p>
        </w:tc>
        <w:tc>
          <w:tcPr>
            <w:tcW w:w="26" w:type="pct"/>
            <w:shd w:val="clear" w:color="auto" w:fill="auto"/>
            <w:vAlign w:val="bottom"/>
          </w:tcPr>
          <w:p w14:paraId="643040CA" w14:textId="77777777" w:rsidR="009F6D8A" w:rsidRDefault="009F6D8A">
            <w:pPr>
              <w:rPr>
                <w:rFonts w:ascii="宋体"/>
              </w:rPr>
            </w:pPr>
          </w:p>
        </w:tc>
        <w:tc>
          <w:tcPr>
            <w:tcW w:w="5" w:type="pct"/>
            <w:shd w:val="clear" w:color="auto" w:fill="auto"/>
            <w:vAlign w:val="bottom"/>
          </w:tcPr>
          <w:p w14:paraId="643040CB" w14:textId="77777777" w:rsidR="009F6D8A" w:rsidRDefault="009F6D8A">
            <w:pPr>
              <w:rPr>
                <w:rFonts w:ascii="宋体"/>
              </w:rPr>
            </w:pPr>
          </w:p>
        </w:tc>
        <w:tc>
          <w:tcPr>
            <w:tcW w:w="50" w:type="pct"/>
            <w:shd w:val="clear" w:color="auto" w:fill="auto"/>
            <w:vAlign w:val="bottom"/>
          </w:tcPr>
          <w:p w14:paraId="643040CC" w14:textId="77777777" w:rsidR="009F6D8A" w:rsidRDefault="009F6D8A">
            <w:pPr>
              <w:rPr>
                <w:rFonts w:ascii="宋体"/>
              </w:rPr>
            </w:pPr>
          </w:p>
        </w:tc>
        <w:tc>
          <w:tcPr>
            <w:tcW w:w="530" w:type="pct"/>
            <w:shd w:val="clear" w:color="auto" w:fill="auto"/>
            <w:vAlign w:val="bottom"/>
          </w:tcPr>
          <w:p w14:paraId="643040CD" w14:textId="77777777" w:rsidR="009F6D8A" w:rsidRDefault="009F6D8A">
            <w:pPr>
              <w:rPr>
                <w:rFonts w:ascii="宋体"/>
              </w:rPr>
            </w:pPr>
          </w:p>
        </w:tc>
        <w:tc>
          <w:tcPr>
            <w:tcW w:w="5" w:type="pct"/>
            <w:shd w:val="clear" w:color="auto" w:fill="auto"/>
            <w:vAlign w:val="bottom"/>
          </w:tcPr>
          <w:p w14:paraId="643040CE" w14:textId="77777777" w:rsidR="009F6D8A" w:rsidRDefault="009F6D8A">
            <w:pPr>
              <w:rPr>
                <w:rFonts w:ascii="宋体"/>
              </w:rPr>
            </w:pPr>
          </w:p>
        </w:tc>
      </w:tr>
      <w:tr w:rsidR="009F6D8A" w14:paraId="643040D4" w14:textId="77777777">
        <w:tc>
          <w:tcPr>
            <w:tcW w:w="0" w:type="auto"/>
            <w:gridSpan w:val="3"/>
            <w:shd w:val="clear" w:color="auto" w:fill="auto"/>
            <w:tcMar>
              <w:top w:w="0" w:type="dxa"/>
              <w:left w:w="20" w:type="dxa"/>
              <w:bottom w:w="0" w:type="dxa"/>
              <w:right w:w="20" w:type="dxa"/>
            </w:tcMar>
            <w:vAlign w:val="bottom"/>
          </w:tcPr>
          <w:p w14:paraId="643040D0"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40D1" w14:textId="77777777" w:rsidR="009F6D8A" w:rsidRDefault="00C50974">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Mar>
              <w:top w:w="0" w:type="dxa"/>
              <w:left w:w="20" w:type="dxa"/>
              <w:bottom w:w="0" w:type="dxa"/>
              <w:right w:w="20" w:type="dxa"/>
            </w:tcMar>
            <w:vAlign w:val="bottom"/>
          </w:tcPr>
          <w:p w14:paraId="643040D2"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40D3" w14:textId="77777777" w:rsidR="009F6D8A" w:rsidRDefault="00C50974">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r>
      <w:tr w:rsidR="009F6D8A" w14:paraId="643040DD" w14:textId="77777777">
        <w:tc>
          <w:tcPr>
            <w:tcW w:w="0" w:type="auto"/>
            <w:gridSpan w:val="3"/>
            <w:shd w:val="clear" w:color="auto" w:fill="auto"/>
            <w:tcMar>
              <w:top w:w="40" w:type="dxa"/>
              <w:left w:w="20" w:type="dxa"/>
              <w:bottom w:w="40" w:type="dxa"/>
              <w:right w:w="20" w:type="dxa"/>
            </w:tcMar>
            <w:vAlign w:val="bottom"/>
          </w:tcPr>
          <w:p w14:paraId="643040D5" w14:textId="77777777" w:rsidR="009F6D8A" w:rsidRDefault="00C50974">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0D6"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0D7"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0D8" w14:textId="77777777" w:rsidR="009F6D8A" w:rsidRDefault="00C50974">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43040D9"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0DA"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0DB" w14:textId="77777777" w:rsidR="009F6D8A" w:rsidRDefault="009F6D8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643040DC" w14:textId="77777777" w:rsidR="009F6D8A" w:rsidRDefault="00C50974">
            <w:pPr>
              <w:jc w:val="center"/>
              <w:textAlignment w:val="bottom"/>
            </w:pPr>
            <w:r>
              <w:rPr>
                <w:rFonts w:ascii="Arial" w:eastAsia="宋体" w:hAnsi="Arial" w:cs="Arial"/>
                <w:b/>
                <w:bCs/>
                <w:color w:val="000000"/>
                <w:sz w:val="16"/>
                <w:szCs w:val="16"/>
              </w:rPr>
              <w:t>2020</w:t>
            </w:r>
          </w:p>
        </w:tc>
      </w:tr>
      <w:tr w:rsidR="009F6D8A" w14:paraId="643040EE" w14:textId="77777777">
        <w:tc>
          <w:tcPr>
            <w:tcW w:w="0" w:type="auto"/>
            <w:gridSpan w:val="3"/>
            <w:shd w:val="clear" w:color="auto" w:fill="E2E2E2"/>
            <w:tcMar>
              <w:top w:w="40" w:type="dxa"/>
              <w:left w:w="20" w:type="dxa"/>
              <w:bottom w:w="40" w:type="dxa"/>
              <w:right w:w="20" w:type="dxa"/>
            </w:tcMar>
            <w:vAlign w:val="bottom"/>
          </w:tcPr>
          <w:p w14:paraId="643040DE" w14:textId="77777777" w:rsidR="009F6D8A" w:rsidRDefault="00C50974">
            <w:pPr>
              <w:textAlignment w:val="bottom"/>
            </w:pPr>
            <w:r>
              <w:rPr>
                <w:rFonts w:ascii="Arial" w:eastAsia="宋体" w:hAnsi="Arial" w:cs="Arial"/>
                <w:color w:val="000000"/>
                <w:sz w:val="18"/>
                <w:szCs w:val="18"/>
              </w:rPr>
              <w:t>Gain (loss) attributable to changes in the fair value of warrant recognized in interest and other, net</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0D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0E0" w14:textId="77777777" w:rsidR="009F6D8A" w:rsidRDefault="00C50974">
            <w:pPr>
              <w:jc w:val="right"/>
              <w:textAlignment w:val="bottom"/>
            </w:pPr>
            <w:r>
              <w:rPr>
                <w:rFonts w:ascii="Arial" w:eastAsia="宋体" w:hAnsi="Arial" w:cs="Arial"/>
                <w:color w:val="000000"/>
                <w:sz w:val="18"/>
                <w:szCs w:val="18"/>
              </w:rPr>
              <w:t>108 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0E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0E2"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0E3"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0E4" w14:textId="77777777" w:rsidR="009F6D8A" w:rsidRDefault="00C50974">
            <w:pPr>
              <w:jc w:val="right"/>
              <w:textAlignment w:val="bottom"/>
            </w:pPr>
            <w:r>
              <w:rPr>
                <w:rFonts w:ascii="Arial" w:eastAsia="宋体" w:hAnsi="Arial" w:cs="Arial"/>
                <w:color w:val="000000"/>
                <w:sz w:val="18"/>
                <w:szCs w:val="18"/>
              </w:rPr>
              <w:t>293 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0E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0E6"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0E7"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0E8" w14:textId="77777777" w:rsidR="009F6D8A" w:rsidRDefault="00C50974">
            <w:pPr>
              <w:jc w:val="right"/>
              <w:textAlignment w:val="bottom"/>
            </w:pPr>
            <w:r>
              <w:rPr>
                <w:rFonts w:ascii="Arial" w:eastAsia="宋体" w:hAnsi="Arial" w:cs="Arial"/>
                <w:color w:val="000000"/>
                <w:sz w:val="18"/>
                <w:szCs w:val="18"/>
              </w:rPr>
              <w:t>72 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0E9"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0EA"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0E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0EC" w14:textId="77777777" w:rsidR="009F6D8A" w:rsidRDefault="00C50974">
            <w:pPr>
              <w:jc w:val="right"/>
              <w:textAlignment w:val="bottom"/>
            </w:pPr>
            <w:r>
              <w:rPr>
                <w:rFonts w:ascii="Arial" w:eastAsia="宋体" w:hAnsi="Arial" w:cs="Arial"/>
                <w:color w:val="000000"/>
                <w:sz w:val="18"/>
                <w:szCs w:val="18"/>
              </w:rPr>
              <w:t>305 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0ED" w14:textId="77777777" w:rsidR="009F6D8A" w:rsidRDefault="009F6D8A">
            <w:pPr>
              <w:jc w:val="right"/>
              <w:rPr>
                <w:rFonts w:ascii="宋体"/>
              </w:rPr>
            </w:pPr>
          </w:p>
        </w:tc>
      </w:tr>
    </w:tbl>
    <w:p w14:paraId="643040EF" w14:textId="77777777" w:rsidR="009F6D8A" w:rsidRDefault="009F6D8A"/>
    <w:p w14:paraId="643040F0" w14:textId="77777777" w:rsidR="009F6D8A" w:rsidRDefault="00C50974">
      <w:r>
        <w:rPr>
          <w:rFonts w:ascii="Arial" w:eastAsia="宋体" w:hAnsi="Arial" w:cs="Arial"/>
          <w:b/>
          <w:bCs/>
          <w:i/>
          <w:iCs/>
          <w:color w:val="000000"/>
          <w:sz w:val="20"/>
          <w:szCs w:val="20"/>
        </w:rPr>
        <w:t>Notional Amounts of Derivative Contracts</w:t>
      </w:r>
    </w:p>
    <w:p w14:paraId="643040F1" w14:textId="77777777" w:rsidR="009F6D8A" w:rsidRDefault="009F6D8A"/>
    <w:p w14:paraId="643040F2" w14:textId="77777777" w:rsidR="009F6D8A" w:rsidRDefault="00C50974">
      <w:pPr>
        <w:ind w:firstLine="540"/>
        <w:jc w:val="both"/>
      </w:pPr>
      <w:r>
        <w:rPr>
          <w:rFonts w:ascii="Arial" w:eastAsia="宋体" w:hAnsi="Arial" w:cs="Arial"/>
          <w:color w:val="000000"/>
          <w:sz w:val="20"/>
          <w:szCs w:val="20"/>
        </w:rPr>
        <w:t>Derivative transactions are measured in terms of the notional amount</w:t>
      </w:r>
      <w:r>
        <w:rPr>
          <w:rFonts w:ascii="Arial" w:eastAsia="宋体" w:hAnsi="Arial" w:cs="Arial"/>
          <w:color w:val="000000"/>
          <w:sz w:val="20"/>
          <w:szCs w:val="20"/>
        </w:rPr>
        <w:t>, but this amount is not recorded on the balance sheet and is not, when viewed in isolation, a meaningful measure of the risk profile of the instruments. The notional amount is generally not exchanged, but is used only as the basis on which the value of fo</w:t>
      </w:r>
      <w:r>
        <w:rPr>
          <w:rFonts w:ascii="Arial" w:eastAsia="宋体" w:hAnsi="Arial" w:cs="Arial"/>
          <w:color w:val="000000"/>
          <w:sz w:val="20"/>
          <w:szCs w:val="20"/>
        </w:rPr>
        <w:t>reign exchange payments under these contracts are determined. The following table provides the notional amounts of our outstanding derivatives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582"/>
        <w:gridCol w:w="36"/>
        <w:gridCol w:w="121"/>
        <w:gridCol w:w="1132"/>
        <w:gridCol w:w="36"/>
        <w:gridCol w:w="36"/>
        <w:gridCol w:w="36"/>
        <w:gridCol w:w="36"/>
        <w:gridCol w:w="122"/>
        <w:gridCol w:w="1098"/>
        <w:gridCol w:w="36"/>
      </w:tblGrid>
      <w:tr w:rsidR="009F6D8A" w14:paraId="643040FF" w14:textId="77777777">
        <w:tc>
          <w:tcPr>
            <w:tcW w:w="50" w:type="pct"/>
            <w:shd w:val="clear" w:color="auto" w:fill="auto"/>
            <w:vAlign w:val="bottom"/>
          </w:tcPr>
          <w:p w14:paraId="643040F3" w14:textId="77777777" w:rsidR="009F6D8A" w:rsidRDefault="009F6D8A">
            <w:pPr>
              <w:rPr>
                <w:rFonts w:ascii="宋体"/>
              </w:rPr>
            </w:pPr>
          </w:p>
        </w:tc>
        <w:tc>
          <w:tcPr>
            <w:tcW w:w="3383" w:type="pct"/>
            <w:shd w:val="clear" w:color="auto" w:fill="auto"/>
            <w:vAlign w:val="bottom"/>
          </w:tcPr>
          <w:p w14:paraId="643040F4" w14:textId="77777777" w:rsidR="009F6D8A" w:rsidRDefault="009F6D8A">
            <w:pPr>
              <w:rPr>
                <w:rFonts w:ascii="宋体"/>
              </w:rPr>
            </w:pPr>
          </w:p>
        </w:tc>
        <w:tc>
          <w:tcPr>
            <w:tcW w:w="5" w:type="pct"/>
            <w:shd w:val="clear" w:color="auto" w:fill="auto"/>
            <w:vAlign w:val="bottom"/>
          </w:tcPr>
          <w:p w14:paraId="643040F5" w14:textId="77777777" w:rsidR="009F6D8A" w:rsidRDefault="009F6D8A">
            <w:pPr>
              <w:rPr>
                <w:rFonts w:ascii="宋体"/>
              </w:rPr>
            </w:pPr>
          </w:p>
        </w:tc>
        <w:tc>
          <w:tcPr>
            <w:tcW w:w="50" w:type="pct"/>
            <w:shd w:val="clear" w:color="auto" w:fill="auto"/>
            <w:vAlign w:val="bottom"/>
          </w:tcPr>
          <w:p w14:paraId="643040F6" w14:textId="77777777" w:rsidR="009F6D8A" w:rsidRDefault="009F6D8A">
            <w:pPr>
              <w:rPr>
                <w:rFonts w:ascii="宋体"/>
              </w:rPr>
            </w:pPr>
          </w:p>
        </w:tc>
        <w:tc>
          <w:tcPr>
            <w:tcW w:w="707" w:type="pct"/>
            <w:shd w:val="clear" w:color="auto" w:fill="auto"/>
            <w:vAlign w:val="bottom"/>
          </w:tcPr>
          <w:p w14:paraId="643040F7" w14:textId="77777777" w:rsidR="009F6D8A" w:rsidRDefault="009F6D8A">
            <w:pPr>
              <w:rPr>
                <w:rFonts w:ascii="宋体"/>
              </w:rPr>
            </w:pPr>
          </w:p>
        </w:tc>
        <w:tc>
          <w:tcPr>
            <w:tcW w:w="5" w:type="pct"/>
            <w:shd w:val="clear" w:color="auto" w:fill="auto"/>
            <w:vAlign w:val="bottom"/>
          </w:tcPr>
          <w:p w14:paraId="643040F8" w14:textId="77777777" w:rsidR="009F6D8A" w:rsidRDefault="009F6D8A">
            <w:pPr>
              <w:rPr>
                <w:rFonts w:ascii="宋体"/>
              </w:rPr>
            </w:pPr>
          </w:p>
        </w:tc>
        <w:tc>
          <w:tcPr>
            <w:tcW w:w="5" w:type="pct"/>
            <w:shd w:val="clear" w:color="auto" w:fill="auto"/>
            <w:vAlign w:val="bottom"/>
          </w:tcPr>
          <w:p w14:paraId="643040F9" w14:textId="77777777" w:rsidR="009F6D8A" w:rsidRDefault="009F6D8A">
            <w:pPr>
              <w:rPr>
                <w:rFonts w:ascii="宋体"/>
              </w:rPr>
            </w:pPr>
          </w:p>
        </w:tc>
        <w:tc>
          <w:tcPr>
            <w:tcW w:w="26" w:type="pct"/>
            <w:shd w:val="clear" w:color="auto" w:fill="auto"/>
            <w:vAlign w:val="bottom"/>
          </w:tcPr>
          <w:p w14:paraId="643040FA" w14:textId="77777777" w:rsidR="009F6D8A" w:rsidRDefault="009F6D8A">
            <w:pPr>
              <w:rPr>
                <w:rFonts w:ascii="宋体"/>
              </w:rPr>
            </w:pPr>
          </w:p>
        </w:tc>
        <w:tc>
          <w:tcPr>
            <w:tcW w:w="5" w:type="pct"/>
            <w:shd w:val="clear" w:color="auto" w:fill="auto"/>
            <w:vAlign w:val="bottom"/>
          </w:tcPr>
          <w:p w14:paraId="643040FB" w14:textId="77777777" w:rsidR="009F6D8A" w:rsidRDefault="009F6D8A">
            <w:pPr>
              <w:rPr>
                <w:rFonts w:ascii="宋体"/>
              </w:rPr>
            </w:pPr>
          </w:p>
        </w:tc>
        <w:tc>
          <w:tcPr>
            <w:tcW w:w="50" w:type="pct"/>
            <w:shd w:val="clear" w:color="auto" w:fill="auto"/>
            <w:vAlign w:val="bottom"/>
          </w:tcPr>
          <w:p w14:paraId="643040FC" w14:textId="77777777" w:rsidR="009F6D8A" w:rsidRDefault="009F6D8A">
            <w:pPr>
              <w:rPr>
                <w:rFonts w:ascii="宋体"/>
              </w:rPr>
            </w:pPr>
          </w:p>
        </w:tc>
        <w:tc>
          <w:tcPr>
            <w:tcW w:w="707" w:type="pct"/>
            <w:shd w:val="clear" w:color="auto" w:fill="auto"/>
            <w:vAlign w:val="bottom"/>
          </w:tcPr>
          <w:p w14:paraId="643040FD" w14:textId="77777777" w:rsidR="009F6D8A" w:rsidRDefault="009F6D8A">
            <w:pPr>
              <w:rPr>
                <w:rFonts w:ascii="宋体"/>
              </w:rPr>
            </w:pPr>
          </w:p>
        </w:tc>
        <w:tc>
          <w:tcPr>
            <w:tcW w:w="5" w:type="pct"/>
            <w:shd w:val="clear" w:color="auto" w:fill="auto"/>
            <w:vAlign w:val="bottom"/>
          </w:tcPr>
          <w:p w14:paraId="643040FE" w14:textId="77777777" w:rsidR="009F6D8A" w:rsidRDefault="009F6D8A">
            <w:pPr>
              <w:rPr>
                <w:rFonts w:ascii="宋体"/>
              </w:rPr>
            </w:pPr>
          </w:p>
        </w:tc>
      </w:tr>
      <w:tr w:rsidR="009F6D8A" w14:paraId="64304104" w14:textId="77777777">
        <w:tc>
          <w:tcPr>
            <w:tcW w:w="0" w:type="auto"/>
            <w:gridSpan w:val="3"/>
            <w:shd w:val="clear" w:color="auto" w:fill="auto"/>
            <w:tcMar>
              <w:top w:w="0" w:type="dxa"/>
              <w:left w:w="20" w:type="dxa"/>
              <w:bottom w:w="0" w:type="dxa"/>
              <w:right w:w="20" w:type="dxa"/>
            </w:tcMar>
            <w:vAlign w:val="bottom"/>
          </w:tcPr>
          <w:p w14:paraId="64304100"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101" w14:textId="77777777" w:rsidR="009F6D8A" w:rsidRDefault="00C50974">
            <w:pPr>
              <w:jc w:val="center"/>
              <w:textAlignment w:val="bottom"/>
            </w:pPr>
            <w:r>
              <w:rPr>
                <w:rFonts w:ascii="Arial" w:eastAsia="宋体" w:hAnsi="Arial" w:cs="Arial"/>
                <w:b/>
                <w:bCs/>
                <w:color w:val="000000"/>
                <w:sz w:val="16"/>
                <w:szCs w:val="16"/>
              </w:rPr>
              <w:t>June 30,</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64304102" w14:textId="77777777" w:rsidR="009F6D8A" w:rsidRDefault="009F6D8A">
            <w:pPr>
              <w:rPr>
                <w:rFonts w:ascii="宋体"/>
              </w:rPr>
            </w:pPr>
          </w:p>
        </w:tc>
        <w:tc>
          <w:tcPr>
            <w:tcW w:w="0" w:type="auto"/>
            <w:gridSpan w:val="3"/>
            <w:shd w:val="clear" w:color="auto" w:fill="FFFFFF"/>
            <w:tcMar>
              <w:top w:w="40" w:type="dxa"/>
              <w:left w:w="20" w:type="dxa"/>
              <w:bottom w:w="40" w:type="dxa"/>
              <w:right w:w="20" w:type="dxa"/>
            </w:tcMar>
            <w:vAlign w:val="bottom"/>
          </w:tcPr>
          <w:p w14:paraId="64304103" w14:textId="77777777" w:rsidR="009F6D8A" w:rsidRDefault="00C50974">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2020</w:t>
            </w:r>
          </w:p>
        </w:tc>
      </w:tr>
      <w:tr w:rsidR="009F6D8A" w14:paraId="6430410D" w14:textId="77777777">
        <w:tc>
          <w:tcPr>
            <w:tcW w:w="0" w:type="auto"/>
            <w:gridSpan w:val="3"/>
            <w:shd w:val="clear" w:color="auto" w:fill="E2E2E2"/>
            <w:tcMar>
              <w:top w:w="40" w:type="dxa"/>
              <w:left w:w="20" w:type="dxa"/>
              <w:bottom w:w="40" w:type="dxa"/>
              <w:right w:w="20" w:type="dxa"/>
            </w:tcMar>
            <w:vAlign w:val="bottom"/>
          </w:tcPr>
          <w:p w14:paraId="64304105" w14:textId="77777777" w:rsidR="009F6D8A" w:rsidRDefault="00C50974">
            <w:pPr>
              <w:textAlignment w:val="bottom"/>
            </w:pPr>
            <w:r>
              <w:rPr>
                <w:rFonts w:ascii="Arial" w:eastAsia="宋体" w:hAnsi="Arial" w:cs="Arial"/>
                <w:color w:val="000000"/>
                <w:sz w:val="18"/>
                <w:szCs w:val="18"/>
              </w:rPr>
              <w:t xml:space="preserve">Foreign exchange contracts designated as cash </w:t>
            </w:r>
            <w:r>
              <w:rPr>
                <w:rFonts w:ascii="Arial" w:eastAsia="宋体" w:hAnsi="Arial" w:cs="Arial"/>
                <w:color w:val="000000"/>
                <w:sz w:val="18"/>
                <w:szCs w:val="18"/>
              </w:rPr>
              <w:t>flow hedges</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4106"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107" w14:textId="77777777" w:rsidR="009F6D8A" w:rsidRDefault="00C50974">
            <w:pPr>
              <w:jc w:val="right"/>
              <w:textAlignment w:val="bottom"/>
            </w:pPr>
            <w:r>
              <w:rPr>
                <w:rFonts w:ascii="Arial" w:eastAsia="宋体" w:hAnsi="Arial" w:cs="Arial"/>
                <w:color w:val="000000"/>
                <w:sz w:val="18"/>
                <w:szCs w:val="18"/>
              </w:rPr>
              <w:t>2,376 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10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109"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10A"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10B" w14:textId="77777777" w:rsidR="009F6D8A" w:rsidRDefault="00C50974">
            <w:pPr>
              <w:jc w:val="right"/>
              <w:textAlignment w:val="bottom"/>
            </w:pPr>
            <w:r>
              <w:rPr>
                <w:rFonts w:ascii="Arial" w:eastAsia="宋体" w:hAnsi="Arial" w:cs="Arial"/>
                <w:color w:val="000000"/>
                <w:sz w:val="18"/>
                <w:szCs w:val="18"/>
              </w:rPr>
              <w:t>2,305 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10C" w14:textId="77777777" w:rsidR="009F6D8A" w:rsidRDefault="009F6D8A">
            <w:pPr>
              <w:jc w:val="right"/>
              <w:rPr>
                <w:rFonts w:ascii="宋体"/>
              </w:rPr>
            </w:pPr>
          </w:p>
        </w:tc>
      </w:tr>
      <w:tr w:rsidR="009F6D8A" w14:paraId="64304112" w14:textId="77777777">
        <w:trPr>
          <w:hidden/>
        </w:trPr>
        <w:tc>
          <w:tcPr>
            <w:tcW w:w="0" w:type="auto"/>
            <w:gridSpan w:val="3"/>
            <w:shd w:val="clear" w:color="auto" w:fill="auto"/>
            <w:vAlign w:val="bottom"/>
          </w:tcPr>
          <w:p w14:paraId="6430410E" w14:textId="77777777" w:rsidR="009F6D8A" w:rsidRDefault="009F6D8A">
            <w:pPr>
              <w:rPr>
                <w:rFonts w:ascii="宋体"/>
                <w:vanish/>
              </w:rPr>
            </w:pPr>
          </w:p>
        </w:tc>
        <w:tc>
          <w:tcPr>
            <w:tcW w:w="0" w:type="auto"/>
            <w:gridSpan w:val="3"/>
            <w:shd w:val="clear" w:color="auto" w:fill="auto"/>
            <w:vAlign w:val="bottom"/>
          </w:tcPr>
          <w:p w14:paraId="6430410F" w14:textId="77777777" w:rsidR="009F6D8A" w:rsidRDefault="009F6D8A">
            <w:pPr>
              <w:rPr>
                <w:rFonts w:ascii="宋体"/>
                <w:vanish/>
              </w:rPr>
            </w:pPr>
          </w:p>
        </w:tc>
        <w:tc>
          <w:tcPr>
            <w:tcW w:w="0" w:type="auto"/>
            <w:gridSpan w:val="3"/>
            <w:shd w:val="clear" w:color="auto" w:fill="auto"/>
            <w:vAlign w:val="bottom"/>
          </w:tcPr>
          <w:p w14:paraId="64304110" w14:textId="77777777" w:rsidR="009F6D8A" w:rsidRDefault="009F6D8A">
            <w:pPr>
              <w:rPr>
                <w:rFonts w:ascii="宋体"/>
                <w:vanish/>
              </w:rPr>
            </w:pPr>
          </w:p>
        </w:tc>
        <w:tc>
          <w:tcPr>
            <w:tcW w:w="0" w:type="auto"/>
            <w:gridSpan w:val="3"/>
            <w:shd w:val="clear" w:color="auto" w:fill="auto"/>
            <w:vAlign w:val="bottom"/>
          </w:tcPr>
          <w:p w14:paraId="64304111" w14:textId="77777777" w:rsidR="009F6D8A" w:rsidRDefault="009F6D8A">
            <w:pPr>
              <w:rPr>
                <w:rFonts w:ascii="宋体"/>
                <w:vanish/>
              </w:rPr>
            </w:pPr>
          </w:p>
        </w:tc>
      </w:tr>
      <w:tr w:rsidR="009F6D8A" w14:paraId="64304119" w14:textId="77777777">
        <w:tc>
          <w:tcPr>
            <w:tcW w:w="0" w:type="auto"/>
            <w:gridSpan w:val="3"/>
            <w:shd w:val="clear" w:color="auto" w:fill="FFFFFF"/>
            <w:tcMar>
              <w:top w:w="40" w:type="dxa"/>
              <w:left w:w="20" w:type="dxa"/>
              <w:bottom w:w="40" w:type="dxa"/>
              <w:right w:w="20" w:type="dxa"/>
            </w:tcMar>
            <w:vAlign w:val="bottom"/>
          </w:tcPr>
          <w:p w14:paraId="64304113" w14:textId="77777777" w:rsidR="009F6D8A" w:rsidRDefault="00C50974">
            <w:pPr>
              <w:textAlignment w:val="bottom"/>
            </w:pPr>
            <w:r>
              <w:rPr>
                <w:rFonts w:ascii="Arial" w:eastAsia="宋体" w:hAnsi="Arial" w:cs="Arial"/>
                <w:color w:val="000000"/>
                <w:sz w:val="18"/>
                <w:szCs w:val="18"/>
              </w:rPr>
              <w:t>Foreign exchange contracts not designated as hedging instruments</w:t>
            </w:r>
          </w:p>
        </w:tc>
        <w:tc>
          <w:tcPr>
            <w:tcW w:w="0" w:type="auto"/>
            <w:gridSpan w:val="2"/>
            <w:shd w:val="clear" w:color="auto" w:fill="FFFFFF"/>
            <w:tcMar>
              <w:top w:w="40" w:type="dxa"/>
              <w:left w:w="20" w:type="dxa"/>
              <w:bottom w:w="40" w:type="dxa"/>
              <w:right w:w="0" w:type="dxa"/>
            </w:tcMar>
            <w:vAlign w:val="bottom"/>
          </w:tcPr>
          <w:p w14:paraId="64304114" w14:textId="77777777" w:rsidR="009F6D8A" w:rsidRDefault="00C50974">
            <w:pPr>
              <w:jc w:val="right"/>
              <w:textAlignment w:val="bottom"/>
            </w:pPr>
            <w:r>
              <w:rPr>
                <w:rFonts w:ascii="Arial" w:eastAsia="宋体" w:hAnsi="Arial" w:cs="Arial"/>
                <w:color w:val="000000"/>
                <w:sz w:val="18"/>
                <w:szCs w:val="18"/>
              </w:rPr>
              <w:t>3,613 </w:t>
            </w:r>
          </w:p>
        </w:tc>
        <w:tc>
          <w:tcPr>
            <w:tcW w:w="0" w:type="auto"/>
            <w:shd w:val="clear" w:color="auto" w:fill="FFFFFF"/>
            <w:tcMar>
              <w:top w:w="40" w:type="dxa"/>
              <w:left w:w="0" w:type="dxa"/>
              <w:bottom w:w="40" w:type="dxa"/>
              <w:right w:w="20" w:type="dxa"/>
            </w:tcMar>
            <w:vAlign w:val="bottom"/>
          </w:tcPr>
          <w:p w14:paraId="6430411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11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117" w14:textId="77777777" w:rsidR="009F6D8A" w:rsidRDefault="00C50974">
            <w:pPr>
              <w:jc w:val="right"/>
              <w:textAlignment w:val="bottom"/>
            </w:pPr>
            <w:r>
              <w:rPr>
                <w:rFonts w:ascii="Arial" w:eastAsia="宋体" w:hAnsi="Arial" w:cs="Arial"/>
                <w:color w:val="000000"/>
                <w:sz w:val="18"/>
                <w:szCs w:val="18"/>
              </w:rPr>
              <w:t>3,016 </w:t>
            </w:r>
          </w:p>
        </w:tc>
        <w:tc>
          <w:tcPr>
            <w:tcW w:w="0" w:type="auto"/>
            <w:shd w:val="clear" w:color="auto" w:fill="FFFFFF"/>
            <w:tcMar>
              <w:top w:w="40" w:type="dxa"/>
              <w:left w:w="0" w:type="dxa"/>
              <w:bottom w:w="40" w:type="dxa"/>
              <w:right w:w="20" w:type="dxa"/>
            </w:tcMar>
            <w:vAlign w:val="bottom"/>
          </w:tcPr>
          <w:p w14:paraId="64304118" w14:textId="77777777" w:rsidR="009F6D8A" w:rsidRDefault="009F6D8A">
            <w:pPr>
              <w:jc w:val="right"/>
              <w:rPr>
                <w:rFonts w:ascii="宋体"/>
              </w:rPr>
            </w:pPr>
          </w:p>
        </w:tc>
      </w:tr>
      <w:tr w:rsidR="009F6D8A" w14:paraId="64304120" w14:textId="77777777">
        <w:tc>
          <w:tcPr>
            <w:tcW w:w="0" w:type="auto"/>
            <w:gridSpan w:val="3"/>
            <w:shd w:val="clear" w:color="auto" w:fill="E2E2E2"/>
            <w:tcMar>
              <w:top w:w="40" w:type="dxa"/>
              <w:left w:w="20" w:type="dxa"/>
              <w:bottom w:w="40" w:type="dxa"/>
              <w:right w:w="20" w:type="dxa"/>
            </w:tcMar>
            <w:vAlign w:val="bottom"/>
          </w:tcPr>
          <w:p w14:paraId="6430411A" w14:textId="77777777" w:rsidR="009F6D8A" w:rsidRDefault="00C50974">
            <w:pPr>
              <w:textAlignment w:val="bottom"/>
            </w:pPr>
            <w:r>
              <w:rPr>
                <w:rFonts w:ascii="Arial" w:eastAsia="宋体" w:hAnsi="Arial" w:cs="Arial"/>
                <w:color w:val="000000"/>
                <w:sz w:val="18"/>
                <w:szCs w:val="18"/>
              </w:rPr>
              <w:t>Interest rate contracts designated as cash flow hedges</w:t>
            </w:r>
          </w:p>
        </w:tc>
        <w:tc>
          <w:tcPr>
            <w:tcW w:w="0" w:type="auto"/>
            <w:gridSpan w:val="2"/>
            <w:shd w:val="clear" w:color="auto" w:fill="E2E2E2"/>
            <w:tcMar>
              <w:top w:w="40" w:type="dxa"/>
              <w:left w:w="20" w:type="dxa"/>
              <w:bottom w:w="40" w:type="dxa"/>
              <w:right w:w="0" w:type="dxa"/>
            </w:tcMar>
            <w:vAlign w:val="bottom"/>
          </w:tcPr>
          <w:p w14:paraId="6430411B" w14:textId="77777777" w:rsidR="009F6D8A" w:rsidRDefault="00C50974">
            <w:pPr>
              <w:jc w:val="right"/>
              <w:textAlignment w:val="bottom"/>
            </w:pPr>
            <w:r>
              <w:rPr>
                <w:rFonts w:ascii="Arial" w:eastAsia="宋体" w:hAnsi="Arial" w:cs="Arial"/>
                <w:color w:val="000000"/>
                <w:sz w:val="18"/>
                <w:szCs w:val="18"/>
              </w:rPr>
              <w:t>400 </w:t>
            </w:r>
          </w:p>
        </w:tc>
        <w:tc>
          <w:tcPr>
            <w:tcW w:w="0" w:type="auto"/>
            <w:shd w:val="clear" w:color="auto" w:fill="E2E2E2"/>
            <w:tcMar>
              <w:top w:w="40" w:type="dxa"/>
              <w:left w:w="0" w:type="dxa"/>
              <w:bottom w:w="40" w:type="dxa"/>
              <w:right w:w="20" w:type="dxa"/>
            </w:tcMar>
            <w:vAlign w:val="bottom"/>
          </w:tcPr>
          <w:p w14:paraId="6430411C"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11D"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11E" w14:textId="77777777" w:rsidR="009F6D8A" w:rsidRDefault="00C50974">
            <w:pPr>
              <w:jc w:val="right"/>
              <w:textAlignment w:val="bottom"/>
            </w:pPr>
            <w:r>
              <w:rPr>
                <w:rFonts w:ascii="Arial" w:eastAsia="宋体" w:hAnsi="Arial" w:cs="Arial"/>
                <w:color w:val="000000"/>
                <w:sz w:val="18"/>
                <w:szCs w:val="18"/>
              </w:rPr>
              <w:t>1,100 </w:t>
            </w:r>
          </w:p>
        </w:tc>
        <w:tc>
          <w:tcPr>
            <w:tcW w:w="0" w:type="auto"/>
            <w:shd w:val="clear" w:color="auto" w:fill="E2E2E2"/>
            <w:tcMar>
              <w:top w:w="40" w:type="dxa"/>
              <w:left w:w="0" w:type="dxa"/>
              <w:bottom w:w="40" w:type="dxa"/>
              <w:right w:w="20" w:type="dxa"/>
            </w:tcMar>
            <w:vAlign w:val="bottom"/>
          </w:tcPr>
          <w:p w14:paraId="6430411F" w14:textId="77777777" w:rsidR="009F6D8A" w:rsidRDefault="009F6D8A">
            <w:pPr>
              <w:jc w:val="right"/>
              <w:rPr>
                <w:rFonts w:ascii="宋体"/>
              </w:rPr>
            </w:pPr>
          </w:p>
        </w:tc>
      </w:tr>
      <w:tr w:rsidR="009F6D8A" w14:paraId="64304125" w14:textId="77777777">
        <w:trPr>
          <w:hidden/>
        </w:trPr>
        <w:tc>
          <w:tcPr>
            <w:tcW w:w="0" w:type="auto"/>
            <w:gridSpan w:val="3"/>
            <w:shd w:val="clear" w:color="auto" w:fill="auto"/>
            <w:vAlign w:val="bottom"/>
          </w:tcPr>
          <w:p w14:paraId="64304121" w14:textId="77777777" w:rsidR="009F6D8A" w:rsidRDefault="009F6D8A">
            <w:pPr>
              <w:rPr>
                <w:rFonts w:ascii="宋体"/>
                <w:vanish/>
              </w:rPr>
            </w:pPr>
          </w:p>
        </w:tc>
        <w:tc>
          <w:tcPr>
            <w:tcW w:w="0" w:type="auto"/>
            <w:gridSpan w:val="3"/>
            <w:shd w:val="clear" w:color="auto" w:fill="auto"/>
            <w:vAlign w:val="bottom"/>
          </w:tcPr>
          <w:p w14:paraId="64304122" w14:textId="77777777" w:rsidR="009F6D8A" w:rsidRDefault="009F6D8A">
            <w:pPr>
              <w:rPr>
                <w:rFonts w:ascii="宋体"/>
                <w:vanish/>
              </w:rPr>
            </w:pPr>
          </w:p>
        </w:tc>
        <w:tc>
          <w:tcPr>
            <w:tcW w:w="0" w:type="auto"/>
            <w:gridSpan w:val="3"/>
            <w:shd w:val="clear" w:color="auto" w:fill="auto"/>
            <w:vAlign w:val="bottom"/>
          </w:tcPr>
          <w:p w14:paraId="64304123" w14:textId="77777777" w:rsidR="009F6D8A" w:rsidRDefault="009F6D8A">
            <w:pPr>
              <w:rPr>
                <w:rFonts w:ascii="宋体"/>
                <w:vanish/>
              </w:rPr>
            </w:pPr>
          </w:p>
        </w:tc>
        <w:tc>
          <w:tcPr>
            <w:tcW w:w="0" w:type="auto"/>
            <w:gridSpan w:val="3"/>
            <w:shd w:val="clear" w:color="auto" w:fill="auto"/>
            <w:vAlign w:val="bottom"/>
          </w:tcPr>
          <w:p w14:paraId="64304124" w14:textId="77777777" w:rsidR="009F6D8A" w:rsidRDefault="009F6D8A">
            <w:pPr>
              <w:rPr>
                <w:rFonts w:ascii="宋体"/>
                <w:vanish/>
              </w:rPr>
            </w:pPr>
          </w:p>
        </w:tc>
      </w:tr>
      <w:tr w:rsidR="009F6D8A" w14:paraId="6430412E" w14:textId="77777777">
        <w:tc>
          <w:tcPr>
            <w:tcW w:w="0" w:type="auto"/>
            <w:gridSpan w:val="3"/>
            <w:shd w:val="clear" w:color="auto" w:fill="FFFFFF"/>
            <w:tcMar>
              <w:top w:w="40" w:type="dxa"/>
              <w:left w:w="245" w:type="dxa"/>
              <w:bottom w:w="40" w:type="dxa"/>
              <w:right w:w="20" w:type="dxa"/>
            </w:tcMar>
            <w:vAlign w:val="bottom"/>
          </w:tcPr>
          <w:p w14:paraId="64304126" w14:textId="77777777" w:rsidR="009F6D8A" w:rsidRDefault="00C50974">
            <w:pPr>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4127"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4128" w14:textId="77777777" w:rsidR="009F6D8A" w:rsidRDefault="00C50974">
            <w:pPr>
              <w:jc w:val="right"/>
              <w:textAlignment w:val="bottom"/>
            </w:pPr>
            <w:r>
              <w:rPr>
                <w:rFonts w:ascii="Arial" w:eastAsia="宋体" w:hAnsi="Arial" w:cs="Arial"/>
                <w:color w:val="000000"/>
                <w:sz w:val="18"/>
                <w:szCs w:val="18"/>
              </w:rPr>
              <w:t>6,389 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412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12A"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412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412C" w14:textId="77777777" w:rsidR="009F6D8A" w:rsidRDefault="00C50974">
            <w:pPr>
              <w:jc w:val="right"/>
              <w:textAlignment w:val="bottom"/>
            </w:pPr>
            <w:r>
              <w:rPr>
                <w:rFonts w:ascii="Arial" w:eastAsia="宋体" w:hAnsi="Arial" w:cs="Arial"/>
                <w:color w:val="000000"/>
                <w:sz w:val="18"/>
                <w:szCs w:val="18"/>
              </w:rPr>
              <w:t>6,421 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412D" w14:textId="77777777" w:rsidR="009F6D8A" w:rsidRDefault="009F6D8A">
            <w:pPr>
              <w:jc w:val="right"/>
              <w:rPr>
                <w:rFonts w:ascii="宋体"/>
              </w:rPr>
            </w:pPr>
          </w:p>
        </w:tc>
      </w:tr>
    </w:tbl>
    <w:p w14:paraId="6430412F" w14:textId="77777777" w:rsidR="009F6D8A" w:rsidRDefault="009F6D8A">
      <w:pPr>
        <w:jc w:val="both"/>
      </w:pPr>
    </w:p>
    <w:p w14:paraId="64304130" w14:textId="77777777" w:rsidR="009F6D8A" w:rsidRDefault="00C50974">
      <w:pPr>
        <w:jc w:val="both"/>
      </w:pPr>
      <w:r>
        <w:rPr>
          <w:rFonts w:ascii="Arial" w:eastAsia="宋体" w:hAnsi="Arial" w:cs="Arial"/>
          <w:b/>
          <w:bCs/>
          <w:i/>
          <w:iCs/>
          <w:color w:val="000000"/>
          <w:sz w:val="20"/>
          <w:szCs w:val="20"/>
        </w:rPr>
        <w:t xml:space="preserve">Credit Risk </w:t>
      </w:r>
    </w:p>
    <w:p w14:paraId="64304131" w14:textId="77777777" w:rsidR="009F6D8A" w:rsidRDefault="009F6D8A">
      <w:pPr>
        <w:jc w:val="both"/>
      </w:pPr>
    </w:p>
    <w:p w14:paraId="64304132" w14:textId="77777777" w:rsidR="009F6D8A" w:rsidRDefault="00C50974">
      <w:pPr>
        <w:ind w:firstLine="540"/>
        <w:jc w:val="both"/>
      </w:pPr>
      <w:r>
        <w:rPr>
          <w:rFonts w:ascii="Arial" w:eastAsia="宋体" w:hAnsi="Arial" w:cs="Arial"/>
          <w:color w:val="000000"/>
          <w:sz w:val="20"/>
          <w:szCs w:val="20"/>
        </w:rPr>
        <w:t>Our derivatives expose us to credit risk to the extent that the counterparties may be unable to meet the terms of the arrangement. We seek to mitigate such risk by limiting our counterparties to, and by spreading the risk across, major financial institutio</w:t>
      </w:r>
      <w:r>
        <w:rPr>
          <w:rFonts w:ascii="Arial" w:eastAsia="宋体" w:hAnsi="Arial" w:cs="Arial"/>
          <w:color w:val="000000"/>
          <w:sz w:val="20"/>
          <w:szCs w:val="20"/>
        </w:rPr>
        <w:t>ns. In addition, the potential risk of loss with any one counterparty resulting from this type of credit risk is monitored on an ongoing basis. To further limit credit risk, we also enter into collateral security arrangements related to certain interest ra</w:t>
      </w:r>
      <w:r>
        <w:rPr>
          <w:rFonts w:ascii="Arial" w:eastAsia="宋体" w:hAnsi="Arial" w:cs="Arial"/>
          <w:color w:val="000000"/>
          <w:sz w:val="20"/>
          <w:szCs w:val="20"/>
        </w:rPr>
        <w:t>te derivative instruments whereby collateral is posted between counterparties if the fair value of the derivative instrument exceeds certain thresholds. Additional collateral would be required in the event of a significant credit downgrade by either party.</w:t>
      </w:r>
      <w:r>
        <w:rPr>
          <w:rFonts w:ascii="Arial" w:eastAsia="宋体" w:hAnsi="Arial" w:cs="Arial"/>
          <w:color w:val="000000"/>
          <w:sz w:val="20"/>
          <w:szCs w:val="20"/>
        </w:rPr>
        <w:t xml:space="preserve"> We are not required to pledge, nor are we entitled to receive, collateral related to our foreign exchange derivative transactions. </w:t>
      </w:r>
    </w:p>
    <w:p w14:paraId="64304133" w14:textId="77777777" w:rsidR="009F6D8A" w:rsidRDefault="009F6D8A">
      <w:pPr>
        <w:ind w:firstLine="450"/>
      </w:pPr>
    </w:p>
    <w:p w14:paraId="64304134" w14:textId="77777777" w:rsidR="009F6D8A" w:rsidRDefault="009F6D8A">
      <w:pPr>
        <w:jc w:val="center"/>
      </w:pPr>
    </w:p>
    <w:p w14:paraId="64304135" w14:textId="77777777" w:rsidR="009F6D8A" w:rsidRDefault="00C50974">
      <w:pPr>
        <w:jc w:val="center"/>
      </w:pPr>
      <w:r>
        <w:rPr>
          <w:rFonts w:ascii="Arial" w:eastAsia="宋体" w:hAnsi="Arial" w:cs="Arial"/>
          <w:color w:val="000000"/>
          <w:sz w:val="20"/>
          <w:szCs w:val="20"/>
        </w:rPr>
        <w:t>26</w:t>
      </w:r>
    </w:p>
    <w:p w14:paraId="64304136" w14:textId="77777777" w:rsidR="009F6D8A" w:rsidRDefault="00C50974">
      <w:r>
        <w:pict w14:anchorId="6430581D">
          <v:rect id="_x0000_i1050" style="width:415.3pt;height:1.5pt" o:hralign="center" o:hrstd="t" o:hr="t" fillcolor="#a0a0a0" stroked="f"/>
        </w:pict>
      </w:r>
    </w:p>
    <w:p w14:paraId="64304137" w14:textId="77777777" w:rsidR="009F6D8A" w:rsidRDefault="009F6D8A">
      <w:pPr>
        <w:jc w:val="center"/>
      </w:pPr>
    </w:p>
    <w:p w14:paraId="64304138" w14:textId="77777777" w:rsidR="009F6D8A" w:rsidRDefault="00C50974">
      <w:pPr>
        <w:jc w:val="center"/>
      </w:pPr>
      <w:r>
        <w:rPr>
          <w:rFonts w:ascii="Arial" w:eastAsia="宋体" w:hAnsi="Arial" w:cs="Arial"/>
          <w:b/>
          <w:bCs/>
          <w:color w:val="000000"/>
          <w:sz w:val="20"/>
          <w:szCs w:val="20"/>
        </w:rPr>
        <w:t>eBay Inc.</w:t>
      </w:r>
    </w:p>
    <w:p w14:paraId="64304139"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413A" w14:textId="77777777" w:rsidR="009F6D8A" w:rsidRDefault="00C50974">
      <w:r>
        <w:rPr>
          <w:rFonts w:ascii="Arial" w:eastAsia="宋体" w:hAnsi="Arial" w:cs="Arial"/>
          <w:b/>
          <w:bCs/>
          <w:color w:val="000000"/>
          <w:sz w:val="20"/>
          <w:szCs w:val="20"/>
        </w:rPr>
        <w:t>Note 8 — Fair Value Measurement of Asset</w:t>
      </w:r>
      <w:r>
        <w:rPr>
          <w:rFonts w:ascii="Arial" w:eastAsia="宋体" w:hAnsi="Arial" w:cs="Arial"/>
          <w:b/>
          <w:bCs/>
          <w:color w:val="000000"/>
          <w:sz w:val="20"/>
          <w:szCs w:val="20"/>
        </w:rPr>
        <w:t>s and Liabilities</w:t>
      </w:r>
    </w:p>
    <w:p w14:paraId="6430413B" w14:textId="77777777" w:rsidR="009F6D8A" w:rsidRDefault="009F6D8A"/>
    <w:p w14:paraId="6430413C" w14:textId="77777777" w:rsidR="009F6D8A" w:rsidRDefault="00C50974">
      <w:pPr>
        <w:ind w:firstLine="540"/>
      </w:pPr>
      <w:r>
        <w:rPr>
          <w:rFonts w:ascii="Arial" w:eastAsia="宋体" w:hAnsi="Arial" w:cs="Arial"/>
          <w:color w:val="000000"/>
          <w:sz w:val="20"/>
          <w:szCs w:val="20"/>
        </w:rPr>
        <w:t>The following tables present our financial assets and liabilities measured at fair value on a recurring basis (in millions):</w:t>
      </w:r>
    </w:p>
    <w:p w14:paraId="6430413D" w14:textId="77777777" w:rsidR="009F6D8A" w:rsidRDefault="00C50974">
      <w:r>
        <w:rPr>
          <w:rFonts w:ascii="Arial" w:eastAsia="宋体" w:hAnsi="Arial" w:cs="Arial"/>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55"/>
        <w:gridCol w:w="2148"/>
        <w:gridCol w:w="39"/>
        <w:gridCol w:w="121"/>
        <w:gridCol w:w="938"/>
        <w:gridCol w:w="36"/>
        <w:gridCol w:w="36"/>
        <w:gridCol w:w="36"/>
        <w:gridCol w:w="36"/>
        <w:gridCol w:w="122"/>
        <w:gridCol w:w="1332"/>
        <w:gridCol w:w="36"/>
        <w:gridCol w:w="36"/>
        <w:gridCol w:w="36"/>
        <w:gridCol w:w="36"/>
        <w:gridCol w:w="122"/>
        <w:gridCol w:w="1339"/>
        <w:gridCol w:w="36"/>
        <w:gridCol w:w="36"/>
        <w:gridCol w:w="36"/>
        <w:gridCol w:w="36"/>
        <w:gridCol w:w="122"/>
        <w:gridCol w:w="1518"/>
        <w:gridCol w:w="36"/>
      </w:tblGrid>
      <w:tr w:rsidR="009F6D8A" w14:paraId="64304156" w14:textId="77777777">
        <w:tc>
          <w:tcPr>
            <w:tcW w:w="50" w:type="pct"/>
            <w:shd w:val="clear" w:color="auto" w:fill="auto"/>
            <w:vAlign w:val="bottom"/>
          </w:tcPr>
          <w:p w14:paraId="6430413E" w14:textId="77777777" w:rsidR="009F6D8A" w:rsidRDefault="009F6D8A">
            <w:pPr>
              <w:rPr>
                <w:rFonts w:ascii="宋体"/>
              </w:rPr>
            </w:pPr>
          </w:p>
        </w:tc>
        <w:tc>
          <w:tcPr>
            <w:tcW w:w="1548" w:type="pct"/>
            <w:shd w:val="clear" w:color="auto" w:fill="auto"/>
            <w:vAlign w:val="bottom"/>
          </w:tcPr>
          <w:p w14:paraId="6430413F" w14:textId="77777777" w:rsidR="009F6D8A" w:rsidRDefault="009F6D8A">
            <w:pPr>
              <w:rPr>
                <w:rFonts w:ascii="宋体"/>
              </w:rPr>
            </w:pPr>
          </w:p>
        </w:tc>
        <w:tc>
          <w:tcPr>
            <w:tcW w:w="5" w:type="pct"/>
            <w:shd w:val="clear" w:color="auto" w:fill="auto"/>
            <w:vAlign w:val="bottom"/>
          </w:tcPr>
          <w:p w14:paraId="64304140" w14:textId="77777777" w:rsidR="009F6D8A" w:rsidRDefault="009F6D8A">
            <w:pPr>
              <w:rPr>
                <w:rFonts w:ascii="宋体"/>
              </w:rPr>
            </w:pPr>
          </w:p>
        </w:tc>
        <w:tc>
          <w:tcPr>
            <w:tcW w:w="50" w:type="pct"/>
            <w:shd w:val="clear" w:color="auto" w:fill="auto"/>
            <w:vAlign w:val="bottom"/>
          </w:tcPr>
          <w:p w14:paraId="64304141" w14:textId="77777777" w:rsidR="009F6D8A" w:rsidRDefault="009F6D8A">
            <w:pPr>
              <w:rPr>
                <w:rFonts w:ascii="宋体"/>
              </w:rPr>
            </w:pPr>
          </w:p>
        </w:tc>
        <w:tc>
          <w:tcPr>
            <w:tcW w:w="757" w:type="pct"/>
            <w:shd w:val="clear" w:color="auto" w:fill="auto"/>
            <w:vAlign w:val="bottom"/>
          </w:tcPr>
          <w:p w14:paraId="64304142" w14:textId="77777777" w:rsidR="009F6D8A" w:rsidRDefault="009F6D8A">
            <w:pPr>
              <w:rPr>
                <w:rFonts w:ascii="宋体"/>
              </w:rPr>
            </w:pPr>
          </w:p>
        </w:tc>
        <w:tc>
          <w:tcPr>
            <w:tcW w:w="5" w:type="pct"/>
            <w:shd w:val="clear" w:color="auto" w:fill="auto"/>
            <w:vAlign w:val="bottom"/>
          </w:tcPr>
          <w:p w14:paraId="64304143" w14:textId="77777777" w:rsidR="009F6D8A" w:rsidRDefault="009F6D8A">
            <w:pPr>
              <w:rPr>
                <w:rFonts w:ascii="宋体"/>
              </w:rPr>
            </w:pPr>
          </w:p>
        </w:tc>
        <w:tc>
          <w:tcPr>
            <w:tcW w:w="5" w:type="pct"/>
            <w:shd w:val="clear" w:color="auto" w:fill="auto"/>
            <w:vAlign w:val="bottom"/>
          </w:tcPr>
          <w:p w14:paraId="64304144" w14:textId="77777777" w:rsidR="009F6D8A" w:rsidRDefault="009F6D8A">
            <w:pPr>
              <w:rPr>
                <w:rFonts w:ascii="宋体"/>
              </w:rPr>
            </w:pPr>
          </w:p>
        </w:tc>
        <w:tc>
          <w:tcPr>
            <w:tcW w:w="26" w:type="pct"/>
            <w:shd w:val="clear" w:color="auto" w:fill="auto"/>
            <w:vAlign w:val="bottom"/>
          </w:tcPr>
          <w:p w14:paraId="64304145" w14:textId="77777777" w:rsidR="009F6D8A" w:rsidRDefault="009F6D8A">
            <w:pPr>
              <w:rPr>
                <w:rFonts w:ascii="宋体"/>
              </w:rPr>
            </w:pPr>
          </w:p>
        </w:tc>
        <w:tc>
          <w:tcPr>
            <w:tcW w:w="5" w:type="pct"/>
            <w:shd w:val="clear" w:color="auto" w:fill="auto"/>
            <w:vAlign w:val="bottom"/>
          </w:tcPr>
          <w:p w14:paraId="64304146" w14:textId="77777777" w:rsidR="009F6D8A" w:rsidRDefault="009F6D8A">
            <w:pPr>
              <w:rPr>
                <w:rFonts w:ascii="宋体"/>
              </w:rPr>
            </w:pPr>
          </w:p>
        </w:tc>
        <w:tc>
          <w:tcPr>
            <w:tcW w:w="50" w:type="pct"/>
            <w:shd w:val="clear" w:color="auto" w:fill="auto"/>
            <w:vAlign w:val="bottom"/>
          </w:tcPr>
          <w:p w14:paraId="64304147" w14:textId="77777777" w:rsidR="009F6D8A" w:rsidRDefault="009F6D8A">
            <w:pPr>
              <w:rPr>
                <w:rFonts w:ascii="宋体"/>
              </w:rPr>
            </w:pPr>
          </w:p>
        </w:tc>
        <w:tc>
          <w:tcPr>
            <w:tcW w:w="757" w:type="pct"/>
            <w:shd w:val="clear" w:color="auto" w:fill="auto"/>
            <w:vAlign w:val="bottom"/>
          </w:tcPr>
          <w:p w14:paraId="64304148" w14:textId="77777777" w:rsidR="009F6D8A" w:rsidRDefault="009F6D8A">
            <w:pPr>
              <w:rPr>
                <w:rFonts w:ascii="宋体"/>
              </w:rPr>
            </w:pPr>
          </w:p>
        </w:tc>
        <w:tc>
          <w:tcPr>
            <w:tcW w:w="5" w:type="pct"/>
            <w:shd w:val="clear" w:color="auto" w:fill="auto"/>
            <w:vAlign w:val="bottom"/>
          </w:tcPr>
          <w:p w14:paraId="64304149" w14:textId="77777777" w:rsidR="009F6D8A" w:rsidRDefault="009F6D8A">
            <w:pPr>
              <w:rPr>
                <w:rFonts w:ascii="宋体"/>
              </w:rPr>
            </w:pPr>
          </w:p>
        </w:tc>
        <w:tc>
          <w:tcPr>
            <w:tcW w:w="5" w:type="pct"/>
            <w:shd w:val="clear" w:color="auto" w:fill="auto"/>
            <w:vAlign w:val="bottom"/>
          </w:tcPr>
          <w:p w14:paraId="6430414A" w14:textId="77777777" w:rsidR="009F6D8A" w:rsidRDefault="009F6D8A">
            <w:pPr>
              <w:rPr>
                <w:rFonts w:ascii="宋体"/>
              </w:rPr>
            </w:pPr>
          </w:p>
        </w:tc>
        <w:tc>
          <w:tcPr>
            <w:tcW w:w="26" w:type="pct"/>
            <w:shd w:val="clear" w:color="auto" w:fill="auto"/>
            <w:vAlign w:val="bottom"/>
          </w:tcPr>
          <w:p w14:paraId="6430414B" w14:textId="77777777" w:rsidR="009F6D8A" w:rsidRDefault="009F6D8A">
            <w:pPr>
              <w:rPr>
                <w:rFonts w:ascii="宋体"/>
              </w:rPr>
            </w:pPr>
          </w:p>
        </w:tc>
        <w:tc>
          <w:tcPr>
            <w:tcW w:w="5" w:type="pct"/>
            <w:shd w:val="clear" w:color="auto" w:fill="auto"/>
            <w:vAlign w:val="bottom"/>
          </w:tcPr>
          <w:p w14:paraId="6430414C" w14:textId="77777777" w:rsidR="009F6D8A" w:rsidRDefault="009F6D8A">
            <w:pPr>
              <w:rPr>
                <w:rFonts w:ascii="宋体"/>
              </w:rPr>
            </w:pPr>
          </w:p>
        </w:tc>
        <w:tc>
          <w:tcPr>
            <w:tcW w:w="50" w:type="pct"/>
            <w:shd w:val="clear" w:color="auto" w:fill="auto"/>
            <w:vAlign w:val="bottom"/>
          </w:tcPr>
          <w:p w14:paraId="6430414D" w14:textId="77777777" w:rsidR="009F6D8A" w:rsidRDefault="009F6D8A">
            <w:pPr>
              <w:rPr>
                <w:rFonts w:ascii="宋体"/>
              </w:rPr>
            </w:pPr>
          </w:p>
        </w:tc>
        <w:tc>
          <w:tcPr>
            <w:tcW w:w="757" w:type="pct"/>
            <w:shd w:val="clear" w:color="auto" w:fill="auto"/>
            <w:vAlign w:val="bottom"/>
          </w:tcPr>
          <w:p w14:paraId="6430414E" w14:textId="77777777" w:rsidR="009F6D8A" w:rsidRDefault="009F6D8A">
            <w:pPr>
              <w:rPr>
                <w:rFonts w:ascii="宋体"/>
              </w:rPr>
            </w:pPr>
          </w:p>
        </w:tc>
        <w:tc>
          <w:tcPr>
            <w:tcW w:w="5" w:type="pct"/>
            <w:shd w:val="clear" w:color="auto" w:fill="auto"/>
            <w:vAlign w:val="bottom"/>
          </w:tcPr>
          <w:p w14:paraId="6430414F" w14:textId="77777777" w:rsidR="009F6D8A" w:rsidRDefault="009F6D8A">
            <w:pPr>
              <w:rPr>
                <w:rFonts w:ascii="宋体"/>
              </w:rPr>
            </w:pPr>
          </w:p>
        </w:tc>
        <w:tc>
          <w:tcPr>
            <w:tcW w:w="5" w:type="pct"/>
            <w:shd w:val="clear" w:color="auto" w:fill="auto"/>
            <w:vAlign w:val="bottom"/>
          </w:tcPr>
          <w:p w14:paraId="64304150" w14:textId="77777777" w:rsidR="009F6D8A" w:rsidRDefault="009F6D8A">
            <w:pPr>
              <w:rPr>
                <w:rFonts w:ascii="宋体"/>
              </w:rPr>
            </w:pPr>
          </w:p>
        </w:tc>
        <w:tc>
          <w:tcPr>
            <w:tcW w:w="26" w:type="pct"/>
            <w:shd w:val="clear" w:color="auto" w:fill="auto"/>
            <w:vAlign w:val="bottom"/>
          </w:tcPr>
          <w:p w14:paraId="64304151" w14:textId="77777777" w:rsidR="009F6D8A" w:rsidRDefault="009F6D8A">
            <w:pPr>
              <w:rPr>
                <w:rFonts w:ascii="宋体"/>
              </w:rPr>
            </w:pPr>
          </w:p>
        </w:tc>
        <w:tc>
          <w:tcPr>
            <w:tcW w:w="5" w:type="pct"/>
            <w:shd w:val="clear" w:color="auto" w:fill="auto"/>
            <w:vAlign w:val="bottom"/>
          </w:tcPr>
          <w:p w14:paraId="64304152" w14:textId="77777777" w:rsidR="009F6D8A" w:rsidRDefault="009F6D8A">
            <w:pPr>
              <w:rPr>
                <w:rFonts w:ascii="宋体"/>
              </w:rPr>
            </w:pPr>
          </w:p>
        </w:tc>
        <w:tc>
          <w:tcPr>
            <w:tcW w:w="50" w:type="pct"/>
            <w:shd w:val="clear" w:color="auto" w:fill="auto"/>
            <w:vAlign w:val="bottom"/>
          </w:tcPr>
          <w:p w14:paraId="64304153" w14:textId="77777777" w:rsidR="009F6D8A" w:rsidRDefault="009F6D8A">
            <w:pPr>
              <w:rPr>
                <w:rFonts w:ascii="宋体"/>
              </w:rPr>
            </w:pPr>
          </w:p>
        </w:tc>
        <w:tc>
          <w:tcPr>
            <w:tcW w:w="794" w:type="pct"/>
            <w:shd w:val="clear" w:color="auto" w:fill="auto"/>
            <w:vAlign w:val="bottom"/>
          </w:tcPr>
          <w:p w14:paraId="64304154" w14:textId="77777777" w:rsidR="009F6D8A" w:rsidRDefault="009F6D8A">
            <w:pPr>
              <w:rPr>
                <w:rFonts w:ascii="宋体"/>
              </w:rPr>
            </w:pPr>
          </w:p>
        </w:tc>
        <w:tc>
          <w:tcPr>
            <w:tcW w:w="5" w:type="pct"/>
            <w:shd w:val="clear" w:color="auto" w:fill="auto"/>
            <w:vAlign w:val="bottom"/>
          </w:tcPr>
          <w:p w14:paraId="64304155" w14:textId="77777777" w:rsidR="009F6D8A" w:rsidRDefault="009F6D8A">
            <w:pPr>
              <w:rPr>
                <w:rFonts w:ascii="宋体"/>
              </w:rPr>
            </w:pPr>
          </w:p>
        </w:tc>
      </w:tr>
      <w:tr w:rsidR="009F6D8A" w14:paraId="64304166" w14:textId="77777777">
        <w:tc>
          <w:tcPr>
            <w:tcW w:w="0" w:type="auto"/>
            <w:gridSpan w:val="3"/>
            <w:shd w:val="clear" w:color="auto" w:fill="auto"/>
            <w:tcMar>
              <w:top w:w="0" w:type="dxa"/>
              <w:left w:w="20" w:type="dxa"/>
              <w:bottom w:w="0" w:type="dxa"/>
              <w:right w:w="20" w:type="dxa"/>
            </w:tcMar>
            <w:vAlign w:val="bottom"/>
          </w:tcPr>
          <w:p w14:paraId="64304157"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158" w14:textId="77777777" w:rsidR="009F6D8A" w:rsidRDefault="00C50974">
            <w:pPr>
              <w:jc w:val="center"/>
              <w:textAlignment w:val="bottom"/>
            </w:pPr>
            <w:r>
              <w:rPr>
                <w:rFonts w:ascii="Arial" w:eastAsia="宋体" w:hAnsi="Arial" w:cs="Arial"/>
                <w:b/>
                <w:bCs/>
                <w:color w:val="000000"/>
                <w:sz w:val="16"/>
                <w:szCs w:val="16"/>
              </w:rPr>
              <w:t>June 30, 2021</w:t>
            </w:r>
          </w:p>
        </w:tc>
        <w:tc>
          <w:tcPr>
            <w:tcW w:w="0" w:type="auto"/>
            <w:gridSpan w:val="3"/>
            <w:shd w:val="clear" w:color="auto" w:fill="auto"/>
            <w:tcMar>
              <w:top w:w="0" w:type="dxa"/>
              <w:left w:w="20" w:type="dxa"/>
              <w:bottom w:w="0" w:type="dxa"/>
              <w:right w:w="20" w:type="dxa"/>
            </w:tcMar>
            <w:vAlign w:val="bottom"/>
          </w:tcPr>
          <w:p w14:paraId="64304159"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15A" w14:textId="77777777" w:rsidR="009F6D8A" w:rsidRDefault="00C50974">
            <w:pPr>
              <w:jc w:val="center"/>
              <w:textAlignment w:val="bottom"/>
            </w:pPr>
            <w:r>
              <w:rPr>
                <w:rFonts w:ascii="Arial" w:eastAsia="宋体" w:hAnsi="Arial" w:cs="Arial"/>
                <w:b/>
                <w:bCs/>
                <w:color w:val="000000"/>
                <w:sz w:val="16"/>
                <w:szCs w:val="16"/>
              </w:rPr>
              <w:t>Quoted Prices in</w:t>
            </w:r>
          </w:p>
          <w:p w14:paraId="6430415B" w14:textId="77777777" w:rsidR="009F6D8A" w:rsidRDefault="00C50974">
            <w:pPr>
              <w:jc w:val="center"/>
              <w:textAlignment w:val="bottom"/>
            </w:pPr>
            <w:r>
              <w:rPr>
                <w:rFonts w:ascii="Arial" w:eastAsia="宋体" w:hAnsi="Arial" w:cs="Arial"/>
                <w:b/>
                <w:bCs/>
                <w:color w:val="000000"/>
                <w:sz w:val="16"/>
                <w:szCs w:val="16"/>
              </w:rPr>
              <w:t>Active Markets for</w:t>
            </w:r>
          </w:p>
          <w:p w14:paraId="6430415C" w14:textId="77777777" w:rsidR="009F6D8A" w:rsidRDefault="00C50974">
            <w:pPr>
              <w:jc w:val="center"/>
              <w:textAlignment w:val="bottom"/>
            </w:pPr>
            <w:r>
              <w:rPr>
                <w:rFonts w:ascii="Arial" w:eastAsia="宋体" w:hAnsi="Arial" w:cs="Arial"/>
                <w:b/>
                <w:bCs/>
                <w:color w:val="000000"/>
                <w:sz w:val="16"/>
                <w:szCs w:val="16"/>
              </w:rPr>
              <w:t>Identical Assets</w:t>
            </w:r>
          </w:p>
          <w:p w14:paraId="6430415D" w14:textId="77777777" w:rsidR="009F6D8A" w:rsidRDefault="00C50974">
            <w:pPr>
              <w:jc w:val="center"/>
              <w:textAlignment w:val="bottom"/>
            </w:pPr>
            <w:r>
              <w:rPr>
                <w:rFonts w:ascii="Arial" w:eastAsia="宋体" w:hAnsi="Arial" w:cs="Arial"/>
                <w:b/>
                <w:bCs/>
                <w:color w:val="000000"/>
                <w:sz w:val="16"/>
                <w:szCs w:val="16"/>
              </w:rPr>
              <w:t xml:space="preserve">(Level 1) </w:t>
            </w:r>
          </w:p>
        </w:tc>
        <w:tc>
          <w:tcPr>
            <w:tcW w:w="0" w:type="auto"/>
            <w:gridSpan w:val="3"/>
            <w:shd w:val="clear" w:color="auto" w:fill="auto"/>
            <w:tcMar>
              <w:top w:w="0" w:type="dxa"/>
              <w:left w:w="20" w:type="dxa"/>
              <w:bottom w:w="0" w:type="dxa"/>
              <w:right w:w="20" w:type="dxa"/>
            </w:tcMar>
            <w:vAlign w:val="bottom"/>
          </w:tcPr>
          <w:p w14:paraId="6430415E"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15F" w14:textId="77777777" w:rsidR="009F6D8A" w:rsidRDefault="00C50974">
            <w:pPr>
              <w:jc w:val="center"/>
              <w:textAlignment w:val="bottom"/>
            </w:pPr>
            <w:r>
              <w:rPr>
                <w:rFonts w:ascii="Arial" w:eastAsia="宋体" w:hAnsi="Arial" w:cs="Arial"/>
                <w:b/>
                <w:bCs/>
                <w:color w:val="000000"/>
                <w:sz w:val="16"/>
                <w:szCs w:val="16"/>
              </w:rPr>
              <w:t>Significant Other</w:t>
            </w:r>
          </w:p>
          <w:p w14:paraId="64304160" w14:textId="77777777" w:rsidR="009F6D8A" w:rsidRDefault="00C50974">
            <w:pPr>
              <w:jc w:val="center"/>
              <w:textAlignment w:val="bottom"/>
            </w:pPr>
            <w:r>
              <w:rPr>
                <w:rFonts w:ascii="Arial" w:eastAsia="宋体" w:hAnsi="Arial" w:cs="Arial"/>
                <w:b/>
                <w:bCs/>
                <w:color w:val="000000"/>
                <w:sz w:val="16"/>
                <w:szCs w:val="16"/>
              </w:rPr>
              <w:t>Observable Inputs</w:t>
            </w:r>
          </w:p>
          <w:p w14:paraId="64304161" w14:textId="77777777" w:rsidR="009F6D8A" w:rsidRDefault="00C50974">
            <w:pPr>
              <w:jc w:val="center"/>
              <w:textAlignment w:val="bottom"/>
            </w:pPr>
            <w:r>
              <w:rPr>
                <w:rFonts w:ascii="Arial" w:eastAsia="宋体" w:hAnsi="Arial" w:cs="Arial"/>
                <w:b/>
                <w:bCs/>
                <w:color w:val="000000"/>
                <w:sz w:val="16"/>
                <w:szCs w:val="16"/>
              </w:rPr>
              <w:t>(Level 2)</w:t>
            </w:r>
          </w:p>
        </w:tc>
        <w:tc>
          <w:tcPr>
            <w:tcW w:w="0" w:type="auto"/>
            <w:gridSpan w:val="3"/>
            <w:shd w:val="clear" w:color="auto" w:fill="auto"/>
            <w:tcMar>
              <w:top w:w="0" w:type="dxa"/>
              <w:left w:w="20" w:type="dxa"/>
              <w:bottom w:w="0" w:type="dxa"/>
              <w:right w:w="20" w:type="dxa"/>
            </w:tcMar>
            <w:vAlign w:val="bottom"/>
          </w:tcPr>
          <w:p w14:paraId="64304162"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163" w14:textId="77777777" w:rsidR="009F6D8A" w:rsidRDefault="00C50974">
            <w:pPr>
              <w:jc w:val="center"/>
              <w:textAlignment w:val="bottom"/>
            </w:pPr>
            <w:r>
              <w:rPr>
                <w:rFonts w:ascii="Arial" w:eastAsia="宋体" w:hAnsi="Arial" w:cs="Arial"/>
                <w:b/>
                <w:bCs/>
                <w:color w:val="000000"/>
                <w:sz w:val="16"/>
                <w:szCs w:val="16"/>
              </w:rPr>
              <w:t>Significant </w:t>
            </w:r>
          </w:p>
          <w:p w14:paraId="64304164" w14:textId="77777777" w:rsidR="009F6D8A" w:rsidRDefault="00C50974">
            <w:pPr>
              <w:jc w:val="center"/>
              <w:textAlignment w:val="bottom"/>
            </w:pPr>
            <w:r>
              <w:rPr>
                <w:rFonts w:ascii="Arial" w:eastAsia="宋体" w:hAnsi="Arial" w:cs="Arial"/>
                <w:b/>
                <w:bCs/>
                <w:color w:val="000000"/>
                <w:sz w:val="16"/>
                <w:szCs w:val="16"/>
              </w:rPr>
              <w:t>Unobservable Inputs</w:t>
            </w:r>
          </w:p>
          <w:p w14:paraId="64304165" w14:textId="77777777" w:rsidR="009F6D8A" w:rsidRDefault="00C50974">
            <w:pPr>
              <w:jc w:val="center"/>
              <w:textAlignment w:val="bottom"/>
            </w:pPr>
            <w:r>
              <w:rPr>
                <w:rFonts w:ascii="Arial" w:eastAsia="宋体" w:hAnsi="Arial" w:cs="Arial"/>
                <w:b/>
                <w:bCs/>
                <w:color w:val="000000"/>
                <w:sz w:val="16"/>
                <w:szCs w:val="16"/>
              </w:rPr>
              <w:t>(Level 3)</w:t>
            </w:r>
          </w:p>
        </w:tc>
      </w:tr>
      <w:tr w:rsidR="009F6D8A" w14:paraId="6430416F" w14:textId="77777777">
        <w:tc>
          <w:tcPr>
            <w:tcW w:w="0" w:type="auto"/>
            <w:gridSpan w:val="3"/>
            <w:shd w:val="clear" w:color="auto" w:fill="E2E2E2"/>
            <w:tcMar>
              <w:top w:w="40" w:type="dxa"/>
              <w:left w:w="20" w:type="dxa"/>
              <w:bottom w:w="40" w:type="dxa"/>
              <w:right w:w="20" w:type="dxa"/>
            </w:tcMar>
            <w:vAlign w:val="bottom"/>
          </w:tcPr>
          <w:p w14:paraId="64304167" w14:textId="77777777" w:rsidR="009F6D8A" w:rsidRDefault="00C50974">
            <w:pPr>
              <w:textAlignment w:val="bottom"/>
            </w:pPr>
            <w:r>
              <w:rPr>
                <w:rFonts w:ascii="Arial" w:eastAsia="宋体" w:hAnsi="Arial" w:cs="Arial"/>
                <w:b/>
                <w:bCs/>
                <w:i/>
                <w:iCs/>
                <w:color w:val="000000"/>
                <w:sz w:val="18"/>
                <w:szCs w:val="18"/>
              </w:rPr>
              <w:t>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304168" w14:textId="77777777" w:rsidR="009F6D8A" w:rsidRDefault="00C50974">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64304169" w14:textId="77777777" w:rsidR="009F6D8A" w:rsidRDefault="009F6D8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30416A" w14:textId="77777777" w:rsidR="009F6D8A" w:rsidRDefault="00C50974">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6430416B" w14:textId="77777777" w:rsidR="009F6D8A" w:rsidRDefault="009F6D8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30416C" w14:textId="77777777" w:rsidR="009F6D8A" w:rsidRDefault="00C50974">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6430416D"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416E" w14:textId="77777777" w:rsidR="009F6D8A" w:rsidRDefault="009F6D8A">
            <w:pPr>
              <w:rPr>
                <w:rFonts w:ascii="宋体"/>
              </w:rPr>
            </w:pPr>
          </w:p>
        </w:tc>
      </w:tr>
      <w:tr w:rsidR="009F6D8A" w14:paraId="64304180" w14:textId="77777777">
        <w:tc>
          <w:tcPr>
            <w:tcW w:w="0" w:type="auto"/>
            <w:gridSpan w:val="3"/>
            <w:shd w:val="clear" w:color="auto" w:fill="FFFFFF"/>
            <w:tcMar>
              <w:top w:w="40" w:type="dxa"/>
              <w:left w:w="245" w:type="dxa"/>
              <w:bottom w:w="40" w:type="dxa"/>
              <w:right w:w="20" w:type="dxa"/>
            </w:tcMar>
            <w:vAlign w:val="bottom"/>
          </w:tcPr>
          <w:p w14:paraId="64304170" w14:textId="77777777" w:rsidR="009F6D8A" w:rsidRDefault="00C50974">
            <w:pPr>
              <w:textAlignment w:val="bottom"/>
            </w:pPr>
            <w:r>
              <w:rPr>
                <w:rFonts w:ascii="Arial" w:eastAsia="宋体" w:hAnsi="Arial" w:cs="Arial"/>
                <w:color w:val="000000"/>
                <w:sz w:val="18"/>
                <w:szCs w:val="18"/>
              </w:rPr>
              <w:t>Cash and cash equivalents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64304171"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4172" w14:textId="77777777" w:rsidR="009F6D8A" w:rsidRDefault="00C50974">
            <w:pPr>
              <w:jc w:val="right"/>
              <w:textAlignment w:val="bottom"/>
            </w:pPr>
            <w:r>
              <w:rPr>
                <w:rFonts w:ascii="Arial" w:eastAsia="宋体" w:hAnsi="Arial" w:cs="Arial"/>
                <w:color w:val="000000"/>
                <w:sz w:val="18"/>
                <w:szCs w:val="18"/>
              </w:rPr>
              <w:t>2,128 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17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174"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4175"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4176" w14:textId="77777777" w:rsidR="009F6D8A" w:rsidRDefault="00C50974">
            <w:pPr>
              <w:jc w:val="right"/>
              <w:textAlignment w:val="bottom"/>
            </w:pPr>
            <w:r>
              <w:rPr>
                <w:rFonts w:ascii="Arial" w:eastAsia="宋体" w:hAnsi="Arial" w:cs="Arial"/>
                <w:color w:val="000000"/>
                <w:sz w:val="18"/>
                <w:szCs w:val="18"/>
              </w:rPr>
              <w:t>2,128 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17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178"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4179"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417A"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17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17C"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417D"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417E"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17F" w14:textId="77777777" w:rsidR="009F6D8A" w:rsidRDefault="009F6D8A">
            <w:pPr>
              <w:jc w:val="right"/>
              <w:rPr>
                <w:rFonts w:ascii="宋体"/>
              </w:rPr>
            </w:pPr>
          </w:p>
        </w:tc>
      </w:tr>
      <w:tr w:rsidR="009F6D8A" w14:paraId="64304189" w14:textId="77777777">
        <w:tc>
          <w:tcPr>
            <w:tcW w:w="0" w:type="auto"/>
            <w:gridSpan w:val="3"/>
            <w:shd w:val="clear" w:color="auto" w:fill="E2E2E2"/>
            <w:tcMar>
              <w:top w:w="40" w:type="dxa"/>
              <w:left w:w="245" w:type="dxa"/>
              <w:bottom w:w="40" w:type="dxa"/>
              <w:right w:w="20" w:type="dxa"/>
            </w:tcMar>
            <w:vAlign w:val="bottom"/>
          </w:tcPr>
          <w:p w14:paraId="64304181" w14:textId="77777777" w:rsidR="009F6D8A" w:rsidRDefault="00C50974">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4182"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183"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4184"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185"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4186"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187"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4188" w14:textId="77777777" w:rsidR="009F6D8A" w:rsidRDefault="009F6D8A">
            <w:pPr>
              <w:rPr>
                <w:rFonts w:ascii="宋体"/>
              </w:rPr>
            </w:pPr>
          </w:p>
        </w:tc>
      </w:tr>
      <w:tr w:rsidR="009F6D8A" w14:paraId="64304196" w14:textId="77777777">
        <w:tc>
          <w:tcPr>
            <w:tcW w:w="0" w:type="auto"/>
            <w:gridSpan w:val="3"/>
            <w:shd w:val="clear" w:color="auto" w:fill="FFFFFF"/>
            <w:tcMar>
              <w:top w:w="40" w:type="dxa"/>
              <w:left w:w="740" w:type="dxa"/>
              <w:bottom w:w="40" w:type="dxa"/>
              <w:right w:w="20" w:type="dxa"/>
            </w:tcMar>
            <w:vAlign w:val="bottom"/>
          </w:tcPr>
          <w:p w14:paraId="6430418A" w14:textId="77777777" w:rsidR="009F6D8A" w:rsidRDefault="00C50974">
            <w:pPr>
              <w:textAlignment w:val="bottom"/>
            </w:pPr>
            <w:r>
              <w:rPr>
                <w:rFonts w:ascii="Arial" w:eastAsia="宋体" w:hAnsi="Arial" w:cs="Arial"/>
                <w:color w:val="000000"/>
                <w:sz w:val="18"/>
                <w:szCs w:val="18"/>
              </w:rPr>
              <w:t>Restricted cash</w:t>
            </w:r>
          </w:p>
        </w:tc>
        <w:tc>
          <w:tcPr>
            <w:tcW w:w="0" w:type="auto"/>
            <w:gridSpan w:val="2"/>
            <w:shd w:val="clear" w:color="auto" w:fill="FFFFFF"/>
            <w:tcMar>
              <w:top w:w="40" w:type="dxa"/>
              <w:left w:w="20" w:type="dxa"/>
              <w:bottom w:w="40" w:type="dxa"/>
              <w:right w:w="0" w:type="dxa"/>
            </w:tcMar>
            <w:vAlign w:val="bottom"/>
          </w:tcPr>
          <w:p w14:paraId="6430418B" w14:textId="77777777" w:rsidR="009F6D8A" w:rsidRDefault="00C50974">
            <w:pPr>
              <w:jc w:val="right"/>
              <w:textAlignment w:val="bottom"/>
            </w:pPr>
            <w:r>
              <w:rPr>
                <w:rFonts w:ascii="Arial" w:eastAsia="宋体" w:hAnsi="Arial" w:cs="Arial"/>
                <w:color w:val="000000"/>
                <w:sz w:val="18"/>
                <w:szCs w:val="18"/>
              </w:rPr>
              <w:t>15 </w:t>
            </w:r>
          </w:p>
        </w:tc>
        <w:tc>
          <w:tcPr>
            <w:tcW w:w="0" w:type="auto"/>
            <w:shd w:val="clear" w:color="auto" w:fill="FFFFFF"/>
            <w:tcMar>
              <w:top w:w="40" w:type="dxa"/>
              <w:left w:w="0" w:type="dxa"/>
              <w:bottom w:w="40" w:type="dxa"/>
              <w:right w:w="20" w:type="dxa"/>
            </w:tcMar>
            <w:vAlign w:val="bottom"/>
          </w:tcPr>
          <w:p w14:paraId="6430418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18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18E" w14:textId="77777777" w:rsidR="009F6D8A" w:rsidRDefault="00C50974">
            <w:pPr>
              <w:jc w:val="right"/>
              <w:textAlignment w:val="bottom"/>
            </w:pPr>
            <w:r>
              <w:rPr>
                <w:rFonts w:ascii="Arial" w:eastAsia="宋体" w:hAnsi="Arial" w:cs="Arial"/>
                <w:color w:val="000000"/>
                <w:sz w:val="18"/>
                <w:szCs w:val="18"/>
              </w:rPr>
              <w:t>15 </w:t>
            </w:r>
          </w:p>
        </w:tc>
        <w:tc>
          <w:tcPr>
            <w:tcW w:w="0" w:type="auto"/>
            <w:shd w:val="clear" w:color="auto" w:fill="FFFFFF"/>
            <w:tcMar>
              <w:top w:w="40" w:type="dxa"/>
              <w:left w:w="0" w:type="dxa"/>
              <w:bottom w:w="40" w:type="dxa"/>
              <w:right w:w="20" w:type="dxa"/>
            </w:tcMar>
            <w:vAlign w:val="bottom"/>
          </w:tcPr>
          <w:p w14:paraId="6430418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190"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191"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419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193"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194"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4195" w14:textId="77777777" w:rsidR="009F6D8A" w:rsidRDefault="009F6D8A">
            <w:pPr>
              <w:jc w:val="right"/>
              <w:rPr>
                <w:rFonts w:ascii="宋体"/>
              </w:rPr>
            </w:pPr>
          </w:p>
        </w:tc>
      </w:tr>
      <w:tr w:rsidR="009F6D8A" w14:paraId="643041A3" w14:textId="77777777">
        <w:tc>
          <w:tcPr>
            <w:tcW w:w="0" w:type="auto"/>
            <w:gridSpan w:val="3"/>
            <w:shd w:val="clear" w:color="auto" w:fill="E2E2E2"/>
            <w:tcMar>
              <w:top w:w="40" w:type="dxa"/>
              <w:left w:w="740" w:type="dxa"/>
              <w:bottom w:w="40" w:type="dxa"/>
              <w:right w:w="20" w:type="dxa"/>
            </w:tcMar>
            <w:vAlign w:val="bottom"/>
          </w:tcPr>
          <w:p w14:paraId="64304197" w14:textId="77777777" w:rsidR="009F6D8A" w:rsidRDefault="00C50974">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64304198" w14:textId="77777777" w:rsidR="009F6D8A" w:rsidRDefault="00C50974">
            <w:pPr>
              <w:jc w:val="right"/>
              <w:textAlignment w:val="bottom"/>
            </w:pPr>
            <w:r>
              <w:rPr>
                <w:rFonts w:ascii="Arial" w:eastAsia="宋体" w:hAnsi="Arial" w:cs="Arial"/>
                <w:color w:val="000000"/>
                <w:sz w:val="18"/>
                <w:szCs w:val="18"/>
              </w:rPr>
              <w:t>4,598 </w:t>
            </w:r>
          </w:p>
        </w:tc>
        <w:tc>
          <w:tcPr>
            <w:tcW w:w="0" w:type="auto"/>
            <w:shd w:val="clear" w:color="auto" w:fill="E2E2E2"/>
            <w:tcMar>
              <w:top w:w="40" w:type="dxa"/>
              <w:left w:w="0" w:type="dxa"/>
              <w:bottom w:w="40" w:type="dxa"/>
              <w:right w:w="20" w:type="dxa"/>
            </w:tcMar>
            <w:vAlign w:val="bottom"/>
          </w:tcPr>
          <w:p w14:paraId="64304199"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19A"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19B"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419C"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19D"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19E" w14:textId="77777777" w:rsidR="009F6D8A" w:rsidRDefault="00C50974">
            <w:pPr>
              <w:jc w:val="right"/>
              <w:textAlignment w:val="bottom"/>
            </w:pPr>
            <w:r>
              <w:rPr>
                <w:rFonts w:ascii="Arial" w:eastAsia="宋体" w:hAnsi="Arial" w:cs="Arial"/>
                <w:color w:val="000000"/>
                <w:sz w:val="18"/>
                <w:szCs w:val="18"/>
              </w:rPr>
              <w:t>4,598 </w:t>
            </w:r>
          </w:p>
        </w:tc>
        <w:tc>
          <w:tcPr>
            <w:tcW w:w="0" w:type="auto"/>
            <w:shd w:val="clear" w:color="auto" w:fill="E2E2E2"/>
            <w:tcMar>
              <w:top w:w="40" w:type="dxa"/>
              <w:left w:w="0" w:type="dxa"/>
              <w:bottom w:w="40" w:type="dxa"/>
              <w:right w:w="20" w:type="dxa"/>
            </w:tcMar>
            <w:vAlign w:val="bottom"/>
          </w:tcPr>
          <w:p w14:paraId="6430419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1A0"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1A1"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41A2" w14:textId="77777777" w:rsidR="009F6D8A" w:rsidRDefault="009F6D8A">
            <w:pPr>
              <w:jc w:val="right"/>
              <w:rPr>
                <w:rFonts w:ascii="宋体"/>
              </w:rPr>
            </w:pPr>
          </w:p>
        </w:tc>
      </w:tr>
      <w:tr w:rsidR="009F6D8A" w14:paraId="643041B0" w14:textId="77777777">
        <w:tc>
          <w:tcPr>
            <w:tcW w:w="0" w:type="auto"/>
            <w:gridSpan w:val="3"/>
            <w:shd w:val="clear" w:color="auto" w:fill="FFFFFF"/>
            <w:tcMar>
              <w:top w:w="40" w:type="dxa"/>
              <w:left w:w="740" w:type="dxa"/>
              <w:bottom w:w="40" w:type="dxa"/>
              <w:right w:w="20" w:type="dxa"/>
            </w:tcMar>
            <w:vAlign w:val="bottom"/>
          </w:tcPr>
          <w:p w14:paraId="643041A4" w14:textId="77777777" w:rsidR="009F6D8A" w:rsidRDefault="00C50974">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643041A5" w14:textId="77777777" w:rsidR="009F6D8A" w:rsidRDefault="00C50974">
            <w:pPr>
              <w:jc w:val="right"/>
              <w:textAlignment w:val="bottom"/>
            </w:pPr>
            <w:r>
              <w:rPr>
                <w:rFonts w:ascii="Arial" w:eastAsia="宋体" w:hAnsi="Arial" w:cs="Arial"/>
                <w:color w:val="000000"/>
                <w:sz w:val="18"/>
                <w:szCs w:val="18"/>
              </w:rPr>
              <w:t>125 </w:t>
            </w:r>
          </w:p>
        </w:tc>
        <w:tc>
          <w:tcPr>
            <w:tcW w:w="0" w:type="auto"/>
            <w:shd w:val="clear" w:color="auto" w:fill="FFFFFF"/>
            <w:tcMar>
              <w:top w:w="40" w:type="dxa"/>
              <w:left w:w="0" w:type="dxa"/>
              <w:bottom w:w="40" w:type="dxa"/>
              <w:right w:w="20" w:type="dxa"/>
            </w:tcMar>
            <w:vAlign w:val="bottom"/>
          </w:tcPr>
          <w:p w14:paraId="643041A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1A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1A8"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41A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1A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1AB" w14:textId="77777777" w:rsidR="009F6D8A" w:rsidRDefault="00C50974">
            <w:pPr>
              <w:jc w:val="right"/>
              <w:textAlignment w:val="bottom"/>
            </w:pPr>
            <w:r>
              <w:rPr>
                <w:rFonts w:ascii="Arial" w:eastAsia="宋体" w:hAnsi="Arial" w:cs="Arial"/>
                <w:color w:val="000000"/>
                <w:sz w:val="18"/>
                <w:szCs w:val="18"/>
              </w:rPr>
              <w:t>125 </w:t>
            </w:r>
          </w:p>
        </w:tc>
        <w:tc>
          <w:tcPr>
            <w:tcW w:w="0" w:type="auto"/>
            <w:shd w:val="clear" w:color="auto" w:fill="FFFFFF"/>
            <w:tcMar>
              <w:top w:w="40" w:type="dxa"/>
              <w:left w:w="0" w:type="dxa"/>
              <w:bottom w:w="40" w:type="dxa"/>
              <w:right w:w="20" w:type="dxa"/>
            </w:tcMar>
            <w:vAlign w:val="bottom"/>
          </w:tcPr>
          <w:p w14:paraId="643041A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1A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1AE"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41AF" w14:textId="77777777" w:rsidR="009F6D8A" w:rsidRDefault="009F6D8A">
            <w:pPr>
              <w:jc w:val="right"/>
              <w:rPr>
                <w:rFonts w:ascii="宋体"/>
              </w:rPr>
            </w:pPr>
          </w:p>
        </w:tc>
      </w:tr>
      <w:tr w:rsidR="009F6D8A" w14:paraId="643041B9" w14:textId="77777777">
        <w:trPr>
          <w:hidden/>
        </w:trPr>
        <w:tc>
          <w:tcPr>
            <w:tcW w:w="0" w:type="auto"/>
            <w:gridSpan w:val="3"/>
            <w:shd w:val="clear" w:color="auto" w:fill="auto"/>
            <w:vAlign w:val="bottom"/>
          </w:tcPr>
          <w:p w14:paraId="643041B1" w14:textId="77777777" w:rsidR="009F6D8A" w:rsidRDefault="009F6D8A">
            <w:pPr>
              <w:rPr>
                <w:rFonts w:ascii="宋体"/>
                <w:vanish/>
              </w:rPr>
            </w:pPr>
          </w:p>
        </w:tc>
        <w:tc>
          <w:tcPr>
            <w:tcW w:w="0" w:type="auto"/>
            <w:gridSpan w:val="3"/>
            <w:shd w:val="clear" w:color="auto" w:fill="auto"/>
            <w:vAlign w:val="bottom"/>
          </w:tcPr>
          <w:p w14:paraId="643041B2" w14:textId="77777777" w:rsidR="009F6D8A" w:rsidRDefault="009F6D8A">
            <w:pPr>
              <w:rPr>
                <w:rFonts w:ascii="宋体"/>
                <w:vanish/>
              </w:rPr>
            </w:pPr>
          </w:p>
        </w:tc>
        <w:tc>
          <w:tcPr>
            <w:tcW w:w="0" w:type="auto"/>
            <w:gridSpan w:val="3"/>
            <w:shd w:val="clear" w:color="auto" w:fill="auto"/>
            <w:vAlign w:val="bottom"/>
          </w:tcPr>
          <w:p w14:paraId="643041B3" w14:textId="77777777" w:rsidR="009F6D8A" w:rsidRDefault="009F6D8A">
            <w:pPr>
              <w:rPr>
                <w:rFonts w:ascii="宋体"/>
                <w:vanish/>
              </w:rPr>
            </w:pPr>
          </w:p>
        </w:tc>
        <w:tc>
          <w:tcPr>
            <w:tcW w:w="0" w:type="auto"/>
            <w:gridSpan w:val="3"/>
            <w:shd w:val="clear" w:color="auto" w:fill="auto"/>
            <w:vAlign w:val="bottom"/>
          </w:tcPr>
          <w:p w14:paraId="643041B4" w14:textId="77777777" w:rsidR="009F6D8A" w:rsidRDefault="009F6D8A">
            <w:pPr>
              <w:rPr>
                <w:rFonts w:ascii="宋体"/>
                <w:vanish/>
              </w:rPr>
            </w:pPr>
          </w:p>
        </w:tc>
        <w:tc>
          <w:tcPr>
            <w:tcW w:w="0" w:type="auto"/>
            <w:gridSpan w:val="3"/>
            <w:shd w:val="clear" w:color="auto" w:fill="auto"/>
            <w:vAlign w:val="bottom"/>
          </w:tcPr>
          <w:p w14:paraId="643041B5" w14:textId="77777777" w:rsidR="009F6D8A" w:rsidRDefault="009F6D8A">
            <w:pPr>
              <w:rPr>
                <w:rFonts w:ascii="宋体"/>
                <w:vanish/>
              </w:rPr>
            </w:pPr>
          </w:p>
        </w:tc>
        <w:tc>
          <w:tcPr>
            <w:tcW w:w="0" w:type="auto"/>
            <w:gridSpan w:val="3"/>
            <w:shd w:val="clear" w:color="auto" w:fill="auto"/>
            <w:vAlign w:val="bottom"/>
          </w:tcPr>
          <w:p w14:paraId="643041B6" w14:textId="77777777" w:rsidR="009F6D8A" w:rsidRDefault="009F6D8A">
            <w:pPr>
              <w:rPr>
                <w:rFonts w:ascii="宋体"/>
                <w:vanish/>
              </w:rPr>
            </w:pPr>
          </w:p>
        </w:tc>
        <w:tc>
          <w:tcPr>
            <w:tcW w:w="0" w:type="auto"/>
            <w:gridSpan w:val="3"/>
            <w:shd w:val="clear" w:color="auto" w:fill="auto"/>
            <w:vAlign w:val="bottom"/>
          </w:tcPr>
          <w:p w14:paraId="643041B7" w14:textId="77777777" w:rsidR="009F6D8A" w:rsidRDefault="009F6D8A">
            <w:pPr>
              <w:rPr>
                <w:rFonts w:ascii="宋体"/>
                <w:vanish/>
              </w:rPr>
            </w:pPr>
          </w:p>
        </w:tc>
        <w:tc>
          <w:tcPr>
            <w:tcW w:w="0" w:type="auto"/>
            <w:gridSpan w:val="3"/>
            <w:shd w:val="clear" w:color="auto" w:fill="auto"/>
            <w:vAlign w:val="bottom"/>
          </w:tcPr>
          <w:p w14:paraId="643041B8" w14:textId="77777777" w:rsidR="009F6D8A" w:rsidRDefault="009F6D8A">
            <w:pPr>
              <w:rPr>
                <w:rFonts w:ascii="宋体"/>
                <w:vanish/>
              </w:rPr>
            </w:pPr>
          </w:p>
        </w:tc>
      </w:tr>
      <w:tr w:rsidR="009F6D8A" w14:paraId="643041C2" w14:textId="77777777">
        <w:trPr>
          <w:hidden/>
        </w:trPr>
        <w:tc>
          <w:tcPr>
            <w:tcW w:w="0" w:type="auto"/>
            <w:gridSpan w:val="3"/>
            <w:shd w:val="clear" w:color="auto" w:fill="auto"/>
            <w:vAlign w:val="bottom"/>
          </w:tcPr>
          <w:p w14:paraId="643041BA" w14:textId="77777777" w:rsidR="009F6D8A" w:rsidRDefault="009F6D8A">
            <w:pPr>
              <w:rPr>
                <w:rFonts w:ascii="宋体"/>
                <w:vanish/>
              </w:rPr>
            </w:pPr>
          </w:p>
        </w:tc>
        <w:tc>
          <w:tcPr>
            <w:tcW w:w="0" w:type="auto"/>
            <w:gridSpan w:val="3"/>
            <w:shd w:val="clear" w:color="auto" w:fill="auto"/>
            <w:vAlign w:val="bottom"/>
          </w:tcPr>
          <w:p w14:paraId="643041BB" w14:textId="77777777" w:rsidR="009F6D8A" w:rsidRDefault="009F6D8A">
            <w:pPr>
              <w:rPr>
                <w:rFonts w:ascii="宋体"/>
                <w:vanish/>
              </w:rPr>
            </w:pPr>
          </w:p>
        </w:tc>
        <w:tc>
          <w:tcPr>
            <w:tcW w:w="0" w:type="auto"/>
            <w:gridSpan w:val="3"/>
            <w:shd w:val="clear" w:color="auto" w:fill="auto"/>
            <w:vAlign w:val="bottom"/>
          </w:tcPr>
          <w:p w14:paraId="643041BC" w14:textId="77777777" w:rsidR="009F6D8A" w:rsidRDefault="009F6D8A">
            <w:pPr>
              <w:rPr>
                <w:rFonts w:ascii="宋体"/>
                <w:vanish/>
              </w:rPr>
            </w:pPr>
          </w:p>
        </w:tc>
        <w:tc>
          <w:tcPr>
            <w:tcW w:w="0" w:type="auto"/>
            <w:gridSpan w:val="3"/>
            <w:shd w:val="clear" w:color="auto" w:fill="auto"/>
            <w:vAlign w:val="bottom"/>
          </w:tcPr>
          <w:p w14:paraId="643041BD" w14:textId="77777777" w:rsidR="009F6D8A" w:rsidRDefault="009F6D8A">
            <w:pPr>
              <w:rPr>
                <w:rFonts w:ascii="宋体"/>
                <w:vanish/>
              </w:rPr>
            </w:pPr>
          </w:p>
        </w:tc>
        <w:tc>
          <w:tcPr>
            <w:tcW w:w="0" w:type="auto"/>
            <w:gridSpan w:val="3"/>
            <w:shd w:val="clear" w:color="auto" w:fill="auto"/>
            <w:vAlign w:val="bottom"/>
          </w:tcPr>
          <w:p w14:paraId="643041BE" w14:textId="77777777" w:rsidR="009F6D8A" w:rsidRDefault="009F6D8A">
            <w:pPr>
              <w:rPr>
                <w:rFonts w:ascii="宋体"/>
                <w:vanish/>
              </w:rPr>
            </w:pPr>
          </w:p>
        </w:tc>
        <w:tc>
          <w:tcPr>
            <w:tcW w:w="0" w:type="auto"/>
            <w:gridSpan w:val="3"/>
            <w:shd w:val="clear" w:color="auto" w:fill="auto"/>
            <w:vAlign w:val="bottom"/>
          </w:tcPr>
          <w:p w14:paraId="643041BF" w14:textId="77777777" w:rsidR="009F6D8A" w:rsidRDefault="009F6D8A">
            <w:pPr>
              <w:rPr>
                <w:rFonts w:ascii="宋体"/>
                <w:vanish/>
              </w:rPr>
            </w:pPr>
          </w:p>
        </w:tc>
        <w:tc>
          <w:tcPr>
            <w:tcW w:w="0" w:type="auto"/>
            <w:gridSpan w:val="3"/>
            <w:shd w:val="clear" w:color="auto" w:fill="auto"/>
            <w:vAlign w:val="bottom"/>
          </w:tcPr>
          <w:p w14:paraId="643041C0" w14:textId="77777777" w:rsidR="009F6D8A" w:rsidRDefault="009F6D8A">
            <w:pPr>
              <w:rPr>
                <w:rFonts w:ascii="宋体"/>
                <w:vanish/>
              </w:rPr>
            </w:pPr>
          </w:p>
        </w:tc>
        <w:tc>
          <w:tcPr>
            <w:tcW w:w="0" w:type="auto"/>
            <w:gridSpan w:val="3"/>
            <w:shd w:val="clear" w:color="auto" w:fill="auto"/>
            <w:vAlign w:val="bottom"/>
          </w:tcPr>
          <w:p w14:paraId="643041C1" w14:textId="77777777" w:rsidR="009F6D8A" w:rsidRDefault="009F6D8A">
            <w:pPr>
              <w:rPr>
                <w:rFonts w:ascii="宋体"/>
                <w:vanish/>
              </w:rPr>
            </w:pPr>
          </w:p>
        </w:tc>
      </w:tr>
      <w:tr w:rsidR="009F6D8A" w14:paraId="643041CF" w14:textId="77777777">
        <w:tc>
          <w:tcPr>
            <w:tcW w:w="0" w:type="auto"/>
            <w:gridSpan w:val="3"/>
            <w:shd w:val="clear" w:color="auto" w:fill="E2E2E2"/>
            <w:tcMar>
              <w:top w:w="40" w:type="dxa"/>
              <w:left w:w="245" w:type="dxa"/>
              <w:bottom w:w="40" w:type="dxa"/>
              <w:right w:w="20" w:type="dxa"/>
            </w:tcMar>
            <w:vAlign w:val="bottom"/>
          </w:tcPr>
          <w:p w14:paraId="643041C3" w14:textId="77777777" w:rsidR="009F6D8A" w:rsidRDefault="00C50974">
            <w:pPr>
              <w:textAlignment w:val="bottom"/>
            </w:pPr>
            <w:r>
              <w:rPr>
                <w:rFonts w:ascii="Arial" w:eastAsia="宋体" w:hAnsi="Arial" w:cs="Arial"/>
                <w:color w:val="000000"/>
                <w:sz w:val="18"/>
                <w:szCs w:val="18"/>
              </w:rPr>
              <w:t>Total short-term investments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41C4" w14:textId="77777777" w:rsidR="009F6D8A" w:rsidRDefault="00C50974">
            <w:pPr>
              <w:jc w:val="right"/>
              <w:textAlignment w:val="bottom"/>
            </w:pPr>
            <w:r>
              <w:rPr>
                <w:rFonts w:ascii="Arial" w:eastAsia="宋体" w:hAnsi="Arial" w:cs="Arial"/>
                <w:color w:val="000000"/>
                <w:sz w:val="18"/>
                <w:szCs w:val="18"/>
              </w:rPr>
              <w:t>4,738 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1C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1C6"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41C7" w14:textId="77777777" w:rsidR="009F6D8A" w:rsidRDefault="00C50974">
            <w:pPr>
              <w:jc w:val="right"/>
              <w:textAlignment w:val="bottom"/>
            </w:pPr>
            <w:r>
              <w:rPr>
                <w:rFonts w:ascii="Arial" w:eastAsia="宋体" w:hAnsi="Arial" w:cs="Arial"/>
                <w:color w:val="000000"/>
                <w:sz w:val="18"/>
                <w:szCs w:val="18"/>
              </w:rPr>
              <w:t>15 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1C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1C9"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41CA" w14:textId="77777777" w:rsidR="009F6D8A" w:rsidRDefault="00C50974">
            <w:pPr>
              <w:jc w:val="right"/>
              <w:textAlignment w:val="bottom"/>
            </w:pPr>
            <w:r>
              <w:rPr>
                <w:rFonts w:ascii="Arial" w:eastAsia="宋体" w:hAnsi="Arial" w:cs="Arial"/>
                <w:color w:val="000000"/>
                <w:sz w:val="18"/>
                <w:szCs w:val="18"/>
              </w:rPr>
              <w:t>4,723 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1C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1CC"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41CD"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1CE" w14:textId="77777777" w:rsidR="009F6D8A" w:rsidRDefault="009F6D8A">
            <w:pPr>
              <w:jc w:val="right"/>
              <w:rPr>
                <w:rFonts w:ascii="宋体"/>
              </w:rPr>
            </w:pPr>
          </w:p>
        </w:tc>
      </w:tr>
      <w:tr w:rsidR="009F6D8A" w14:paraId="643041DC" w14:textId="77777777">
        <w:tc>
          <w:tcPr>
            <w:tcW w:w="0" w:type="auto"/>
            <w:gridSpan w:val="3"/>
            <w:shd w:val="clear" w:color="auto" w:fill="FFFFFF"/>
            <w:tcMar>
              <w:top w:w="40" w:type="dxa"/>
              <w:left w:w="245" w:type="dxa"/>
              <w:bottom w:w="40" w:type="dxa"/>
              <w:right w:w="20" w:type="dxa"/>
            </w:tcMar>
            <w:vAlign w:val="bottom"/>
          </w:tcPr>
          <w:p w14:paraId="643041D0" w14:textId="77777777" w:rsidR="009F6D8A" w:rsidRDefault="00C50974">
            <w:pPr>
              <w:textAlignment w:val="bottom"/>
            </w:pPr>
            <w:r>
              <w:rPr>
                <w:rFonts w:ascii="Arial" w:eastAsia="宋体" w:hAnsi="Arial" w:cs="Arial"/>
                <w:color w:val="000000"/>
                <w:sz w:val="18"/>
                <w:szCs w:val="18"/>
              </w:rPr>
              <w:t>Equity investment in Adevinta</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1D1" w14:textId="77777777" w:rsidR="009F6D8A" w:rsidRDefault="00C50974">
            <w:pPr>
              <w:jc w:val="right"/>
              <w:textAlignment w:val="bottom"/>
            </w:pPr>
            <w:r>
              <w:rPr>
                <w:rFonts w:ascii="Arial" w:eastAsia="宋体" w:hAnsi="Arial" w:cs="Arial"/>
                <w:color w:val="000000"/>
                <w:sz w:val="18"/>
                <w:szCs w:val="18"/>
              </w:rPr>
              <w:t>10,354 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1D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1D3"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1D4" w14:textId="77777777" w:rsidR="009F6D8A" w:rsidRDefault="00C50974">
            <w:pPr>
              <w:jc w:val="right"/>
              <w:textAlignment w:val="bottom"/>
            </w:pPr>
            <w:r>
              <w:rPr>
                <w:rFonts w:ascii="Arial" w:eastAsia="宋体" w:hAnsi="Arial" w:cs="Arial"/>
                <w:color w:val="000000"/>
                <w:sz w:val="18"/>
                <w:szCs w:val="18"/>
              </w:rPr>
              <w:t>10,354 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1D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1D6"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1D7"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1D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1D9"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1DA"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1DB" w14:textId="77777777" w:rsidR="009F6D8A" w:rsidRDefault="009F6D8A">
            <w:pPr>
              <w:jc w:val="right"/>
              <w:rPr>
                <w:rFonts w:ascii="宋体"/>
              </w:rPr>
            </w:pPr>
          </w:p>
        </w:tc>
      </w:tr>
      <w:tr w:rsidR="009F6D8A" w14:paraId="643041E5" w14:textId="77777777">
        <w:trPr>
          <w:hidden/>
        </w:trPr>
        <w:tc>
          <w:tcPr>
            <w:tcW w:w="0" w:type="auto"/>
            <w:gridSpan w:val="3"/>
            <w:shd w:val="clear" w:color="auto" w:fill="auto"/>
            <w:vAlign w:val="bottom"/>
          </w:tcPr>
          <w:p w14:paraId="643041DD" w14:textId="77777777" w:rsidR="009F6D8A" w:rsidRDefault="009F6D8A">
            <w:pPr>
              <w:rPr>
                <w:rFonts w:ascii="宋体"/>
                <w:vanish/>
              </w:rPr>
            </w:pPr>
          </w:p>
        </w:tc>
        <w:tc>
          <w:tcPr>
            <w:tcW w:w="0" w:type="auto"/>
            <w:gridSpan w:val="3"/>
            <w:shd w:val="clear" w:color="auto" w:fill="auto"/>
            <w:vAlign w:val="bottom"/>
          </w:tcPr>
          <w:p w14:paraId="643041DE" w14:textId="77777777" w:rsidR="009F6D8A" w:rsidRDefault="009F6D8A">
            <w:pPr>
              <w:rPr>
                <w:rFonts w:ascii="宋体"/>
                <w:vanish/>
              </w:rPr>
            </w:pPr>
          </w:p>
        </w:tc>
        <w:tc>
          <w:tcPr>
            <w:tcW w:w="0" w:type="auto"/>
            <w:gridSpan w:val="3"/>
            <w:shd w:val="clear" w:color="auto" w:fill="auto"/>
            <w:vAlign w:val="bottom"/>
          </w:tcPr>
          <w:p w14:paraId="643041DF" w14:textId="77777777" w:rsidR="009F6D8A" w:rsidRDefault="009F6D8A">
            <w:pPr>
              <w:rPr>
                <w:rFonts w:ascii="宋体"/>
                <w:vanish/>
              </w:rPr>
            </w:pPr>
          </w:p>
        </w:tc>
        <w:tc>
          <w:tcPr>
            <w:tcW w:w="0" w:type="auto"/>
            <w:gridSpan w:val="3"/>
            <w:shd w:val="clear" w:color="auto" w:fill="auto"/>
            <w:vAlign w:val="bottom"/>
          </w:tcPr>
          <w:p w14:paraId="643041E0" w14:textId="77777777" w:rsidR="009F6D8A" w:rsidRDefault="009F6D8A">
            <w:pPr>
              <w:rPr>
                <w:rFonts w:ascii="宋体"/>
                <w:vanish/>
              </w:rPr>
            </w:pPr>
          </w:p>
        </w:tc>
        <w:tc>
          <w:tcPr>
            <w:tcW w:w="0" w:type="auto"/>
            <w:gridSpan w:val="3"/>
            <w:shd w:val="clear" w:color="auto" w:fill="auto"/>
            <w:vAlign w:val="bottom"/>
          </w:tcPr>
          <w:p w14:paraId="643041E1" w14:textId="77777777" w:rsidR="009F6D8A" w:rsidRDefault="009F6D8A">
            <w:pPr>
              <w:rPr>
                <w:rFonts w:ascii="宋体"/>
                <w:vanish/>
              </w:rPr>
            </w:pPr>
          </w:p>
        </w:tc>
        <w:tc>
          <w:tcPr>
            <w:tcW w:w="0" w:type="auto"/>
            <w:gridSpan w:val="3"/>
            <w:shd w:val="clear" w:color="auto" w:fill="auto"/>
            <w:vAlign w:val="bottom"/>
          </w:tcPr>
          <w:p w14:paraId="643041E2" w14:textId="77777777" w:rsidR="009F6D8A" w:rsidRDefault="009F6D8A">
            <w:pPr>
              <w:rPr>
                <w:rFonts w:ascii="宋体"/>
                <w:vanish/>
              </w:rPr>
            </w:pPr>
          </w:p>
        </w:tc>
        <w:tc>
          <w:tcPr>
            <w:tcW w:w="0" w:type="auto"/>
            <w:gridSpan w:val="3"/>
            <w:shd w:val="clear" w:color="auto" w:fill="auto"/>
            <w:vAlign w:val="bottom"/>
          </w:tcPr>
          <w:p w14:paraId="643041E3" w14:textId="77777777" w:rsidR="009F6D8A" w:rsidRDefault="009F6D8A">
            <w:pPr>
              <w:rPr>
                <w:rFonts w:ascii="宋体"/>
                <w:vanish/>
              </w:rPr>
            </w:pPr>
          </w:p>
        </w:tc>
        <w:tc>
          <w:tcPr>
            <w:tcW w:w="0" w:type="auto"/>
            <w:gridSpan w:val="3"/>
            <w:shd w:val="clear" w:color="auto" w:fill="auto"/>
            <w:vAlign w:val="bottom"/>
          </w:tcPr>
          <w:p w14:paraId="643041E4" w14:textId="77777777" w:rsidR="009F6D8A" w:rsidRDefault="009F6D8A">
            <w:pPr>
              <w:rPr>
                <w:rFonts w:ascii="宋体"/>
                <w:vanish/>
              </w:rPr>
            </w:pPr>
          </w:p>
        </w:tc>
      </w:tr>
      <w:tr w:rsidR="009F6D8A" w14:paraId="643041F2" w14:textId="77777777">
        <w:tc>
          <w:tcPr>
            <w:tcW w:w="0" w:type="auto"/>
            <w:gridSpan w:val="3"/>
            <w:shd w:val="clear" w:color="auto" w:fill="E2E2E2"/>
            <w:tcMar>
              <w:top w:w="40" w:type="dxa"/>
              <w:left w:w="245" w:type="dxa"/>
              <w:bottom w:w="40" w:type="dxa"/>
              <w:right w:w="20" w:type="dxa"/>
            </w:tcMar>
            <w:vAlign w:val="bottom"/>
          </w:tcPr>
          <w:p w14:paraId="643041E6" w14:textId="77777777" w:rsidR="009F6D8A" w:rsidRDefault="00C50974">
            <w:pPr>
              <w:textAlignment w:val="bottom"/>
            </w:pPr>
            <w:r>
              <w:rPr>
                <w:rFonts w:ascii="Arial" w:eastAsia="宋体" w:hAnsi="Arial" w:cs="Arial"/>
                <w:color w:val="000000"/>
                <w:sz w:val="18"/>
                <w:szCs w:val="18"/>
              </w:rPr>
              <w:t>Derivatives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41E7" w14:textId="77777777" w:rsidR="009F6D8A" w:rsidRDefault="00C50974">
            <w:pPr>
              <w:jc w:val="right"/>
              <w:textAlignment w:val="bottom"/>
            </w:pPr>
            <w:r>
              <w:rPr>
                <w:rFonts w:ascii="Arial" w:eastAsia="宋体" w:hAnsi="Arial" w:cs="Arial"/>
                <w:color w:val="000000"/>
                <w:sz w:val="18"/>
                <w:szCs w:val="18"/>
              </w:rPr>
              <w:t>1,180 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1E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1E9"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41EA"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1E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1EC"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41ED" w14:textId="77777777" w:rsidR="009F6D8A" w:rsidRDefault="00C50974">
            <w:pPr>
              <w:jc w:val="right"/>
              <w:textAlignment w:val="bottom"/>
            </w:pPr>
            <w:r>
              <w:rPr>
                <w:rFonts w:ascii="Arial" w:eastAsia="宋体" w:hAnsi="Arial" w:cs="Arial"/>
                <w:color w:val="000000"/>
                <w:sz w:val="18"/>
                <w:szCs w:val="18"/>
              </w:rPr>
              <w:t>57 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1E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1EF"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41F0" w14:textId="77777777" w:rsidR="009F6D8A" w:rsidRDefault="00C50974">
            <w:pPr>
              <w:jc w:val="right"/>
              <w:textAlignment w:val="bottom"/>
            </w:pPr>
            <w:r>
              <w:rPr>
                <w:rFonts w:ascii="Arial" w:eastAsia="宋体" w:hAnsi="Arial" w:cs="Arial"/>
                <w:color w:val="000000"/>
                <w:sz w:val="18"/>
                <w:szCs w:val="18"/>
              </w:rPr>
              <w:t>1,123 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1F1" w14:textId="77777777" w:rsidR="009F6D8A" w:rsidRDefault="009F6D8A">
            <w:pPr>
              <w:jc w:val="right"/>
              <w:rPr>
                <w:rFonts w:ascii="宋体"/>
              </w:rPr>
            </w:pPr>
          </w:p>
        </w:tc>
      </w:tr>
      <w:tr w:rsidR="009F6D8A" w14:paraId="643041FB" w14:textId="77777777">
        <w:tc>
          <w:tcPr>
            <w:tcW w:w="0" w:type="auto"/>
            <w:gridSpan w:val="3"/>
            <w:shd w:val="clear" w:color="auto" w:fill="FFFFFF"/>
            <w:tcMar>
              <w:top w:w="40" w:type="dxa"/>
              <w:left w:w="245" w:type="dxa"/>
              <w:bottom w:w="40" w:type="dxa"/>
              <w:right w:w="20" w:type="dxa"/>
            </w:tcMar>
            <w:vAlign w:val="bottom"/>
          </w:tcPr>
          <w:p w14:paraId="643041F3" w14:textId="77777777" w:rsidR="009F6D8A" w:rsidRDefault="00C50974">
            <w:pPr>
              <w:textAlignment w:val="bottom"/>
            </w:pPr>
            <w:r>
              <w:rPr>
                <w:rFonts w:ascii="Arial" w:eastAsia="宋体" w:hAnsi="Arial" w:cs="Arial"/>
                <w:color w:val="000000"/>
                <w:sz w:val="18"/>
                <w:szCs w:val="18"/>
              </w:rPr>
              <w:t>Long-term investments: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1F4"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1F5"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1F6"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1F7"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1F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1F9"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1FA" w14:textId="77777777" w:rsidR="009F6D8A" w:rsidRDefault="009F6D8A">
            <w:pPr>
              <w:rPr>
                <w:rFonts w:ascii="宋体"/>
              </w:rPr>
            </w:pPr>
          </w:p>
        </w:tc>
      </w:tr>
      <w:tr w:rsidR="009F6D8A" w14:paraId="64304208" w14:textId="77777777">
        <w:tc>
          <w:tcPr>
            <w:tcW w:w="0" w:type="auto"/>
            <w:gridSpan w:val="3"/>
            <w:shd w:val="clear" w:color="auto" w:fill="E2E2E2"/>
            <w:tcMar>
              <w:top w:w="40" w:type="dxa"/>
              <w:left w:w="740" w:type="dxa"/>
              <w:bottom w:w="40" w:type="dxa"/>
              <w:right w:w="20" w:type="dxa"/>
            </w:tcMar>
            <w:vAlign w:val="bottom"/>
          </w:tcPr>
          <w:p w14:paraId="643041FC" w14:textId="77777777" w:rsidR="009F6D8A" w:rsidRDefault="00C50974">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643041FD" w14:textId="77777777" w:rsidR="009F6D8A" w:rsidRDefault="00C50974">
            <w:pPr>
              <w:jc w:val="right"/>
              <w:textAlignment w:val="bottom"/>
            </w:pPr>
            <w:r>
              <w:rPr>
                <w:rFonts w:ascii="Arial" w:eastAsia="宋体" w:hAnsi="Arial" w:cs="Arial"/>
                <w:color w:val="000000"/>
                <w:sz w:val="18"/>
                <w:szCs w:val="18"/>
              </w:rPr>
              <w:t>636 </w:t>
            </w:r>
          </w:p>
        </w:tc>
        <w:tc>
          <w:tcPr>
            <w:tcW w:w="0" w:type="auto"/>
            <w:shd w:val="clear" w:color="auto" w:fill="E2E2E2"/>
            <w:tcMar>
              <w:top w:w="40" w:type="dxa"/>
              <w:left w:w="0" w:type="dxa"/>
              <w:bottom w:w="40" w:type="dxa"/>
              <w:right w:w="20" w:type="dxa"/>
            </w:tcMar>
            <w:vAlign w:val="bottom"/>
          </w:tcPr>
          <w:p w14:paraId="643041F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1FF"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200"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420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202"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203" w14:textId="77777777" w:rsidR="009F6D8A" w:rsidRDefault="00C50974">
            <w:pPr>
              <w:jc w:val="right"/>
              <w:textAlignment w:val="bottom"/>
            </w:pPr>
            <w:r>
              <w:rPr>
                <w:rFonts w:ascii="Arial" w:eastAsia="宋体" w:hAnsi="Arial" w:cs="Arial"/>
                <w:color w:val="000000"/>
                <w:sz w:val="18"/>
                <w:szCs w:val="18"/>
              </w:rPr>
              <w:t>636 </w:t>
            </w:r>
          </w:p>
        </w:tc>
        <w:tc>
          <w:tcPr>
            <w:tcW w:w="0" w:type="auto"/>
            <w:shd w:val="clear" w:color="auto" w:fill="E2E2E2"/>
            <w:tcMar>
              <w:top w:w="40" w:type="dxa"/>
              <w:left w:w="0" w:type="dxa"/>
              <w:bottom w:w="40" w:type="dxa"/>
              <w:right w:w="20" w:type="dxa"/>
            </w:tcMar>
            <w:vAlign w:val="bottom"/>
          </w:tcPr>
          <w:p w14:paraId="64304204"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205"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206"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4207" w14:textId="77777777" w:rsidR="009F6D8A" w:rsidRDefault="009F6D8A">
            <w:pPr>
              <w:jc w:val="right"/>
              <w:rPr>
                <w:rFonts w:ascii="宋体"/>
              </w:rPr>
            </w:pPr>
          </w:p>
        </w:tc>
      </w:tr>
      <w:tr w:rsidR="009F6D8A" w14:paraId="64304215" w14:textId="77777777">
        <w:tc>
          <w:tcPr>
            <w:tcW w:w="0" w:type="auto"/>
            <w:gridSpan w:val="3"/>
            <w:shd w:val="clear" w:color="auto" w:fill="FFFFFF"/>
            <w:tcMar>
              <w:top w:w="40" w:type="dxa"/>
              <w:left w:w="740" w:type="dxa"/>
              <w:bottom w:w="40" w:type="dxa"/>
              <w:right w:w="20" w:type="dxa"/>
            </w:tcMar>
            <w:vAlign w:val="bottom"/>
          </w:tcPr>
          <w:p w14:paraId="64304209" w14:textId="77777777" w:rsidR="009F6D8A" w:rsidRDefault="00C50974">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6430420A" w14:textId="77777777" w:rsidR="009F6D8A" w:rsidRDefault="00C50974">
            <w:pPr>
              <w:jc w:val="right"/>
              <w:textAlignment w:val="bottom"/>
            </w:pPr>
            <w:r>
              <w:rPr>
                <w:rFonts w:ascii="Arial" w:eastAsia="宋体" w:hAnsi="Arial" w:cs="Arial"/>
                <w:color w:val="000000"/>
                <w:sz w:val="18"/>
                <w:szCs w:val="18"/>
              </w:rPr>
              <w:t>109 </w:t>
            </w:r>
          </w:p>
        </w:tc>
        <w:tc>
          <w:tcPr>
            <w:tcW w:w="0" w:type="auto"/>
            <w:shd w:val="clear" w:color="auto" w:fill="FFFFFF"/>
            <w:tcMar>
              <w:top w:w="40" w:type="dxa"/>
              <w:left w:w="0" w:type="dxa"/>
              <w:bottom w:w="40" w:type="dxa"/>
              <w:right w:w="20" w:type="dxa"/>
            </w:tcMar>
            <w:vAlign w:val="bottom"/>
          </w:tcPr>
          <w:p w14:paraId="6430420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20C"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20D"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420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20F"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210" w14:textId="77777777" w:rsidR="009F6D8A" w:rsidRDefault="00C50974">
            <w:pPr>
              <w:jc w:val="right"/>
              <w:textAlignment w:val="bottom"/>
            </w:pPr>
            <w:r>
              <w:rPr>
                <w:rFonts w:ascii="Arial" w:eastAsia="宋体" w:hAnsi="Arial" w:cs="Arial"/>
                <w:color w:val="000000"/>
                <w:sz w:val="18"/>
                <w:szCs w:val="18"/>
              </w:rPr>
              <w:t>109 </w:t>
            </w:r>
          </w:p>
        </w:tc>
        <w:tc>
          <w:tcPr>
            <w:tcW w:w="0" w:type="auto"/>
            <w:shd w:val="clear" w:color="auto" w:fill="FFFFFF"/>
            <w:tcMar>
              <w:top w:w="40" w:type="dxa"/>
              <w:left w:w="0" w:type="dxa"/>
              <w:bottom w:w="40" w:type="dxa"/>
              <w:right w:w="20" w:type="dxa"/>
            </w:tcMar>
            <w:vAlign w:val="bottom"/>
          </w:tcPr>
          <w:p w14:paraId="6430421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21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213"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4214" w14:textId="77777777" w:rsidR="009F6D8A" w:rsidRDefault="009F6D8A">
            <w:pPr>
              <w:jc w:val="right"/>
              <w:rPr>
                <w:rFonts w:ascii="宋体"/>
              </w:rPr>
            </w:pPr>
          </w:p>
        </w:tc>
      </w:tr>
      <w:tr w:rsidR="009F6D8A" w14:paraId="64304222" w14:textId="77777777">
        <w:tc>
          <w:tcPr>
            <w:tcW w:w="0" w:type="auto"/>
            <w:gridSpan w:val="3"/>
            <w:shd w:val="clear" w:color="auto" w:fill="E2E2E2"/>
            <w:tcMar>
              <w:top w:w="40" w:type="dxa"/>
              <w:left w:w="245" w:type="dxa"/>
              <w:bottom w:w="40" w:type="dxa"/>
              <w:right w:w="20" w:type="dxa"/>
            </w:tcMar>
            <w:vAlign w:val="bottom"/>
          </w:tcPr>
          <w:p w14:paraId="64304216" w14:textId="77777777" w:rsidR="009F6D8A" w:rsidRDefault="00C50974">
            <w:pPr>
              <w:textAlignment w:val="bottom"/>
            </w:pPr>
            <w:r>
              <w:rPr>
                <w:rFonts w:ascii="Arial" w:eastAsia="宋体" w:hAnsi="Arial" w:cs="Arial"/>
                <w:color w:val="000000"/>
                <w:sz w:val="18"/>
                <w:szCs w:val="18"/>
              </w:rPr>
              <w:t>Total long-term investments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4217" w14:textId="77777777" w:rsidR="009F6D8A" w:rsidRDefault="00C50974">
            <w:pPr>
              <w:jc w:val="right"/>
              <w:textAlignment w:val="bottom"/>
            </w:pPr>
            <w:r>
              <w:rPr>
                <w:rFonts w:ascii="Arial" w:eastAsia="宋体" w:hAnsi="Arial" w:cs="Arial"/>
                <w:color w:val="000000"/>
                <w:sz w:val="18"/>
                <w:szCs w:val="18"/>
              </w:rPr>
              <w:t>745 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21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219"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421A"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21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21C"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421D" w14:textId="77777777" w:rsidR="009F6D8A" w:rsidRDefault="00C50974">
            <w:pPr>
              <w:jc w:val="right"/>
              <w:textAlignment w:val="bottom"/>
            </w:pPr>
            <w:r>
              <w:rPr>
                <w:rFonts w:ascii="Arial" w:eastAsia="宋体" w:hAnsi="Arial" w:cs="Arial"/>
                <w:color w:val="000000"/>
                <w:sz w:val="18"/>
                <w:szCs w:val="18"/>
              </w:rPr>
              <w:t>745 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21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21F"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4220"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221" w14:textId="77777777" w:rsidR="009F6D8A" w:rsidRDefault="009F6D8A">
            <w:pPr>
              <w:jc w:val="right"/>
              <w:rPr>
                <w:rFonts w:ascii="宋体"/>
              </w:rPr>
            </w:pPr>
          </w:p>
        </w:tc>
      </w:tr>
      <w:tr w:rsidR="009F6D8A" w14:paraId="64304233" w14:textId="77777777">
        <w:tc>
          <w:tcPr>
            <w:tcW w:w="0" w:type="auto"/>
            <w:gridSpan w:val="3"/>
            <w:shd w:val="clear" w:color="auto" w:fill="FFFFFF"/>
            <w:tcMar>
              <w:top w:w="40" w:type="dxa"/>
              <w:left w:w="245" w:type="dxa"/>
              <w:bottom w:w="40" w:type="dxa"/>
              <w:right w:w="20" w:type="dxa"/>
            </w:tcMar>
            <w:vAlign w:val="bottom"/>
          </w:tcPr>
          <w:p w14:paraId="64304223" w14:textId="77777777" w:rsidR="009F6D8A" w:rsidRDefault="00C50974">
            <w:pPr>
              <w:textAlignment w:val="bottom"/>
            </w:pPr>
            <w:r>
              <w:rPr>
                <w:rFonts w:ascii="Arial" w:eastAsia="宋体" w:hAnsi="Arial" w:cs="Arial"/>
                <w:color w:val="000000"/>
                <w:sz w:val="18"/>
                <w:szCs w:val="18"/>
              </w:rPr>
              <w:t>Total financial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64304224"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4225" w14:textId="77777777" w:rsidR="009F6D8A" w:rsidRDefault="00C50974">
            <w:pPr>
              <w:jc w:val="right"/>
              <w:textAlignment w:val="bottom"/>
            </w:pPr>
            <w:r>
              <w:rPr>
                <w:rFonts w:ascii="Arial" w:eastAsia="宋体" w:hAnsi="Arial" w:cs="Arial"/>
                <w:color w:val="000000"/>
                <w:sz w:val="18"/>
                <w:szCs w:val="18"/>
              </w:rPr>
              <w:t>19,145 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22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227"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4228"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4229" w14:textId="77777777" w:rsidR="009F6D8A" w:rsidRDefault="00C50974">
            <w:pPr>
              <w:jc w:val="right"/>
              <w:textAlignment w:val="bottom"/>
            </w:pPr>
            <w:r>
              <w:rPr>
                <w:rFonts w:ascii="Arial" w:eastAsia="宋体" w:hAnsi="Arial" w:cs="Arial"/>
                <w:color w:val="000000"/>
                <w:sz w:val="18"/>
                <w:szCs w:val="18"/>
              </w:rPr>
              <w:t>12,497 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22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22B"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422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422D" w14:textId="77777777" w:rsidR="009F6D8A" w:rsidRDefault="00C50974">
            <w:pPr>
              <w:jc w:val="right"/>
              <w:textAlignment w:val="bottom"/>
            </w:pPr>
            <w:r>
              <w:rPr>
                <w:rFonts w:ascii="Arial" w:eastAsia="宋体" w:hAnsi="Arial" w:cs="Arial"/>
                <w:color w:val="000000"/>
                <w:sz w:val="18"/>
                <w:szCs w:val="18"/>
              </w:rPr>
              <w:t>5,525 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22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22F"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4230"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4231" w14:textId="77777777" w:rsidR="009F6D8A" w:rsidRDefault="00C50974">
            <w:pPr>
              <w:jc w:val="right"/>
              <w:textAlignment w:val="bottom"/>
            </w:pPr>
            <w:r>
              <w:rPr>
                <w:rFonts w:ascii="Arial" w:eastAsia="宋体" w:hAnsi="Arial" w:cs="Arial"/>
                <w:color w:val="000000"/>
                <w:sz w:val="18"/>
                <w:szCs w:val="18"/>
              </w:rPr>
              <w:t>1,123 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232" w14:textId="77777777" w:rsidR="009F6D8A" w:rsidRDefault="009F6D8A">
            <w:pPr>
              <w:jc w:val="right"/>
              <w:rPr>
                <w:rFonts w:ascii="宋体"/>
              </w:rPr>
            </w:pPr>
          </w:p>
        </w:tc>
      </w:tr>
      <w:tr w:rsidR="009F6D8A" w14:paraId="6430423C" w14:textId="77777777">
        <w:trPr>
          <w:trHeight w:val="280"/>
        </w:trPr>
        <w:tc>
          <w:tcPr>
            <w:tcW w:w="0" w:type="auto"/>
            <w:gridSpan w:val="3"/>
            <w:shd w:val="clear" w:color="auto" w:fill="E2E2E2"/>
            <w:tcMar>
              <w:top w:w="0" w:type="dxa"/>
              <w:left w:w="20" w:type="dxa"/>
              <w:bottom w:w="0" w:type="dxa"/>
              <w:right w:w="20" w:type="dxa"/>
            </w:tcMar>
            <w:vAlign w:val="bottom"/>
          </w:tcPr>
          <w:p w14:paraId="64304234" w14:textId="77777777" w:rsidR="009F6D8A" w:rsidRDefault="009F6D8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4235"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236" w14:textId="77777777" w:rsidR="009F6D8A" w:rsidRDefault="009F6D8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4237"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238" w14:textId="77777777" w:rsidR="009F6D8A" w:rsidRDefault="009F6D8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4239"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23A" w14:textId="77777777" w:rsidR="009F6D8A" w:rsidRDefault="009F6D8A">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6430423B" w14:textId="77777777" w:rsidR="009F6D8A" w:rsidRDefault="009F6D8A">
            <w:pPr>
              <w:rPr>
                <w:rFonts w:ascii="宋体"/>
              </w:rPr>
            </w:pPr>
          </w:p>
        </w:tc>
      </w:tr>
      <w:tr w:rsidR="009F6D8A" w14:paraId="64304245" w14:textId="77777777">
        <w:tc>
          <w:tcPr>
            <w:tcW w:w="0" w:type="auto"/>
            <w:gridSpan w:val="3"/>
            <w:shd w:val="clear" w:color="auto" w:fill="FFFFFF"/>
            <w:tcMar>
              <w:top w:w="40" w:type="dxa"/>
              <w:left w:w="20" w:type="dxa"/>
              <w:bottom w:w="40" w:type="dxa"/>
              <w:right w:w="20" w:type="dxa"/>
            </w:tcMar>
            <w:vAlign w:val="bottom"/>
          </w:tcPr>
          <w:p w14:paraId="6430423D" w14:textId="77777777" w:rsidR="009F6D8A" w:rsidRDefault="00C50974">
            <w:pPr>
              <w:textAlignment w:val="bottom"/>
            </w:pPr>
            <w:r>
              <w:rPr>
                <w:rFonts w:ascii="Arial" w:eastAsia="宋体" w:hAnsi="Arial" w:cs="Arial"/>
                <w:b/>
                <w:bCs/>
                <w:i/>
                <w:iCs/>
                <w:color w:val="000000"/>
                <w:sz w:val="18"/>
                <w:szCs w:val="18"/>
              </w:rPr>
              <w:t>Liabilities:</w:t>
            </w:r>
          </w:p>
        </w:tc>
        <w:tc>
          <w:tcPr>
            <w:tcW w:w="0" w:type="auto"/>
            <w:gridSpan w:val="3"/>
            <w:shd w:val="clear" w:color="auto" w:fill="FFFFFF"/>
            <w:tcMar>
              <w:top w:w="0" w:type="dxa"/>
              <w:left w:w="20" w:type="dxa"/>
              <w:bottom w:w="0" w:type="dxa"/>
              <w:right w:w="20" w:type="dxa"/>
            </w:tcMar>
            <w:vAlign w:val="bottom"/>
          </w:tcPr>
          <w:p w14:paraId="6430423E"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23F"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24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241"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242"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243"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244" w14:textId="77777777" w:rsidR="009F6D8A" w:rsidRDefault="009F6D8A">
            <w:pPr>
              <w:rPr>
                <w:rFonts w:ascii="宋体"/>
              </w:rPr>
            </w:pPr>
          </w:p>
        </w:tc>
      </w:tr>
      <w:tr w:rsidR="009F6D8A" w14:paraId="64304256" w14:textId="77777777">
        <w:tc>
          <w:tcPr>
            <w:tcW w:w="0" w:type="auto"/>
            <w:gridSpan w:val="3"/>
            <w:shd w:val="clear" w:color="auto" w:fill="E2E2E2"/>
            <w:tcMar>
              <w:top w:w="40" w:type="dxa"/>
              <w:left w:w="245" w:type="dxa"/>
              <w:bottom w:w="40" w:type="dxa"/>
              <w:right w:w="20" w:type="dxa"/>
            </w:tcMar>
            <w:vAlign w:val="bottom"/>
          </w:tcPr>
          <w:p w14:paraId="64304246" w14:textId="77777777" w:rsidR="009F6D8A" w:rsidRDefault="00C50974">
            <w:pPr>
              <w:textAlignment w:val="bottom"/>
            </w:pPr>
            <w:r>
              <w:rPr>
                <w:rFonts w:ascii="Arial" w:eastAsia="宋体" w:hAnsi="Arial" w:cs="Arial"/>
                <w:color w:val="000000"/>
                <w:sz w:val="18"/>
                <w:szCs w:val="18"/>
              </w:rPr>
              <w:t>Derivatives</w:t>
            </w:r>
          </w:p>
        </w:tc>
        <w:tc>
          <w:tcPr>
            <w:tcW w:w="0" w:type="auto"/>
            <w:tcBorders>
              <w:bottom w:val="double" w:sz="6" w:space="0" w:color="000000"/>
            </w:tcBorders>
            <w:shd w:val="clear" w:color="auto" w:fill="E2E2E2"/>
            <w:tcMar>
              <w:top w:w="40" w:type="dxa"/>
              <w:left w:w="20" w:type="dxa"/>
              <w:bottom w:w="40" w:type="dxa"/>
              <w:right w:w="0" w:type="dxa"/>
            </w:tcMar>
            <w:vAlign w:val="bottom"/>
          </w:tcPr>
          <w:p w14:paraId="64304247" w14:textId="77777777" w:rsidR="009F6D8A" w:rsidRDefault="00C50974">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64304248" w14:textId="77777777" w:rsidR="009F6D8A" w:rsidRDefault="00C50974">
            <w:pPr>
              <w:jc w:val="right"/>
              <w:textAlignment w:val="bottom"/>
            </w:pPr>
            <w:r>
              <w:rPr>
                <w:rFonts w:ascii="Arial" w:eastAsia="宋体" w:hAnsi="Arial" w:cs="Arial"/>
                <w:color w:val="000000"/>
                <w:sz w:val="18"/>
                <w:szCs w:val="18"/>
              </w:rPr>
              <w:t>26 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64304249"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24A" w14:textId="77777777" w:rsidR="009F6D8A" w:rsidRDefault="009F6D8A">
            <w:pPr>
              <w:rPr>
                <w:rFonts w:ascii="宋体"/>
              </w:rPr>
            </w:pPr>
          </w:p>
        </w:tc>
        <w:tc>
          <w:tcPr>
            <w:tcW w:w="0" w:type="auto"/>
            <w:tcBorders>
              <w:bottom w:val="double" w:sz="6" w:space="0" w:color="000000"/>
            </w:tcBorders>
            <w:shd w:val="clear" w:color="auto" w:fill="E2E2E2"/>
            <w:tcMar>
              <w:top w:w="40" w:type="dxa"/>
              <w:left w:w="20" w:type="dxa"/>
              <w:bottom w:w="40" w:type="dxa"/>
              <w:right w:w="0" w:type="dxa"/>
            </w:tcMar>
            <w:vAlign w:val="bottom"/>
          </w:tcPr>
          <w:p w14:paraId="6430424B" w14:textId="77777777" w:rsidR="009F6D8A" w:rsidRDefault="00C50974">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6430424C" w14:textId="77777777" w:rsidR="009F6D8A" w:rsidRDefault="00C50974">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6430424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24E" w14:textId="77777777" w:rsidR="009F6D8A" w:rsidRDefault="009F6D8A">
            <w:pPr>
              <w:rPr>
                <w:rFonts w:ascii="宋体"/>
              </w:rPr>
            </w:pPr>
          </w:p>
        </w:tc>
        <w:tc>
          <w:tcPr>
            <w:tcW w:w="0" w:type="auto"/>
            <w:tcBorders>
              <w:bottom w:val="double" w:sz="6" w:space="0" w:color="000000"/>
            </w:tcBorders>
            <w:shd w:val="clear" w:color="auto" w:fill="E2E2E2"/>
            <w:tcMar>
              <w:top w:w="40" w:type="dxa"/>
              <w:left w:w="20" w:type="dxa"/>
              <w:bottom w:w="40" w:type="dxa"/>
              <w:right w:w="0" w:type="dxa"/>
            </w:tcMar>
            <w:vAlign w:val="bottom"/>
          </w:tcPr>
          <w:p w14:paraId="6430424F" w14:textId="77777777" w:rsidR="009F6D8A" w:rsidRDefault="00C50974">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64304250" w14:textId="77777777" w:rsidR="009F6D8A" w:rsidRDefault="00C50974">
            <w:pPr>
              <w:jc w:val="right"/>
              <w:textAlignment w:val="bottom"/>
            </w:pPr>
            <w:r>
              <w:rPr>
                <w:rFonts w:ascii="Arial" w:eastAsia="宋体" w:hAnsi="Arial" w:cs="Arial"/>
                <w:color w:val="000000"/>
                <w:sz w:val="18"/>
                <w:szCs w:val="18"/>
              </w:rPr>
              <w:t>26 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6430425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252" w14:textId="77777777" w:rsidR="009F6D8A" w:rsidRDefault="009F6D8A">
            <w:pPr>
              <w:rPr>
                <w:rFonts w:ascii="宋体"/>
              </w:rPr>
            </w:pPr>
          </w:p>
        </w:tc>
        <w:tc>
          <w:tcPr>
            <w:tcW w:w="0" w:type="auto"/>
            <w:tcBorders>
              <w:bottom w:val="double" w:sz="6" w:space="0" w:color="000000"/>
            </w:tcBorders>
            <w:shd w:val="clear" w:color="auto" w:fill="E2E2E2"/>
            <w:tcMar>
              <w:top w:w="40" w:type="dxa"/>
              <w:left w:w="20" w:type="dxa"/>
              <w:bottom w:w="40" w:type="dxa"/>
              <w:right w:w="0" w:type="dxa"/>
            </w:tcMar>
            <w:vAlign w:val="bottom"/>
          </w:tcPr>
          <w:p w14:paraId="64304253" w14:textId="77777777" w:rsidR="009F6D8A" w:rsidRDefault="00C50974">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64304254" w14:textId="77777777" w:rsidR="009F6D8A" w:rsidRDefault="00C50974">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64304255" w14:textId="77777777" w:rsidR="009F6D8A" w:rsidRDefault="009F6D8A">
            <w:pPr>
              <w:jc w:val="right"/>
              <w:rPr>
                <w:rFonts w:ascii="宋体"/>
              </w:rPr>
            </w:pPr>
          </w:p>
        </w:tc>
      </w:tr>
      <w:tr w:rsidR="009F6D8A" w14:paraId="6430425F" w14:textId="77777777">
        <w:trPr>
          <w:hidden/>
        </w:trPr>
        <w:tc>
          <w:tcPr>
            <w:tcW w:w="0" w:type="auto"/>
            <w:gridSpan w:val="3"/>
            <w:shd w:val="clear" w:color="auto" w:fill="auto"/>
            <w:vAlign w:val="bottom"/>
          </w:tcPr>
          <w:p w14:paraId="64304257" w14:textId="77777777" w:rsidR="009F6D8A" w:rsidRDefault="009F6D8A">
            <w:pPr>
              <w:rPr>
                <w:rFonts w:ascii="宋体"/>
                <w:vanish/>
              </w:rPr>
            </w:pPr>
          </w:p>
        </w:tc>
        <w:tc>
          <w:tcPr>
            <w:tcW w:w="0" w:type="auto"/>
            <w:gridSpan w:val="3"/>
            <w:shd w:val="clear" w:color="auto" w:fill="auto"/>
            <w:vAlign w:val="bottom"/>
          </w:tcPr>
          <w:p w14:paraId="64304258" w14:textId="77777777" w:rsidR="009F6D8A" w:rsidRDefault="009F6D8A">
            <w:pPr>
              <w:rPr>
                <w:rFonts w:ascii="宋体"/>
                <w:vanish/>
              </w:rPr>
            </w:pPr>
          </w:p>
        </w:tc>
        <w:tc>
          <w:tcPr>
            <w:tcW w:w="0" w:type="auto"/>
            <w:gridSpan w:val="3"/>
            <w:shd w:val="clear" w:color="auto" w:fill="auto"/>
            <w:vAlign w:val="bottom"/>
          </w:tcPr>
          <w:p w14:paraId="64304259" w14:textId="77777777" w:rsidR="009F6D8A" w:rsidRDefault="009F6D8A">
            <w:pPr>
              <w:rPr>
                <w:rFonts w:ascii="宋体"/>
                <w:vanish/>
              </w:rPr>
            </w:pPr>
          </w:p>
        </w:tc>
        <w:tc>
          <w:tcPr>
            <w:tcW w:w="0" w:type="auto"/>
            <w:gridSpan w:val="3"/>
            <w:shd w:val="clear" w:color="auto" w:fill="auto"/>
            <w:vAlign w:val="bottom"/>
          </w:tcPr>
          <w:p w14:paraId="6430425A" w14:textId="77777777" w:rsidR="009F6D8A" w:rsidRDefault="009F6D8A">
            <w:pPr>
              <w:rPr>
                <w:rFonts w:ascii="宋体"/>
                <w:vanish/>
              </w:rPr>
            </w:pPr>
          </w:p>
        </w:tc>
        <w:tc>
          <w:tcPr>
            <w:tcW w:w="0" w:type="auto"/>
            <w:gridSpan w:val="3"/>
            <w:shd w:val="clear" w:color="auto" w:fill="auto"/>
            <w:vAlign w:val="bottom"/>
          </w:tcPr>
          <w:p w14:paraId="6430425B" w14:textId="77777777" w:rsidR="009F6D8A" w:rsidRDefault="009F6D8A">
            <w:pPr>
              <w:rPr>
                <w:rFonts w:ascii="宋体"/>
                <w:vanish/>
              </w:rPr>
            </w:pPr>
          </w:p>
        </w:tc>
        <w:tc>
          <w:tcPr>
            <w:tcW w:w="0" w:type="auto"/>
            <w:gridSpan w:val="3"/>
            <w:shd w:val="clear" w:color="auto" w:fill="auto"/>
            <w:vAlign w:val="bottom"/>
          </w:tcPr>
          <w:p w14:paraId="6430425C" w14:textId="77777777" w:rsidR="009F6D8A" w:rsidRDefault="009F6D8A">
            <w:pPr>
              <w:rPr>
                <w:rFonts w:ascii="宋体"/>
                <w:vanish/>
              </w:rPr>
            </w:pPr>
          </w:p>
        </w:tc>
        <w:tc>
          <w:tcPr>
            <w:tcW w:w="0" w:type="auto"/>
            <w:gridSpan w:val="3"/>
            <w:shd w:val="clear" w:color="auto" w:fill="auto"/>
            <w:vAlign w:val="bottom"/>
          </w:tcPr>
          <w:p w14:paraId="6430425D" w14:textId="77777777" w:rsidR="009F6D8A" w:rsidRDefault="009F6D8A">
            <w:pPr>
              <w:rPr>
                <w:rFonts w:ascii="宋体"/>
                <w:vanish/>
              </w:rPr>
            </w:pPr>
          </w:p>
        </w:tc>
        <w:tc>
          <w:tcPr>
            <w:tcW w:w="0" w:type="auto"/>
            <w:gridSpan w:val="3"/>
            <w:shd w:val="clear" w:color="auto" w:fill="auto"/>
            <w:vAlign w:val="bottom"/>
          </w:tcPr>
          <w:p w14:paraId="6430425E" w14:textId="77777777" w:rsidR="009F6D8A" w:rsidRDefault="009F6D8A">
            <w:pPr>
              <w:rPr>
                <w:rFonts w:ascii="宋体"/>
                <w:vanish/>
              </w:rPr>
            </w:pPr>
          </w:p>
        </w:tc>
      </w:tr>
      <w:tr w:rsidR="009F6D8A" w14:paraId="64304268" w14:textId="77777777">
        <w:trPr>
          <w:hidden/>
        </w:trPr>
        <w:tc>
          <w:tcPr>
            <w:tcW w:w="0" w:type="auto"/>
            <w:gridSpan w:val="3"/>
            <w:shd w:val="clear" w:color="auto" w:fill="auto"/>
            <w:vAlign w:val="bottom"/>
          </w:tcPr>
          <w:p w14:paraId="64304260" w14:textId="77777777" w:rsidR="009F6D8A" w:rsidRDefault="009F6D8A">
            <w:pPr>
              <w:rPr>
                <w:rFonts w:ascii="宋体"/>
                <w:vanish/>
              </w:rPr>
            </w:pPr>
          </w:p>
        </w:tc>
        <w:tc>
          <w:tcPr>
            <w:tcW w:w="0" w:type="auto"/>
            <w:gridSpan w:val="3"/>
            <w:shd w:val="clear" w:color="auto" w:fill="auto"/>
            <w:vAlign w:val="bottom"/>
          </w:tcPr>
          <w:p w14:paraId="64304261" w14:textId="77777777" w:rsidR="009F6D8A" w:rsidRDefault="009F6D8A">
            <w:pPr>
              <w:rPr>
                <w:rFonts w:ascii="宋体"/>
                <w:vanish/>
              </w:rPr>
            </w:pPr>
          </w:p>
        </w:tc>
        <w:tc>
          <w:tcPr>
            <w:tcW w:w="0" w:type="auto"/>
            <w:gridSpan w:val="3"/>
            <w:shd w:val="clear" w:color="auto" w:fill="auto"/>
            <w:vAlign w:val="bottom"/>
          </w:tcPr>
          <w:p w14:paraId="64304262" w14:textId="77777777" w:rsidR="009F6D8A" w:rsidRDefault="009F6D8A">
            <w:pPr>
              <w:rPr>
                <w:rFonts w:ascii="宋体"/>
                <w:vanish/>
              </w:rPr>
            </w:pPr>
          </w:p>
        </w:tc>
        <w:tc>
          <w:tcPr>
            <w:tcW w:w="0" w:type="auto"/>
            <w:gridSpan w:val="3"/>
            <w:shd w:val="clear" w:color="auto" w:fill="auto"/>
            <w:vAlign w:val="bottom"/>
          </w:tcPr>
          <w:p w14:paraId="64304263" w14:textId="77777777" w:rsidR="009F6D8A" w:rsidRDefault="009F6D8A">
            <w:pPr>
              <w:rPr>
                <w:rFonts w:ascii="宋体"/>
                <w:vanish/>
              </w:rPr>
            </w:pPr>
          </w:p>
        </w:tc>
        <w:tc>
          <w:tcPr>
            <w:tcW w:w="0" w:type="auto"/>
            <w:gridSpan w:val="3"/>
            <w:shd w:val="clear" w:color="auto" w:fill="auto"/>
            <w:vAlign w:val="bottom"/>
          </w:tcPr>
          <w:p w14:paraId="64304264" w14:textId="77777777" w:rsidR="009F6D8A" w:rsidRDefault="009F6D8A">
            <w:pPr>
              <w:rPr>
                <w:rFonts w:ascii="宋体"/>
                <w:vanish/>
              </w:rPr>
            </w:pPr>
          </w:p>
        </w:tc>
        <w:tc>
          <w:tcPr>
            <w:tcW w:w="0" w:type="auto"/>
            <w:gridSpan w:val="3"/>
            <w:shd w:val="clear" w:color="auto" w:fill="auto"/>
            <w:vAlign w:val="bottom"/>
          </w:tcPr>
          <w:p w14:paraId="64304265" w14:textId="77777777" w:rsidR="009F6D8A" w:rsidRDefault="009F6D8A">
            <w:pPr>
              <w:rPr>
                <w:rFonts w:ascii="宋体"/>
                <w:vanish/>
              </w:rPr>
            </w:pPr>
          </w:p>
        </w:tc>
        <w:tc>
          <w:tcPr>
            <w:tcW w:w="0" w:type="auto"/>
            <w:gridSpan w:val="3"/>
            <w:shd w:val="clear" w:color="auto" w:fill="auto"/>
            <w:vAlign w:val="bottom"/>
          </w:tcPr>
          <w:p w14:paraId="64304266" w14:textId="77777777" w:rsidR="009F6D8A" w:rsidRDefault="009F6D8A">
            <w:pPr>
              <w:rPr>
                <w:rFonts w:ascii="宋体"/>
                <w:vanish/>
              </w:rPr>
            </w:pPr>
          </w:p>
        </w:tc>
        <w:tc>
          <w:tcPr>
            <w:tcW w:w="0" w:type="auto"/>
            <w:gridSpan w:val="3"/>
            <w:shd w:val="clear" w:color="auto" w:fill="auto"/>
            <w:vAlign w:val="bottom"/>
          </w:tcPr>
          <w:p w14:paraId="64304267" w14:textId="77777777" w:rsidR="009F6D8A" w:rsidRDefault="009F6D8A">
            <w:pPr>
              <w:rPr>
                <w:rFonts w:ascii="宋体"/>
                <w:vanish/>
              </w:rPr>
            </w:pPr>
          </w:p>
        </w:tc>
      </w:tr>
      <w:tr w:rsidR="009F6D8A" w14:paraId="64304271" w14:textId="77777777">
        <w:trPr>
          <w:hidden/>
        </w:trPr>
        <w:tc>
          <w:tcPr>
            <w:tcW w:w="0" w:type="auto"/>
            <w:gridSpan w:val="3"/>
            <w:shd w:val="clear" w:color="auto" w:fill="auto"/>
            <w:vAlign w:val="bottom"/>
          </w:tcPr>
          <w:p w14:paraId="64304269" w14:textId="77777777" w:rsidR="009F6D8A" w:rsidRDefault="009F6D8A">
            <w:pPr>
              <w:rPr>
                <w:rFonts w:ascii="宋体"/>
                <w:vanish/>
              </w:rPr>
            </w:pPr>
          </w:p>
        </w:tc>
        <w:tc>
          <w:tcPr>
            <w:tcW w:w="0" w:type="auto"/>
            <w:gridSpan w:val="3"/>
            <w:shd w:val="clear" w:color="auto" w:fill="auto"/>
            <w:vAlign w:val="bottom"/>
          </w:tcPr>
          <w:p w14:paraId="6430426A" w14:textId="77777777" w:rsidR="009F6D8A" w:rsidRDefault="009F6D8A">
            <w:pPr>
              <w:rPr>
                <w:rFonts w:ascii="宋体"/>
                <w:vanish/>
              </w:rPr>
            </w:pPr>
          </w:p>
        </w:tc>
        <w:tc>
          <w:tcPr>
            <w:tcW w:w="0" w:type="auto"/>
            <w:gridSpan w:val="3"/>
            <w:shd w:val="clear" w:color="auto" w:fill="auto"/>
            <w:vAlign w:val="bottom"/>
          </w:tcPr>
          <w:p w14:paraId="6430426B" w14:textId="77777777" w:rsidR="009F6D8A" w:rsidRDefault="009F6D8A">
            <w:pPr>
              <w:rPr>
                <w:rFonts w:ascii="宋体"/>
                <w:vanish/>
              </w:rPr>
            </w:pPr>
          </w:p>
        </w:tc>
        <w:tc>
          <w:tcPr>
            <w:tcW w:w="0" w:type="auto"/>
            <w:gridSpan w:val="3"/>
            <w:shd w:val="clear" w:color="auto" w:fill="auto"/>
            <w:vAlign w:val="bottom"/>
          </w:tcPr>
          <w:p w14:paraId="6430426C" w14:textId="77777777" w:rsidR="009F6D8A" w:rsidRDefault="009F6D8A">
            <w:pPr>
              <w:rPr>
                <w:rFonts w:ascii="宋体"/>
                <w:vanish/>
              </w:rPr>
            </w:pPr>
          </w:p>
        </w:tc>
        <w:tc>
          <w:tcPr>
            <w:tcW w:w="0" w:type="auto"/>
            <w:gridSpan w:val="3"/>
            <w:shd w:val="clear" w:color="auto" w:fill="auto"/>
            <w:vAlign w:val="bottom"/>
          </w:tcPr>
          <w:p w14:paraId="6430426D" w14:textId="77777777" w:rsidR="009F6D8A" w:rsidRDefault="009F6D8A">
            <w:pPr>
              <w:rPr>
                <w:rFonts w:ascii="宋体"/>
                <w:vanish/>
              </w:rPr>
            </w:pPr>
          </w:p>
        </w:tc>
        <w:tc>
          <w:tcPr>
            <w:tcW w:w="0" w:type="auto"/>
            <w:gridSpan w:val="3"/>
            <w:shd w:val="clear" w:color="auto" w:fill="auto"/>
            <w:vAlign w:val="bottom"/>
          </w:tcPr>
          <w:p w14:paraId="6430426E" w14:textId="77777777" w:rsidR="009F6D8A" w:rsidRDefault="009F6D8A">
            <w:pPr>
              <w:rPr>
                <w:rFonts w:ascii="宋体"/>
                <w:vanish/>
              </w:rPr>
            </w:pPr>
          </w:p>
        </w:tc>
        <w:tc>
          <w:tcPr>
            <w:tcW w:w="0" w:type="auto"/>
            <w:gridSpan w:val="3"/>
            <w:shd w:val="clear" w:color="auto" w:fill="auto"/>
            <w:vAlign w:val="bottom"/>
          </w:tcPr>
          <w:p w14:paraId="6430426F" w14:textId="77777777" w:rsidR="009F6D8A" w:rsidRDefault="009F6D8A">
            <w:pPr>
              <w:rPr>
                <w:rFonts w:ascii="宋体"/>
                <w:vanish/>
              </w:rPr>
            </w:pPr>
          </w:p>
        </w:tc>
        <w:tc>
          <w:tcPr>
            <w:tcW w:w="0" w:type="auto"/>
            <w:gridSpan w:val="3"/>
            <w:shd w:val="clear" w:color="auto" w:fill="auto"/>
            <w:vAlign w:val="bottom"/>
          </w:tcPr>
          <w:p w14:paraId="64304270" w14:textId="77777777" w:rsidR="009F6D8A" w:rsidRDefault="009F6D8A">
            <w:pPr>
              <w:rPr>
                <w:rFonts w:ascii="宋体"/>
                <w:vanish/>
              </w:rPr>
            </w:pPr>
          </w:p>
        </w:tc>
      </w:tr>
      <w:tr w:rsidR="009F6D8A" w14:paraId="6430427A" w14:textId="77777777">
        <w:trPr>
          <w:hidden/>
        </w:trPr>
        <w:tc>
          <w:tcPr>
            <w:tcW w:w="0" w:type="auto"/>
            <w:gridSpan w:val="3"/>
            <w:shd w:val="clear" w:color="auto" w:fill="auto"/>
            <w:vAlign w:val="bottom"/>
          </w:tcPr>
          <w:p w14:paraId="64304272" w14:textId="77777777" w:rsidR="009F6D8A" w:rsidRDefault="009F6D8A">
            <w:pPr>
              <w:rPr>
                <w:rFonts w:ascii="宋体"/>
                <w:vanish/>
              </w:rPr>
            </w:pPr>
          </w:p>
        </w:tc>
        <w:tc>
          <w:tcPr>
            <w:tcW w:w="0" w:type="auto"/>
            <w:gridSpan w:val="3"/>
            <w:shd w:val="clear" w:color="auto" w:fill="auto"/>
            <w:vAlign w:val="bottom"/>
          </w:tcPr>
          <w:p w14:paraId="64304273" w14:textId="77777777" w:rsidR="009F6D8A" w:rsidRDefault="009F6D8A">
            <w:pPr>
              <w:rPr>
                <w:rFonts w:ascii="宋体"/>
                <w:vanish/>
              </w:rPr>
            </w:pPr>
          </w:p>
        </w:tc>
        <w:tc>
          <w:tcPr>
            <w:tcW w:w="0" w:type="auto"/>
            <w:gridSpan w:val="3"/>
            <w:shd w:val="clear" w:color="auto" w:fill="auto"/>
            <w:vAlign w:val="bottom"/>
          </w:tcPr>
          <w:p w14:paraId="64304274" w14:textId="77777777" w:rsidR="009F6D8A" w:rsidRDefault="009F6D8A">
            <w:pPr>
              <w:rPr>
                <w:rFonts w:ascii="宋体"/>
                <w:vanish/>
              </w:rPr>
            </w:pPr>
          </w:p>
        </w:tc>
        <w:tc>
          <w:tcPr>
            <w:tcW w:w="0" w:type="auto"/>
            <w:gridSpan w:val="3"/>
            <w:shd w:val="clear" w:color="auto" w:fill="auto"/>
            <w:vAlign w:val="bottom"/>
          </w:tcPr>
          <w:p w14:paraId="64304275" w14:textId="77777777" w:rsidR="009F6D8A" w:rsidRDefault="009F6D8A">
            <w:pPr>
              <w:rPr>
                <w:rFonts w:ascii="宋体"/>
                <w:vanish/>
              </w:rPr>
            </w:pPr>
          </w:p>
        </w:tc>
        <w:tc>
          <w:tcPr>
            <w:tcW w:w="0" w:type="auto"/>
            <w:gridSpan w:val="3"/>
            <w:shd w:val="clear" w:color="auto" w:fill="auto"/>
            <w:vAlign w:val="bottom"/>
          </w:tcPr>
          <w:p w14:paraId="64304276" w14:textId="77777777" w:rsidR="009F6D8A" w:rsidRDefault="009F6D8A">
            <w:pPr>
              <w:rPr>
                <w:rFonts w:ascii="宋体"/>
                <w:vanish/>
              </w:rPr>
            </w:pPr>
          </w:p>
        </w:tc>
        <w:tc>
          <w:tcPr>
            <w:tcW w:w="0" w:type="auto"/>
            <w:gridSpan w:val="3"/>
            <w:shd w:val="clear" w:color="auto" w:fill="auto"/>
            <w:vAlign w:val="bottom"/>
          </w:tcPr>
          <w:p w14:paraId="64304277" w14:textId="77777777" w:rsidR="009F6D8A" w:rsidRDefault="009F6D8A">
            <w:pPr>
              <w:rPr>
                <w:rFonts w:ascii="宋体"/>
                <w:vanish/>
              </w:rPr>
            </w:pPr>
          </w:p>
        </w:tc>
        <w:tc>
          <w:tcPr>
            <w:tcW w:w="0" w:type="auto"/>
            <w:gridSpan w:val="3"/>
            <w:shd w:val="clear" w:color="auto" w:fill="auto"/>
            <w:vAlign w:val="bottom"/>
          </w:tcPr>
          <w:p w14:paraId="64304278" w14:textId="77777777" w:rsidR="009F6D8A" w:rsidRDefault="009F6D8A">
            <w:pPr>
              <w:rPr>
                <w:rFonts w:ascii="宋体"/>
                <w:vanish/>
              </w:rPr>
            </w:pPr>
          </w:p>
        </w:tc>
        <w:tc>
          <w:tcPr>
            <w:tcW w:w="0" w:type="auto"/>
            <w:gridSpan w:val="3"/>
            <w:shd w:val="clear" w:color="auto" w:fill="auto"/>
            <w:vAlign w:val="bottom"/>
          </w:tcPr>
          <w:p w14:paraId="64304279" w14:textId="77777777" w:rsidR="009F6D8A" w:rsidRDefault="009F6D8A">
            <w:pPr>
              <w:rPr>
                <w:rFonts w:ascii="宋体"/>
                <w:vanish/>
              </w:rPr>
            </w:pPr>
          </w:p>
        </w:tc>
      </w:tr>
    </w:tbl>
    <w:p w14:paraId="6430427B" w14:textId="77777777" w:rsidR="009F6D8A" w:rsidRDefault="009F6D8A"/>
    <w:tbl>
      <w:tblPr>
        <w:tblW w:w="4993" w:type="pct"/>
        <w:tblCellMar>
          <w:top w:w="15" w:type="dxa"/>
          <w:left w:w="15" w:type="dxa"/>
          <w:bottom w:w="15" w:type="dxa"/>
          <w:right w:w="15" w:type="dxa"/>
        </w:tblCellMar>
        <w:tblLook w:val="04A0" w:firstRow="1" w:lastRow="0" w:firstColumn="1" w:lastColumn="0" w:noHBand="0" w:noVBand="1"/>
      </w:tblPr>
      <w:tblGrid>
        <w:gridCol w:w="42"/>
        <w:gridCol w:w="2161"/>
        <w:gridCol w:w="38"/>
        <w:gridCol w:w="122"/>
        <w:gridCol w:w="938"/>
        <w:gridCol w:w="36"/>
        <w:gridCol w:w="36"/>
        <w:gridCol w:w="36"/>
        <w:gridCol w:w="36"/>
        <w:gridCol w:w="122"/>
        <w:gridCol w:w="1332"/>
        <w:gridCol w:w="36"/>
        <w:gridCol w:w="36"/>
        <w:gridCol w:w="36"/>
        <w:gridCol w:w="36"/>
        <w:gridCol w:w="122"/>
        <w:gridCol w:w="1339"/>
        <w:gridCol w:w="36"/>
        <w:gridCol w:w="36"/>
        <w:gridCol w:w="36"/>
        <w:gridCol w:w="36"/>
        <w:gridCol w:w="122"/>
        <w:gridCol w:w="1518"/>
        <w:gridCol w:w="36"/>
      </w:tblGrid>
      <w:tr w:rsidR="009F6D8A" w14:paraId="64304294" w14:textId="77777777">
        <w:tc>
          <w:tcPr>
            <w:tcW w:w="50" w:type="pct"/>
            <w:shd w:val="clear" w:color="auto" w:fill="auto"/>
            <w:vAlign w:val="bottom"/>
          </w:tcPr>
          <w:p w14:paraId="6430427C" w14:textId="77777777" w:rsidR="009F6D8A" w:rsidRDefault="009F6D8A">
            <w:pPr>
              <w:rPr>
                <w:rFonts w:ascii="宋体"/>
              </w:rPr>
            </w:pPr>
          </w:p>
        </w:tc>
        <w:tc>
          <w:tcPr>
            <w:tcW w:w="1548" w:type="pct"/>
            <w:shd w:val="clear" w:color="auto" w:fill="auto"/>
            <w:vAlign w:val="bottom"/>
          </w:tcPr>
          <w:p w14:paraId="6430427D" w14:textId="77777777" w:rsidR="009F6D8A" w:rsidRDefault="009F6D8A">
            <w:pPr>
              <w:rPr>
                <w:rFonts w:ascii="宋体"/>
              </w:rPr>
            </w:pPr>
          </w:p>
        </w:tc>
        <w:tc>
          <w:tcPr>
            <w:tcW w:w="5" w:type="pct"/>
            <w:shd w:val="clear" w:color="auto" w:fill="auto"/>
            <w:vAlign w:val="bottom"/>
          </w:tcPr>
          <w:p w14:paraId="6430427E" w14:textId="77777777" w:rsidR="009F6D8A" w:rsidRDefault="009F6D8A">
            <w:pPr>
              <w:rPr>
                <w:rFonts w:ascii="宋体"/>
              </w:rPr>
            </w:pPr>
          </w:p>
        </w:tc>
        <w:tc>
          <w:tcPr>
            <w:tcW w:w="50" w:type="pct"/>
            <w:shd w:val="clear" w:color="auto" w:fill="auto"/>
            <w:vAlign w:val="bottom"/>
          </w:tcPr>
          <w:p w14:paraId="6430427F" w14:textId="77777777" w:rsidR="009F6D8A" w:rsidRDefault="009F6D8A">
            <w:pPr>
              <w:rPr>
                <w:rFonts w:ascii="宋体"/>
              </w:rPr>
            </w:pPr>
          </w:p>
        </w:tc>
        <w:tc>
          <w:tcPr>
            <w:tcW w:w="757" w:type="pct"/>
            <w:shd w:val="clear" w:color="auto" w:fill="auto"/>
            <w:vAlign w:val="bottom"/>
          </w:tcPr>
          <w:p w14:paraId="64304280" w14:textId="77777777" w:rsidR="009F6D8A" w:rsidRDefault="009F6D8A">
            <w:pPr>
              <w:rPr>
                <w:rFonts w:ascii="宋体"/>
              </w:rPr>
            </w:pPr>
          </w:p>
        </w:tc>
        <w:tc>
          <w:tcPr>
            <w:tcW w:w="5" w:type="pct"/>
            <w:shd w:val="clear" w:color="auto" w:fill="auto"/>
            <w:vAlign w:val="bottom"/>
          </w:tcPr>
          <w:p w14:paraId="64304281" w14:textId="77777777" w:rsidR="009F6D8A" w:rsidRDefault="009F6D8A">
            <w:pPr>
              <w:rPr>
                <w:rFonts w:ascii="宋体"/>
              </w:rPr>
            </w:pPr>
          </w:p>
        </w:tc>
        <w:tc>
          <w:tcPr>
            <w:tcW w:w="5" w:type="pct"/>
            <w:shd w:val="clear" w:color="auto" w:fill="auto"/>
            <w:vAlign w:val="bottom"/>
          </w:tcPr>
          <w:p w14:paraId="64304282" w14:textId="77777777" w:rsidR="009F6D8A" w:rsidRDefault="009F6D8A">
            <w:pPr>
              <w:rPr>
                <w:rFonts w:ascii="宋体"/>
              </w:rPr>
            </w:pPr>
          </w:p>
        </w:tc>
        <w:tc>
          <w:tcPr>
            <w:tcW w:w="26" w:type="pct"/>
            <w:shd w:val="clear" w:color="auto" w:fill="auto"/>
            <w:vAlign w:val="bottom"/>
          </w:tcPr>
          <w:p w14:paraId="64304283" w14:textId="77777777" w:rsidR="009F6D8A" w:rsidRDefault="009F6D8A">
            <w:pPr>
              <w:rPr>
                <w:rFonts w:ascii="宋体"/>
              </w:rPr>
            </w:pPr>
          </w:p>
        </w:tc>
        <w:tc>
          <w:tcPr>
            <w:tcW w:w="5" w:type="pct"/>
            <w:shd w:val="clear" w:color="auto" w:fill="auto"/>
            <w:vAlign w:val="bottom"/>
          </w:tcPr>
          <w:p w14:paraId="64304284" w14:textId="77777777" w:rsidR="009F6D8A" w:rsidRDefault="009F6D8A">
            <w:pPr>
              <w:rPr>
                <w:rFonts w:ascii="宋体"/>
              </w:rPr>
            </w:pPr>
          </w:p>
        </w:tc>
        <w:tc>
          <w:tcPr>
            <w:tcW w:w="50" w:type="pct"/>
            <w:shd w:val="clear" w:color="auto" w:fill="auto"/>
            <w:vAlign w:val="bottom"/>
          </w:tcPr>
          <w:p w14:paraId="64304285" w14:textId="77777777" w:rsidR="009F6D8A" w:rsidRDefault="009F6D8A">
            <w:pPr>
              <w:rPr>
                <w:rFonts w:ascii="宋体"/>
              </w:rPr>
            </w:pPr>
          </w:p>
        </w:tc>
        <w:tc>
          <w:tcPr>
            <w:tcW w:w="757" w:type="pct"/>
            <w:shd w:val="clear" w:color="auto" w:fill="auto"/>
            <w:vAlign w:val="bottom"/>
          </w:tcPr>
          <w:p w14:paraId="64304286" w14:textId="77777777" w:rsidR="009F6D8A" w:rsidRDefault="009F6D8A">
            <w:pPr>
              <w:rPr>
                <w:rFonts w:ascii="宋体"/>
              </w:rPr>
            </w:pPr>
          </w:p>
        </w:tc>
        <w:tc>
          <w:tcPr>
            <w:tcW w:w="5" w:type="pct"/>
            <w:shd w:val="clear" w:color="auto" w:fill="auto"/>
            <w:vAlign w:val="bottom"/>
          </w:tcPr>
          <w:p w14:paraId="64304287" w14:textId="77777777" w:rsidR="009F6D8A" w:rsidRDefault="009F6D8A">
            <w:pPr>
              <w:rPr>
                <w:rFonts w:ascii="宋体"/>
              </w:rPr>
            </w:pPr>
          </w:p>
        </w:tc>
        <w:tc>
          <w:tcPr>
            <w:tcW w:w="5" w:type="pct"/>
            <w:shd w:val="clear" w:color="auto" w:fill="auto"/>
            <w:vAlign w:val="bottom"/>
          </w:tcPr>
          <w:p w14:paraId="64304288" w14:textId="77777777" w:rsidR="009F6D8A" w:rsidRDefault="009F6D8A">
            <w:pPr>
              <w:rPr>
                <w:rFonts w:ascii="宋体"/>
              </w:rPr>
            </w:pPr>
          </w:p>
        </w:tc>
        <w:tc>
          <w:tcPr>
            <w:tcW w:w="26" w:type="pct"/>
            <w:shd w:val="clear" w:color="auto" w:fill="auto"/>
            <w:vAlign w:val="bottom"/>
          </w:tcPr>
          <w:p w14:paraId="64304289" w14:textId="77777777" w:rsidR="009F6D8A" w:rsidRDefault="009F6D8A">
            <w:pPr>
              <w:rPr>
                <w:rFonts w:ascii="宋体"/>
              </w:rPr>
            </w:pPr>
          </w:p>
        </w:tc>
        <w:tc>
          <w:tcPr>
            <w:tcW w:w="5" w:type="pct"/>
            <w:shd w:val="clear" w:color="auto" w:fill="auto"/>
            <w:vAlign w:val="bottom"/>
          </w:tcPr>
          <w:p w14:paraId="6430428A" w14:textId="77777777" w:rsidR="009F6D8A" w:rsidRDefault="009F6D8A">
            <w:pPr>
              <w:rPr>
                <w:rFonts w:ascii="宋体"/>
              </w:rPr>
            </w:pPr>
          </w:p>
        </w:tc>
        <w:tc>
          <w:tcPr>
            <w:tcW w:w="50" w:type="pct"/>
            <w:shd w:val="clear" w:color="auto" w:fill="auto"/>
            <w:vAlign w:val="bottom"/>
          </w:tcPr>
          <w:p w14:paraId="6430428B" w14:textId="77777777" w:rsidR="009F6D8A" w:rsidRDefault="009F6D8A">
            <w:pPr>
              <w:rPr>
                <w:rFonts w:ascii="宋体"/>
              </w:rPr>
            </w:pPr>
          </w:p>
        </w:tc>
        <w:tc>
          <w:tcPr>
            <w:tcW w:w="757" w:type="pct"/>
            <w:shd w:val="clear" w:color="auto" w:fill="auto"/>
            <w:vAlign w:val="bottom"/>
          </w:tcPr>
          <w:p w14:paraId="6430428C" w14:textId="77777777" w:rsidR="009F6D8A" w:rsidRDefault="009F6D8A">
            <w:pPr>
              <w:rPr>
                <w:rFonts w:ascii="宋体"/>
              </w:rPr>
            </w:pPr>
          </w:p>
        </w:tc>
        <w:tc>
          <w:tcPr>
            <w:tcW w:w="5" w:type="pct"/>
            <w:shd w:val="clear" w:color="auto" w:fill="auto"/>
            <w:vAlign w:val="bottom"/>
          </w:tcPr>
          <w:p w14:paraId="6430428D" w14:textId="77777777" w:rsidR="009F6D8A" w:rsidRDefault="009F6D8A">
            <w:pPr>
              <w:rPr>
                <w:rFonts w:ascii="宋体"/>
              </w:rPr>
            </w:pPr>
          </w:p>
        </w:tc>
        <w:tc>
          <w:tcPr>
            <w:tcW w:w="5" w:type="pct"/>
            <w:shd w:val="clear" w:color="auto" w:fill="auto"/>
            <w:vAlign w:val="bottom"/>
          </w:tcPr>
          <w:p w14:paraId="6430428E" w14:textId="77777777" w:rsidR="009F6D8A" w:rsidRDefault="009F6D8A">
            <w:pPr>
              <w:rPr>
                <w:rFonts w:ascii="宋体"/>
              </w:rPr>
            </w:pPr>
          </w:p>
        </w:tc>
        <w:tc>
          <w:tcPr>
            <w:tcW w:w="26" w:type="pct"/>
            <w:shd w:val="clear" w:color="auto" w:fill="auto"/>
            <w:vAlign w:val="bottom"/>
          </w:tcPr>
          <w:p w14:paraId="6430428F" w14:textId="77777777" w:rsidR="009F6D8A" w:rsidRDefault="009F6D8A">
            <w:pPr>
              <w:rPr>
                <w:rFonts w:ascii="宋体"/>
              </w:rPr>
            </w:pPr>
          </w:p>
        </w:tc>
        <w:tc>
          <w:tcPr>
            <w:tcW w:w="5" w:type="pct"/>
            <w:shd w:val="clear" w:color="auto" w:fill="auto"/>
            <w:vAlign w:val="bottom"/>
          </w:tcPr>
          <w:p w14:paraId="64304290" w14:textId="77777777" w:rsidR="009F6D8A" w:rsidRDefault="009F6D8A">
            <w:pPr>
              <w:rPr>
                <w:rFonts w:ascii="宋体"/>
              </w:rPr>
            </w:pPr>
          </w:p>
        </w:tc>
        <w:tc>
          <w:tcPr>
            <w:tcW w:w="50" w:type="pct"/>
            <w:shd w:val="clear" w:color="auto" w:fill="auto"/>
            <w:vAlign w:val="bottom"/>
          </w:tcPr>
          <w:p w14:paraId="64304291" w14:textId="77777777" w:rsidR="009F6D8A" w:rsidRDefault="009F6D8A">
            <w:pPr>
              <w:rPr>
                <w:rFonts w:ascii="宋体"/>
              </w:rPr>
            </w:pPr>
          </w:p>
        </w:tc>
        <w:tc>
          <w:tcPr>
            <w:tcW w:w="794" w:type="pct"/>
            <w:shd w:val="clear" w:color="auto" w:fill="auto"/>
            <w:vAlign w:val="bottom"/>
          </w:tcPr>
          <w:p w14:paraId="64304292" w14:textId="77777777" w:rsidR="009F6D8A" w:rsidRDefault="009F6D8A">
            <w:pPr>
              <w:rPr>
                <w:rFonts w:ascii="宋体"/>
              </w:rPr>
            </w:pPr>
          </w:p>
        </w:tc>
        <w:tc>
          <w:tcPr>
            <w:tcW w:w="5" w:type="pct"/>
            <w:shd w:val="clear" w:color="auto" w:fill="auto"/>
            <w:vAlign w:val="bottom"/>
          </w:tcPr>
          <w:p w14:paraId="64304293" w14:textId="77777777" w:rsidR="009F6D8A" w:rsidRDefault="009F6D8A">
            <w:pPr>
              <w:rPr>
                <w:rFonts w:ascii="宋体"/>
              </w:rPr>
            </w:pPr>
          </w:p>
        </w:tc>
      </w:tr>
      <w:tr w:rsidR="009F6D8A" w14:paraId="643042A4" w14:textId="77777777">
        <w:tc>
          <w:tcPr>
            <w:tcW w:w="0" w:type="auto"/>
            <w:gridSpan w:val="3"/>
            <w:shd w:val="clear" w:color="auto" w:fill="auto"/>
            <w:tcMar>
              <w:top w:w="0" w:type="dxa"/>
              <w:left w:w="20" w:type="dxa"/>
              <w:bottom w:w="0" w:type="dxa"/>
              <w:right w:w="20" w:type="dxa"/>
            </w:tcMar>
            <w:vAlign w:val="bottom"/>
          </w:tcPr>
          <w:p w14:paraId="64304295"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296" w14:textId="77777777" w:rsidR="009F6D8A" w:rsidRDefault="00C50974">
            <w:pPr>
              <w:jc w:val="center"/>
              <w:textAlignment w:val="bottom"/>
            </w:pPr>
            <w:r>
              <w:rPr>
                <w:rFonts w:ascii="Arial" w:eastAsia="宋体" w:hAnsi="Arial" w:cs="Arial"/>
                <w:b/>
                <w:bCs/>
                <w:color w:val="000000"/>
                <w:sz w:val="16"/>
                <w:szCs w:val="16"/>
              </w:rPr>
              <w:t>December 31, 2020</w:t>
            </w:r>
          </w:p>
        </w:tc>
        <w:tc>
          <w:tcPr>
            <w:tcW w:w="0" w:type="auto"/>
            <w:gridSpan w:val="3"/>
            <w:shd w:val="clear" w:color="auto" w:fill="auto"/>
            <w:tcMar>
              <w:top w:w="0" w:type="dxa"/>
              <w:left w:w="20" w:type="dxa"/>
              <w:bottom w:w="0" w:type="dxa"/>
              <w:right w:w="20" w:type="dxa"/>
            </w:tcMar>
            <w:vAlign w:val="bottom"/>
          </w:tcPr>
          <w:p w14:paraId="64304297"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298" w14:textId="77777777" w:rsidR="009F6D8A" w:rsidRDefault="00C50974">
            <w:pPr>
              <w:jc w:val="center"/>
              <w:textAlignment w:val="bottom"/>
            </w:pPr>
            <w:r>
              <w:rPr>
                <w:rFonts w:ascii="Arial" w:eastAsia="宋体" w:hAnsi="Arial" w:cs="Arial"/>
                <w:b/>
                <w:bCs/>
                <w:color w:val="000000"/>
                <w:sz w:val="16"/>
                <w:szCs w:val="16"/>
              </w:rPr>
              <w:t>Quoted Prices in</w:t>
            </w:r>
          </w:p>
          <w:p w14:paraId="64304299" w14:textId="77777777" w:rsidR="009F6D8A" w:rsidRDefault="00C50974">
            <w:pPr>
              <w:jc w:val="center"/>
              <w:textAlignment w:val="bottom"/>
            </w:pPr>
            <w:r>
              <w:rPr>
                <w:rFonts w:ascii="Arial" w:eastAsia="宋体" w:hAnsi="Arial" w:cs="Arial"/>
                <w:b/>
                <w:bCs/>
                <w:color w:val="000000"/>
                <w:sz w:val="16"/>
                <w:szCs w:val="16"/>
              </w:rPr>
              <w:t>Active Markets for</w:t>
            </w:r>
          </w:p>
          <w:p w14:paraId="6430429A" w14:textId="77777777" w:rsidR="009F6D8A" w:rsidRDefault="00C50974">
            <w:pPr>
              <w:jc w:val="center"/>
              <w:textAlignment w:val="bottom"/>
            </w:pPr>
            <w:r>
              <w:rPr>
                <w:rFonts w:ascii="Arial" w:eastAsia="宋体" w:hAnsi="Arial" w:cs="Arial"/>
                <w:b/>
                <w:bCs/>
                <w:color w:val="000000"/>
                <w:sz w:val="16"/>
                <w:szCs w:val="16"/>
              </w:rPr>
              <w:t>Identical Assets</w:t>
            </w:r>
          </w:p>
          <w:p w14:paraId="6430429B" w14:textId="77777777" w:rsidR="009F6D8A" w:rsidRDefault="00C50974">
            <w:pPr>
              <w:jc w:val="center"/>
              <w:textAlignment w:val="bottom"/>
            </w:pPr>
            <w:r>
              <w:rPr>
                <w:rFonts w:ascii="Arial" w:eastAsia="宋体" w:hAnsi="Arial" w:cs="Arial"/>
                <w:b/>
                <w:bCs/>
                <w:color w:val="000000"/>
                <w:sz w:val="16"/>
                <w:szCs w:val="16"/>
              </w:rPr>
              <w:t>(Level 1)</w:t>
            </w:r>
            <w:r>
              <w:rPr>
                <w:rFonts w:ascii="Arial" w:eastAsia="宋体" w:hAnsi="Arial" w:cs="Arial"/>
                <w:color w:val="000000"/>
                <w:sz w:val="16"/>
                <w:szCs w:val="16"/>
              </w:rPr>
              <w:t xml:space="preserve"> </w:t>
            </w:r>
          </w:p>
        </w:tc>
        <w:tc>
          <w:tcPr>
            <w:tcW w:w="0" w:type="auto"/>
            <w:gridSpan w:val="3"/>
            <w:shd w:val="clear" w:color="auto" w:fill="auto"/>
            <w:tcMar>
              <w:top w:w="0" w:type="dxa"/>
              <w:left w:w="20" w:type="dxa"/>
              <w:bottom w:w="0" w:type="dxa"/>
              <w:right w:w="20" w:type="dxa"/>
            </w:tcMar>
            <w:vAlign w:val="bottom"/>
          </w:tcPr>
          <w:p w14:paraId="6430429C"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29D" w14:textId="77777777" w:rsidR="009F6D8A" w:rsidRDefault="00C50974">
            <w:pPr>
              <w:jc w:val="center"/>
              <w:textAlignment w:val="bottom"/>
            </w:pPr>
            <w:r>
              <w:rPr>
                <w:rFonts w:ascii="Arial" w:eastAsia="宋体" w:hAnsi="Arial" w:cs="Arial"/>
                <w:b/>
                <w:bCs/>
                <w:color w:val="000000"/>
                <w:sz w:val="16"/>
                <w:szCs w:val="16"/>
              </w:rPr>
              <w:t>Significant Other</w:t>
            </w:r>
          </w:p>
          <w:p w14:paraId="6430429E" w14:textId="77777777" w:rsidR="009F6D8A" w:rsidRDefault="00C50974">
            <w:pPr>
              <w:jc w:val="center"/>
              <w:textAlignment w:val="bottom"/>
            </w:pPr>
            <w:r>
              <w:rPr>
                <w:rFonts w:ascii="Arial" w:eastAsia="宋体" w:hAnsi="Arial" w:cs="Arial"/>
                <w:b/>
                <w:bCs/>
                <w:color w:val="000000"/>
                <w:sz w:val="16"/>
                <w:szCs w:val="16"/>
              </w:rPr>
              <w:t>Observable Inputs</w:t>
            </w:r>
          </w:p>
          <w:p w14:paraId="6430429F" w14:textId="77777777" w:rsidR="009F6D8A" w:rsidRDefault="00C50974">
            <w:pPr>
              <w:jc w:val="center"/>
              <w:textAlignment w:val="bottom"/>
            </w:pPr>
            <w:r>
              <w:rPr>
                <w:rFonts w:ascii="Arial" w:eastAsia="宋体" w:hAnsi="Arial" w:cs="Arial"/>
                <w:b/>
                <w:bCs/>
                <w:color w:val="000000"/>
                <w:sz w:val="16"/>
                <w:szCs w:val="16"/>
              </w:rPr>
              <w:t>(Level 2)</w:t>
            </w:r>
          </w:p>
        </w:tc>
        <w:tc>
          <w:tcPr>
            <w:tcW w:w="0" w:type="auto"/>
            <w:gridSpan w:val="3"/>
            <w:shd w:val="clear" w:color="auto" w:fill="auto"/>
            <w:tcMar>
              <w:top w:w="0" w:type="dxa"/>
              <w:left w:w="20" w:type="dxa"/>
              <w:bottom w:w="0" w:type="dxa"/>
              <w:right w:w="20" w:type="dxa"/>
            </w:tcMar>
            <w:vAlign w:val="bottom"/>
          </w:tcPr>
          <w:p w14:paraId="643042A0"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2A1" w14:textId="77777777" w:rsidR="009F6D8A" w:rsidRDefault="00C50974">
            <w:pPr>
              <w:jc w:val="center"/>
              <w:textAlignment w:val="bottom"/>
            </w:pPr>
            <w:r>
              <w:rPr>
                <w:rFonts w:ascii="Arial" w:eastAsia="宋体" w:hAnsi="Arial" w:cs="Arial"/>
                <w:b/>
                <w:bCs/>
                <w:color w:val="000000"/>
                <w:sz w:val="16"/>
                <w:szCs w:val="16"/>
              </w:rPr>
              <w:t>Significant </w:t>
            </w:r>
          </w:p>
          <w:p w14:paraId="643042A2" w14:textId="77777777" w:rsidR="009F6D8A" w:rsidRDefault="00C50974">
            <w:pPr>
              <w:jc w:val="center"/>
              <w:textAlignment w:val="bottom"/>
            </w:pPr>
            <w:r>
              <w:rPr>
                <w:rFonts w:ascii="Arial" w:eastAsia="宋体" w:hAnsi="Arial" w:cs="Arial"/>
                <w:b/>
                <w:bCs/>
                <w:color w:val="000000"/>
                <w:sz w:val="16"/>
                <w:szCs w:val="16"/>
              </w:rPr>
              <w:t>Unobservable Inputs</w:t>
            </w:r>
          </w:p>
          <w:p w14:paraId="643042A3" w14:textId="77777777" w:rsidR="009F6D8A" w:rsidRDefault="00C50974">
            <w:pPr>
              <w:jc w:val="center"/>
              <w:textAlignment w:val="bottom"/>
            </w:pPr>
            <w:r>
              <w:rPr>
                <w:rFonts w:ascii="Arial" w:eastAsia="宋体" w:hAnsi="Arial" w:cs="Arial"/>
                <w:b/>
                <w:bCs/>
                <w:color w:val="000000"/>
                <w:sz w:val="16"/>
                <w:szCs w:val="16"/>
              </w:rPr>
              <w:t>(Level 3)</w:t>
            </w:r>
          </w:p>
        </w:tc>
      </w:tr>
      <w:tr w:rsidR="009F6D8A" w14:paraId="643042AD" w14:textId="77777777">
        <w:tc>
          <w:tcPr>
            <w:tcW w:w="0" w:type="auto"/>
            <w:gridSpan w:val="3"/>
            <w:shd w:val="clear" w:color="auto" w:fill="E2E2E2"/>
            <w:tcMar>
              <w:top w:w="40" w:type="dxa"/>
              <w:left w:w="20" w:type="dxa"/>
              <w:bottom w:w="40" w:type="dxa"/>
              <w:right w:w="20" w:type="dxa"/>
            </w:tcMar>
            <w:vAlign w:val="bottom"/>
          </w:tcPr>
          <w:p w14:paraId="643042A5" w14:textId="77777777" w:rsidR="009F6D8A" w:rsidRDefault="00C50974">
            <w:pPr>
              <w:textAlignment w:val="bottom"/>
            </w:pPr>
            <w:r>
              <w:rPr>
                <w:rFonts w:ascii="Arial" w:eastAsia="宋体" w:hAnsi="Arial" w:cs="Arial"/>
                <w:b/>
                <w:bCs/>
                <w:i/>
                <w:iCs/>
                <w:color w:val="000000"/>
                <w:sz w:val="18"/>
                <w:szCs w:val="18"/>
              </w:rPr>
              <w:t>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3042A6" w14:textId="77777777" w:rsidR="009F6D8A" w:rsidRDefault="00C50974">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643042A7" w14:textId="77777777" w:rsidR="009F6D8A" w:rsidRDefault="009F6D8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3042A8" w14:textId="77777777" w:rsidR="009F6D8A" w:rsidRDefault="00C50974">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643042A9" w14:textId="77777777" w:rsidR="009F6D8A" w:rsidRDefault="009F6D8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3042AA" w14:textId="77777777" w:rsidR="009F6D8A" w:rsidRDefault="00C50974">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643042AB"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42AC" w14:textId="77777777" w:rsidR="009F6D8A" w:rsidRDefault="009F6D8A">
            <w:pPr>
              <w:rPr>
                <w:rFonts w:ascii="宋体"/>
              </w:rPr>
            </w:pPr>
          </w:p>
        </w:tc>
      </w:tr>
      <w:tr w:rsidR="009F6D8A" w14:paraId="643042BE" w14:textId="77777777">
        <w:tc>
          <w:tcPr>
            <w:tcW w:w="0" w:type="auto"/>
            <w:gridSpan w:val="3"/>
            <w:shd w:val="clear" w:color="auto" w:fill="FFFFFF"/>
            <w:tcMar>
              <w:top w:w="40" w:type="dxa"/>
              <w:left w:w="20" w:type="dxa"/>
              <w:bottom w:w="40" w:type="dxa"/>
              <w:right w:w="20" w:type="dxa"/>
            </w:tcMar>
            <w:vAlign w:val="bottom"/>
          </w:tcPr>
          <w:p w14:paraId="643042AE" w14:textId="77777777" w:rsidR="009F6D8A" w:rsidRDefault="00C50974">
            <w:pPr>
              <w:textAlignment w:val="bottom"/>
            </w:pPr>
            <w:r>
              <w:rPr>
                <w:rFonts w:ascii="Arial" w:eastAsia="宋体" w:hAnsi="Arial" w:cs="Arial"/>
                <w:color w:val="000000"/>
                <w:sz w:val="18"/>
                <w:szCs w:val="18"/>
              </w:rPr>
              <w:t xml:space="preserve">Cash and cash </w:t>
            </w:r>
            <w:r>
              <w:rPr>
                <w:rFonts w:ascii="Arial" w:eastAsia="宋体" w:hAnsi="Arial" w:cs="Arial"/>
                <w:color w:val="000000"/>
                <w:sz w:val="18"/>
                <w:szCs w:val="18"/>
              </w:rPr>
              <w:t>equivalents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643042A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42B0" w14:textId="77777777" w:rsidR="009F6D8A" w:rsidRDefault="00C50974">
            <w:pPr>
              <w:jc w:val="right"/>
              <w:textAlignment w:val="bottom"/>
            </w:pPr>
            <w:r>
              <w:rPr>
                <w:rFonts w:ascii="Arial" w:eastAsia="宋体" w:hAnsi="Arial" w:cs="Arial"/>
                <w:color w:val="000000"/>
                <w:sz w:val="18"/>
                <w:szCs w:val="18"/>
              </w:rPr>
              <w:t>1,101 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2B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2B2"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42B3"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42B4" w14:textId="77777777" w:rsidR="009F6D8A" w:rsidRDefault="00C50974">
            <w:pPr>
              <w:jc w:val="right"/>
              <w:textAlignment w:val="bottom"/>
            </w:pPr>
            <w:r>
              <w:rPr>
                <w:rFonts w:ascii="Arial" w:eastAsia="宋体" w:hAnsi="Arial" w:cs="Arial"/>
                <w:color w:val="000000"/>
                <w:sz w:val="18"/>
                <w:szCs w:val="18"/>
              </w:rPr>
              <w:t>890 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2B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2B6"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42B7"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42B8" w14:textId="77777777" w:rsidR="009F6D8A" w:rsidRDefault="00C50974">
            <w:pPr>
              <w:jc w:val="right"/>
              <w:textAlignment w:val="bottom"/>
            </w:pPr>
            <w:r>
              <w:rPr>
                <w:rFonts w:ascii="Arial" w:eastAsia="宋体" w:hAnsi="Arial" w:cs="Arial"/>
                <w:color w:val="000000"/>
                <w:sz w:val="18"/>
                <w:szCs w:val="18"/>
              </w:rPr>
              <w:t>211 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2B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2BA" w14:textId="77777777" w:rsidR="009F6D8A" w:rsidRDefault="009F6D8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43042B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43042BC"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2BD" w14:textId="77777777" w:rsidR="009F6D8A" w:rsidRDefault="009F6D8A">
            <w:pPr>
              <w:jc w:val="right"/>
              <w:rPr>
                <w:rFonts w:ascii="宋体"/>
              </w:rPr>
            </w:pPr>
          </w:p>
        </w:tc>
      </w:tr>
      <w:tr w:rsidR="009F6D8A" w14:paraId="643042C7" w14:textId="77777777">
        <w:tc>
          <w:tcPr>
            <w:tcW w:w="0" w:type="auto"/>
            <w:gridSpan w:val="3"/>
            <w:shd w:val="clear" w:color="auto" w:fill="E2E2E2"/>
            <w:tcMar>
              <w:top w:w="40" w:type="dxa"/>
              <w:left w:w="20" w:type="dxa"/>
              <w:bottom w:w="40" w:type="dxa"/>
              <w:right w:w="20" w:type="dxa"/>
            </w:tcMar>
            <w:vAlign w:val="bottom"/>
          </w:tcPr>
          <w:p w14:paraId="643042BF" w14:textId="77777777" w:rsidR="009F6D8A" w:rsidRDefault="00C50974">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42C0"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2C1"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42C2"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2C3"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42C4"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2C5"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42C6" w14:textId="77777777" w:rsidR="009F6D8A" w:rsidRDefault="009F6D8A">
            <w:pPr>
              <w:rPr>
                <w:rFonts w:ascii="宋体"/>
              </w:rPr>
            </w:pPr>
          </w:p>
        </w:tc>
      </w:tr>
      <w:tr w:rsidR="009F6D8A" w14:paraId="643042D4" w14:textId="77777777">
        <w:tc>
          <w:tcPr>
            <w:tcW w:w="0" w:type="auto"/>
            <w:gridSpan w:val="3"/>
            <w:shd w:val="clear" w:color="auto" w:fill="FFFFFF"/>
            <w:tcMar>
              <w:top w:w="40" w:type="dxa"/>
              <w:left w:w="515" w:type="dxa"/>
              <w:bottom w:w="40" w:type="dxa"/>
              <w:right w:w="20" w:type="dxa"/>
            </w:tcMar>
            <w:vAlign w:val="bottom"/>
          </w:tcPr>
          <w:p w14:paraId="643042C8" w14:textId="77777777" w:rsidR="009F6D8A" w:rsidRDefault="00C50974">
            <w:pPr>
              <w:textAlignment w:val="bottom"/>
            </w:pPr>
            <w:r>
              <w:rPr>
                <w:rFonts w:ascii="Arial" w:eastAsia="宋体" w:hAnsi="Arial" w:cs="Arial"/>
                <w:color w:val="000000"/>
                <w:sz w:val="18"/>
                <w:szCs w:val="18"/>
              </w:rPr>
              <w:t>Restricted cash</w:t>
            </w:r>
          </w:p>
        </w:tc>
        <w:tc>
          <w:tcPr>
            <w:tcW w:w="0" w:type="auto"/>
            <w:gridSpan w:val="2"/>
            <w:shd w:val="clear" w:color="auto" w:fill="FFFFFF"/>
            <w:tcMar>
              <w:top w:w="40" w:type="dxa"/>
              <w:left w:w="20" w:type="dxa"/>
              <w:bottom w:w="40" w:type="dxa"/>
              <w:right w:w="0" w:type="dxa"/>
            </w:tcMar>
            <w:vAlign w:val="bottom"/>
          </w:tcPr>
          <w:p w14:paraId="643042C9" w14:textId="77777777" w:rsidR="009F6D8A" w:rsidRDefault="00C50974">
            <w:pPr>
              <w:jc w:val="right"/>
              <w:textAlignment w:val="bottom"/>
            </w:pPr>
            <w:r>
              <w:rPr>
                <w:rFonts w:ascii="Arial" w:eastAsia="宋体" w:hAnsi="Arial" w:cs="Arial"/>
                <w:color w:val="000000"/>
                <w:sz w:val="18"/>
                <w:szCs w:val="18"/>
              </w:rPr>
              <w:t>137 </w:t>
            </w:r>
          </w:p>
        </w:tc>
        <w:tc>
          <w:tcPr>
            <w:tcW w:w="0" w:type="auto"/>
            <w:shd w:val="clear" w:color="auto" w:fill="FFFFFF"/>
            <w:tcMar>
              <w:top w:w="40" w:type="dxa"/>
              <w:left w:w="0" w:type="dxa"/>
              <w:bottom w:w="40" w:type="dxa"/>
              <w:right w:w="20" w:type="dxa"/>
            </w:tcMar>
            <w:vAlign w:val="bottom"/>
          </w:tcPr>
          <w:p w14:paraId="643042C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2CB"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2CC" w14:textId="77777777" w:rsidR="009F6D8A" w:rsidRDefault="00C50974">
            <w:pPr>
              <w:jc w:val="right"/>
              <w:textAlignment w:val="bottom"/>
            </w:pPr>
            <w:r>
              <w:rPr>
                <w:rFonts w:ascii="Arial" w:eastAsia="宋体" w:hAnsi="Arial" w:cs="Arial"/>
                <w:color w:val="000000"/>
                <w:sz w:val="18"/>
                <w:szCs w:val="18"/>
              </w:rPr>
              <w:t>137 </w:t>
            </w:r>
          </w:p>
        </w:tc>
        <w:tc>
          <w:tcPr>
            <w:tcW w:w="0" w:type="auto"/>
            <w:shd w:val="clear" w:color="auto" w:fill="FFFFFF"/>
            <w:tcMar>
              <w:top w:w="40" w:type="dxa"/>
              <w:left w:w="0" w:type="dxa"/>
              <w:bottom w:w="40" w:type="dxa"/>
              <w:right w:w="20" w:type="dxa"/>
            </w:tcMar>
            <w:vAlign w:val="bottom"/>
          </w:tcPr>
          <w:p w14:paraId="643042C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2CE"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2CF"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42D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2D1"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2D2"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42D3" w14:textId="77777777" w:rsidR="009F6D8A" w:rsidRDefault="009F6D8A">
            <w:pPr>
              <w:jc w:val="right"/>
              <w:rPr>
                <w:rFonts w:ascii="宋体"/>
              </w:rPr>
            </w:pPr>
          </w:p>
        </w:tc>
      </w:tr>
      <w:tr w:rsidR="009F6D8A" w14:paraId="643042E1" w14:textId="77777777">
        <w:tc>
          <w:tcPr>
            <w:tcW w:w="0" w:type="auto"/>
            <w:gridSpan w:val="3"/>
            <w:shd w:val="clear" w:color="auto" w:fill="E2E2E2"/>
            <w:tcMar>
              <w:top w:w="40" w:type="dxa"/>
              <w:left w:w="515" w:type="dxa"/>
              <w:bottom w:w="40" w:type="dxa"/>
              <w:right w:w="20" w:type="dxa"/>
            </w:tcMar>
            <w:vAlign w:val="bottom"/>
          </w:tcPr>
          <w:p w14:paraId="643042D5" w14:textId="77777777" w:rsidR="009F6D8A" w:rsidRDefault="00C50974">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643042D6" w14:textId="77777777" w:rsidR="009F6D8A" w:rsidRDefault="00C50974">
            <w:pPr>
              <w:jc w:val="right"/>
              <w:textAlignment w:val="bottom"/>
            </w:pPr>
            <w:r>
              <w:rPr>
                <w:rFonts w:ascii="Arial" w:eastAsia="宋体" w:hAnsi="Arial" w:cs="Arial"/>
                <w:color w:val="000000"/>
                <w:sz w:val="18"/>
                <w:szCs w:val="18"/>
              </w:rPr>
              <w:t>2,255 </w:t>
            </w:r>
          </w:p>
        </w:tc>
        <w:tc>
          <w:tcPr>
            <w:tcW w:w="0" w:type="auto"/>
            <w:shd w:val="clear" w:color="auto" w:fill="E2E2E2"/>
            <w:tcMar>
              <w:top w:w="40" w:type="dxa"/>
              <w:left w:w="0" w:type="dxa"/>
              <w:bottom w:w="40" w:type="dxa"/>
              <w:right w:w="20" w:type="dxa"/>
            </w:tcMar>
            <w:vAlign w:val="bottom"/>
          </w:tcPr>
          <w:p w14:paraId="643042D7"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2D8"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2D9"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42D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2DB"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2DC" w14:textId="77777777" w:rsidR="009F6D8A" w:rsidRDefault="00C50974">
            <w:pPr>
              <w:jc w:val="right"/>
              <w:textAlignment w:val="bottom"/>
            </w:pPr>
            <w:r>
              <w:rPr>
                <w:rFonts w:ascii="Arial" w:eastAsia="宋体" w:hAnsi="Arial" w:cs="Arial"/>
                <w:color w:val="000000"/>
                <w:sz w:val="18"/>
                <w:szCs w:val="18"/>
              </w:rPr>
              <w:t>2,255 </w:t>
            </w:r>
          </w:p>
        </w:tc>
        <w:tc>
          <w:tcPr>
            <w:tcW w:w="0" w:type="auto"/>
            <w:shd w:val="clear" w:color="auto" w:fill="E2E2E2"/>
            <w:tcMar>
              <w:top w:w="40" w:type="dxa"/>
              <w:left w:w="0" w:type="dxa"/>
              <w:bottom w:w="40" w:type="dxa"/>
              <w:right w:w="20" w:type="dxa"/>
            </w:tcMar>
            <w:vAlign w:val="bottom"/>
          </w:tcPr>
          <w:p w14:paraId="643042D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2DE"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2DF"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42E0" w14:textId="77777777" w:rsidR="009F6D8A" w:rsidRDefault="009F6D8A">
            <w:pPr>
              <w:jc w:val="right"/>
              <w:rPr>
                <w:rFonts w:ascii="宋体"/>
              </w:rPr>
            </w:pPr>
          </w:p>
        </w:tc>
      </w:tr>
      <w:tr w:rsidR="009F6D8A" w14:paraId="643042EA" w14:textId="77777777">
        <w:trPr>
          <w:hidden/>
        </w:trPr>
        <w:tc>
          <w:tcPr>
            <w:tcW w:w="0" w:type="auto"/>
            <w:gridSpan w:val="3"/>
            <w:shd w:val="clear" w:color="auto" w:fill="auto"/>
            <w:vAlign w:val="bottom"/>
          </w:tcPr>
          <w:p w14:paraId="643042E2" w14:textId="77777777" w:rsidR="009F6D8A" w:rsidRDefault="009F6D8A">
            <w:pPr>
              <w:rPr>
                <w:rFonts w:ascii="宋体"/>
                <w:vanish/>
              </w:rPr>
            </w:pPr>
          </w:p>
        </w:tc>
        <w:tc>
          <w:tcPr>
            <w:tcW w:w="0" w:type="auto"/>
            <w:gridSpan w:val="3"/>
            <w:shd w:val="clear" w:color="auto" w:fill="auto"/>
            <w:vAlign w:val="bottom"/>
          </w:tcPr>
          <w:p w14:paraId="643042E3" w14:textId="77777777" w:rsidR="009F6D8A" w:rsidRDefault="009F6D8A">
            <w:pPr>
              <w:rPr>
                <w:rFonts w:ascii="宋体"/>
                <w:vanish/>
              </w:rPr>
            </w:pPr>
          </w:p>
        </w:tc>
        <w:tc>
          <w:tcPr>
            <w:tcW w:w="0" w:type="auto"/>
            <w:gridSpan w:val="3"/>
            <w:shd w:val="clear" w:color="auto" w:fill="auto"/>
            <w:vAlign w:val="bottom"/>
          </w:tcPr>
          <w:p w14:paraId="643042E4" w14:textId="77777777" w:rsidR="009F6D8A" w:rsidRDefault="009F6D8A">
            <w:pPr>
              <w:rPr>
                <w:rFonts w:ascii="宋体"/>
                <w:vanish/>
              </w:rPr>
            </w:pPr>
          </w:p>
        </w:tc>
        <w:tc>
          <w:tcPr>
            <w:tcW w:w="0" w:type="auto"/>
            <w:gridSpan w:val="3"/>
            <w:shd w:val="clear" w:color="auto" w:fill="auto"/>
            <w:vAlign w:val="bottom"/>
          </w:tcPr>
          <w:p w14:paraId="643042E5" w14:textId="77777777" w:rsidR="009F6D8A" w:rsidRDefault="009F6D8A">
            <w:pPr>
              <w:rPr>
                <w:rFonts w:ascii="宋体"/>
                <w:vanish/>
              </w:rPr>
            </w:pPr>
          </w:p>
        </w:tc>
        <w:tc>
          <w:tcPr>
            <w:tcW w:w="0" w:type="auto"/>
            <w:gridSpan w:val="3"/>
            <w:shd w:val="clear" w:color="auto" w:fill="auto"/>
            <w:vAlign w:val="bottom"/>
          </w:tcPr>
          <w:p w14:paraId="643042E6" w14:textId="77777777" w:rsidR="009F6D8A" w:rsidRDefault="009F6D8A">
            <w:pPr>
              <w:rPr>
                <w:rFonts w:ascii="宋体"/>
                <w:vanish/>
              </w:rPr>
            </w:pPr>
          </w:p>
        </w:tc>
        <w:tc>
          <w:tcPr>
            <w:tcW w:w="0" w:type="auto"/>
            <w:gridSpan w:val="3"/>
            <w:shd w:val="clear" w:color="auto" w:fill="auto"/>
            <w:vAlign w:val="bottom"/>
          </w:tcPr>
          <w:p w14:paraId="643042E7" w14:textId="77777777" w:rsidR="009F6D8A" w:rsidRDefault="009F6D8A">
            <w:pPr>
              <w:rPr>
                <w:rFonts w:ascii="宋体"/>
                <w:vanish/>
              </w:rPr>
            </w:pPr>
          </w:p>
        </w:tc>
        <w:tc>
          <w:tcPr>
            <w:tcW w:w="0" w:type="auto"/>
            <w:gridSpan w:val="3"/>
            <w:shd w:val="clear" w:color="auto" w:fill="auto"/>
            <w:vAlign w:val="bottom"/>
          </w:tcPr>
          <w:p w14:paraId="643042E8" w14:textId="77777777" w:rsidR="009F6D8A" w:rsidRDefault="009F6D8A">
            <w:pPr>
              <w:rPr>
                <w:rFonts w:ascii="宋体"/>
                <w:vanish/>
              </w:rPr>
            </w:pPr>
          </w:p>
        </w:tc>
        <w:tc>
          <w:tcPr>
            <w:tcW w:w="0" w:type="auto"/>
            <w:gridSpan w:val="3"/>
            <w:shd w:val="clear" w:color="auto" w:fill="auto"/>
            <w:vAlign w:val="bottom"/>
          </w:tcPr>
          <w:p w14:paraId="643042E9" w14:textId="77777777" w:rsidR="009F6D8A" w:rsidRDefault="009F6D8A">
            <w:pPr>
              <w:rPr>
                <w:rFonts w:ascii="宋体"/>
                <w:vanish/>
              </w:rPr>
            </w:pPr>
          </w:p>
        </w:tc>
      </w:tr>
      <w:tr w:rsidR="009F6D8A" w14:paraId="643042F3" w14:textId="77777777">
        <w:trPr>
          <w:hidden/>
        </w:trPr>
        <w:tc>
          <w:tcPr>
            <w:tcW w:w="0" w:type="auto"/>
            <w:gridSpan w:val="3"/>
            <w:shd w:val="clear" w:color="auto" w:fill="auto"/>
            <w:vAlign w:val="bottom"/>
          </w:tcPr>
          <w:p w14:paraId="643042EB" w14:textId="77777777" w:rsidR="009F6D8A" w:rsidRDefault="009F6D8A">
            <w:pPr>
              <w:rPr>
                <w:rFonts w:ascii="宋体"/>
                <w:vanish/>
              </w:rPr>
            </w:pPr>
          </w:p>
        </w:tc>
        <w:tc>
          <w:tcPr>
            <w:tcW w:w="0" w:type="auto"/>
            <w:gridSpan w:val="3"/>
            <w:shd w:val="clear" w:color="auto" w:fill="auto"/>
            <w:vAlign w:val="bottom"/>
          </w:tcPr>
          <w:p w14:paraId="643042EC" w14:textId="77777777" w:rsidR="009F6D8A" w:rsidRDefault="009F6D8A">
            <w:pPr>
              <w:rPr>
                <w:rFonts w:ascii="宋体"/>
                <w:vanish/>
              </w:rPr>
            </w:pPr>
          </w:p>
        </w:tc>
        <w:tc>
          <w:tcPr>
            <w:tcW w:w="0" w:type="auto"/>
            <w:gridSpan w:val="3"/>
            <w:shd w:val="clear" w:color="auto" w:fill="auto"/>
            <w:vAlign w:val="bottom"/>
          </w:tcPr>
          <w:p w14:paraId="643042ED" w14:textId="77777777" w:rsidR="009F6D8A" w:rsidRDefault="009F6D8A">
            <w:pPr>
              <w:rPr>
                <w:rFonts w:ascii="宋体"/>
                <w:vanish/>
              </w:rPr>
            </w:pPr>
          </w:p>
        </w:tc>
        <w:tc>
          <w:tcPr>
            <w:tcW w:w="0" w:type="auto"/>
            <w:gridSpan w:val="3"/>
            <w:shd w:val="clear" w:color="auto" w:fill="auto"/>
            <w:vAlign w:val="bottom"/>
          </w:tcPr>
          <w:p w14:paraId="643042EE" w14:textId="77777777" w:rsidR="009F6D8A" w:rsidRDefault="009F6D8A">
            <w:pPr>
              <w:rPr>
                <w:rFonts w:ascii="宋体"/>
                <w:vanish/>
              </w:rPr>
            </w:pPr>
          </w:p>
        </w:tc>
        <w:tc>
          <w:tcPr>
            <w:tcW w:w="0" w:type="auto"/>
            <w:gridSpan w:val="3"/>
            <w:shd w:val="clear" w:color="auto" w:fill="auto"/>
            <w:vAlign w:val="bottom"/>
          </w:tcPr>
          <w:p w14:paraId="643042EF" w14:textId="77777777" w:rsidR="009F6D8A" w:rsidRDefault="009F6D8A">
            <w:pPr>
              <w:rPr>
                <w:rFonts w:ascii="宋体"/>
                <w:vanish/>
              </w:rPr>
            </w:pPr>
          </w:p>
        </w:tc>
        <w:tc>
          <w:tcPr>
            <w:tcW w:w="0" w:type="auto"/>
            <w:gridSpan w:val="3"/>
            <w:shd w:val="clear" w:color="auto" w:fill="auto"/>
            <w:vAlign w:val="bottom"/>
          </w:tcPr>
          <w:p w14:paraId="643042F0" w14:textId="77777777" w:rsidR="009F6D8A" w:rsidRDefault="009F6D8A">
            <w:pPr>
              <w:rPr>
                <w:rFonts w:ascii="宋体"/>
                <w:vanish/>
              </w:rPr>
            </w:pPr>
          </w:p>
        </w:tc>
        <w:tc>
          <w:tcPr>
            <w:tcW w:w="0" w:type="auto"/>
            <w:gridSpan w:val="3"/>
            <w:shd w:val="clear" w:color="auto" w:fill="auto"/>
            <w:vAlign w:val="bottom"/>
          </w:tcPr>
          <w:p w14:paraId="643042F1" w14:textId="77777777" w:rsidR="009F6D8A" w:rsidRDefault="009F6D8A">
            <w:pPr>
              <w:rPr>
                <w:rFonts w:ascii="宋体"/>
                <w:vanish/>
              </w:rPr>
            </w:pPr>
          </w:p>
        </w:tc>
        <w:tc>
          <w:tcPr>
            <w:tcW w:w="0" w:type="auto"/>
            <w:gridSpan w:val="3"/>
            <w:shd w:val="clear" w:color="auto" w:fill="auto"/>
            <w:vAlign w:val="bottom"/>
          </w:tcPr>
          <w:p w14:paraId="643042F2" w14:textId="77777777" w:rsidR="009F6D8A" w:rsidRDefault="009F6D8A">
            <w:pPr>
              <w:rPr>
                <w:rFonts w:ascii="宋体"/>
                <w:vanish/>
              </w:rPr>
            </w:pPr>
          </w:p>
        </w:tc>
      </w:tr>
      <w:tr w:rsidR="009F6D8A" w14:paraId="643042FC" w14:textId="77777777">
        <w:trPr>
          <w:hidden/>
        </w:trPr>
        <w:tc>
          <w:tcPr>
            <w:tcW w:w="0" w:type="auto"/>
            <w:gridSpan w:val="3"/>
            <w:shd w:val="clear" w:color="auto" w:fill="auto"/>
            <w:vAlign w:val="bottom"/>
          </w:tcPr>
          <w:p w14:paraId="643042F4" w14:textId="77777777" w:rsidR="009F6D8A" w:rsidRDefault="009F6D8A">
            <w:pPr>
              <w:rPr>
                <w:rFonts w:ascii="宋体"/>
                <w:vanish/>
              </w:rPr>
            </w:pPr>
          </w:p>
        </w:tc>
        <w:tc>
          <w:tcPr>
            <w:tcW w:w="0" w:type="auto"/>
            <w:gridSpan w:val="3"/>
            <w:shd w:val="clear" w:color="auto" w:fill="auto"/>
            <w:vAlign w:val="bottom"/>
          </w:tcPr>
          <w:p w14:paraId="643042F5" w14:textId="77777777" w:rsidR="009F6D8A" w:rsidRDefault="009F6D8A">
            <w:pPr>
              <w:rPr>
                <w:rFonts w:ascii="宋体"/>
                <w:vanish/>
              </w:rPr>
            </w:pPr>
          </w:p>
        </w:tc>
        <w:tc>
          <w:tcPr>
            <w:tcW w:w="0" w:type="auto"/>
            <w:gridSpan w:val="3"/>
            <w:shd w:val="clear" w:color="auto" w:fill="auto"/>
            <w:vAlign w:val="bottom"/>
          </w:tcPr>
          <w:p w14:paraId="643042F6" w14:textId="77777777" w:rsidR="009F6D8A" w:rsidRDefault="009F6D8A">
            <w:pPr>
              <w:rPr>
                <w:rFonts w:ascii="宋体"/>
                <w:vanish/>
              </w:rPr>
            </w:pPr>
          </w:p>
        </w:tc>
        <w:tc>
          <w:tcPr>
            <w:tcW w:w="0" w:type="auto"/>
            <w:gridSpan w:val="3"/>
            <w:shd w:val="clear" w:color="auto" w:fill="auto"/>
            <w:vAlign w:val="bottom"/>
          </w:tcPr>
          <w:p w14:paraId="643042F7" w14:textId="77777777" w:rsidR="009F6D8A" w:rsidRDefault="009F6D8A">
            <w:pPr>
              <w:rPr>
                <w:rFonts w:ascii="宋体"/>
                <w:vanish/>
              </w:rPr>
            </w:pPr>
          </w:p>
        </w:tc>
        <w:tc>
          <w:tcPr>
            <w:tcW w:w="0" w:type="auto"/>
            <w:gridSpan w:val="3"/>
            <w:shd w:val="clear" w:color="auto" w:fill="auto"/>
            <w:vAlign w:val="bottom"/>
          </w:tcPr>
          <w:p w14:paraId="643042F8" w14:textId="77777777" w:rsidR="009F6D8A" w:rsidRDefault="009F6D8A">
            <w:pPr>
              <w:rPr>
                <w:rFonts w:ascii="宋体"/>
                <w:vanish/>
              </w:rPr>
            </w:pPr>
          </w:p>
        </w:tc>
        <w:tc>
          <w:tcPr>
            <w:tcW w:w="0" w:type="auto"/>
            <w:gridSpan w:val="3"/>
            <w:shd w:val="clear" w:color="auto" w:fill="auto"/>
            <w:vAlign w:val="bottom"/>
          </w:tcPr>
          <w:p w14:paraId="643042F9" w14:textId="77777777" w:rsidR="009F6D8A" w:rsidRDefault="009F6D8A">
            <w:pPr>
              <w:rPr>
                <w:rFonts w:ascii="宋体"/>
                <w:vanish/>
              </w:rPr>
            </w:pPr>
          </w:p>
        </w:tc>
        <w:tc>
          <w:tcPr>
            <w:tcW w:w="0" w:type="auto"/>
            <w:gridSpan w:val="3"/>
            <w:shd w:val="clear" w:color="auto" w:fill="auto"/>
            <w:vAlign w:val="bottom"/>
          </w:tcPr>
          <w:p w14:paraId="643042FA" w14:textId="77777777" w:rsidR="009F6D8A" w:rsidRDefault="009F6D8A">
            <w:pPr>
              <w:rPr>
                <w:rFonts w:ascii="宋体"/>
                <w:vanish/>
              </w:rPr>
            </w:pPr>
          </w:p>
        </w:tc>
        <w:tc>
          <w:tcPr>
            <w:tcW w:w="0" w:type="auto"/>
            <w:gridSpan w:val="3"/>
            <w:shd w:val="clear" w:color="auto" w:fill="auto"/>
            <w:vAlign w:val="bottom"/>
          </w:tcPr>
          <w:p w14:paraId="643042FB" w14:textId="77777777" w:rsidR="009F6D8A" w:rsidRDefault="009F6D8A">
            <w:pPr>
              <w:rPr>
                <w:rFonts w:ascii="宋体"/>
                <w:vanish/>
              </w:rPr>
            </w:pPr>
          </w:p>
        </w:tc>
      </w:tr>
      <w:tr w:rsidR="009F6D8A" w14:paraId="64304309" w14:textId="77777777">
        <w:tc>
          <w:tcPr>
            <w:tcW w:w="0" w:type="auto"/>
            <w:gridSpan w:val="3"/>
            <w:shd w:val="clear" w:color="auto" w:fill="FFFFFF"/>
            <w:tcMar>
              <w:top w:w="40" w:type="dxa"/>
              <w:left w:w="20" w:type="dxa"/>
              <w:bottom w:w="40" w:type="dxa"/>
              <w:right w:w="20" w:type="dxa"/>
            </w:tcMar>
            <w:vAlign w:val="bottom"/>
          </w:tcPr>
          <w:p w14:paraId="643042FD" w14:textId="77777777" w:rsidR="009F6D8A" w:rsidRDefault="00C50974">
            <w:pPr>
              <w:textAlignment w:val="bottom"/>
            </w:pPr>
            <w:r>
              <w:rPr>
                <w:rFonts w:ascii="Arial" w:eastAsia="宋体" w:hAnsi="Arial" w:cs="Arial"/>
                <w:color w:val="000000"/>
                <w:sz w:val="18"/>
                <w:szCs w:val="18"/>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2FE" w14:textId="77777777" w:rsidR="009F6D8A" w:rsidRDefault="00C50974">
            <w:pPr>
              <w:jc w:val="right"/>
              <w:textAlignment w:val="bottom"/>
            </w:pPr>
            <w:r>
              <w:rPr>
                <w:rFonts w:ascii="Arial" w:eastAsia="宋体" w:hAnsi="Arial" w:cs="Arial"/>
                <w:color w:val="000000"/>
                <w:sz w:val="18"/>
                <w:szCs w:val="18"/>
              </w:rPr>
              <w:t>2,392 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2F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300"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301" w14:textId="77777777" w:rsidR="009F6D8A" w:rsidRDefault="00C50974">
            <w:pPr>
              <w:jc w:val="right"/>
              <w:textAlignment w:val="bottom"/>
            </w:pPr>
            <w:r>
              <w:rPr>
                <w:rFonts w:ascii="Arial" w:eastAsia="宋体" w:hAnsi="Arial" w:cs="Arial"/>
                <w:color w:val="000000"/>
                <w:sz w:val="18"/>
                <w:szCs w:val="18"/>
              </w:rPr>
              <w:t>137 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30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303"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304" w14:textId="77777777" w:rsidR="009F6D8A" w:rsidRDefault="00C50974">
            <w:pPr>
              <w:jc w:val="right"/>
              <w:textAlignment w:val="bottom"/>
            </w:pPr>
            <w:r>
              <w:rPr>
                <w:rFonts w:ascii="Arial" w:eastAsia="宋体" w:hAnsi="Arial" w:cs="Arial"/>
                <w:color w:val="000000"/>
                <w:sz w:val="18"/>
                <w:szCs w:val="18"/>
              </w:rPr>
              <w:t>2,255 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30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306"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307"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308" w14:textId="77777777" w:rsidR="009F6D8A" w:rsidRDefault="009F6D8A">
            <w:pPr>
              <w:jc w:val="right"/>
              <w:rPr>
                <w:rFonts w:ascii="宋体"/>
              </w:rPr>
            </w:pPr>
          </w:p>
        </w:tc>
      </w:tr>
      <w:tr w:rsidR="009F6D8A" w14:paraId="64304312" w14:textId="77777777">
        <w:trPr>
          <w:hidden/>
        </w:trPr>
        <w:tc>
          <w:tcPr>
            <w:tcW w:w="0" w:type="auto"/>
            <w:gridSpan w:val="3"/>
            <w:shd w:val="clear" w:color="auto" w:fill="auto"/>
            <w:vAlign w:val="bottom"/>
          </w:tcPr>
          <w:p w14:paraId="6430430A" w14:textId="77777777" w:rsidR="009F6D8A" w:rsidRDefault="009F6D8A">
            <w:pPr>
              <w:rPr>
                <w:rFonts w:ascii="宋体"/>
                <w:vanish/>
              </w:rPr>
            </w:pPr>
          </w:p>
        </w:tc>
        <w:tc>
          <w:tcPr>
            <w:tcW w:w="0" w:type="auto"/>
            <w:gridSpan w:val="3"/>
            <w:shd w:val="clear" w:color="auto" w:fill="auto"/>
            <w:vAlign w:val="bottom"/>
          </w:tcPr>
          <w:p w14:paraId="6430430B" w14:textId="77777777" w:rsidR="009F6D8A" w:rsidRDefault="009F6D8A">
            <w:pPr>
              <w:rPr>
                <w:rFonts w:ascii="宋体"/>
                <w:vanish/>
              </w:rPr>
            </w:pPr>
          </w:p>
        </w:tc>
        <w:tc>
          <w:tcPr>
            <w:tcW w:w="0" w:type="auto"/>
            <w:gridSpan w:val="3"/>
            <w:shd w:val="clear" w:color="auto" w:fill="auto"/>
            <w:vAlign w:val="bottom"/>
          </w:tcPr>
          <w:p w14:paraId="6430430C" w14:textId="77777777" w:rsidR="009F6D8A" w:rsidRDefault="009F6D8A">
            <w:pPr>
              <w:rPr>
                <w:rFonts w:ascii="宋体"/>
                <w:vanish/>
              </w:rPr>
            </w:pPr>
          </w:p>
        </w:tc>
        <w:tc>
          <w:tcPr>
            <w:tcW w:w="0" w:type="auto"/>
            <w:gridSpan w:val="3"/>
            <w:shd w:val="clear" w:color="auto" w:fill="auto"/>
            <w:vAlign w:val="bottom"/>
          </w:tcPr>
          <w:p w14:paraId="6430430D" w14:textId="77777777" w:rsidR="009F6D8A" w:rsidRDefault="009F6D8A">
            <w:pPr>
              <w:rPr>
                <w:rFonts w:ascii="宋体"/>
                <w:vanish/>
              </w:rPr>
            </w:pPr>
          </w:p>
        </w:tc>
        <w:tc>
          <w:tcPr>
            <w:tcW w:w="0" w:type="auto"/>
            <w:gridSpan w:val="3"/>
            <w:shd w:val="clear" w:color="auto" w:fill="auto"/>
            <w:vAlign w:val="bottom"/>
          </w:tcPr>
          <w:p w14:paraId="6430430E" w14:textId="77777777" w:rsidR="009F6D8A" w:rsidRDefault="009F6D8A">
            <w:pPr>
              <w:rPr>
                <w:rFonts w:ascii="宋体"/>
                <w:vanish/>
              </w:rPr>
            </w:pPr>
          </w:p>
        </w:tc>
        <w:tc>
          <w:tcPr>
            <w:tcW w:w="0" w:type="auto"/>
            <w:gridSpan w:val="3"/>
            <w:shd w:val="clear" w:color="auto" w:fill="auto"/>
            <w:vAlign w:val="bottom"/>
          </w:tcPr>
          <w:p w14:paraId="6430430F" w14:textId="77777777" w:rsidR="009F6D8A" w:rsidRDefault="009F6D8A">
            <w:pPr>
              <w:rPr>
                <w:rFonts w:ascii="宋体"/>
                <w:vanish/>
              </w:rPr>
            </w:pPr>
          </w:p>
        </w:tc>
        <w:tc>
          <w:tcPr>
            <w:tcW w:w="0" w:type="auto"/>
            <w:gridSpan w:val="3"/>
            <w:shd w:val="clear" w:color="auto" w:fill="auto"/>
            <w:vAlign w:val="bottom"/>
          </w:tcPr>
          <w:p w14:paraId="64304310" w14:textId="77777777" w:rsidR="009F6D8A" w:rsidRDefault="009F6D8A">
            <w:pPr>
              <w:rPr>
                <w:rFonts w:ascii="宋体"/>
                <w:vanish/>
              </w:rPr>
            </w:pPr>
          </w:p>
        </w:tc>
        <w:tc>
          <w:tcPr>
            <w:tcW w:w="0" w:type="auto"/>
            <w:gridSpan w:val="3"/>
            <w:shd w:val="clear" w:color="auto" w:fill="auto"/>
            <w:vAlign w:val="bottom"/>
          </w:tcPr>
          <w:p w14:paraId="64304311" w14:textId="77777777" w:rsidR="009F6D8A" w:rsidRDefault="009F6D8A">
            <w:pPr>
              <w:rPr>
                <w:rFonts w:ascii="宋体"/>
                <w:vanish/>
              </w:rPr>
            </w:pPr>
          </w:p>
        </w:tc>
      </w:tr>
      <w:tr w:rsidR="009F6D8A" w14:paraId="6430431F" w14:textId="77777777">
        <w:tc>
          <w:tcPr>
            <w:tcW w:w="0" w:type="auto"/>
            <w:gridSpan w:val="3"/>
            <w:shd w:val="clear" w:color="auto" w:fill="E2E2E2"/>
            <w:tcMar>
              <w:top w:w="40" w:type="dxa"/>
              <w:left w:w="20" w:type="dxa"/>
              <w:bottom w:w="40" w:type="dxa"/>
              <w:right w:w="20" w:type="dxa"/>
            </w:tcMar>
            <w:vAlign w:val="bottom"/>
          </w:tcPr>
          <w:p w14:paraId="64304313" w14:textId="77777777" w:rsidR="009F6D8A" w:rsidRDefault="00C50974">
            <w:pPr>
              <w:textAlignment w:val="bottom"/>
            </w:pPr>
            <w:r>
              <w:rPr>
                <w:rFonts w:ascii="Arial" w:eastAsia="宋体" w:hAnsi="Arial" w:cs="Arial"/>
                <w:color w:val="000000"/>
                <w:sz w:val="18"/>
                <w:szCs w:val="18"/>
              </w:rPr>
              <w:t>Derivatives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4314" w14:textId="77777777" w:rsidR="009F6D8A" w:rsidRDefault="00C50974">
            <w:pPr>
              <w:jc w:val="right"/>
              <w:textAlignment w:val="bottom"/>
            </w:pPr>
            <w:r>
              <w:rPr>
                <w:rFonts w:ascii="Arial" w:eastAsia="宋体" w:hAnsi="Arial" w:cs="Arial"/>
                <w:color w:val="000000"/>
                <w:sz w:val="18"/>
                <w:szCs w:val="18"/>
              </w:rPr>
              <w:t>1,113 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31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316"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4317"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31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319"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431A" w14:textId="77777777" w:rsidR="009F6D8A" w:rsidRDefault="00C50974">
            <w:pPr>
              <w:jc w:val="right"/>
              <w:textAlignment w:val="bottom"/>
            </w:pPr>
            <w:r>
              <w:rPr>
                <w:rFonts w:ascii="Arial" w:eastAsia="宋体" w:hAnsi="Arial" w:cs="Arial"/>
                <w:color w:val="000000"/>
                <w:sz w:val="18"/>
                <w:szCs w:val="18"/>
              </w:rPr>
              <w:t>62 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31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31C"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431D" w14:textId="77777777" w:rsidR="009F6D8A" w:rsidRDefault="00C50974">
            <w:pPr>
              <w:jc w:val="right"/>
              <w:textAlignment w:val="bottom"/>
            </w:pPr>
            <w:r>
              <w:rPr>
                <w:rFonts w:ascii="Arial" w:eastAsia="宋体" w:hAnsi="Arial" w:cs="Arial"/>
                <w:color w:val="000000"/>
                <w:sz w:val="18"/>
                <w:szCs w:val="18"/>
              </w:rPr>
              <w:t>1,051 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31E" w14:textId="77777777" w:rsidR="009F6D8A" w:rsidRDefault="009F6D8A">
            <w:pPr>
              <w:jc w:val="right"/>
              <w:rPr>
                <w:rFonts w:ascii="宋体"/>
              </w:rPr>
            </w:pPr>
          </w:p>
        </w:tc>
      </w:tr>
      <w:tr w:rsidR="009F6D8A" w14:paraId="64304328" w14:textId="77777777">
        <w:tc>
          <w:tcPr>
            <w:tcW w:w="0" w:type="auto"/>
            <w:gridSpan w:val="3"/>
            <w:shd w:val="clear" w:color="auto" w:fill="FFFFFF"/>
            <w:tcMar>
              <w:top w:w="40" w:type="dxa"/>
              <w:left w:w="20" w:type="dxa"/>
              <w:bottom w:w="40" w:type="dxa"/>
              <w:right w:w="20" w:type="dxa"/>
            </w:tcMar>
            <w:vAlign w:val="bottom"/>
          </w:tcPr>
          <w:p w14:paraId="64304320" w14:textId="77777777" w:rsidR="009F6D8A" w:rsidRDefault="00C50974">
            <w:pPr>
              <w:textAlignment w:val="bottom"/>
            </w:pPr>
            <w:r>
              <w:rPr>
                <w:rFonts w:ascii="Arial" w:eastAsia="宋体" w:hAnsi="Arial" w:cs="Arial"/>
                <w:color w:val="000000"/>
                <w:sz w:val="18"/>
                <w:szCs w:val="18"/>
              </w:rPr>
              <w:t>Long-term investments: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321"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322"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323"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324"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325"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326"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327" w14:textId="77777777" w:rsidR="009F6D8A" w:rsidRDefault="009F6D8A">
            <w:pPr>
              <w:rPr>
                <w:rFonts w:ascii="宋体"/>
              </w:rPr>
            </w:pPr>
          </w:p>
        </w:tc>
      </w:tr>
      <w:tr w:rsidR="009F6D8A" w14:paraId="64304335" w14:textId="77777777">
        <w:tc>
          <w:tcPr>
            <w:tcW w:w="0" w:type="auto"/>
            <w:gridSpan w:val="3"/>
            <w:shd w:val="clear" w:color="auto" w:fill="E2E2E2"/>
            <w:tcMar>
              <w:top w:w="40" w:type="dxa"/>
              <w:left w:w="515" w:type="dxa"/>
              <w:bottom w:w="40" w:type="dxa"/>
              <w:right w:w="20" w:type="dxa"/>
            </w:tcMar>
            <w:vAlign w:val="bottom"/>
          </w:tcPr>
          <w:p w14:paraId="64304329" w14:textId="77777777" w:rsidR="009F6D8A" w:rsidRDefault="00C50974">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6430432A" w14:textId="77777777" w:rsidR="009F6D8A" w:rsidRDefault="00C50974">
            <w:pPr>
              <w:jc w:val="right"/>
              <w:textAlignment w:val="bottom"/>
            </w:pPr>
            <w:r>
              <w:rPr>
                <w:rFonts w:ascii="Arial" w:eastAsia="宋体" w:hAnsi="Arial" w:cs="Arial"/>
                <w:color w:val="000000"/>
                <w:sz w:val="18"/>
                <w:szCs w:val="18"/>
              </w:rPr>
              <w:t>286 </w:t>
            </w:r>
          </w:p>
        </w:tc>
        <w:tc>
          <w:tcPr>
            <w:tcW w:w="0" w:type="auto"/>
            <w:shd w:val="clear" w:color="auto" w:fill="E2E2E2"/>
            <w:tcMar>
              <w:top w:w="40" w:type="dxa"/>
              <w:left w:w="0" w:type="dxa"/>
              <w:bottom w:w="40" w:type="dxa"/>
              <w:right w:w="20" w:type="dxa"/>
            </w:tcMar>
            <w:vAlign w:val="bottom"/>
          </w:tcPr>
          <w:p w14:paraId="6430432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32C"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32D"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432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32F"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330" w14:textId="77777777" w:rsidR="009F6D8A" w:rsidRDefault="00C50974">
            <w:pPr>
              <w:jc w:val="right"/>
              <w:textAlignment w:val="bottom"/>
            </w:pPr>
            <w:r>
              <w:rPr>
                <w:rFonts w:ascii="Arial" w:eastAsia="宋体" w:hAnsi="Arial" w:cs="Arial"/>
                <w:color w:val="000000"/>
                <w:sz w:val="18"/>
                <w:szCs w:val="18"/>
              </w:rPr>
              <w:t>286 </w:t>
            </w:r>
          </w:p>
        </w:tc>
        <w:tc>
          <w:tcPr>
            <w:tcW w:w="0" w:type="auto"/>
            <w:shd w:val="clear" w:color="auto" w:fill="E2E2E2"/>
            <w:tcMar>
              <w:top w:w="40" w:type="dxa"/>
              <w:left w:w="0" w:type="dxa"/>
              <w:bottom w:w="40" w:type="dxa"/>
              <w:right w:w="20" w:type="dxa"/>
            </w:tcMar>
            <w:vAlign w:val="bottom"/>
          </w:tcPr>
          <w:p w14:paraId="6430433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332"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333"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4334" w14:textId="77777777" w:rsidR="009F6D8A" w:rsidRDefault="009F6D8A">
            <w:pPr>
              <w:jc w:val="right"/>
              <w:rPr>
                <w:rFonts w:ascii="宋体"/>
              </w:rPr>
            </w:pPr>
          </w:p>
        </w:tc>
      </w:tr>
      <w:tr w:rsidR="009F6D8A" w14:paraId="6430433E" w14:textId="77777777">
        <w:trPr>
          <w:hidden/>
        </w:trPr>
        <w:tc>
          <w:tcPr>
            <w:tcW w:w="0" w:type="auto"/>
            <w:gridSpan w:val="3"/>
            <w:shd w:val="clear" w:color="auto" w:fill="auto"/>
            <w:vAlign w:val="bottom"/>
          </w:tcPr>
          <w:p w14:paraId="64304336" w14:textId="77777777" w:rsidR="009F6D8A" w:rsidRDefault="009F6D8A">
            <w:pPr>
              <w:rPr>
                <w:rFonts w:ascii="宋体"/>
                <w:vanish/>
              </w:rPr>
            </w:pPr>
          </w:p>
        </w:tc>
        <w:tc>
          <w:tcPr>
            <w:tcW w:w="0" w:type="auto"/>
            <w:gridSpan w:val="3"/>
            <w:shd w:val="clear" w:color="auto" w:fill="auto"/>
            <w:vAlign w:val="bottom"/>
          </w:tcPr>
          <w:p w14:paraId="64304337" w14:textId="77777777" w:rsidR="009F6D8A" w:rsidRDefault="009F6D8A">
            <w:pPr>
              <w:rPr>
                <w:rFonts w:ascii="宋体"/>
                <w:vanish/>
              </w:rPr>
            </w:pPr>
          </w:p>
        </w:tc>
        <w:tc>
          <w:tcPr>
            <w:tcW w:w="0" w:type="auto"/>
            <w:gridSpan w:val="3"/>
            <w:shd w:val="clear" w:color="auto" w:fill="auto"/>
            <w:vAlign w:val="bottom"/>
          </w:tcPr>
          <w:p w14:paraId="64304338" w14:textId="77777777" w:rsidR="009F6D8A" w:rsidRDefault="009F6D8A">
            <w:pPr>
              <w:rPr>
                <w:rFonts w:ascii="宋体"/>
                <w:vanish/>
              </w:rPr>
            </w:pPr>
          </w:p>
        </w:tc>
        <w:tc>
          <w:tcPr>
            <w:tcW w:w="0" w:type="auto"/>
            <w:gridSpan w:val="3"/>
            <w:shd w:val="clear" w:color="auto" w:fill="auto"/>
            <w:vAlign w:val="bottom"/>
          </w:tcPr>
          <w:p w14:paraId="64304339" w14:textId="77777777" w:rsidR="009F6D8A" w:rsidRDefault="009F6D8A">
            <w:pPr>
              <w:rPr>
                <w:rFonts w:ascii="宋体"/>
                <w:vanish/>
              </w:rPr>
            </w:pPr>
          </w:p>
        </w:tc>
        <w:tc>
          <w:tcPr>
            <w:tcW w:w="0" w:type="auto"/>
            <w:gridSpan w:val="3"/>
            <w:shd w:val="clear" w:color="auto" w:fill="auto"/>
            <w:vAlign w:val="bottom"/>
          </w:tcPr>
          <w:p w14:paraId="6430433A" w14:textId="77777777" w:rsidR="009F6D8A" w:rsidRDefault="009F6D8A">
            <w:pPr>
              <w:rPr>
                <w:rFonts w:ascii="宋体"/>
                <w:vanish/>
              </w:rPr>
            </w:pPr>
          </w:p>
        </w:tc>
        <w:tc>
          <w:tcPr>
            <w:tcW w:w="0" w:type="auto"/>
            <w:gridSpan w:val="3"/>
            <w:shd w:val="clear" w:color="auto" w:fill="auto"/>
            <w:vAlign w:val="bottom"/>
          </w:tcPr>
          <w:p w14:paraId="6430433B" w14:textId="77777777" w:rsidR="009F6D8A" w:rsidRDefault="009F6D8A">
            <w:pPr>
              <w:rPr>
                <w:rFonts w:ascii="宋体"/>
                <w:vanish/>
              </w:rPr>
            </w:pPr>
          </w:p>
        </w:tc>
        <w:tc>
          <w:tcPr>
            <w:tcW w:w="0" w:type="auto"/>
            <w:gridSpan w:val="3"/>
            <w:shd w:val="clear" w:color="auto" w:fill="auto"/>
            <w:vAlign w:val="bottom"/>
          </w:tcPr>
          <w:p w14:paraId="6430433C" w14:textId="77777777" w:rsidR="009F6D8A" w:rsidRDefault="009F6D8A">
            <w:pPr>
              <w:rPr>
                <w:rFonts w:ascii="宋体"/>
                <w:vanish/>
              </w:rPr>
            </w:pPr>
          </w:p>
        </w:tc>
        <w:tc>
          <w:tcPr>
            <w:tcW w:w="0" w:type="auto"/>
            <w:gridSpan w:val="3"/>
            <w:shd w:val="clear" w:color="auto" w:fill="auto"/>
            <w:vAlign w:val="bottom"/>
          </w:tcPr>
          <w:p w14:paraId="6430433D" w14:textId="77777777" w:rsidR="009F6D8A" w:rsidRDefault="009F6D8A">
            <w:pPr>
              <w:rPr>
                <w:rFonts w:ascii="宋体"/>
                <w:vanish/>
              </w:rPr>
            </w:pPr>
          </w:p>
        </w:tc>
      </w:tr>
      <w:tr w:rsidR="009F6D8A" w14:paraId="6430434B" w14:textId="77777777">
        <w:tc>
          <w:tcPr>
            <w:tcW w:w="0" w:type="auto"/>
            <w:gridSpan w:val="3"/>
            <w:shd w:val="clear" w:color="auto" w:fill="FFFFFF"/>
            <w:tcMar>
              <w:top w:w="40" w:type="dxa"/>
              <w:left w:w="20" w:type="dxa"/>
              <w:bottom w:w="40" w:type="dxa"/>
              <w:right w:w="20" w:type="dxa"/>
            </w:tcMar>
            <w:vAlign w:val="bottom"/>
          </w:tcPr>
          <w:p w14:paraId="6430433F" w14:textId="77777777" w:rsidR="009F6D8A" w:rsidRDefault="00C50974">
            <w:pPr>
              <w:textAlignment w:val="bottom"/>
            </w:pPr>
            <w:r>
              <w:rPr>
                <w:rFonts w:ascii="Arial" w:eastAsia="宋体" w:hAnsi="Arial" w:cs="Arial"/>
                <w:color w:val="000000"/>
                <w:sz w:val="18"/>
                <w:szCs w:val="18"/>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340" w14:textId="77777777" w:rsidR="009F6D8A" w:rsidRDefault="00C50974">
            <w:pPr>
              <w:jc w:val="right"/>
              <w:textAlignment w:val="bottom"/>
            </w:pPr>
            <w:r>
              <w:rPr>
                <w:rFonts w:ascii="Arial" w:eastAsia="宋体" w:hAnsi="Arial" w:cs="Arial"/>
                <w:color w:val="000000"/>
                <w:sz w:val="18"/>
                <w:szCs w:val="18"/>
              </w:rPr>
              <w:t>286 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34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342"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343"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34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345"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346" w14:textId="77777777" w:rsidR="009F6D8A" w:rsidRDefault="00C50974">
            <w:pPr>
              <w:jc w:val="right"/>
              <w:textAlignment w:val="bottom"/>
            </w:pPr>
            <w:r>
              <w:rPr>
                <w:rFonts w:ascii="Arial" w:eastAsia="宋体" w:hAnsi="Arial" w:cs="Arial"/>
                <w:color w:val="000000"/>
                <w:sz w:val="18"/>
                <w:szCs w:val="18"/>
              </w:rPr>
              <w:t>286 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34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348"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349"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34A" w14:textId="77777777" w:rsidR="009F6D8A" w:rsidRDefault="009F6D8A">
            <w:pPr>
              <w:jc w:val="right"/>
              <w:rPr>
                <w:rFonts w:ascii="宋体"/>
              </w:rPr>
            </w:pPr>
          </w:p>
        </w:tc>
      </w:tr>
      <w:tr w:rsidR="009F6D8A" w14:paraId="6430435C" w14:textId="77777777">
        <w:tc>
          <w:tcPr>
            <w:tcW w:w="0" w:type="auto"/>
            <w:gridSpan w:val="3"/>
            <w:shd w:val="clear" w:color="auto" w:fill="E2E2E2"/>
            <w:tcMar>
              <w:top w:w="40" w:type="dxa"/>
              <w:left w:w="20" w:type="dxa"/>
              <w:bottom w:w="40" w:type="dxa"/>
              <w:right w:w="20" w:type="dxa"/>
            </w:tcMar>
            <w:vAlign w:val="bottom"/>
          </w:tcPr>
          <w:p w14:paraId="6430434C" w14:textId="77777777" w:rsidR="009F6D8A" w:rsidRDefault="00C50974">
            <w:pPr>
              <w:textAlignment w:val="bottom"/>
            </w:pPr>
            <w:r>
              <w:rPr>
                <w:rFonts w:ascii="Arial" w:eastAsia="宋体" w:hAnsi="Arial" w:cs="Arial"/>
                <w:color w:val="000000"/>
                <w:sz w:val="18"/>
                <w:szCs w:val="18"/>
              </w:rPr>
              <w:t>Total financial assets</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434D"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34E" w14:textId="77777777" w:rsidR="009F6D8A" w:rsidRDefault="00C50974">
            <w:pPr>
              <w:jc w:val="right"/>
              <w:textAlignment w:val="bottom"/>
            </w:pPr>
            <w:r>
              <w:rPr>
                <w:rFonts w:ascii="Arial" w:eastAsia="宋体" w:hAnsi="Arial" w:cs="Arial"/>
                <w:color w:val="000000"/>
                <w:sz w:val="18"/>
                <w:szCs w:val="18"/>
              </w:rPr>
              <w:t>4,892 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34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350"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351"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352" w14:textId="77777777" w:rsidR="009F6D8A" w:rsidRDefault="00C50974">
            <w:pPr>
              <w:jc w:val="right"/>
              <w:textAlignment w:val="bottom"/>
            </w:pPr>
            <w:r>
              <w:rPr>
                <w:rFonts w:ascii="Arial" w:eastAsia="宋体" w:hAnsi="Arial" w:cs="Arial"/>
                <w:color w:val="000000"/>
                <w:sz w:val="18"/>
                <w:szCs w:val="18"/>
              </w:rPr>
              <w:t>1,027 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353"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354"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355"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356" w14:textId="77777777" w:rsidR="009F6D8A" w:rsidRDefault="00C50974">
            <w:pPr>
              <w:jc w:val="right"/>
              <w:textAlignment w:val="bottom"/>
            </w:pPr>
            <w:r>
              <w:rPr>
                <w:rFonts w:ascii="Arial" w:eastAsia="宋体" w:hAnsi="Arial" w:cs="Arial"/>
                <w:color w:val="000000"/>
                <w:sz w:val="18"/>
                <w:szCs w:val="18"/>
              </w:rPr>
              <w:t>2,814 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357"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358"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359"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35A" w14:textId="77777777" w:rsidR="009F6D8A" w:rsidRDefault="00C50974">
            <w:pPr>
              <w:jc w:val="right"/>
              <w:textAlignment w:val="bottom"/>
            </w:pPr>
            <w:r>
              <w:rPr>
                <w:rFonts w:ascii="Arial" w:eastAsia="宋体" w:hAnsi="Arial" w:cs="Arial"/>
                <w:color w:val="000000"/>
                <w:sz w:val="18"/>
                <w:szCs w:val="18"/>
              </w:rPr>
              <w:t>1,051 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35B" w14:textId="77777777" w:rsidR="009F6D8A" w:rsidRDefault="009F6D8A">
            <w:pPr>
              <w:jc w:val="right"/>
              <w:rPr>
                <w:rFonts w:ascii="宋体"/>
              </w:rPr>
            </w:pPr>
          </w:p>
        </w:tc>
      </w:tr>
      <w:tr w:rsidR="009F6D8A" w14:paraId="64304365" w14:textId="77777777">
        <w:trPr>
          <w:trHeight w:val="280"/>
        </w:trPr>
        <w:tc>
          <w:tcPr>
            <w:tcW w:w="0" w:type="auto"/>
            <w:gridSpan w:val="3"/>
            <w:shd w:val="clear" w:color="auto" w:fill="FFFFFF"/>
            <w:tcMar>
              <w:top w:w="0" w:type="dxa"/>
              <w:left w:w="20" w:type="dxa"/>
              <w:bottom w:w="0" w:type="dxa"/>
              <w:right w:w="20" w:type="dxa"/>
            </w:tcMar>
            <w:vAlign w:val="bottom"/>
          </w:tcPr>
          <w:p w14:paraId="6430435D"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435E"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35F"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436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361"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4362"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363" w14:textId="77777777" w:rsidR="009F6D8A" w:rsidRDefault="009F6D8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4304364" w14:textId="77777777" w:rsidR="009F6D8A" w:rsidRDefault="009F6D8A">
            <w:pPr>
              <w:rPr>
                <w:rFonts w:ascii="宋体"/>
              </w:rPr>
            </w:pPr>
          </w:p>
        </w:tc>
      </w:tr>
      <w:tr w:rsidR="009F6D8A" w14:paraId="6430436E" w14:textId="77777777">
        <w:tc>
          <w:tcPr>
            <w:tcW w:w="0" w:type="auto"/>
            <w:gridSpan w:val="3"/>
            <w:shd w:val="clear" w:color="auto" w:fill="E2E2E2"/>
            <w:tcMar>
              <w:top w:w="40" w:type="dxa"/>
              <w:left w:w="20" w:type="dxa"/>
              <w:bottom w:w="40" w:type="dxa"/>
              <w:right w:w="20" w:type="dxa"/>
            </w:tcMar>
            <w:vAlign w:val="bottom"/>
          </w:tcPr>
          <w:p w14:paraId="64304366" w14:textId="77777777" w:rsidR="009F6D8A" w:rsidRDefault="00C50974">
            <w:pPr>
              <w:textAlignment w:val="bottom"/>
            </w:pPr>
            <w:r>
              <w:rPr>
                <w:rFonts w:ascii="Arial" w:eastAsia="宋体" w:hAnsi="Arial" w:cs="Arial"/>
                <w:b/>
                <w:bCs/>
                <w:i/>
                <w:iCs/>
                <w:color w:val="000000"/>
                <w:sz w:val="18"/>
                <w:szCs w:val="18"/>
              </w:rPr>
              <w:t>Liabilities:</w:t>
            </w:r>
          </w:p>
        </w:tc>
        <w:tc>
          <w:tcPr>
            <w:tcW w:w="0" w:type="auto"/>
            <w:gridSpan w:val="3"/>
            <w:shd w:val="clear" w:color="auto" w:fill="E2E2E2"/>
            <w:tcMar>
              <w:top w:w="0" w:type="dxa"/>
              <w:left w:w="20" w:type="dxa"/>
              <w:bottom w:w="0" w:type="dxa"/>
              <w:right w:w="20" w:type="dxa"/>
            </w:tcMar>
            <w:vAlign w:val="bottom"/>
          </w:tcPr>
          <w:p w14:paraId="64304367"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368"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369"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36A"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36B"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36C"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36D" w14:textId="77777777" w:rsidR="009F6D8A" w:rsidRDefault="009F6D8A">
            <w:pPr>
              <w:rPr>
                <w:rFonts w:ascii="宋体"/>
              </w:rPr>
            </w:pPr>
          </w:p>
        </w:tc>
      </w:tr>
      <w:tr w:rsidR="009F6D8A" w14:paraId="6430437F" w14:textId="77777777">
        <w:tc>
          <w:tcPr>
            <w:tcW w:w="0" w:type="auto"/>
            <w:gridSpan w:val="3"/>
            <w:shd w:val="clear" w:color="auto" w:fill="FFFFFF"/>
            <w:tcMar>
              <w:top w:w="40" w:type="dxa"/>
              <w:left w:w="20" w:type="dxa"/>
              <w:bottom w:w="40" w:type="dxa"/>
              <w:right w:w="20" w:type="dxa"/>
            </w:tcMar>
            <w:vAlign w:val="bottom"/>
          </w:tcPr>
          <w:p w14:paraId="6430436F" w14:textId="77777777" w:rsidR="009F6D8A" w:rsidRDefault="00C50974">
            <w:pPr>
              <w:textAlignment w:val="bottom"/>
            </w:pPr>
            <w:r>
              <w:rPr>
                <w:rFonts w:ascii="Arial" w:eastAsia="宋体" w:hAnsi="Arial" w:cs="Arial"/>
                <w:color w:val="000000"/>
                <w:sz w:val="18"/>
                <w:szCs w:val="18"/>
              </w:rPr>
              <w:t>Derivatives</w:t>
            </w:r>
          </w:p>
        </w:tc>
        <w:tc>
          <w:tcPr>
            <w:tcW w:w="0" w:type="auto"/>
            <w:tcBorders>
              <w:bottom w:val="double" w:sz="6" w:space="0" w:color="000000"/>
            </w:tcBorders>
            <w:shd w:val="clear" w:color="auto" w:fill="FFFFFF"/>
            <w:tcMar>
              <w:top w:w="40" w:type="dxa"/>
              <w:left w:w="20" w:type="dxa"/>
              <w:bottom w:w="40" w:type="dxa"/>
              <w:right w:w="0" w:type="dxa"/>
            </w:tcMar>
            <w:vAlign w:val="bottom"/>
          </w:tcPr>
          <w:p w14:paraId="64304370" w14:textId="77777777" w:rsidR="009F6D8A" w:rsidRDefault="00C50974">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64304371" w14:textId="77777777" w:rsidR="009F6D8A" w:rsidRDefault="00C50974">
            <w:pPr>
              <w:jc w:val="right"/>
              <w:textAlignment w:val="bottom"/>
            </w:pPr>
            <w:r>
              <w:rPr>
                <w:rFonts w:ascii="Arial" w:eastAsia="宋体" w:hAnsi="Arial" w:cs="Arial"/>
                <w:color w:val="000000"/>
                <w:sz w:val="18"/>
                <w:szCs w:val="18"/>
              </w:rPr>
              <w:t>44 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6430437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373" w14:textId="77777777" w:rsidR="009F6D8A" w:rsidRDefault="009F6D8A">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64304374" w14:textId="77777777" w:rsidR="009F6D8A" w:rsidRDefault="00C50974">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64304375" w14:textId="77777777" w:rsidR="009F6D8A" w:rsidRDefault="00C50974">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6430437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377" w14:textId="77777777" w:rsidR="009F6D8A" w:rsidRDefault="009F6D8A">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64304378" w14:textId="77777777" w:rsidR="009F6D8A" w:rsidRDefault="00C50974">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64304379" w14:textId="77777777" w:rsidR="009F6D8A" w:rsidRDefault="00C50974">
            <w:pPr>
              <w:jc w:val="right"/>
              <w:textAlignment w:val="bottom"/>
            </w:pPr>
            <w:r>
              <w:rPr>
                <w:rFonts w:ascii="Arial" w:eastAsia="宋体" w:hAnsi="Arial" w:cs="Arial"/>
                <w:color w:val="000000"/>
                <w:sz w:val="18"/>
                <w:szCs w:val="18"/>
              </w:rPr>
              <w:t>44 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6430437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37B" w14:textId="77777777" w:rsidR="009F6D8A" w:rsidRDefault="009F6D8A">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6430437C" w14:textId="77777777" w:rsidR="009F6D8A" w:rsidRDefault="00C50974">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6430437D" w14:textId="77777777" w:rsidR="009F6D8A" w:rsidRDefault="00C50974">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6430437E" w14:textId="77777777" w:rsidR="009F6D8A" w:rsidRDefault="009F6D8A">
            <w:pPr>
              <w:jc w:val="right"/>
              <w:rPr>
                <w:rFonts w:ascii="宋体"/>
              </w:rPr>
            </w:pPr>
          </w:p>
        </w:tc>
      </w:tr>
    </w:tbl>
    <w:p w14:paraId="64304380" w14:textId="77777777" w:rsidR="009F6D8A" w:rsidRDefault="009F6D8A"/>
    <w:p w14:paraId="64304381" w14:textId="77777777" w:rsidR="009F6D8A" w:rsidRDefault="009F6D8A">
      <w:pPr>
        <w:jc w:val="center"/>
      </w:pPr>
    </w:p>
    <w:p w14:paraId="64304382" w14:textId="77777777" w:rsidR="009F6D8A" w:rsidRDefault="00C50974">
      <w:pPr>
        <w:jc w:val="center"/>
      </w:pPr>
      <w:r>
        <w:rPr>
          <w:rFonts w:ascii="Arial" w:eastAsia="宋体" w:hAnsi="Arial" w:cs="Arial"/>
          <w:color w:val="000000"/>
          <w:sz w:val="20"/>
          <w:szCs w:val="20"/>
        </w:rPr>
        <w:t>27</w:t>
      </w:r>
    </w:p>
    <w:p w14:paraId="64304383" w14:textId="77777777" w:rsidR="009F6D8A" w:rsidRDefault="00C50974">
      <w:r>
        <w:pict w14:anchorId="6430581E">
          <v:rect id="_x0000_i1051" style="width:415.3pt;height:1.5pt" o:hralign="center" o:hrstd="t" o:hr="t" fillcolor="#a0a0a0" stroked="f"/>
        </w:pict>
      </w:r>
    </w:p>
    <w:p w14:paraId="64304384" w14:textId="77777777" w:rsidR="009F6D8A" w:rsidRDefault="009F6D8A">
      <w:pPr>
        <w:jc w:val="center"/>
      </w:pPr>
    </w:p>
    <w:p w14:paraId="64304385" w14:textId="77777777" w:rsidR="009F6D8A" w:rsidRDefault="00C50974">
      <w:pPr>
        <w:jc w:val="center"/>
      </w:pPr>
      <w:r>
        <w:rPr>
          <w:rFonts w:ascii="Arial" w:eastAsia="宋体" w:hAnsi="Arial" w:cs="Arial"/>
          <w:b/>
          <w:bCs/>
          <w:color w:val="000000"/>
          <w:sz w:val="20"/>
          <w:szCs w:val="20"/>
        </w:rPr>
        <w:t>eBay Inc.</w:t>
      </w:r>
    </w:p>
    <w:p w14:paraId="64304386"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4387" w14:textId="77777777" w:rsidR="009F6D8A" w:rsidRDefault="00C50974">
      <w:pPr>
        <w:ind w:firstLine="540"/>
        <w:jc w:val="both"/>
      </w:pPr>
      <w:r>
        <w:rPr>
          <w:rFonts w:ascii="Arial" w:eastAsia="宋体" w:hAnsi="Arial" w:cs="Arial"/>
          <w:color w:val="000000"/>
          <w:sz w:val="20"/>
          <w:szCs w:val="20"/>
        </w:rPr>
        <w:t xml:space="preserve">Our financial assets and liabilities are valued </w:t>
      </w:r>
      <w:r>
        <w:rPr>
          <w:rFonts w:ascii="Arial" w:eastAsia="宋体" w:hAnsi="Arial" w:cs="Arial"/>
          <w:color w:val="000000"/>
          <w:sz w:val="20"/>
          <w:szCs w:val="20"/>
        </w:rPr>
        <w:t>using market prices on both active markets (Level 1), less active markets (Level 2) and little or no market activity (Level 3). Level 1 instrument valuations are obtained from real-time quotes for transactions in active exchange markets involving identical</w:t>
      </w:r>
      <w:r>
        <w:rPr>
          <w:rFonts w:ascii="Arial" w:eastAsia="宋体" w:hAnsi="Arial" w:cs="Arial"/>
          <w:color w:val="000000"/>
          <w:sz w:val="20"/>
          <w:szCs w:val="20"/>
        </w:rPr>
        <w:t xml:space="preserve"> assets. Level 2 instrument valuations are obtained from readily available pricing sources for comparable instruments, identical instruments in less active markets, or models using market observable inputs. Level 3 instrument valuations typically reflect m</w:t>
      </w:r>
      <w:r>
        <w:rPr>
          <w:rFonts w:ascii="Arial" w:eastAsia="宋体" w:hAnsi="Arial" w:cs="Arial"/>
          <w:color w:val="000000"/>
          <w:sz w:val="20"/>
          <w:szCs w:val="20"/>
        </w:rPr>
        <w:t>anagement’s estimate of assumptions that market participants would use in pricing the asset or liability. We did not have any transfers of financial instruments between valuation levels during the six months ended June 30, 2021.</w:t>
      </w:r>
    </w:p>
    <w:p w14:paraId="64304388" w14:textId="77777777" w:rsidR="009F6D8A" w:rsidRDefault="009F6D8A">
      <w:pPr>
        <w:ind w:firstLine="540"/>
        <w:jc w:val="both"/>
      </w:pPr>
    </w:p>
    <w:p w14:paraId="64304389" w14:textId="77777777" w:rsidR="009F6D8A" w:rsidRDefault="00C50974">
      <w:pPr>
        <w:ind w:firstLine="540"/>
        <w:jc w:val="both"/>
      </w:pPr>
      <w:r>
        <w:rPr>
          <w:rFonts w:ascii="Arial" w:eastAsia="宋体" w:hAnsi="Arial" w:cs="Arial"/>
          <w:color w:val="000000"/>
          <w:sz w:val="20"/>
          <w:szCs w:val="20"/>
        </w:rPr>
        <w:t>The majority of our deriva</w:t>
      </w:r>
      <w:r>
        <w:rPr>
          <w:rFonts w:ascii="Arial" w:eastAsia="宋体" w:hAnsi="Arial" w:cs="Arial"/>
          <w:color w:val="000000"/>
          <w:sz w:val="20"/>
          <w:szCs w:val="20"/>
        </w:rPr>
        <w:t>tive instruments are valued using pricing models that take into account the contract terms as well as multiple inputs where applicable, such as equity prices, interest rate yield curves, option volatility and currency rates. Our warrant, which is accounted</w:t>
      </w:r>
      <w:r>
        <w:rPr>
          <w:rFonts w:ascii="Arial" w:eastAsia="宋体" w:hAnsi="Arial" w:cs="Arial"/>
          <w:color w:val="000000"/>
          <w:sz w:val="20"/>
          <w:szCs w:val="20"/>
        </w:rPr>
        <w:t xml:space="preserve"> for as a derivative instrument, is valued using a Black-Scholes model. Key assumptions used in the valuation include risk-free interest rates; Adyen’s common stock price, equity volatility and common stock outstanding; exercise price; and details specific</w:t>
      </w:r>
      <w:r>
        <w:rPr>
          <w:rFonts w:ascii="Arial" w:eastAsia="宋体" w:hAnsi="Arial" w:cs="Arial"/>
          <w:color w:val="000000"/>
          <w:sz w:val="20"/>
          <w:szCs w:val="20"/>
        </w:rPr>
        <w:t xml:space="preserve"> to the warrant. The value is also probability adjusted for management’s assumptions with respect to vesting of the four tranches which are each subject to meeting processing volume milestone targets.</w:t>
      </w:r>
      <w:r>
        <w:rPr>
          <w:rFonts w:ascii="sans-serif" w:eastAsia="宋体" w:hAnsi="sans-serif" w:cs="sans-serif"/>
          <w:color w:val="FF0000"/>
          <w:sz w:val="22"/>
          <w:szCs w:val="22"/>
        </w:rPr>
        <w:t xml:space="preserve"> </w:t>
      </w:r>
      <w:r>
        <w:rPr>
          <w:rFonts w:ascii="Arial" w:eastAsia="宋体" w:hAnsi="Arial" w:cs="Arial"/>
          <w:color w:val="000000"/>
          <w:sz w:val="20"/>
          <w:szCs w:val="20"/>
        </w:rPr>
        <w:t>These assumptions and the probability of meeting proces</w:t>
      </w:r>
      <w:r>
        <w:rPr>
          <w:rFonts w:ascii="Arial" w:eastAsia="宋体" w:hAnsi="Arial" w:cs="Arial"/>
          <w:color w:val="000000"/>
          <w:sz w:val="20"/>
          <w:szCs w:val="20"/>
        </w:rPr>
        <w:t>sing volume milestone targets may have a significant impact on the value of the warrant. Refer to “Note 7 – Derivative Instruments” for further details on our derivative instruments.</w:t>
      </w:r>
    </w:p>
    <w:p w14:paraId="6430438A" w14:textId="77777777" w:rsidR="009F6D8A" w:rsidRDefault="009F6D8A">
      <w:pPr>
        <w:ind w:firstLine="450"/>
        <w:jc w:val="both"/>
      </w:pPr>
    </w:p>
    <w:p w14:paraId="6430438B" w14:textId="77777777" w:rsidR="009F6D8A" w:rsidRDefault="00C50974">
      <w:pPr>
        <w:ind w:firstLine="540"/>
        <w:jc w:val="both"/>
      </w:pPr>
      <w:r>
        <w:rPr>
          <w:rFonts w:ascii="Arial" w:eastAsia="宋体" w:hAnsi="Arial" w:cs="Arial"/>
          <w:color w:val="000000"/>
          <w:sz w:val="20"/>
          <w:szCs w:val="20"/>
        </w:rPr>
        <w:t xml:space="preserve">Upon completion of the transfer of our Classifieds business to Adevinta </w:t>
      </w:r>
      <w:r>
        <w:rPr>
          <w:rFonts w:ascii="Arial" w:eastAsia="宋体" w:hAnsi="Arial" w:cs="Arial"/>
          <w:color w:val="000000"/>
          <w:sz w:val="20"/>
          <w:szCs w:val="20"/>
        </w:rPr>
        <w:t>we retained an equity investment of 44% in Adevinta valued at $10.8 billion. The investment is accounted for under the fair value option and classified within Level 1 in the fair value hierarchy as the valuation can be obtained from real time quotes in act</w:t>
      </w:r>
      <w:r>
        <w:rPr>
          <w:rFonts w:ascii="Arial" w:eastAsia="宋体" w:hAnsi="Arial" w:cs="Arial"/>
          <w:color w:val="000000"/>
          <w:sz w:val="20"/>
          <w:szCs w:val="20"/>
        </w:rPr>
        <w:t>ive markets. The fair value of the equity investment is measured based on Adevinta’s closing stock price and prevailing foreign exchange rate at each balance sheet date and the changes in fair value are reflected in interest and other, net in the condensed</w:t>
      </w:r>
      <w:r>
        <w:rPr>
          <w:rFonts w:ascii="Arial" w:eastAsia="宋体" w:hAnsi="Arial" w:cs="Arial"/>
          <w:color w:val="000000"/>
          <w:sz w:val="20"/>
          <w:szCs w:val="20"/>
        </w:rPr>
        <w:t xml:space="preserve"> consolidated statement of income. Refer to “Note 6 – Investments” for further details.</w:t>
      </w:r>
    </w:p>
    <w:p w14:paraId="6430438C" w14:textId="77777777" w:rsidR="009F6D8A" w:rsidRDefault="009F6D8A">
      <w:pPr>
        <w:ind w:firstLine="540"/>
        <w:jc w:val="both"/>
      </w:pPr>
    </w:p>
    <w:p w14:paraId="6430438D" w14:textId="77777777" w:rsidR="009F6D8A" w:rsidRDefault="00C50974">
      <w:pPr>
        <w:ind w:firstLine="540"/>
        <w:jc w:val="both"/>
      </w:pPr>
      <w:r>
        <w:rPr>
          <w:rFonts w:ascii="Arial" w:eastAsia="宋体" w:hAnsi="Arial" w:cs="Arial"/>
          <w:color w:val="000000"/>
          <w:sz w:val="20"/>
          <w:szCs w:val="20"/>
        </w:rPr>
        <w:t>On July 14, 2021, we entered into a share purchase agreement with Permira to sell approximately 125 million of our voting shares in Adevinta for total consideration of</w:t>
      </w:r>
      <w:r>
        <w:rPr>
          <w:rFonts w:ascii="Arial" w:eastAsia="宋体" w:hAnsi="Arial" w:cs="Arial"/>
          <w:color w:val="000000"/>
          <w:sz w:val="20"/>
          <w:szCs w:val="20"/>
        </w:rPr>
        <w:t xml:space="preserve"> $2.25 billion. The price represents an approximate 7% discount to the 10-day VWAP of Adevinta shares as of July 12, 2021 and a 5% discount to the 30-day VWAP as of July 12, 2021. In addition, we granted Permira an option, exercisable within 30 days after </w:t>
      </w:r>
      <w:r>
        <w:rPr>
          <w:rFonts w:ascii="Arial" w:eastAsia="宋体" w:hAnsi="Arial" w:cs="Arial"/>
          <w:color w:val="000000"/>
          <w:sz w:val="20"/>
          <w:szCs w:val="20"/>
        </w:rPr>
        <w:t>the date of the purchase agreement, to purchase approximately 10 million additional voting shares for $180 million in consideration. On July 29, 2021, Permira exercised the option. At the close of both transactions, our ownership in Adevinta will be reduce</w:t>
      </w:r>
      <w:r>
        <w:rPr>
          <w:rFonts w:ascii="Arial" w:eastAsia="宋体" w:hAnsi="Arial" w:cs="Arial"/>
          <w:color w:val="000000"/>
          <w:sz w:val="20"/>
          <w:szCs w:val="20"/>
        </w:rPr>
        <w:t>d to 33%. The transactions are expected to close in the fourth quarter of 2021, subject to the receipt of required regulatory approvals.</w:t>
      </w:r>
    </w:p>
    <w:p w14:paraId="6430438E" w14:textId="77777777" w:rsidR="009F6D8A" w:rsidRDefault="009F6D8A">
      <w:pPr>
        <w:ind w:firstLine="450"/>
        <w:jc w:val="both"/>
      </w:pPr>
    </w:p>
    <w:p w14:paraId="6430438F" w14:textId="77777777" w:rsidR="009F6D8A" w:rsidRDefault="00C50974">
      <w:pPr>
        <w:ind w:firstLine="540"/>
        <w:jc w:val="both"/>
      </w:pPr>
      <w:r>
        <w:rPr>
          <w:rFonts w:ascii="Arial" w:eastAsia="宋体" w:hAnsi="Arial" w:cs="Arial"/>
          <w:color w:val="000000"/>
          <w:sz w:val="20"/>
          <w:szCs w:val="20"/>
        </w:rPr>
        <w:t>Other financial instruments, including accounts receivable and accounts payable, are carried at cost, which approximat</w:t>
      </w:r>
      <w:r>
        <w:rPr>
          <w:rFonts w:ascii="Arial" w:eastAsia="宋体" w:hAnsi="Arial" w:cs="Arial"/>
          <w:color w:val="000000"/>
          <w:sz w:val="20"/>
          <w:szCs w:val="20"/>
        </w:rPr>
        <w:t xml:space="preserve">es their fair value because of the short-term nature of these instruments. </w:t>
      </w:r>
    </w:p>
    <w:p w14:paraId="64304390" w14:textId="77777777" w:rsidR="009F6D8A" w:rsidRDefault="009F6D8A">
      <w:pPr>
        <w:ind w:firstLine="540"/>
        <w:jc w:val="both"/>
      </w:pPr>
    </w:p>
    <w:p w14:paraId="64304391" w14:textId="77777777" w:rsidR="009F6D8A" w:rsidRDefault="00C50974">
      <w:pPr>
        <w:ind w:firstLine="540"/>
      </w:pPr>
      <w:r>
        <w:rPr>
          <w:rFonts w:ascii="Arial" w:eastAsia="宋体" w:hAnsi="Arial" w:cs="Arial"/>
          <w:color w:val="000000"/>
          <w:sz w:val="20"/>
          <w:szCs w:val="20"/>
        </w:rPr>
        <w:t>The following tables present a reconciliation of the opening to closing balance of assets measured using significant unobservable inputs (Level 3) (in millions):</w:t>
      </w:r>
    </w:p>
    <w:tbl>
      <w:tblPr>
        <w:tblW w:w="4949" w:type="pct"/>
        <w:jc w:val="center"/>
        <w:tblCellMar>
          <w:top w:w="15" w:type="dxa"/>
          <w:left w:w="15" w:type="dxa"/>
          <w:bottom w:w="15" w:type="dxa"/>
          <w:right w:w="15" w:type="dxa"/>
        </w:tblCellMar>
        <w:tblLook w:val="04A0" w:firstRow="1" w:lastRow="0" w:firstColumn="1" w:lastColumn="0" w:noHBand="0" w:noVBand="1"/>
      </w:tblPr>
      <w:tblGrid>
        <w:gridCol w:w="39"/>
        <w:gridCol w:w="5620"/>
        <w:gridCol w:w="37"/>
        <w:gridCol w:w="121"/>
        <w:gridCol w:w="1084"/>
        <w:gridCol w:w="36"/>
        <w:gridCol w:w="36"/>
        <w:gridCol w:w="36"/>
        <w:gridCol w:w="36"/>
        <w:gridCol w:w="122"/>
        <w:gridCol w:w="1048"/>
        <w:gridCol w:w="36"/>
      </w:tblGrid>
      <w:tr w:rsidR="009F6D8A" w14:paraId="6430439E" w14:textId="77777777">
        <w:trPr>
          <w:jc w:val="center"/>
        </w:trPr>
        <w:tc>
          <w:tcPr>
            <w:tcW w:w="50" w:type="pct"/>
            <w:shd w:val="clear" w:color="auto" w:fill="auto"/>
            <w:vAlign w:val="bottom"/>
          </w:tcPr>
          <w:p w14:paraId="64304392" w14:textId="77777777" w:rsidR="009F6D8A" w:rsidRDefault="009F6D8A">
            <w:pPr>
              <w:rPr>
                <w:rFonts w:ascii="宋体"/>
              </w:rPr>
            </w:pPr>
          </w:p>
        </w:tc>
        <w:tc>
          <w:tcPr>
            <w:tcW w:w="3430" w:type="pct"/>
            <w:shd w:val="clear" w:color="auto" w:fill="auto"/>
            <w:vAlign w:val="bottom"/>
          </w:tcPr>
          <w:p w14:paraId="64304393" w14:textId="77777777" w:rsidR="009F6D8A" w:rsidRDefault="009F6D8A">
            <w:pPr>
              <w:rPr>
                <w:rFonts w:ascii="宋体"/>
              </w:rPr>
            </w:pPr>
          </w:p>
        </w:tc>
        <w:tc>
          <w:tcPr>
            <w:tcW w:w="5" w:type="pct"/>
            <w:shd w:val="clear" w:color="auto" w:fill="auto"/>
            <w:vAlign w:val="bottom"/>
          </w:tcPr>
          <w:p w14:paraId="64304394" w14:textId="77777777" w:rsidR="009F6D8A" w:rsidRDefault="009F6D8A">
            <w:pPr>
              <w:rPr>
                <w:rFonts w:ascii="宋体"/>
              </w:rPr>
            </w:pPr>
          </w:p>
        </w:tc>
        <w:tc>
          <w:tcPr>
            <w:tcW w:w="50" w:type="pct"/>
            <w:shd w:val="clear" w:color="auto" w:fill="auto"/>
            <w:vAlign w:val="bottom"/>
          </w:tcPr>
          <w:p w14:paraId="64304395" w14:textId="77777777" w:rsidR="009F6D8A" w:rsidRDefault="009F6D8A">
            <w:pPr>
              <w:rPr>
                <w:rFonts w:ascii="宋体"/>
              </w:rPr>
            </w:pPr>
          </w:p>
        </w:tc>
        <w:tc>
          <w:tcPr>
            <w:tcW w:w="683" w:type="pct"/>
            <w:shd w:val="clear" w:color="auto" w:fill="auto"/>
            <w:vAlign w:val="bottom"/>
          </w:tcPr>
          <w:p w14:paraId="64304396" w14:textId="77777777" w:rsidR="009F6D8A" w:rsidRDefault="009F6D8A">
            <w:pPr>
              <w:rPr>
                <w:rFonts w:ascii="宋体"/>
              </w:rPr>
            </w:pPr>
          </w:p>
        </w:tc>
        <w:tc>
          <w:tcPr>
            <w:tcW w:w="5" w:type="pct"/>
            <w:shd w:val="clear" w:color="auto" w:fill="auto"/>
            <w:vAlign w:val="bottom"/>
          </w:tcPr>
          <w:p w14:paraId="64304397" w14:textId="77777777" w:rsidR="009F6D8A" w:rsidRDefault="009F6D8A">
            <w:pPr>
              <w:rPr>
                <w:rFonts w:ascii="宋体"/>
              </w:rPr>
            </w:pPr>
          </w:p>
        </w:tc>
        <w:tc>
          <w:tcPr>
            <w:tcW w:w="5" w:type="pct"/>
            <w:shd w:val="clear" w:color="auto" w:fill="auto"/>
            <w:vAlign w:val="bottom"/>
          </w:tcPr>
          <w:p w14:paraId="64304398" w14:textId="77777777" w:rsidR="009F6D8A" w:rsidRDefault="009F6D8A">
            <w:pPr>
              <w:rPr>
                <w:rFonts w:ascii="宋体"/>
              </w:rPr>
            </w:pPr>
          </w:p>
        </w:tc>
        <w:tc>
          <w:tcPr>
            <w:tcW w:w="26" w:type="pct"/>
            <w:shd w:val="clear" w:color="auto" w:fill="auto"/>
            <w:vAlign w:val="bottom"/>
          </w:tcPr>
          <w:p w14:paraId="64304399" w14:textId="77777777" w:rsidR="009F6D8A" w:rsidRDefault="009F6D8A">
            <w:pPr>
              <w:rPr>
                <w:rFonts w:ascii="宋体"/>
              </w:rPr>
            </w:pPr>
          </w:p>
        </w:tc>
        <w:tc>
          <w:tcPr>
            <w:tcW w:w="5" w:type="pct"/>
            <w:shd w:val="clear" w:color="auto" w:fill="auto"/>
            <w:vAlign w:val="bottom"/>
          </w:tcPr>
          <w:p w14:paraId="6430439A" w14:textId="77777777" w:rsidR="009F6D8A" w:rsidRDefault="009F6D8A">
            <w:pPr>
              <w:rPr>
                <w:rFonts w:ascii="宋体"/>
              </w:rPr>
            </w:pPr>
          </w:p>
        </w:tc>
        <w:tc>
          <w:tcPr>
            <w:tcW w:w="50" w:type="pct"/>
            <w:shd w:val="clear" w:color="auto" w:fill="auto"/>
            <w:vAlign w:val="bottom"/>
          </w:tcPr>
          <w:p w14:paraId="6430439B" w14:textId="77777777" w:rsidR="009F6D8A" w:rsidRDefault="009F6D8A">
            <w:pPr>
              <w:rPr>
                <w:rFonts w:ascii="宋体"/>
              </w:rPr>
            </w:pPr>
          </w:p>
        </w:tc>
        <w:tc>
          <w:tcPr>
            <w:tcW w:w="683" w:type="pct"/>
            <w:shd w:val="clear" w:color="auto" w:fill="auto"/>
            <w:vAlign w:val="bottom"/>
          </w:tcPr>
          <w:p w14:paraId="6430439C" w14:textId="77777777" w:rsidR="009F6D8A" w:rsidRDefault="009F6D8A">
            <w:pPr>
              <w:rPr>
                <w:rFonts w:ascii="宋体"/>
              </w:rPr>
            </w:pPr>
          </w:p>
        </w:tc>
        <w:tc>
          <w:tcPr>
            <w:tcW w:w="5" w:type="pct"/>
            <w:shd w:val="clear" w:color="auto" w:fill="auto"/>
            <w:vAlign w:val="bottom"/>
          </w:tcPr>
          <w:p w14:paraId="6430439D" w14:textId="77777777" w:rsidR="009F6D8A" w:rsidRDefault="009F6D8A">
            <w:pPr>
              <w:rPr>
                <w:rFonts w:ascii="宋体"/>
              </w:rPr>
            </w:pPr>
          </w:p>
        </w:tc>
      </w:tr>
      <w:tr w:rsidR="009F6D8A" w14:paraId="643043A3" w14:textId="77777777">
        <w:trPr>
          <w:jc w:val="center"/>
        </w:trPr>
        <w:tc>
          <w:tcPr>
            <w:tcW w:w="0" w:type="auto"/>
            <w:gridSpan w:val="3"/>
            <w:shd w:val="clear" w:color="auto" w:fill="auto"/>
            <w:tcMar>
              <w:top w:w="0" w:type="dxa"/>
              <w:left w:w="20" w:type="dxa"/>
              <w:bottom w:w="0" w:type="dxa"/>
              <w:right w:w="20" w:type="dxa"/>
            </w:tcMar>
            <w:vAlign w:val="bottom"/>
          </w:tcPr>
          <w:p w14:paraId="6430439F"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3A0" w14:textId="77777777" w:rsidR="009F6D8A" w:rsidRDefault="00C50974">
            <w:pPr>
              <w:jc w:val="center"/>
              <w:textAlignment w:val="bottom"/>
            </w:pPr>
            <w:r>
              <w:rPr>
                <w:rFonts w:ascii="Arial" w:eastAsia="宋体" w:hAnsi="Arial" w:cs="Arial"/>
                <w:b/>
                <w:bCs/>
                <w:color w:val="000000"/>
                <w:sz w:val="16"/>
                <w:szCs w:val="16"/>
              </w:rPr>
              <w:t>June 30,</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643043A1"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3A2" w14:textId="77777777" w:rsidR="009F6D8A" w:rsidRDefault="00C50974">
            <w:pPr>
              <w:jc w:val="center"/>
              <w:textAlignment w:val="bottom"/>
            </w:pPr>
            <w:r>
              <w:rPr>
                <w:rFonts w:ascii="Arial" w:eastAsia="宋体" w:hAnsi="Arial" w:cs="Arial"/>
                <w:b/>
                <w:bCs/>
                <w:color w:val="000000"/>
                <w:sz w:val="16"/>
                <w:szCs w:val="16"/>
              </w:rPr>
              <w:t>December 31,</w:t>
            </w:r>
            <w:r>
              <w:rPr>
                <w:rFonts w:ascii="Arial" w:eastAsia="宋体" w:hAnsi="Arial" w:cs="Arial"/>
                <w:b/>
                <w:bCs/>
                <w:color w:val="000000"/>
                <w:sz w:val="16"/>
                <w:szCs w:val="16"/>
              </w:rPr>
              <w:br/>
              <w:t>2020</w:t>
            </w:r>
          </w:p>
        </w:tc>
      </w:tr>
      <w:tr w:rsidR="009F6D8A" w14:paraId="643043AC" w14:textId="77777777">
        <w:trPr>
          <w:jc w:val="center"/>
        </w:trPr>
        <w:tc>
          <w:tcPr>
            <w:tcW w:w="0" w:type="auto"/>
            <w:gridSpan w:val="3"/>
            <w:shd w:val="clear" w:color="auto" w:fill="E2E2E2"/>
            <w:tcMar>
              <w:top w:w="40" w:type="dxa"/>
              <w:left w:w="20" w:type="dxa"/>
              <w:bottom w:w="40" w:type="dxa"/>
              <w:right w:w="20" w:type="dxa"/>
            </w:tcMar>
            <w:vAlign w:val="bottom"/>
          </w:tcPr>
          <w:p w14:paraId="643043A4" w14:textId="77777777" w:rsidR="009F6D8A" w:rsidRDefault="00C50974">
            <w:pPr>
              <w:textAlignment w:val="bottom"/>
            </w:pPr>
            <w:r>
              <w:rPr>
                <w:rFonts w:ascii="Arial" w:eastAsia="宋体" w:hAnsi="Arial" w:cs="Arial"/>
                <w:color w:val="000000"/>
                <w:sz w:val="18"/>
                <w:szCs w:val="18"/>
              </w:rPr>
              <w:t>Opening balance at beginning of period</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43A5"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3A6" w14:textId="77777777" w:rsidR="009F6D8A" w:rsidRDefault="00C50974">
            <w:pPr>
              <w:jc w:val="right"/>
              <w:textAlignment w:val="bottom"/>
            </w:pPr>
            <w:r>
              <w:rPr>
                <w:rFonts w:ascii="Arial" w:eastAsia="宋体" w:hAnsi="Arial" w:cs="Arial"/>
                <w:color w:val="000000"/>
                <w:sz w:val="18"/>
                <w:szCs w:val="18"/>
              </w:rPr>
              <w:t>1,051 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3A7"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3A8"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3A9"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3AA" w14:textId="77777777" w:rsidR="009F6D8A" w:rsidRDefault="00C50974">
            <w:pPr>
              <w:jc w:val="right"/>
              <w:textAlignment w:val="bottom"/>
            </w:pPr>
            <w:r>
              <w:rPr>
                <w:rFonts w:ascii="Arial" w:eastAsia="宋体" w:hAnsi="Arial" w:cs="Arial"/>
                <w:color w:val="000000"/>
                <w:sz w:val="18"/>
                <w:szCs w:val="18"/>
              </w:rPr>
              <w:t>281 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3AB" w14:textId="77777777" w:rsidR="009F6D8A" w:rsidRDefault="009F6D8A">
            <w:pPr>
              <w:jc w:val="right"/>
              <w:rPr>
                <w:rFonts w:ascii="宋体"/>
              </w:rPr>
            </w:pPr>
          </w:p>
        </w:tc>
      </w:tr>
      <w:tr w:rsidR="009F6D8A" w14:paraId="643043B1" w14:textId="77777777">
        <w:trPr>
          <w:jc w:val="center"/>
          <w:hidden/>
        </w:trPr>
        <w:tc>
          <w:tcPr>
            <w:tcW w:w="0" w:type="auto"/>
            <w:gridSpan w:val="3"/>
            <w:shd w:val="clear" w:color="auto" w:fill="auto"/>
            <w:vAlign w:val="bottom"/>
          </w:tcPr>
          <w:p w14:paraId="643043AD" w14:textId="77777777" w:rsidR="009F6D8A" w:rsidRDefault="009F6D8A">
            <w:pPr>
              <w:rPr>
                <w:rFonts w:ascii="宋体"/>
                <w:vanish/>
              </w:rPr>
            </w:pPr>
          </w:p>
        </w:tc>
        <w:tc>
          <w:tcPr>
            <w:tcW w:w="0" w:type="auto"/>
            <w:gridSpan w:val="3"/>
            <w:shd w:val="clear" w:color="auto" w:fill="auto"/>
            <w:vAlign w:val="bottom"/>
          </w:tcPr>
          <w:p w14:paraId="643043AE" w14:textId="77777777" w:rsidR="009F6D8A" w:rsidRDefault="009F6D8A">
            <w:pPr>
              <w:rPr>
                <w:rFonts w:ascii="宋体"/>
                <w:vanish/>
              </w:rPr>
            </w:pPr>
          </w:p>
        </w:tc>
        <w:tc>
          <w:tcPr>
            <w:tcW w:w="0" w:type="auto"/>
            <w:gridSpan w:val="3"/>
            <w:shd w:val="clear" w:color="auto" w:fill="auto"/>
            <w:vAlign w:val="bottom"/>
          </w:tcPr>
          <w:p w14:paraId="643043AF" w14:textId="77777777" w:rsidR="009F6D8A" w:rsidRDefault="009F6D8A">
            <w:pPr>
              <w:rPr>
                <w:rFonts w:ascii="宋体"/>
                <w:vanish/>
              </w:rPr>
            </w:pPr>
          </w:p>
        </w:tc>
        <w:tc>
          <w:tcPr>
            <w:tcW w:w="0" w:type="auto"/>
            <w:gridSpan w:val="3"/>
            <w:shd w:val="clear" w:color="auto" w:fill="auto"/>
            <w:vAlign w:val="bottom"/>
          </w:tcPr>
          <w:p w14:paraId="643043B0" w14:textId="77777777" w:rsidR="009F6D8A" w:rsidRDefault="009F6D8A">
            <w:pPr>
              <w:rPr>
                <w:rFonts w:ascii="宋体"/>
                <w:vanish/>
              </w:rPr>
            </w:pPr>
          </w:p>
        </w:tc>
      </w:tr>
      <w:tr w:rsidR="009F6D8A" w14:paraId="643043B8" w14:textId="77777777">
        <w:trPr>
          <w:jc w:val="center"/>
        </w:trPr>
        <w:tc>
          <w:tcPr>
            <w:tcW w:w="0" w:type="auto"/>
            <w:gridSpan w:val="3"/>
            <w:shd w:val="clear" w:color="auto" w:fill="FFFFFF"/>
            <w:tcMar>
              <w:top w:w="40" w:type="dxa"/>
              <w:left w:w="245" w:type="dxa"/>
              <w:bottom w:w="40" w:type="dxa"/>
              <w:right w:w="20" w:type="dxa"/>
            </w:tcMar>
            <w:vAlign w:val="bottom"/>
          </w:tcPr>
          <w:p w14:paraId="643043B2" w14:textId="77777777" w:rsidR="009F6D8A" w:rsidRDefault="00C50974">
            <w:pPr>
              <w:textAlignment w:val="bottom"/>
            </w:pPr>
            <w:r>
              <w:rPr>
                <w:rFonts w:ascii="Arial" w:eastAsia="宋体" w:hAnsi="Arial" w:cs="Arial"/>
                <w:color w:val="000000"/>
                <w:sz w:val="18"/>
                <w:szCs w:val="18"/>
              </w:rPr>
              <w:t>Change in fair value</w:t>
            </w:r>
          </w:p>
        </w:tc>
        <w:tc>
          <w:tcPr>
            <w:tcW w:w="0" w:type="auto"/>
            <w:gridSpan w:val="2"/>
            <w:shd w:val="clear" w:color="auto" w:fill="FFFFFF"/>
            <w:tcMar>
              <w:top w:w="40" w:type="dxa"/>
              <w:left w:w="20" w:type="dxa"/>
              <w:bottom w:w="40" w:type="dxa"/>
              <w:right w:w="0" w:type="dxa"/>
            </w:tcMar>
            <w:vAlign w:val="bottom"/>
          </w:tcPr>
          <w:p w14:paraId="643043B3" w14:textId="77777777" w:rsidR="009F6D8A" w:rsidRDefault="00C50974">
            <w:pPr>
              <w:jc w:val="right"/>
              <w:textAlignment w:val="bottom"/>
            </w:pPr>
            <w:r>
              <w:rPr>
                <w:rFonts w:ascii="Arial" w:eastAsia="宋体" w:hAnsi="Arial" w:cs="Arial"/>
                <w:color w:val="000000"/>
                <w:sz w:val="18"/>
                <w:szCs w:val="18"/>
              </w:rPr>
              <w:t>72 </w:t>
            </w:r>
          </w:p>
        </w:tc>
        <w:tc>
          <w:tcPr>
            <w:tcW w:w="0" w:type="auto"/>
            <w:shd w:val="clear" w:color="auto" w:fill="FFFFFF"/>
            <w:tcMar>
              <w:top w:w="40" w:type="dxa"/>
              <w:left w:w="0" w:type="dxa"/>
              <w:bottom w:w="40" w:type="dxa"/>
              <w:right w:w="20" w:type="dxa"/>
            </w:tcMar>
            <w:vAlign w:val="bottom"/>
          </w:tcPr>
          <w:p w14:paraId="643043B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3B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3B6" w14:textId="77777777" w:rsidR="009F6D8A" w:rsidRDefault="00C50974">
            <w:pPr>
              <w:jc w:val="right"/>
              <w:textAlignment w:val="bottom"/>
            </w:pPr>
            <w:r>
              <w:rPr>
                <w:rFonts w:ascii="Arial" w:eastAsia="宋体" w:hAnsi="Arial" w:cs="Arial"/>
                <w:color w:val="000000"/>
                <w:sz w:val="18"/>
                <w:szCs w:val="18"/>
              </w:rPr>
              <w:t>770 </w:t>
            </w:r>
          </w:p>
        </w:tc>
        <w:tc>
          <w:tcPr>
            <w:tcW w:w="0" w:type="auto"/>
            <w:shd w:val="clear" w:color="auto" w:fill="FFFFFF"/>
            <w:tcMar>
              <w:top w:w="40" w:type="dxa"/>
              <w:left w:w="0" w:type="dxa"/>
              <w:bottom w:w="40" w:type="dxa"/>
              <w:right w:w="20" w:type="dxa"/>
            </w:tcMar>
            <w:vAlign w:val="bottom"/>
          </w:tcPr>
          <w:p w14:paraId="643043B7" w14:textId="77777777" w:rsidR="009F6D8A" w:rsidRDefault="009F6D8A">
            <w:pPr>
              <w:jc w:val="right"/>
              <w:rPr>
                <w:rFonts w:ascii="宋体"/>
              </w:rPr>
            </w:pPr>
          </w:p>
        </w:tc>
      </w:tr>
      <w:tr w:rsidR="009F6D8A" w14:paraId="643043C1" w14:textId="77777777">
        <w:trPr>
          <w:jc w:val="center"/>
        </w:trPr>
        <w:tc>
          <w:tcPr>
            <w:tcW w:w="0" w:type="auto"/>
            <w:gridSpan w:val="3"/>
            <w:shd w:val="clear" w:color="auto" w:fill="E2E2E2"/>
            <w:tcMar>
              <w:top w:w="40" w:type="dxa"/>
              <w:left w:w="20" w:type="dxa"/>
              <w:bottom w:w="40" w:type="dxa"/>
              <w:right w:w="20" w:type="dxa"/>
            </w:tcMar>
            <w:vAlign w:val="bottom"/>
          </w:tcPr>
          <w:p w14:paraId="643043B9" w14:textId="77777777" w:rsidR="009F6D8A" w:rsidRDefault="00C50974">
            <w:pPr>
              <w:textAlignment w:val="bottom"/>
            </w:pPr>
            <w:r>
              <w:rPr>
                <w:rFonts w:ascii="Arial" w:eastAsia="宋体" w:hAnsi="Arial" w:cs="Arial"/>
                <w:color w:val="000000"/>
                <w:sz w:val="18"/>
                <w:szCs w:val="18"/>
              </w:rPr>
              <w:t>Closing balance at end of period</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3BA"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3BB" w14:textId="77777777" w:rsidR="009F6D8A" w:rsidRDefault="00C50974">
            <w:pPr>
              <w:jc w:val="right"/>
              <w:textAlignment w:val="bottom"/>
            </w:pPr>
            <w:r>
              <w:rPr>
                <w:rFonts w:ascii="Arial" w:eastAsia="宋体" w:hAnsi="Arial" w:cs="Arial"/>
                <w:color w:val="000000"/>
                <w:sz w:val="18"/>
                <w:szCs w:val="18"/>
              </w:rPr>
              <w:t>1,123 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3BC"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3BD"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3BE"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3BF" w14:textId="77777777" w:rsidR="009F6D8A" w:rsidRDefault="00C50974">
            <w:pPr>
              <w:jc w:val="right"/>
              <w:textAlignment w:val="bottom"/>
            </w:pPr>
            <w:r>
              <w:rPr>
                <w:rFonts w:ascii="Arial" w:eastAsia="宋体" w:hAnsi="Arial" w:cs="Arial"/>
                <w:color w:val="000000"/>
                <w:sz w:val="18"/>
                <w:szCs w:val="18"/>
              </w:rPr>
              <w:t>1,051 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3C0" w14:textId="77777777" w:rsidR="009F6D8A" w:rsidRDefault="009F6D8A">
            <w:pPr>
              <w:jc w:val="right"/>
              <w:rPr>
                <w:rFonts w:ascii="宋体"/>
              </w:rPr>
            </w:pPr>
          </w:p>
        </w:tc>
      </w:tr>
    </w:tbl>
    <w:p w14:paraId="643043C2" w14:textId="77777777" w:rsidR="009F6D8A" w:rsidRDefault="009F6D8A">
      <w:pPr>
        <w:ind w:firstLine="450"/>
      </w:pPr>
    </w:p>
    <w:p w14:paraId="643043C3" w14:textId="77777777" w:rsidR="009F6D8A" w:rsidRDefault="00C50974">
      <w:pPr>
        <w:spacing w:after="120"/>
        <w:ind w:firstLine="450"/>
      </w:pPr>
      <w:r>
        <w:rPr>
          <w:rFonts w:ascii="Arial" w:eastAsia="宋体" w:hAnsi="Arial" w:cs="Arial"/>
          <w:color w:val="000000"/>
          <w:sz w:val="20"/>
          <w:szCs w:val="20"/>
        </w:rPr>
        <w:t xml:space="preserve">The following table presents quantitative information about Level 3 significant unobservable inputs used in the fair value measurement of the warrant as of June 30, 2021 (in millions): </w:t>
      </w:r>
    </w:p>
    <w:tbl>
      <w:tblPr>
        <w:tblW w:w="4978" w:type="pct"/>
        <w:tblCellMar>
          <w:top w:w="15" w:type="dxa"/>
          <w:left w:w="15" w:type="dxa"/>
          <w:bottom w:w="15" w:type="dxa"/>
          <w:right w:w="15" w:type="dxa"/>
        </w:tblCellMar>
        <w:tblLook w:val="04A0" w:firstRow="1" w:lastRow="0" w:firstColumn="1" w:lastColumn="0" w:noHBand="0" w:noVBand="1"/>
      </w:tblPr>
      <w:tblGrid>
        <w:gridCol w:w="52"/>
        <w:gridCol w:w="1499"/>
        <w:gridCol w:w="36"/>
        <w:gridCol w:w="36"/>
        <w:gridCol w:w="36"/>
        <w:gridCol w:w="36"/>
        <w:gridCol w:w="121"/>
        <w:gridCol w:w="1450"/>
        <w:gridCol w:w="36"/>
        <w:gridCol w:w="36"/>
        <w:gridCol w:w="36"/>
        <w:gridCol w:w="36"/>
        <w:gridCol w:w="62"/>
        <w:gridCol w:w="1442"/>
        <w:gridCol w:w="37"/>
        <w:gridCol w:w="36"/>
        <w:gridCol w:w="36"/>
        <w:gridCol w:w="36"/>
        <w:gridCol w:w="59"/>
        <w:gridCol w:w="1471"/>
        <w:gridCol w:w="36"/>
        <w:gridCol w:w="36"/>
        <w:gridCol w:w="36"/>
        <w:gridCol w:w="36"/>
        <w:gridCol w:w="46"/>
        <w:gridCol w:w="1484"/>
        <w:gridCol w:w="36"/>
      </w:tblGrid>
      <w:tr w:rsidR="009F6D8A" w14:paraId="643043DF" w14:textId="77777777">
        <w:tc>
          <w:tcPr>
            <w:tcW w:w="50" w:type="pct"/>
            <w:shd w:val="clear" w:color="auto" w:fill="auto"/>
            <w:vAlign w:val="bottom"/>
          </w:tcPr>
          <w:p w14:paraId="643043C4" w14:textId="77777777" w:rsidR="009F6D8A" w:rsidRDefault="009F6D8A">
            <w:pPr>
              <w:rPr>
                <w:rFonts w:ascii="宋体"/>
              </w:rPr>
            </w:pPr>
          </w:p>
        </w:tc>
        <w:tc>
          <w:tcPr>
            <w:tcW w:w="921" w:type="pct"/>
            <w:shd w:val="clear" w:color="auto" w:fill="auto"/>
            <w:vAlign w:val="bottom"/>
          </w:tcPr>
          <w:p w14:paraId="643043C5" w14:textId="77777777" w:rsidR="009F6D8A" w:rsidRDefault="009F6D8A">
            <w:pPr>
              <w:rPr>
                <w:rFonts w:ascii="宋体"/>
              </w:rPr>
            </w:pPr>
          </w:p>
        </w:tc>
        <w:tc>
          <w:tcPr>
            <w:tcW w:w="5" w:type="pct"/>
            <w:shd w:val="clear" w:color="auto" w:fill="auto"/>
            <w:vAlign w:val="bottom"/>
          </w:tcPr>
          <w:p w14:paraId="643043C6" w14:textId="77777777" w:rsidR="009F6D8A" w:rsidRDefault="009F6D8A">
            <w:pPr>
              <w:rPr>
                <w:rFonts w:ascii="宋体"/>
              </w:rPr>
            </w:pPr>
          </w:p>
        </w:tc>
        <w:tc>
          <w:tcPr>
            <w:tcW w:w="5" w:type="pct"/>
            <w:shd w:val="clear" w:color="auto" w:fill="auto"/>
            <w:vAlign w:val="bottom"/>
          </w:tcPr>
          <w:p w14:paraId="643043C7" w14:textId="77777777" w:rsidR="009F6D8A" w:rsidRDefault="009F6D8A">
            <w:pPr>
              <w:rPr>
                <w:rFonts w:ascii="宋体"/>
              </w:rPr>
            </w:pPr>
          </w:p>
        </w:tc>
        <w:tc>
          <w:tcPr>
            <w:tcW w:w="26" w:type="pct"/>
            <w:shd w:val="clear" w:color="auto" w:fill="auto"/>
            <w:vAlign w:val="bottom"/>
          </w:tcPr>
          <w:p w14:paraId="643043C8" w14:textId="77777777" w:rsidR="009F6D8A" w:rsidRDefault="009F6D8A">
            <w:pPr>
              <w:rPr>
                <w:rFonts w:ascii="宋体"/>
              </w:rPr>
            </w:pPr>
          </w:p>
        </w:tc>
        <w:tc>
          <w:tcPr>
            <w:tcW w:w="5" w:type="pct"/>
            <w:shd w:val="clear" w:color="auto" w:fill="auto"/>
            <w:vAlign w:val="bottom"/>
          </w:tcPr>
          <w:p w14:paraId="643043C9" w14:textId="77777777" w:rsidR="009F6D8A" w:rsidRDefault="009F6D8A">
            <w:pPr>
              <w:rPr>
                <w:rFonts w:ascii="宋体"/>
              </w:rPr>
            </w:pPr>
          </w:p>
        </w:tc>
        <w:tc>
          <w:tcPr>
            <w:tcW w:w="50" w:type="pct"/>
            <w:shd w:val="clear" w:color="auto" w:fill="auto"/>
            <w:vAlign w:val="bottom"/>
          </w:tcPr>
          <w:p w14:paraId="643043CA" w14:textId="77777777" w:rsidR="009F6D8A" w:rsidRDefault="009F6D8A">
            <w:pPr>
              <w:rPr>
                <w:rFonts w:ascii="宋体"/>
              </w:rPr>
            </w:pPr>
          </w:p>
        </w:tc>
        <w:tc>
          <w:tcPr>
            <w:tcW w:w="906" w:type="pct"/>
            <w:shd w:val="clear" w:color="auto" w:fill="auto"/>
            <w:vAlign w:val="bottom"/>
          </w:tcPr>
          <w:p w14:paraId="643043CB" w14:textId="77777777" w:rsidR="009F6D8A" w:rsidRDefault="009F6D8A">
            <w:pPr>
              <w:rPr>
                <w:rFonts w:ascii="宋体"/>
              </w:rPr>
            </w:pPr>
          </w:p>
        </w:tc>
        <w:tc>
          <w:tcPr>
            <w:tcW w:w="5" w:type="pct"/>
            <w:shd w:val="clear" w:color="auto" w:fill="auto"/>
            <w:vAlign w:val="bottom"/>
          </w:tcPr>
          <w:p w14:paraId="643043CC" w14:textId="77777777" w:rsidR="009F6D8A" w:rsidRDefault="009F6D8A">
            <w:pPr>
              <w:rPr>
                <w:rFonts w:ascii="宋体"/>
              </w:rPr>
            </w:pPr>
          </w:p>
        </w:tc>
        <w:tc>
          <w:tcPr>
            <w:tcW w:w="5" w:type="pct"/>
            <w:shd w:val="clear" w:color="auto" w:fill="auto"/>
            <w:vAlign w:val="bottom"/>
          </w:tcPr>
          <w:p w14:paraId="643043CD" w14:textId="77777777" w:rsidR="009F6D8A" w:rsidRDefault="009F6D8A">
            <w:pPr>
              <w:rPr>
                <w:rFonts w:ascii="宋体"/>
              </w:rPr>
            </w:pPr>
          </w:p>
        </w:tc>
        <w:tc>
          <w:tcPr>
            <w:tcW w:w="26" w:type="pct"/>
            <w:shd w:val="clear" w:color="auto" w:fill="auto"/>
            <w:vAlign w:val="bottom"/>
          </w:tcPr>
          <w:p w14:paraId="643043CE" w14:textId="77777777" w:rsidR="009F6D8A" w:rsidRDefault="009F6D8A">
            <w:pPr>
              <w:rPr>
                <w:rFonts w:ascii="宋体"/>
              </w:rPr>
            </w:pPr>
          </w:p>
        </w:tc>
        <w:tc>
          <w:tcPr>
            <w:tcW w:w="5" w:type="pct"/>
            <w:shd w:val="clear" w:color="auto" w:fill="auto"/>
            <w:vAlign w:val="bottom"/>
          </w:tcPr>
          <w:p w14:paraId="643043CF" w14:textId="77777777" w:rsidR="009F6D8A" w:rsidRDefault="009F6D8A">
            <w:pPr>
              <w:rPr>
                <w:rFonts w:ascii="宋体"/>
              </w:rPr>
            </w:pPr>
          </w:p>
        </w:tc>
        <w:tc>
          <w:tcPr>
            <w:tcW w:w="50" w:type="pct"/>
            <w:shd w:val="clear" w:color="auto" w:fill="auto"/>
            <w:vAlign w:val="bottom"/>
          </w:tcPr>
          <w:p w14:paraId="643043D0" w14:textId="77777777" w:rsidR="009F6D8A" w:rsidRDefault="009F6D8A">
            <w:pPr>
              <w:rPr>
                <w:rFonts w:ascii="宋体"/>
              </w:rPr>
            </w:pPr>
          </w:p>
        </w:tc>
        <w:tc>
          <w:tcPr>
            <w:tcW w:w="906" w:type="pct"/>
            <w:shd w:val="clear" w:color="auto" w:fill="auto"/>
            <w:vAlign w:val="bottom"/>
          </w:tcPr>
          <w:p w14:paraId="643043D1" w14:textId="77777777" w:rsidR="009F6D8A" w:rsidRDefault="009F6D8A">
            <w:pPr>
              <w:rPr>
                <w:rFonts w:ascii="宋体"/>
              </w:rPr>
            </w:pPr>
          </w:p>
        </w:tc>
        <w:tc>
          <w:tcPr>
            <w:tcW w:w="5" w:type="pct"/>
            <w:shd w:val="clear" w:color="auto" w:fill="auto"/>
            <w:vAlign w:val="bottom"/>
          </w:tcPr>
          <w:p w14:paraId="643043D2" w14:textId="77777777" w:rsidR="009F6D8A" w:rsidRDefault="009F6D8A">
            <w:pPr>
              <w:rPr>
                <w:rFonts w:ascii="宋体"/>
              </w:rPr>
            </w:pPr>
          </w:p>
        </w:tc>
        <w:tc>
          <w:tcPr>
            <w:tcW w:w="5" w:type="pct"/>
            <w:shd w:val="clear" w:color="auto" w:fill="auto"/>
            <w:vAlign w:val="bottom"/>
          </w:tcPr>
          <w:p w14:paraId="643043D3" w14:textId="77777777" w:rsidR="009F6D8A" w:rsidRDefault="009F6D8A">
            <w:pPr>
              <w:rPr>
                <w:rFonts w:ascii="宋体"/>
              </w:rPr>
            </w:pPr>
          </w:p>
        </w:tc>
        <w:tc>
          <w:tcPr>
            <w:tcW w:w="26" w:type="pct"/>
            <w:shd w:val="clear" w:color="auto" w:fill="auto"/>
            <w:vAlign w:val="bottom"/>
          </w:tcPr>
          <w:p w14:paraId="643043D4" w14:textId="77777777" w:rsidR="009F6D8A" w:rsidRDefault="009F6D8A">
            <w:pPr>
              <w:rPr>
                <w:rFonts w:ascii="宋体"/>
              </w:rPr>
            </w:pPr>
          </w:p>
        </w:tc>
        <w:tc>
          <w:tcPr>
            <w:tcW w:w="5" w:type="pct"/>
            <w:shd w:val="clear" w:color="auto" w:fill="auto"/>
            <w:vAlign w:val="bottom"/>
          </w:tcPr>
          <w:p w14:paraId="643043D5" w14:textId="77777777" w:rsidR="009F6D8A" w:rsidRDefault="009F6D8A">
            <w:pPr>
              <w:rPr>
                <w:rFonts w:ascii="宋体"/>
              </w:rPr>
            </w:pPr>
          </w:p>
        </w:tc>
        <w:tc>
          <w:tcPr>
            <w:tcW w:w="50" w:type="pct"/>
            <w:shd w:val="clear" w:color="auto" w:fill="auto"/>
            <w:vAlign w:val="bottom"/>
          </w:tcPr>
          <w:p w14:paraId="643043D6" w14:textId="77777777" w:rsidR="009F6D8A" w:rsidRDefault="009F6D8A">
            <w:pPr>
              <w:rPr>
                <w:rFonts w:ascii="宋体"/>
              </w:rPr>
            </w:pPr>
          </w:p>
        </w:tc>
        <w:tc>
          <w:tcPr>
            <w:tcW w:w="921" w:type="pct"/>
            <w:shd w:val="clear" w:color="auto" w:fill="auto"/>
            <w:vAlign w:val="bottom"/>
          </w:tcPr>
          <w:p w14:paraId="643043D7" w14:textId="77777777" w:rsidR="009F6D8A" w:rsidRDefault="009F6D8A">
            <w:pPr>
              <w:rPr>
                <w:rFonts w:ascii="宋体"/>
              </w:rPr>
            </w:pPr>
          </w:p>
        </w:tc>
        <w:tc>
          <w:tcPr>
            <w:tcW w:w="5" w:type="pct"/>
            <w:shd w:val="clear" w:color="auto" w:fill="auto"/>
            <w:vAlign w:val="bottom"/>
          </w:tcPr>
          <w:p w14:paraId="643043D8" w14:textId="77777777" w:rsidR="009F6D8A" w:rsidRDefault="009F6D8A">
            <w:pPr>
              <w:rPr>
                <w:rFonts w:ascii="宋体"/>
              </w:rPr>
            </w:pPr>
          </w:p>
        </w:tc>
        <w:tc>
          <w:tcPr>
            <w:tcW w:w="5" w:type="pct"/>
            <w:shd w:val="clear" w:color="auto" w:fill="auto"/>
            <w:vAlign w:val="bottom"/>
          </w:tcPr>
          <w:p w14:paraId="643043D9" w14:textId="77777777" w:rsidR="009F6D8A" w:rsidRDefault="009F6D8A">
            <w:pPr>
              <w:rPr>
                <w:rFonts w:ascii="宋体"/>
              </w:rPr>
            </w:pPr>
          </w:p>
        </w:tc>
        <w:tc>
          <w:tcPr>
            <w:tcW w:w="26" w:type="pct"/>
            <w:shd w:val="clear" w:color="auto" w:fill="auto"/>
            <w:vAlign w:val="bottom"/>
          </w:tcPr>
          <w:p w14:paraId="643043DA" w14:textId="77777777" w:rsidR="009F6D8A" w:rsidRDefault="009F6D8A">
            <w:pPr>
              <w:rPr>
                <w:rFonts w:ascii="宋体"/>
              </w:rPr>
            </w:pPr>
          </w:p>
        </w:tc>
        <w:tc>
          <w:tcPr>
            <w:tcW w:w="5" w:type="pct"/>
            <w:shd w:val="clear" w:color="auto" w:fill="auto"/>
            <w:vAlign w:val="bottom"/>
          </w:tcPr>
          <w:p w14:paraId="643043DB" w14:textId="77777777" w:rsidR="009F6D8A" w:rsidRDefault="009F6D8A">
            <w:pPr>
              <w:rPr>
                <w:rFonts w:ascii="宋体"/>
              </w:rPr>
            </w:pPr>
          </w:p>
        </w:tc>
        <w:tc>
          <w:tcPr>
            <w:tcW w:w="50" w:type="pct"/>
            <w:shd w:val="clear" w:color="auto" w:fill="auto"/>
            <w:vAlign w:val="bottom"/>
          </w:tcPr>
          <w:p w14:paraId="643043DC" w14:textId="77777777" w:rsidR="009F6D8A" w:rsidRDefault="009F6D8A">
            <w:pPr>
              <w:rPr>
                <w:rFonts w:ascii="宋体"/>
              </w:rPr>
            </w:pPr>
          </w:p>
        </w:tc>
        <w:tc>
          <w:tcPr>
            <w:tcW w:w="921" w:type="pct"/>
            <w:shd w:val="clear" w:color="auto" w:fill="auto"/>
            <w:vAlign w:val="bottom"/>
          </w:tcPr>
          <w:p w14:paraId="643043DD" w14:textId="77777777" w:rsidR="009F6D8A" w:rsidRDefault="009F6D8A">
            <w:pPr>
              <w:rPr>
                <w:rFonts w:ascii="宋体"/>
              </w:rPr>
            </w:pPr>
          </w:p>
        </w:tc>
        <w:tc>
          <w:tcPr>
            <w:tcW w:w="5" w:type="pct"/>
            <w:shd w:val="clear" w:color="auto" w:fill="auto"/>
            <w:vAlign w:val="bottom"/>
          </w:tcPr>
          <w:p w14:paraId="643043DE" w14:textId="77777777" w:rsidR="009F6D8A" w:rsidRDefault="009F6D8A">
            <w:pPr>
              <w:rPr>
                <w:rFonts w:ascii="宋体"/>
              </w:rPr>
            </w:pPr>
          </w:p>
        </w:tc>
      </w:tr>
      <w:tr w:rsidR="009F6D8A" w14:paraId="643043E9" w14:textId="77777777">
        <w:tc>
          <w:tcPr>
            <w:tcW w:w="0" w:type="auto"/>
            <w:gridSpan w:val="3"/>
            <w:shd w:val="clear" w:color="auto" w:fill="auto"/>
            <w:tcMar>
              <w:top w:w="0" w:type="dxa"/>
              <w:left w:w="20" w:type="dxa"/>
              <w:bottom w:w="0" w:type="dxa"/>
              <w:right w:w="20" w:type="dxa"/>
            </w:tcMar>
            <w:vAlign w:val="bottom"/>
          </w:tcPr>
          <w:p w14:paraId="643043E0"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43E1"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3E2" w14:textId="77777777" w:rsidR="009F6D8A" w:rsidRDefault="00C50974">
            <w:pPr>
              <w:jc w:val="center"/>
              <w:textAlignment w:val="bottom"/>
            </w:pPr>
            <w:r>
              <w:rPr>
                <w:rFonts w:ascii="Arial" w:eastAsia="宋体" w:hAnsi="Arial" w:cs="Arial"/>
                <w:color w:val="000000"/>
                <w:sz w:val="18"/>
                <w:szCs w:val="18"/>
              </w:rPr>
              <w:t xml:space="preserve">Fair value </w:t>
            </w:r>
          </w:p>
        </w:tc>
        <w:tc>
          <w:tcPr>
            <w:tcW w:w="0" w:type="auto"/>
            <w:gridSpan w:val="3"/>
            <w:shd w:val="clear" w:color="auto" w:fill="auto"/>
            <w:tcMar>
              <w:top w:w="0" w:type="dxa"/>
              <w:left w:w="20" w:type="dxa"/>
              <w:bottom w:w="0" w:type="dxa"/>
              <w:right w:w="20" w:type="dxa"/>
            </w:tcMar>
            <w:vAlign w:val="bottom"/>
          </w:tcPr>
          <w:p w14:paraId="643043E3"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3E4" w14:textId="77777777" w:rsidR="009F6D8A" w:rsidRDefault="00C50974">
            <w:pPr>
              <w:jc w:val="center"/>
              <w:textAlignment w:val="bottom"/>
            </w:pPr>
            <w:r>
              <w:rPr>
                <w:rFonts w:ascii="Arial" w:eastAsia="宋体" w:hAnsi="Arial" w:cs="Arial"/>
                <w:color w:val="000000"/>
                <w:sz w:val="18"/>
                <w:szCs w:val="18"/>
              </w:rPr>
              <w:t>Valuation technique</w:t>
            </w:r>
          </w:p>
        </w:tc>
        <w:tc>
          <w:tcPr>
            <w:tcW w:w="0" w:type="auto"/>
            <w:gridSpan w:val="3"/>
            <w:shd w:val="clear" w:color="auto" w:fill="auto"/>
            <w:tcMar>
              <w:top w:w="0" w:type="dxa"/>
              <w:left w:w="20" w:type="dxa"/>
              <w:bottom w:w="0" w:type="dxa"/>
              <w:right w:w="20" w:type="dxa"/>
            </w:tcMar>
            <w:vAlign w:val="bottom"/>
          </w:tcPr>
          <w:p w14:paraId="643043E5"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3E6" w14:textId="77777777" w:rsidR="009F6D8A" w:rsidRDefault="00C50974">
            <w:pPr>
              <w:jc w:val="center"/>
              <w:textAlignment w:val="bottom"/>
            </w:pPr>
            <w:r>
              <w:rPr>
                <w:rFonts w:ascii="Arial" w:eastAsia="宋体" w:hAnsi="Arial" w:cs="Arial"/>
                <w:color w:val="000000"/>
                <w:sz w:val="18"/>
                <w:szCs w:val="18"/>
              </w:rPr>
              <w:t>Unobservable Input</w:t>
            </w:r>
          </w:p>
        </w:tc>
        <w:tc>
          <w:tcPr>
            <w:tcW w:w="0" w:type="auto"/>
            <w:gridSpan w:val="3"/>
            <w:shd w:val="clear" w:color="auto" w:fill="auto"/>
            <w:tcMar>
              <w:top w:w="0" w:type="dxa"/>
              <w:left w:w="20" w:type="dxa"/>
              <w:bottom w:w="0" w:type="dxa"/>
              <w:right w:w="20" w:type="dxa"/>
            </w:tcMar>
            <w:vAlign w:val="bottom"/>
          </w:tcPr>
          <w:p w14:paraId="643043E7"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3E8" w14:textId="77777777" w:rsidR="009F6D8A" w:rsidRDefault="00C50974">
            <w:pPr>
              <w:jc w:val="center"/>
              <w:textAlignment w:val="bottom"/>
            </w:pPr>
            <w:r>
              <w:rPr>
                <w:rFonts w:ascii="Arial" w:eastAsia="宋体" w:hAnsi="Arial" w:cs="Arial"/>
                <w:color w:val="000000"/>
                <w:sz w:val="18"/>
                <w:szCs w:val="18"/>
              </w:rPr>
              <w:t>Range (weighted average)</w:t>
            </w:r>
            <w:r>
              <w:rPr>
                <w:rFonts w:ascii="Arial" w:eastAsia="宋体" w:hAnsi="Arial" w:cs="Arial"/>
                <w:color w:val="000000"/>
                <w:sz w:val="11"/>
                <w:szCs w:val="11"/>
              </w:rPr>
              <w:t>(1)</w:t>
            </w:r>
          </w:p>
        </w:tc>
      </w:tr>
      <w:tr w:rsidR="009F6D8A" w14:paraId="643043F3" w14:textId="77777777">
        <w:trPr>
          <w:trHeight w:val="60"/>
        </w:trPr>
        <w:tc>
          <w:tcPr>
            <w:tcW w:w="0" w:type="auto"/>
            <w:gridSpan w:val="3"/>
            <w:shd w:val="clear" w:color="auto" w:fill="auto"/>
            <w:tcMar>
              <w:top w:w="0" w:type="dxa"/>
              <w:left w:w="20" w:type="dxa"/>
              <w:bottom w:w="0" w:type="dxa"/>
              <w:right w:w="20" w:type="dxa"/>
            </w:tcMar>
            <w:vAlign w:val="bottom"/>
          </w:tcPr>
          <w:p w14:paraId="643043EA"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43EB" w14:textId="77777777" w:rsidR="009F6D8A" w:rsidRDefault="009F6D8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3EC"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43ED" w14:textId="77777777" w:rsidR="009F6D8A" w:rsidRDefault="009F6D8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3EE"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43EF" w14:textId="77777777" w:rsidR="009F6D8A" w:rsidRDefault="009F6D8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3F0"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43F1" w14:textId="77777777" w:rsidR="009F6D8A" w:rsidRDefault="009F6D8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3F2" w14:textId="77777777" w:rsidR="009F6D8A" w:rsidRDefault="009F6D8A">
            <w:pPr>
              <w:rPr>
                <w:rFonts w:ascii="宋体"/>
              </w:rPr>
            </w:pPr>
          </w:p>
        </w:tc>
      </w:tr>
      <w:tr w:rsidR="009F6D8A" w14:paraId="643043FF" w14:textId="77777777">
        <w:tc>
          <w:tcPr>
            <w:tcW w:w="0" w:type="auto"/>
            <w:gridSpan w:val="3"/>
            <w:shd w:val="clear" w:color="auto" w:fill="E1E1E1"/>
            <w:tcMar>
              <w:top w:w="40" w:type="dxa"/>
              <w:left w:w="20" w:type="dxa"/>
              <w:bottom w:w="40" w:type="dxa"/>
              <w:right w:w="20" w:type="dxa"/>
            </w:tcMar>
            <w:vAlign w:val="bottom"/>
          </w:tcPr>
          <w:p w14:paraId="643043F4" w14:textId="77777777" w:rsidR="009F6D8A" w:rsidRDefault="00C50974">
            <w:pPr>
              <w:textAlignment w:val="bottom"/>
            </w:pPr>
            <w:r>
              <w:rPr>
                <w:rFonts w:ascii="Arial" w:eastAsia="宋体" w:hAnsi="Arial" w:cs="Arial"/>
                <w:color w:val="000000"/>
                <w:sz w:val="18"/>
                <w:szCs w:val="18"/>
              </w:rPr>
              <w:t>Warrant</w:t>
            </w:r>
          </w:p>
        </w:tc>
        <w:tc>
          <w:tcPr>
            <w:tcW w:w="0" w:type="auto"/>
            <w:gridSpan w:val="3"/>
            <w:shd w:val="clear" w:color="auto" w:fill="E1E1E1"/>
            <w:tcMar>
              <w:top w:w="0" w:type="dxa"/>
              <w:left w:w="20" w:type="dxa"/>
              <w:bottom w:w="0" w:type="dxa"/>
              <w:right w:w="20" w:type="dxa"/>
            </w:tcMar>
            <w:vAlign w:val="bottom"/>
          </w:tcPr>
          <w:p w14:paraId="643043F5"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43F6"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43043F7" w14:textId="77777777" w:rsidR="009F6D8A" w:rsidRDefault="00C50974">
            <w:pPr>
              <w:jc w:val="right"/>
              <w:textAlignment w:val="bottom"/>
            </w:pPr>
            <w:r>
              <w:rPr>
                <w:rFonts w:ascii="Arial" w:eastAsia="宋体" w:hAnsi="Arial" w:cs="Arial"/>
                <w:color w:val="000000"/>
                <w:sz w:val="18"/>
                <w:szCs w:val="18"/>
              </w:rPr>
              <w:t>1,123 </w:t>
            </w:r>
          </w:p>
        </w:tc>
        <w:tc>
          <w:tcPr>
            <w:tcW w:w="0" w:type="auto"/>
            <w:shd w:val="clear" w:color="auto" w:fill="E1E1E1"/>
            <w:tcMar>
              <w:top w:w="40" w:type="dxa"/>
              <w:left w:w="0" w:type="dxa"/>
              <w:bottom w:w="40" w:type="dxa"/>
              <w:right w:w="20" w:type="dxa"/>
            </w:tcMar>
            <w:vAlign w:val="bottom"/>
          </w:tcPr>
          <w:p w14:paraId="643043F8"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3F9" w14:textId="77777777" w:rsidR="009F6D8A" w:rsidRDefault="009F6D8A">
            <w:pPr>
              <w:rPr>
                <w:rFonts w:ascii="宋体"/>
              </w:rPr>
            </w:pPr>
          </w:p>
        </w:tc>
        <w:tc>
          <w:tcPr>
            <w:tcW w:w="0" w:type="auto"/>
            <w:gridSpan w:val="3"/>
            <w:shd w:val="clear" w:color="auto" w:fill="E1E1E1"/>
            <w:tcMar>
              <w:top w:w="40" w:type="dxa"/>
              <w:left w:w="20" w:type="dxa"/>
              <w:bottom w:w="40" w:type="dxa"/>
              <w:right w:w="20" w:type="dxa"/>
            </w:tcMar>
            <w:vAlign w:val="bottom"/>
          </w:tcPr>
          <w:p w14:paraId="643043FA" w14:textId="77777777" w:rsidR="009F6D8A" w:rsidRDefault="00C50974">
            <w:pPr>
              <w:jc w:val="center"/>
              <w:textAlignment w:val="bottom"/>
            </w:pPr>
            <w:r>
              <w:rPr>
                <w:rFonts w:ascii="Arial" w:eastAsia="宋体" w:hAnsi="Arial" w:cs="Arial"/>
                <w:color w:val="000000"/>
                <w:sz w:val="18"/>
                <w:szCs w:val="18"/>
              </w:rPr>
              <w:t>Black-Scholes and Monte Carlo</w:t>
            </w:r>
          </w:p>
        </w:tc>
        <w:tc>
          <w:tcPr>
            <w:tcW w:w="0" w:type="auto"/>
            <w:gridSpan w:val="3"/>
            <w:shd w:val="clear" w:color="auto" w:fill="E1E1E1"/>
            <w:tcMar>
              <w:top w:w="0" w:type="dxa"/>
              <w:left w:w="20" w:type="dxa"/>
              <w:bottom w:w="0" w:type="dxa"/>
              <w:right w:w="20" w:type="dxa"/>
            </w:tcMar>
            <w:vAlign w:val="bottom"/>
          </w:tcPr>
          <w:p w14:paraId="643043FB" w14:textId="77777777" w:rsidR="009F6D8A" w:rsidRDefault="009F6D8A">
            <w:pPr>
              <w:rPr>
                <w:rFonts w:ascii="宋体"/>
              </w:rPr>
            </w:pPr>
          </w:p>
        </w:tc>
        <w:tc>
          <w:tcPr>
            <w:tcW w:w="0" w:type="auto"/>
            <w:gridSpan w:val="3"/>
            <w:shd w:val="clear" w:color="auto" w:fill="E1E1E1"/>
            <w:tcMar>
              <w:top w:w="40" w:type="dxa"/>
              <w:left w:w="20" w:type="dxa"/>
              <w:bottom w:w="40" w:type="dxa"/>
              <w:right w:w="20" w:type="dxa"/>
            </w:tcMar>
            <w:vAlign w:val="bottom"/>
          </w:tcPr>
          <w:p w14:paraId="643043FC" w14:textId="77777777" w:rsidR="009F6D8A" w:rsidRDefault="00C50974">
            <w:pPr>
              <w:jc w:val="center"/>
              <w:textAlignment w:val="bottom"/>
            </w:pPr>
            <w:r>
              <w:rPr>
                <w:rFonts w:ascii="Arial" w:eastAsia="宋体" w:hAnsi="Arial" w:cs="Arial"/>
                <w:color w:val="000000"/>
                <w:sz w:val="18"/>
                <w:szCs w:val="18"/>
              </w:rPr>
              <w:t>Probability of vesting</w:t>
            </w:r>
          </w:p>
        </w:tc>
        <w:tc>
          <w:tcPr>
            <w:tcW w:w="0" w:type="auto"/>
            <w:gridSpan w:val="3"/>
            <w:shd w:val="clear" w:color="auto" w:fill="E1E1E1"/>
            <w:tcMar>
              <w:top w:w="0" w:type="dxa"/>
              <w:left w:w="20" w:type="dxa"/>
              <w:bottom w:w="0" w:type="dxa"/>
              <w:right w:w="20" w:type="dxa"/>
            </w:tcMar>
            <w:vAlign w:val="bottom"/>
          </w:tcPr>
          <w:p w14:paraId="643043FD" w14:textId="77777777" w:rsidR="009F6D8A" w:rsidRDefault="009F6D8A">
            <w:pPr>
              <w:rPr>
                <w:rFonts w:ascii="宋体"/>
              </w:rPr>
            </w:pPr>
          </w:p>
        </w:tc>
        <w:tc>
          <w:tcPr>
            <w:tcW w:w="0" w:type="auto"/>
            <w:gridSpan w:val="3"/>
            <w:shd w:val="clear" w:color="auto" w:fill="E1E1E1"/>
            <w:tcMar>
              <w:top w:w="40" w:type="dxa"/>
              <w:left w:w="20" w:type="dxa"/>
              <w:bottom w:w="40" w:type="dxa"/>
              <w:right w:w="20" w:type="dxa"/>
            </w:tcMar>
            <w:vAlign w:val="bottom"/>
          </w:tcPr>
          <w:p w14:paraId="643043FE" w14:textId="77777777" w:rsidR="009F6D8A" w:rsidRDefault="00C50974">
            <w:pPr>
              <w:jc w:val="center"/>
              <w:textAlignment w:val="bottom"/>
            </w:pPr>
            <w:r>
              <w:rPr>
                <w:rFonts w:ascii="Arial" w:eastAsia="宋体" w:hAnsi="Arial" w:cs="Arial"/>
                <w:color w:val="000000"/>
                <w:sz w:val="18"/>
                <w:szCs w:val="18"/>
              </w:rPr>
              <w:t>0.0% - 95.0% (71%)</w:t>
            </w:r>
          </w:p>
        </w:tc>
      </w:tr>
      <w:tr w:rsidR="009F6D8A" w14:paraId="64304409" w14:textId="77777777">
        <w:tc>
          <w:tcPr>
            <w:tcW w:w="0" w:type="auto"/>
            <w:gridSpan w:val="3"/>
            <w:shd w:val="clear" w:color="auto" w:fill="FFFFFF"/>
            <w:tcMar>
              <w:top w:w="0" w:type="dxa"/>
              <w:left w:w="20" w:type="dxa"/>
              <w:bottom w:w="0" w:type="dxa"/>
              <w:right w:w="20" w:type="dxa"/>
            </w:tcMar>
            <w:vAlign w:val="bottom"/>
          </w:tcPr>
          <w:p w14:paraId="6430440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401"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402"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403"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404"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405" w14:textId="77777777" w:rsidR="009F6D8A" w:rsidRDefault="009F6D8A">
            <w:pPr>
              <w:rPr>
                <w:rFonts w:ascii="宋体"/>
              </w:rPr>
            </w:pPr>
          </w:p>
        </w:tc>
        <w:tc>
          <w:tcPr>
            <w:tcW w:w="0" w:type="auto"/>
            <w:gridSpan w:val="3"/>
            <w:shd w:val="clear" w:color="auto" w:fill="FFFFFF"/>
            <w:tcMar>
              <w:top w:w="40" w:type="dxa"/>
              <w:left w:w="20" w:type="dxa"/>
              <w:bottom w:w="40" w:type="dxa"/>
              <w:right w:w="20" w:type="dxa"/>
            </w:tcMar>
            <w:vAlign w:val="bottom"/>
          </w:tcPr>
          <w:p w14:paraId="64304406" w14:textId="77777777" w:rsidR="009F6D8A" w:rsidRDefault="00C50974">
            <w:pPr>
              <w:jc w:val="center"/>
              <w:textAlignment w:val="bottom"/>
            </w:pPr>
            <w:r>
              <w:rPr>
                <w:rFonts w:ascii="Arial" w:eastAsia="宋体" w:hAnsi="Arial" w:cs="Arial"/>
                <w:color w:val="000000"/>
                <w:sz w:val="18"/>
                <w:szCs w:val="18"/>
              </w:rPr>
              <w:t>Equity volatility</w:t>
            </w:r>
          </w:p>
        </w:tc>
        <w:tc>
          <w:tcPr>
            <w:tcW w:w="0" w:type="auto"/>
            <w:gridSpan w:val="3"/>
            <w:shd w:val="clear" w:color="auto" w:fill="FFFFFF"/>
            <w:tcMar>
              <w:top w:w="0" w:type="dxa"/>
              <w:left w:w="20" w:type="dxa"/>
              <w:bottom w:w="0" w:type="dxa"/>
              <w:right w:w="20" w:type="dxa"/>
            </w:tcMar>
            <w:vAlign w:val="bottom"/>
          </w:tcPr>
          <w:p w14:paraId="64304407" w14:textId="77777777" w:rsidR="009F6D8A" w:rsidRDefault="009F6D8A">
            <w:pPr>
              <w:rPr>
                <w:rFonts w:ascii="宋体"/>
              </w:rPr>
            </w:pPr>
          </w:p>
        </w:tc>
        <w:tc>
          <w:tcPr>
            <w:tcW w:w="0" w:type="auto"/>
            <w:gridSpan w:val="3"/>
            <w:shd w:val="clear" w:color="auto" w:fill="FFFFFF"/>
            <w:tcMar>
              <w:top w:w="40" w:type="dxa"/>
              <w:left w:w="20" w:type="dxa"/>
              <w:bottom w:w="40" w:type="dxa"/>
              <w:right w:w="20" w:type="dxa"/>
            </w:tcMar>
            <w:vAlign w:val="bottom"/>
          </w:tcPr>
          <w:p w14:paraId="64304408" w14:textId="77777777" w:rsidR="009F6D8A" w:rsidRDefault="00C50974">
            <w:pPr>
              <w:jc w:val="center"/>
              <w:textAlignment w:val="bottom"/>
            </w:pPr>
            <w:r>
              <w:rPr>
                <w:rFonts w:ascii="Arial" w:eastAsia="宋体" w:hAnsi="Arial" w:cs="Arial"/>
                <w:color w:val="000000"/>
                <w:sz w:val="18"/>
                <w:szCs w:val="18"/>
              </w:rPr>
              <w:t>24.1% - 61.0% (42%)</w:t>
            </w:r>
          </w:p>
        </w:tc>
      </w:tr>
    </w:tbl>
    <w:p w14:paraId="6430440A" w14:textId="77777777" w:rsidR="009F6D8A" w:rsidRDefault="00C50974">
      <w:pPr>
        <w:spacing w:after="120"/>
        <w:ind w:hanging="180"/>
      </w:pPr>
      <w:r>
        <w:rPr>
          <w:rFonts w:ascii="Arial" w:eastAsia="宋体" w:hAnsi="Arial" w:cs="Arial"/>
          <w:color w:val="000000"/>
          <w:sz w:val="10"/>
          <w:szCs w:val="10"/>
        </w:rPr>
        <w:t>(1)</w:t>
      </w:r>
      <w:r>
        <w:rPr>
          <w:rFonts w:ascii="Arial" w:eastAsia="宋体" w:hAnsi="Arial" w:cs="Arial"/>
          <w:color w:val="000000"/>
          <w:sz w:val="16"/>
          <w:szCs w:val="16"/>
        </w:rPr>
        <w:t xml:space="preserve"> Probability of vesting were weighted by the unadjusted value of the tranches. For volatility, the average represents the arithmetic average of the points within the range and is not weighted by the relative fair value or notional amount.</w:t>
      </w:r>
    </w:p>
    <w:p w14:paraId="6430440B" w14:textId="77777777" w:rsidR="009F6D8A" w:rsidRDefault="009F6D8A"/>
    <w:p w14:paraId="6430440C" w14:textId="77777777" w:rsidR="009F6D8A" w:rsidRDefault="009F6D8A">
      <w:pPr>
        <w:jc w:val="center"/>
      </w:pPr>
    </w:p>
    <w:p w14:paraId="6430440D" w14:textId="77777777" w:rsidR="009F6D8A" w:rsidRDefault="00C50974">
      <w:pPr>
        <w:jc w:val="center"/>
      </w:pPr>
      <w:r>
        <w:rPr>
          <w:rFonts w:ascii="Arial" w:eastAsia="宋体" w:hAnsi="Arial" w:cs="Arial"/>
          <w:color w:val="000000"/>
          <w:sz w:val="20"/>
          <w:szCs w:val="20"/>
        </w:rPr>
        <w:t>28</w:t>
      </w:r>
    </w:p>
    <w:p w14:paraId="6430440E" w14:textId="77777777" w:rsidR="009F6D8A" w:rsidRDefault="00C50974">
      <w:r>
        <w:pict w14:anchorId="6430581F">
          <v:rect id="_x0000_i1052" style="width:415.3pt;height:1.5pt" o:hralign="center" o:hrstd="t" o:hr="t" fillcolor="#a0a0a0" stroked="f"/>
        </w:pict>
      </w:r>
    </w:p>
    <w:p w14:paraId="6430440F" w14:textId="77777777" w:rsidR="009F6D8A" w:rsidRDefault="009F6D8A">
      <w:pPr>
        <w:jc w:val="center"/>
      </w:pPr>
    </w:p>
    <w:p w14:paraId="64304410" w14:textId="77777777" w:rsidR="009F6D8A" w:rsidRDefault="00C50974">
      <w:pPr>
        <w:jc w:val="center"/>
      </w:pPr>
      <w:r>
        <w:rPr>
          <w:rFonts w:ascii="Arial" w:eastAsia="宋体" w:hAnsi="Arial" w:cs="Arial"/>
          <w:b/>
          <w:bCs/>
          <w:color w:val="000000"/>
          <w:sz w:val="20"/>
          <w:szCs w:val="20"/>
        </w:rPr>
        <w:t>eBay Inc.</w:t>
      </w:r>
    </w:p>
    <w:p w14:paraId="64304411"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4412" w14:textId="77777777" w:rsidR="009F6D8A" w:rsidRDefault="00C50974">
      <w:r>
        <w:rPr>
          <w:rFonts w:ascii="Arial" w:eastAsia="宋体" w:hAnsi="Arial" w:cs="Arial"/>
          <w:b/>
          <w:bCs/>
          <w:color w:val="000000"/>
          <w:sz w:val="20"/>
          <w:szCs w:val="20"/>
        </w:rPr>
        <w:t>Note 9 — Debt</w:t>
      </w:r>
    </w:p>
    <w:p w14:paraId="64304413" w14:textId="77777777" w:rsidR="009F6D8A" w:rsidRDefault="009F6D8A">
      <w:pPr>
        <w:ind w:firstLine="540"/>
      </w:pPr>
    </w:p>
    <w:p w14:paraId="64304414" w14:textId="77777777" w:rsidR="009F6D8A" w:rsidRDefault="00C50974">
      <w:pPr>
        <w:ind w:firstLine="540"/>
      </w:pPr>
      <w:r>
        <w:rPr>
          <w:rFonts w:ascii="Arial" w:eastAsia="宋体" w:hAnsi="Arial" w:cs="Arial"/>
          <w:color w:val="000000"/>
          <w:sz w:val="20"/>
          <w:szCs w:val="20"/>
        </w:rPr>
        <w:t>The following table summarizes the carrying value of our outstanding debt (in millions, except percentages):</w:t>
      </w:r>
    </w:p>
    <w:tbl>
      <w:tblPr>
        <w:tblW w:w="4985" w:type="pct"/>
        <w:tblCellMar>
          <w:top w:w="15" w:type="dxa"/>
          <w:left w:w="15" w:type="dxa"/>
          <w:bottom w:w="15" w:type="dxa"/>
          <w:right w:w="15" w:type="dxa"/>
        </w:tblCellMar>
        <w:tblLook w:val="04A0" w:firstRow="1" w:lastRow="0" w:firstColumn="1" w:lastColumn="0" w:noHBand="0" w:noVBand="1"/>
      </w:tblPr>
      <w:tblGrid>
        <w:gridCol w:w="55"/>
        <w:gridCol w:w="2213"/>
        <w:gridCol w:w="38"/>
        <w:gridCol w:w="36"/>
        <w:gridCol w:w="36"/>
        <w:gridCol w:w="36"/>
        <w:gridCol w:w="39"/>
        <w:gridCol w:w="1030"/>
        <w:gridCol w:w="36"/>
        <w:gridCol w:w="36"/>
        <w:gridCol w:w="36"/>
        <w:gridCol w:w="36"/>
        <w:gridCol w:w="109"/>
        <w:gridCol w:w="1047"/>
        <w:gridCol w:w="36"/>
        <w:gridCol w:w="36"/>
        <w:gridCol w:w="36"/>
        <w:gridCol w:w="36"/>
        <w:gridCol w:w="53"/>
        <w:gridCol w:w="783"/>
        <w:gridCol w:w="163"/>
        <w:gridCol w:w="36"/>
        <w:gridCol w:w="36"/>
        <w:gridCol w:w="36"/>
        <w:gridCol w:w="110"/>
        <w:gridCol w:w="1022"/>
        <w:gridCol w:w="36"/>
        <w:gridCol w:w="36"/>
        <w:gridCol w:w="36"/>
        <w:gridCol w:w="36"/>
        <w:gridCol w:w="53"/>
        <w:gridCol w:w="785"/>
        <w:gridCol w:w="163"/>
      </w:tblGrid>
      <w:tr w:rsidR="009F6D8A" w14:paraId="64304436" w14:textId="77777777">
        <w:tc>
          <w:tcPr>
            <w:tcW w:w="50" w:type="pct"/>
            <w:shd w:val="clear" w:color="auto" w:fill="auto"/>
            <w:vAlign w:val="bottom"/>
          </w:tcPr>
          <w:p w14:paraId="64304415" w14:textId="77777777" w:rsidR="009F6D8A" w:rsidRDefault="009F6D8A">
            <w:pPr>
              <w:rPr>
                <w:rFonts w:ascii="宋体"/>
              </w:rPr>
            </w:pPr>
          </w:p>
        </w:tc>
        <w:tc>
          <w:tcPr>
            <w:tcW w:w="1374" w:type="pct"/>
            <w:shd w:val="clear" w:color="auto" w:fill="auto"/>
            <w:vAlign w:val="bottom"/>
          </w:tcPr>
          <w:p w14:paraId="64304416" w14:textId="77777777" w:rsidR="009F6D8A" w:rsidRDefault="009F6D8A">
            <w:pPr>
              <w:rPr>
                <w:rFonts w:ascii="宋体"/>
              </w:rPr>
            </w:pPr>
          </w:p>
        </w:tc>
        <w:tc>
          <w:tcPr>
            <w:tcW w:w="5" w:type="pct"/>
            <w:shd w:val="clear" w:color="auto" w:fill="auto"/>
            <w:vAlign w:val="bottom"/>
          </w:tcPr>
          <w:p w14:paraId="64304417" w14:textId="77777777" w:rsidR="009F6D8A" w:rsidRDefault="009F6D8A">
            <w:pPr>
              <w:rPr>
                <w:rFonts w:ascii="宋体"/>
              </w:rPr>
            </w:pPr>
          </w:p>
        </w:tc>
        <w:tc>
          <w:tcPr>
            <w:tcW w:w="5" w:type="pct"/>
            <w:shd w:val="clear" w:color="auto" w:fill="auto"/>
            <w:vAlign w:val="bottom"/>
          </w:tcPr>
          <w:p w14:paraId="64304418" w14:textId="77777777" w:rsidR="009F6D8A" w:rsidRDefault="009F6D8A">
            <w:pPr>
              <w:rPr>
                <w:rFonts w:ascii="宋体"/>
              </w:rPr>
            </w:pPr>
          </w:p>
        </w:tc>
        <w:tc>
          <w:tcPr>
            <w:tcW w:w="26" w:type="pct"/>
            <w:shd w:val="clear" w:color="auto" w:fill="auto"/>
            <w:vAlign w:val="bottom"/>
          </w:tcPr>
          <w:p w14:paraId="64304419" w14:textId="77777777" w:rsidR="009F6D8A" w:rsidRDefault="009F6D8A">
            <w:pPr>
              <w:rPr>
                <w:rFonts w:ascii="宋体"/>
              </w:rPr>
            </w:pPr>
          </w:p>
        </w:tc>
        <w:tc>
          <w:tcPr>
            <w:tcW w:w="5" w:type="pct"/>
            <w:shd w:val="clear" w:color="auto" w:fill="auto"/>
            <w:vAlign w:val="bottom"/>
          </w:tcPr>
          <w:p w14:paraId="6430441A" w14:textId="77777777" w:rsidR="009F6D8A" w:rsidRDefault="009F6D8A">
            <w:pPr>
              <w:rPr>
                <w:rFonts w:ascii="宋体"/>
              </w:rPr>
            </w:pPr>
          </w:p>
        </w:tc>
        <w:tc>
          <w:tcPr>
            <w:tcW w:w="50" w:type="pct"/>
            <w:shd w:val="clear" w:color="auto" w:fill="auto"/>
            <w:vAlign w:val="bottom"/>
          </w:tcPr>
          <w:p w14:paraId="6430441B" w14:textId="77777777" w:rsidR="009F6D8A" w:rsidRDefault="009F6D8A">
            <w:pPr>
              <w:rPr>
                <w:rFonts w:ascii="宋体"/>
              </w:rPr>
            </w:pPr>
          </w:p>
        </w:tc>
        <w:tc>
          <w:tcPr>
            <w:tcW w:w="678" w:type="pct"/>
            <w:shd w:val="clear" w:color="auto" w:fill="auto"/>
            <w:vAlign w:val="bottom"/>
          </w:tcPr>
          <w:p w14:paraId="6430441C" w14:textId="77777777" w:rsidR="009F6D8A" w:rsidRDefault="009F6D8A">
            <w:pPr>
              <w:rPr>
                <w:rFonts w:ascii="宋体"/>
              </w:rPr>
            </w:pPr>
          </w:p>
        </w:tc>
        <w:tc>
          <w:tcPr>
            <w:tcW w:w="5" w:type="pct"/>
            <w:shd w:val="clear" w:color="auto" w:fill="auto"/>
            <w:vAlign w:val="bottom"/>
          </w:tcPr>
          <w:p w14:paraId="6430441D" w14:textId="77777777" w:rsidR="009F6D8A" w:rsidRDefault="009F6D8A">
            <w:pPr>
              <w:rPr>
                <w:rFonts w:ascii="宋体"/>
              </w:rPr>
            </w:pPr>
          </w:p>
        </w:tc>
        <w:tc>
          <w:tcPr>
            <w:tcW w:w="5" w:type="pct"/>
            <w:shd w:val="clear" w:color="auto" w:fill="auto"/>
            <w:vAlign w:val="bottom"/>
          </w:tcPr>
          <w:p w14:paraId="6430441E" w14:textId="77777777" w:rsidR="009F6D8A" w:rsidRDefault="009F6D8A">
            <w:pPr>
              <w:rPr>
                <w:rFonts w:ascii="宋体"/>
              </w:rPr>
            </w:pPr>
          </w:p>
        </w:tc>
        <w:tc>
          <w:tcPr>
            <w:tcW w:w="26" w:type="pct"/>
            <w:shd w:val="clear" w:color="auto" w:fill="auto"/>
            <w:vAlign w:val="bottom"/>
          </w:tcPr>
          <w:p w14:paraId="6430441F" w14:textId="77777777" w:rsidR="009F6D8A" w:rsidRDefault="009F6D8A">
            <w:pPr>
              <w:rPr>
                <w:rFonts w:ascii="宋体"/>
              </w:rPr>
            </w:pPr>
          </w:p>
        </w:tc>
        <w:tc>
          <w:tcPr>
            <w:tcW w:w="5" w:type="pct"/>
            <w:shd w:val="clear" w:color="auto" w:fill="auto"/>
            <w:vAlign w:val="bottom"/>
          </w:tcPr>
          <w:p w14:paraId="64304420" w14:textId="77777777" w:rsidR="009F6D8A" w:rsidRDefault="009F6D8A">
            <w:pPr>
              <w:rPr>
                <w:rFonts w:ascii="宋体"/>
              </w:rPr>
            </w:pPr>
          </w:p>
        </w:tc>
        <w:tc>
          <w:tcPr>
            <w:tcW w:w="50" w:type="pct"/>
            <w:shd w:val="clear" w:color="auto" w:fill="auto"/>
            <w:vAlign w:val="bottom"/>
          </w:tcPr>
          <w:p w14:paraId="64304421" w14:textId="77777777" w:rsidR="009F6D8A" w:rsidRDefault="009F6D8A">
            <w:pPr>
              <w:rPr>
                <w:rFonts w:ascii="宋体"/>
              </w:rPr>
            </w:pPr>
          </w:p>
        </w:tc>
        <w:tc>
          <w:tcPr>
            <w:tcW w:w="685" w:type="pct"/>
            <w:shd w:val="clear" w:color="auto" w:fill="auto"/>
            <w:vAlign w:val="bottom"/>
          </w:tcPr>
          <w:p w14:paraId="64304422" w14:textId="77777777" w:rsidR="009F6D8A" w:rsidRDefault="009F6D8A">
            <w:pPr>
              <w:rPr>
                <w:rFonts w:ascii="宋体"/>
              </w:rPr>
            </w:pPr>
          </w:p>
        </w:tc>
        <w:tc>
          <w:tcPr>
            <w:tcW w:w="5" w:type="pct"/>
            <w:shd w:val="clear" w:color="auto" w:fill="auto"/>
            <w:vAlign w:val="bottom"/>
          </w:tcPr>
          <w:p w14:paraId="64304423" w14:textId="77777777" w:rsidR="009F6D8A" w:rsidRDefault="009F6D8A">
            <w:pPr>
              <w:rPr>
                <w:rFonts w:ascii="宋体"/>
              </w:rPr>
            </w:pPr>
          </w:p>
        </w:tc>
        <w:tc>
          <w:tcPr>
            <w:tcW w:w="5" w:type="pct"/>
            <w:shd w:val="clear" w:color="auto" w:fill="auto"/>
            <w:vAlign w:val="bottom"/>
          </w:tcPr>
          <w:p w14:paraId="64304424" w14:textId="77777777" w:rsidR="009F6D8A" w:rsidRDefault="009F6D8A">
            <w:pPr>
              <w:rPr>
                <w:rFonts w:ascii="宋体"/>
              </w:rPr>
            </w:pPr>
          </w:p>
        </w:tc>
        <w:tc>
          <w:tcPr>
            <w:tcW w:w="26" w:type="pct"/>
            <w:shd w:val="clear" w:color="auto" w:fill="auto"/>
            <w:vAlign w:val="bottom"/>
          </w:tcPr>
          <w:p w14:paraId="64304425" w14:textId="77777777" w:rsidR="009F6D8A" w:rsidRDefault="009F6D8A">
            <w:pPr>
              <w:rPr>
                <w:rFonts w:ascii="宋体"/>
              </w:rPr>
            </w:pPr>
          </w:p>
        </w:tc>
        <w:tc>
          <w:tcPr>
            <w:tcW w:w="5" w:type="pct"/>
            <w:shd w:val="clear" w:color="auto" w:fill="auto"/>
            <w:vAlign w:val="bottom"/>
          </w:tcPr>
          <w:p w14:paraId="64304426" w14:textId="77777777" w:rsidR="009F6D8A" w:rsidRDefault="009F6D8A">
            <w:pPr>
              <w:rPr>
                <w:rFonts w:ascii="宋体"/>
              </w:rPr>
            </w:pPr>
          </w:p>
        </w:tc>
        <w:tc>
          <w:tcPr>
            <w:tcW w:w="50" w:type="pct"/>
            <w:shd w:val="clear" w:color="auto" w:fill="auto"/>
            <w:vAlign w:val="bottom"/>
          </w:tcPr>
          <w:p w14:paraId="64304427" w14:textId="77777777" w:rsidR="009F6D8A" w:rsidRDefault="009F6D8A">
            <w:pPr>
              <w:rPr>
                <w:rFonts w:ascii="宋体"/>
              </w:rPr>
            </w:pPr>
          </w:p>
        </w:tc>
        <w:tc>
          <w:tcPr>
            <w:tcW w:w="538" w:type="pct"/>
            <w:shd w:val="clear" w:color="auto" w:fill="auto"/>
            <w:vAlign w:val="bottom"/>
          </w:tcPr>
          <w:p w14:paraId="64304428" w14:textId="77777777" w:rsidR="009F6D8A" w:rsidRDefault="009F6D8A">
            <w:pPr>
              <w:rPr>
                <w:rFonts w:ascii="宋体"/>
              </w:rPr>
            </w:pPr>
          </w:p>
        </w:tc>
        <w:tc>
          <w:tcPr>
            <w:tcW w:w="5" w:type="pct"/>
            <w:shd w:val="clear" w:color="auto" w:fill="auto"/>
            <w:vAlign w:val="bottom"/>
          </w:tcPr>
          <w:p w14:paraId="64304429" w14:textId="77777777" w:rsidR="009F6D8A" w:rsidRDefault="009F6D8A">
            <w:pPr>
              <w:rPr>
                <w:rFonts w:ascii="宋体"/>
              </w:rPr>
            </w:pPr>
          </w:p>
        </w:tc>
        <w:tc>
          <w:tcPr>
            <w:tcW w:w="5" w:type="pct"/>
            <w:shd w:val="clear" w:color="auto" w:fill="auto"/>
            <w:vAlign w:val="bottom"/>
          </w:tcPr>
          <w:p w14:paraId="6430442A" w14:textId="77777777" w:rsidR="009F6D8A" w:rsidRDefault="009F6D8A">
            <w:pPr>
              <w:rPr>
                <w:rFonts w:ascii="宋体"/>
              </w:rPr>
            </w:pPr>
          </w:p>
        </w:tc>
        <w:tc>
          <w:tcPr>
            <w:tcW w:w="26" w:type="pct"/>
            <w:shd w:val="clear" w:color="auto" w:fill="auto"/>
            <w:vAlign w:val="bottom"/>
          </w:tcPr>
          <w:p w14:paraId="6430442B" w14:textId="77777777" w:rsidR="009F6D8A" w:rsidRDefault="009F6D8A">
            <w:pPr>
              <w:rPr>
                <w:rFonts w:ascii="宋体"/>
              </w:rPr>
            </w:pPr>
          </w:p>
        </w:tc>
        <w:tc>
          <w:tcPr>
            <w:tcW w:w="5" w:type="pct"/>
            <w:shd w:val="clear" w:color="auto" w:fill="auto"/>
            <w:vAlign w:val="bottom"/>
          </w:tcPr>
          <w:p w14:paraId="6430442C" w14:textId="77777777" w:rsidR="009F6D8A" w:rsidRDefault="009F6D8A">
            <w:pPr>
              <w:rPr>
                <w:rFonts w:ascii="宋体"/>
              </w:rPr>
            </w:pPr>
          </w:p>
        </w:tc>
        <w:tc>
          <w:tcPr>
            <w:tcW w:w="50" w:type="pct"/>
            <w:shd w:val="clear" w:color="auto" w:fill="auto"/>
            <w:vAlign w:val="bottom"/>
          </w:tcPr>
          <w:p w14:paraId="6430442D" w14:textId="77777777" w:rsidR="009F6D8A" w:rsidRDefault="009F6D8A">
            <w:pPr>
              <w:rPr>
                <w:rFonts w:ascii="宋体"/>
              </w:rPr>
            </w:pPr>
          </w:p>
        </w:tc>
        <w:tc>
          <w:tcPr>
            <w:tcW w:w="670" w:type="pct"/>
            <w:shd w:val="clear" w:color="auto" w:fill="auto"/>
            <w:vAlign w:val="bottom"/>
          </w:tcPr>
          <w:p w14:paraId="6430442E" w14:textId="77777777" w:rsidR="009F6D8A" w:rsidRDefault="009F6D8A">
            <w:pPr>
              <w:rPr>
                <w:rFonts w:ascii="宋体"/>
              </w:rPr>
            </w:pPr>
          </w:p>
        </w:tc>
        <w:tc>
          <w:tcPr>
            <w:tcW w:w="5" w:type="pct"/>
            <w:shd w:val="clear" w:color="auto" w:fill="auto"/>
            <w:vAlign w:val="bottom"/>
          </w:tcPr>
          <w:p w14:paraId="6430442F" w14:textId="77777777" w:rsidR="009F6D8A" w:rsidRDefault="009F6D8A">
            <w:pPr>
              <w:rPr>
                <w:rFonts w:ascii="宋体"/>
              </w:rPr>
            </w:pPr>
          </w:p>
        </w:tc>
        <w:tc>
          <w:tcPr>
            <w:tcW w:w="5" w:type="pct"/>
            <w:shd w:val="clear" w:color="auto" w:fill="auto"/>
            <w:vAlign w:val="bottom"/>
          </w:tcPr>
          <w:p w14:paraId="64304430" w14:textId="77777777" w:rsidR="009F6D8A" w:rsidRDefault="009F6D8A">
            <w:pPr>
              <w:rPr>
                <w:rFonts w:ascii="宋体"/>
              </w:rPr>
            </w:pPr>
          </w:p>
        </w:tc>
        <w:tc>
          <w:tcPr>
            <w:tcW w:w="26" w:type="pct"/>
            <w:shd w:val="clear" w:color="auto" w:fill="auto"/>
            <w:vAlign w:val="bottom"/>
          </w:tcPr>
          <w:p w14:paraId="64304431" w14:textId="77777777" w:rsidR="009F6D8A" w:rsidRDefault="009F6D8A">
            <w:pPr>
              <w:rPr>
                <w:rFonts w:ascii="宋体"/>
              </w:rPr>
            </w:pPr>
          </w:p>
        </w:tc>
        <w:tc>
          <w:tcPr>
            <w:tcW w:w="5" w:type="pct"/>
            <w:shd w:val="clear" w:color="auto" w:fill="auto"/>
            <w:vAlign w:val="bottom"/>
          </w:tcPr>
          <w:p w14:paraId="64304432" w14:textId="77777777" w:rsidR="009F6D8A" w:rsidRDefault="009F6D8A">
            <w:pPr>
              <w:rPr>
                <w:rFonts w:ascii="宋体"/>
              </w:rPr>
            </w:pPr>
          </w:p>
        </w:tc>
        <w:tc>
          <w:tcPr>
            <w:tcW w:w="50" w:type="pct"/>
            <w:shd w:val="clear" w:color="auto" w:fill="auto"/>
            <w:vAlign w:val="bottom"/>
          </w:tcPr>
          <w:p w14:paraId="64304433" w14:textId="77777777" w:rsidR="009F6D8A" w:rsidRDefault="009F6D8A">
            <w:pPr>
              <w:rPr>
                <w:rFonts w:ascii="宋体"/>
              </w:rPr>
            </w:pPr>
          </w:p>
        </w:tc>
        <w:tc>
          <w:tcPr>
            <w:tcW w:w="539" w:type="pct"/>
            <w:shd w:val="clear" w:color="auto" w:fill="auto"/>
            <w:vAlign w:val="bottom"/>
          </w:tcPr>
          <w:p w14:paraId="64304434" w14:textId="77777777" w:rsidR="009F6D8A" w:rsidRDefault="009F6D8A">
            <w:pPr>
              <w:rPr>
                <w:rFonts w:ascii="宋体"/>
              </w:rPr>
            </w:pPr>
          </w:p>
        </w:tc>
        <w:tc>
          <w:tcPr>
            <w:tcW w:w="5" w:type="pct"/>
            <w:shd w:val="clear" w:color="auto" w:fill="auto"/>
            <w:vAlign w:val="bottom"/>
          </w:tcPr>
          <w:p w14:paraId="64304435" w14:textId="77777777" w:rsidR="009F6D8A" w:rsidRDefault="009F6D8A">
            <w:pPr>
              <w:rPr>
                <w:rFonts w:ascii="宋体"/>
              </w:rPr>
            </w:pPr>
          </w:p>
        </w:tc>
      </w:tr>
      <w:tr w:rsidR="009F6D8A" w14:paraId="64304442" w14:textId="77777777">
        <w:tc>
          <w:tcPr>
            <w:tcW w:w="0" w:type="auto"/>
            <w:gridSpan w:val="3"/>
            <w:shd w:val="clear" w:color="auto" w:fill="auto"/>
            <w:tcMar>
              <w:top w:w="0" w:type="dxa"/>
              <w:left w:w="20" w:type="dxa"/>
              <w:bottom w:w="0" w:type="dxa"/>
              <w:right w:w="20" w:type="dxa"/>
            </w:tcMar>
            <w:vAlign w:val="bottom"/>
          </w:tcPr>
          <w:p w14:paraId="64304437"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4438"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439" w14:textId="77777777" w:rsidR="009F6D8A" w:rsidRDefault="00C50974">
            <w:pPr>
              <w:jc w:val="center"/>
              <w:textAlignment w:val="bottom"/>
            </w:pPr>
            <w:r>
              <w:rPr>
                <w:rFonts w:ascii="Arial" w:eastAsia="宋体" w:hAnsi="Arial" w:cs="Arial"/>
                <w:b/>
                <w:bCs/>
                <w:color w:val="000000"/>
                <w:sz w:val="14"/>
                <w:szCs w:val="14"/>
              </w:rPr>
              <w:t>Coupon</w:t>
            </w:r>
          </w:p>
        </w:tc>
        <w:tc>
          <w:tcPr>
            <w:tcW w:w="0" w:type="auto"/>
            <w:gridSpan w:val="3"/>
            <w:shd w:val="clear" w:color="auto" w:fill="auto"/>
            <w:tcMar>
              <w:top w:w="0" w:type="dxa"/>
              <w:left w:w="20" w:type="dxa"/>
              <w:bottom w:w="0" w:type="dxa"/>
              <w:right w:w="20" w:type="dxa"/>
            </w:tcMar>
            <w:vAlign w:val="bottom"/>
          </w:tcPr>
          <w:p w14:paraId="6430443A"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43B" w14:textId="77777777" w:rsidR="009F6D8A" w:rsidRDefault="00C50974">
            <w:pPr>
              <w:jc w:val="center"/>
              <w:textAlignment w:val="bottom"/>
            </w:pPr>
            <w:r>
              <w:rPr>
                <w:rFonts w:ascii="Arial" w:eastAsia="宋体" w:hAnsi="Arial" w:cs="Arial"/>
                <w:b/>
                <w:bCs/>
                <w:color w:val="000000"/>
                <w:sz w:val="14"/>
                <w:szCs w:val="14"/>
              </w:rPr>
              <w:t>As of</w:t>
            </w:r>
          </w:p>
        </w:tc>
        <w:tc>
          <w:tcPr>
            <w:tcW w:w="0" w:type="auto"/>
            <w:gridSpan w:val="3"/>
            <w:shd w:val="clear" w:color="auto" w:fill="auto"/>
            <w:tcMar>
              <w:top w:w="0" w:type="dxa"/>
              <w:left w:w="20" w:type="dxa"/>
              <w:bottom w:w="0" w:type="dxa"/>
              <w:right w:w="20" w:type="dxa"/>
            </w:tcMar>
            <w:vAlign w:val="bottom"/>
          </w:tcPr>
          <w:p w14:paraId="6430443C"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43D" w14:textId="77777777" w:rsidR="009F6D8A" w:rsidRDefault="00C50974">
            <w:pPr>
              <w:jc w:val="center"/>
              <w:textAlignment w:val="bottom"/>
            </w:pPr>
            <w:r>
              <w:rPr>
                <w:rFonts w:ascii="Arial" w:eastAsia="宋体" w:hAnsi="Arial" w:cs="Arial"/>
                <w:b/>
                <w:bCs/>
                <w:color w:val="000000"/>
                <w:sz w:val="14"/>
                <w:szCs w:val="14"/>
              </w:rPr>
              <w:t>Effective</w:t>
            </w:r>
          </w:p>
        </w:tc>
        <w:tc>
          <w:tcPr>
            <w:tcW w:w="0" w:type="auto"/>
            <w:gridSpan w:val="3"/>
            <w:shd w:val="clear" w:color="auto" w:fill="auto"/>
            <w:tcMar>
              <w:top w:w="0" w:type="dxa"/>
              <w:left w:w="20" w:type="dxa"/>
              <w:bottom w:w="0" w:type="dxa"/>
              <w:right w:w="20" w:type="dxa"/>
            </w:tcMar>
            <w:vAlign w:val="bottom"/>
          </w:tcPr>
          <w:p w14:paraId="6430443E"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43F" w14:textId="77777777" w:rsidR="009F6D8A" w:rsidRDefault="00C50974">
            <w:pPr>
              <w:jc w:val="center"/>
              <w:textAlignment w:val="bottom"/>
            </w:pPr>
            <w:r>
              <w:rPr>
                <w:rFonts w:ascii="Arial" w:eastAsia="宋体" w:hAnsi="Arial" w:cs="Arial"/>
                <w:b/>
                <w:bCs/>
                <w:color w:val="000000"/>
                <w:sz w:val="14"/>
                <w:szCs w:val="14"/>
              </w:rPr>
              <w:t>As of</w:t>
            </w:r>
          </w:p>
        </w:tc>
        <w:tc>
          <w:tcPr>
            <w:tcW w:w="0" w:type="auto"/>
            <w:gridSpan w:val="3"/>
            <w:shd w:val="clear" w:color="auto" w:fill="auto"/>
            <w:tcMar>
              <w:top w:w="0" w:type="dxa"/>
              <w:left w:w="20" w:type="dxa"/>
              <w:bottom w:w="0" w:type="dxa"/>
              <w:right w:w="20" w:type="dxa"/>
            </w:tcMar>
            <w:vAlign w:val="bottom"/>
          </w:tcPr>
          <w:p w14:paraId="64304440"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441" w14:textId="77777777" w:rsidR="009F6D8A" w:rsidRDefault="00C50974">
            <w:pPr>
              <w:jc w:val="center"/>
              <w:textAlignment w:val="bottom"/>
            </w:pPr>
            <w:r>
              <w:rPr>
                <w:rFonts w:ascii="Arial" w:eastAsia="宋体" w:hAnsi="Arial" w:cs="Arial"/>
                <w:b/>
                <w:bCs/>
                <w:color w:val="000000"/>
                <w:sz w:val="14"/>
                <w:szCs w:val="14"/>
              </w:rPr>
              <w:t>Effective</w:t>
            </w:r>
          </w:p>
        </w:tc>
      </w:tr>
      <w:tr w:rsidR="009F6D8A" w14:paraId="6430444E" w14:textId="77777777">
        <w:tc>
          <w:tcPr>
            <w:tcW w:w="0" w:type="auto"/>
            <w:gridSpan w:val="3"/>
            <w:shd w:val="clear" w:color="auto" w:fill="auto"/>
            <w:tcMar>
              <w:top w:w="0" w:type="dxa"/>
              <w:left w:w="20" w:type="dxa"/>
              <w:bottom w:w="0" w:type="dxa"/>
              <w:right w:w="20" w:type="dxa"/>
            </w:tcMar>
            <w:vAlign w:val="bottom"/>
          </w:tcPr>
          <w:p w14:paraId="64304443"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4444"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445" w14:textId="77777777" w:rsidR="009F6D8A" w:rsidRDefault="00C50974">
            <w:pPr>
              <w:jc w:val="center"/>
              <w:textAlignment w:val="bottom"/>
            </w:pPr>
            <w:r>
              <w:rPr>
                <w:rFonts w:ascii="Arial" w:eastAsia="宋体" w:hAnsi="Arial" w:cs="Arial"/>
                <w:b/>
                <w:bCs/>
                <w:color w:val="000000"/>
                <w:sz w:val="14"/>
                <w:szCs w:val="14"/>
              </w:rPr>
              <w:t> Rate</w:t>
            </w:r>
          </w:p>
        </w:tc>
        <w:tc>
          <w:tcPr>
            <w:tcW w:w="0" w:type="auto"/>
            <w:gridSpan w:val="3"/>
            <w:shd w:val="clear" w:color="auto" w:fill="auto"/>
            <w:tcMar>
              <w:top w:w="0" w:type="dxa"/>
              <w:left w:w="20" w:type="dxa"/>
              <w:bottom w:w="0" w:type="dxa"/>
              <w:right w:w="20" w:type="dxa"/>
            </w:tcMar>
            <w:vAlign w:val="bottom"/>
          </w:tcPr>
          <w:p w14:paraId="64304446"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447" w14:textId="77777777" w:rsidR="009F6D8A" w:rsidRDefault="00C50974">
            <w:pPr>
              <w:jc w:val="center"/>
              <w:textAlignment w:val="bottom"/>
            </w:pPr>
            <w:r>
              <w:rPr>
                <w:rFonts w:ascii="Arial" w:eastAsia="宋体" w:hAnsi="Arial" w:cs="Arial"/>
                <w:b/>
                <w:bCs/>
                <w:color w:val="000000"/>
                <w:sz w:val="14"/>
                <w:szCs w:val="14"/>
              </w:rPr>
              <w:t>June 30, 2021</w:t>
            </w:r>
          </w:p>
        </w:tc>
        <w:tc>
          <w:tcPr>
            <w:tcW w:w="0" w:type="auto"/>
            <w:gridSpan w:val="3"/>
            <w:shd w:val="clear" w:color="auto" w:fill="auto"/>
            <w:tcMar>
              <w:top w:w="0" w:type="dxa"/>
              <w:left w:w="20" w:type="dxa"/>
              <w:bottom w:w="0" w:type="dxa"/>
              <w:right w:w="20" w:type="dxa"/>
            </w:tcMar>
            <w:vAlign w:val="bottom"/>
          </w:tcPr>
          <w:p w14:paraId="64304448"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449" w14:textId="77777777" w:rsidR="009F6D8A" w:rsidRDefault="00C50974">
            <w:pPr>
              <w:jc w:val="center"/>
              <w:textAlignment w:val="bottom"/>
            </w:pPr>
            <w:r>
              <w:rPr>
                <w:rFonts w:ascii="Arial" w:eastAsia="宋体" w:hAnsi="Arial" w:cs="Arial"/>
                <w:b/>
                <w:bCs/>
                <w:color w:val="000000"/>
                <w:sz w:val="14"/>
                <w:szCs w:val="14"/>
              </w:rPr>
              <w:t> Interest Rate</w:t>
            </w:r>
          </w:p>
        </w:tc>
        <w:tc>
          <w:tcPr>
            <w:tcW w:w="0" w:type="auto"/>
            <w:gridSpan w:val="3"/>
            <w:shd w:val="clear" w:color="auto" w:fill="auto"/>
            <w:tcMar>
              <w:top w:w="0" w:type="dxa"/>
              <w:left w:w="20" w:type="dxa"/>
              <w:bottom w:w="0" w:type="dxa"/>
              <w:right w:w="20" w:type="dxa"/>
            </w:tcMar>
            <w:vAlign w:val="bottom"/>
          </w:tcPr>
          <w:p w14:paraId="6430444A"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44B" w14:textId="77777777" w:rsidR="009F6D8A" w:rsidRDefault="00C50974">
            <w:pPr>
              <w:jc w:val="center"/>
              <w:textAlignment w:val="bottom"/>
            </w:pPr>
            <w:r>
              <w:rPr>
                <w:rFonts w:ascii="Arial" w:eastAsia="宋体" w:hAnsi="Arial" w:cs="Arial"/>
                <w:b/>
                <w:bCs/>
                <w:color w:val="000000"/>
                <w:sz w:val="14"/>
                <w:szCs w:val="14"/>
              </w:rPr>
              <w:t>December 31, 2020</w:t>
            </w:r>
          </w:p>
        </w:tc>
        <w:tc>
          <w:tcPr>
            <w:tcW w:w="0" w:type="auto"/>
            <w:gridSpan w:val="3"/>
            <w:shd w:val="clear" w:color="auto" w:fill="auto"/>
            <w:tcMar>
              <w:top w:w="0" w:type="dxa"/>
              <w:left w:w="20" w:type="dxa"/>
              <w:bottom w:w="0" w:type="dxa"/>
              <w:right w:w="20" w:type="dxa"/>
            </w:tcMar>
            <w:vAlign w:val="bottom"/>
          </w:tcPr>
          <w:p w14:paraId="6430444C"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44D" w14:textId="77777777" w:rsidR="009F6D8A" w:rsidRDefault="00C50974">
            <w:pPr>
              <w:jc w:val="center"/>
              <w:textAlignment w:val="bottom"/>
            </w:pPr>
            <w:r>
              <w:rPr>
                <w:rFonts w:ascii="Arial" w:eastAsia="宋体" w:hAnsi="Arial" w:cs="Arial"/>
                <w:b/>
                <w:bCs/>
                <w:color w:val="000000"/>
                <w:sz w:val="14"/>
                <w:szCs w:val="14"/>
              </w:rPr>
              <w:t> Interest Rate</w:t>
            </w:r>
          </w:p>
        </w:tc>
      </w:tr>
      <w:tr w:rsidR="009F6D8A" w14:paraId="6430445A"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6430444F" w14:textId="77777777" w:rsidR="009F6D8A" w:rsidRDefault="00C50974">
            <w:pPr>
              <w:textAlignment w:val="bottom"/>
            </w:pPr>
            <w:r>
              <w:rPr>
                <w:rFonts w:ascii="Arial" w:eastAsia="宋体" w:hAnsi="Arial" w:cs="Arial"/>
                <w:b/>
                <w:bCs/>
                <w:color w:val="000000"/>
                <w:sz w:val="16"/>
                <w:szCs w:val="16"/>
              </w:rPr>
              <w:t>Long-Term Debt</w:t>
            </w:r>
          </w:p>
        </w:tc>
        <w:tc>
          <w:tcPr>
            <w:tcW w:w="0" w:type="auto"/>
            <w:gridSpan w:val="3"/>
            <w:shd w:val="clear" w:color="auto" w:fill="FFFFFF"/>
            <w:tcMar>
              <w:top w:w="0" w:type="dxa"/>
              <w:left w:w="20" w:type="dxa"/>
              <w:bottom w:w="0" w:type="dxa"/>
              <w:right w:w="20" w:type="dxa"/>
            </w:tcMar>
            <w:vAlign w:val="bottom"/>
          </w:tcPr>
          <w:p w14:paraId="64304450"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451"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452"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453"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454"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455"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456"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457"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458"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459" w14:textId="77777777" w:rsidR="009F6D8A" w:rsidRDefault="009F6D8A">
            <w:pPr>
              <w:rPr>
                <w:rFonts w:ascii="宋体"/>
              </w:rPr>
            </w:pPr>
          </w:p>
        </w:tc>
      </w:tr>
      <w:tr w:rsidR="009F6D8A" w14:paraId="64304466" w14:textId="77777777">
        <w:tc>
          <w:tcPr>
            <w:tcW w:w="0" w:type="auto"/>
            <w:gridSpan w:val="3"/>
            <w:shd w:val="clear" w:color="auto" w:fill="E2E2E2"/>
            <w:tcMar>
              <w:top w:w="40" w:type="dxa"/>
              <w:left w:w="20" w:type="dxa"/>
              <w:bottom w:w="40" w:type="dxa"/>
              <w:right w:w="20" w:type="dxa"/>
            </w:tcMar>
            <w:vAlign w:val="bottom"/>
          </w:tcPr>
          <w:p w14:paraId="6430445B" w14:textId="77777777" w:rsidR="009F6D8A" w:rsidRDefault="00C50974">
            <w:pPr>
              <w:textAlignment w:val="bottom"/>
            </w:pPr>
            <w:r>
              <w:rPr>
                <w:rFonts w:ascii="Arial" w:eastAsia="宋体" w:hAnsi="Arial" w:cs="Arial"/>
                <w:color w:val="000000"/>
                <w:sz w:val="16"/>
                <w:szCs w:val="16"/>
              </w:rPr>
              <w:t>Floating Rate Notes:</w:t>
            </w:r>
          </w:p>
        </w:tc>
        <w:tc>
          <w:tcPr>
            <w:tcW w:w="0" w:type="auto"/>
            <w:gridSpan w:val="3"/>
            <w:shd w:val="clear" w:color="auto" w:fill="E2E2E2"/>
            <w:tcMar>
              <w:top w:w="0" w:type="dxa"/>
              <w:left w:w="20" w:type="dxa"/>
              <w:bottom w:w="0" w:type="dxa"/>
              <w:right w:w="20" w:type="dxa"/>
            </w:tcMar>
            <w:vAlign w:val="bottom"/>
          </w:tcPr>
          <w:p w14:paraId="6430445C"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45D"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45E"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45F"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460"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461"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462"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463"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464"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465" w14:textId="77777777" w:rsidR="009F6D8A" w:rsidRDefault="009F6D8A">
            <w:pPr>
              <w:rPr>
                <w:rFonts w:ascii="宋体"/>
              </w:rPr>
            </w:pPr>
          </w:p>
        </w:tc>
      </w:tr>
      <w:tr w:rsidR="009F6D8A" w14:paraId="64304478" w14:textId="77777777">
        <w:tc>
          <w:tcPr>
            <w:tcW w:w="0" w:type="auto"/>
            <w:gridSpan w:val="3"/>
            <w:shd w:val="clear" w:color="auto" w:fill="FFFFFF"/>
            <w:tcMar>
              <w:top w:w="40" w:type="dxa"/>
              <w:left w:w="155" w:type="dxa"/>
              <w:bottom w:w="40" w:type="dxa"/>
              <w:right w:w="20" w:type="dxa"/>
            </w:tcMar>
            <w:vAlign w:val="bottom"/>
          </w:tcPr>
          <w:p w14:paraId="64304467" w14:textId="77777777" w:rsidR="009F6D8A" w:rsidRDefault="00C50974">
            <w:pPr>
              <w:textAlignment w:val="bottom"/>
            </w:pPr>
            <w:r>
              <w:rPr>
                <w:rFonts w:ascii="Arial" w:eastAsia="宋体" w:hAnsi="Arial" w:cs="Arial"/>
                <w:color w:val="000000"/>
                <w:sz w:val="16"/>
                <w:szCs w:val="16"/>
              </w:rPr>
              <w:t>Senior notes due 2023</w:t>
            </w:r>
          </w:p>
        </w:tc>
        <w:tc>
          <w:tcPr>
            <w:tcW w:w="0" w:type="auto"/>
            <w:gridSpan w:val="3"/>
            <w:shd w:val="clear" w:color="auto" w:fill="FFFFFF"/>
            <w:tcMar>
              <w:top w:w="0" w:type="dxa"/>
              <w:left w:w="20" w:type="dxa"/>
              <w:bottom w:w="0" w:type="dxa"/>
              <w:right w:w="20" w:type="dxa"/>
            </w:tcMar>
            <w:vAlign w:val="bottom"/>
          </w:tcPr>
          <w:p w14:paraId="64304468" w14:textId="77777777" w:rsidR="009F6D8A" w:rsidRDefault="009F6D8A">
            <w:pPr>
              <w:rPr>
                <w:rFonts w:ascii="宋体"/>
              </w:rPr>
            </w:pPr>
          </w:p>
        </w:tc>
        <w:tc>
          <w:tcPr>
            <w:tcW w:w="0" w:type="auto"/>
            <w:gridSpan w:val="3"/>
            <w:shd w:val="clear" w:color="auto" w:fill="FFFFFF"/>
            <w:tcMar>
              <w:top w:w="40" w:type="dxa"/>
              <w:left w:w="20" w:type="dxa"/>
              <w:bottom w:w="40" w:type="dxa"/>
              <w:right w:w="20" w:type="dxa"/>
            </w:tcMar>
            <w:vAlign w:val="bottom"/>
          </w:tcPr>
          <w:p w14:paraId="64304469" w14:textId="77777777" w:rsidR="009F6D8A" w:rsidRDefault="00C50974">
            <w:pPr>
              <w:textAlignment w:val="bottom"/>
            </w:pPr>
            <w:r>
              <w:rPr>
                <w:rFonts w:ascii="Arial" w:eastAsia="宋体" w:hAnsi="Arial" w:cs="Arial"/>
                <w:color w:val="000000"/>
                <w:sz w:val="16"/>
                <w:szCs w:val="16"/>
              </w:rPr>
              <w:t>LIBOR plus 0.87%</w:t>
            </w:r>
          </w:p>
        </w:tc>
        <w:tc>
          <w:tcPr>
            <w:tcW w:w="0" w:type="auto"/>
            <w:gridSpan w:val="3"/>
            <w:shd w:val="clear" w:color="auto" w:fill="FFFFFF"/>
            <w:tcMar>
              <w:top w:w="0" w:type="dxa"/>
              <w:left w:w="20" w:type="dxa"/>
              <w:bottom w:w="0" w:type="dxa"/>
              <w:right w:w="20" w:type="dxa"/>
            </w:tcMar>
            <w:vAlign w:val="bottom"/>
          </w:tcPr>
          <w:p w14:paraId="6430446A"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446B" w14:textId="77777777" w:rsidR="009F6D8A" w:rsidRDefault="00C50974">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6430446C" w14:textId="77777777" w:rsidR="009F6D8A" w:rsidRDefault="00C50974">
            <w:pPr>
              <w:jc w:val="right"/>
              <w:textAlignment w:val="bottom"/>
            </w:pPr>
            <w:r>
              <w:rPr>
                <w:rFonts w:ascii="Arial" w:eastAsia="宋体" w:hAnsi="Arial" w:cs="Arial"/>
                <w:color w:val="000000"/>
                <w:sz w:val="16"/>
                <w:szCs w:val="16"/>
              </w:rPr>
              <w:t>400 </w:t>
            </w:r>
          </w:p>
        </w:tc>
        <w:tc>
          <w:tcPr>
            <w:tcW w:w="0" w:type="auto"/>
            <w:shd w:val="clear" w:color="auto" w:fill="FFFFFF"/>
            <w:tcMar>
              <w:top w:w="40" w:type="dxa"/>
              <w:left w:w="0" w:type="dxa"/>
              <w:bottom w:w="40" w:type="dxa"/>
              <w:right w:w="20" w:type="dxa"/>
            </w:tcMar>
            <w:vAlign w:val="bottom"/>
          </w:tcPr>
          <w:p w14:paraId="6430446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46E"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46F" w14:textId="77777777" w:rsidR="009F6D8A" w:rsidRDefault="00C50974">
            <w:pPr>
              <w:jc w:val="right"/>
              <w:textAlignment w:val="bottom"/>
            </w:pPr>
            <w:r>
              <w:rPr>
                <w:rFonts w:ascii="Arial" w:eastAsia="宋体" w:hAnsi="Arial" w:cs="Arial"/>
                <w:color w:val="000000"/>
                <w:sz w:val="16"/>
                <w:szCs w:val="16"/>
              </w:rPr>
              <w:t>1.158 </w:t>
            </w:r>
          </w:p>
        </w:tc>
        <w:tc>
          <w:tcPr>
            <w:tcW w:w="0" w:type="auto"/>
            <w:shd w:val="clear" w:color="auto" w:fill="FFFFFF"/>
            <w:tcMar>
              <w:top w:w="40" w:type="dxa"/>
              <w:left w:w="0" w:type="dxa"/>
              <w:bottom w:w="40" w:type="dxa"/>
              <w:right w:w="20" w:type="dxa"/>
            </w:tcMar>
            <w:vAlign w:val="bottom"/>
          </w:tcPr>
          <w:p w14:paraId="64304470"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4471"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4472" w14:textId="77777777" w:rsidR="009F6D8A" w:rsidRDefault="00C50974">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64304473" w14:textId="77777777" w:rsidR="009F6D8A" w:rsidRDefault="00C50974">
            <w:pPr>
              <w:jc w:val="right"/>
              <w:textAlignment w:val="bottom"/>
            </w:pPr>
            <w:r>
              <w:rPr>
                <w:rFonts w:ascii="Arial" w:eastAsia="宋体" w:hAnsi="Arial" w:cs="Arial"/>
                <w:color w:val="000000"/>
                <w:sz w:val="16"/>
                <w:szCs w:val="16"/>
              </w:rPr>
              <w:t>400 </w:t>
            </w:r>
          </w:p>
        </w:tc>
        <w:tc>
          <w:tcPr>
            <w:tcW w:w="0" w:type="auto"/>
            <w:shd w:val="clear" w:color="auto" w:fill="FFFFFF"/>
            <w:tcMar>
              <w:top w:w="40" w:type="dxa"/>
              <w:left w:w="0" w:type="dxa"/>
              <w:bottom w:w="40" w:type="dxa"/>
              <w:right w:w="20" w:type="dxa"/>
            </w:tcMar>
            <w:vAlign w:val="bottom"/>
          </w:tcPr>
          <w:p w14:paraId="6430447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47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476" w14:textId="77777777" w:rsidR="009F6D8A" w:rsidRDefault="00C50974">
            <w:pPr>
              <w:jc w:val="right"/>
              <w:textAlignment w:val="bottom"/>
            </w:pPr>
            <w:r>
              <w:rPr>
                <w:rFonts w:ascii="Arial" w:eastAsia="宋体" w:hAnsi="Arial" w:cs="Arial"/>
                <w:color w:val="000000"/>
                <w:sz w:val="16"/>
                <w:szCs w:val="16"/>
              </w:rPr>
              <w:t>1.187 </w:t>
            </w:r>
          </w:p>
        </w:tc>
        <w:tc>
          <w:tcPr>
            <w:tcW w:w="0" w:type="auto"/>
            <w:shd w:val="clear" w:color="auto" w:fill="FFFFFF"/>
            <w:tcMar>
              <w:top w:w="40" w:type="dxa"/>
              <w:left w:w="0" w:type="dxa"/>
              <w:bottom w:w="40" w:type="dxa"/>
              <w:right w:w="20" w:type="dxa"/>
            </w:tcMar>
            <w:vAlign w:val="bottom"/>
          </w:tcPr>
          <w:p w14:paraId="64304477" w14:textId="77777777" w:rsidR="009F6D8A" w:rsidRDefault="00C50974">
            <w:pPr>
              <w:jc w:val="right"/>
              <w:textAlignment w:val="bottom"/>
            </w:pPr>
            <w:r>
              <w:rPr>
                <w:rFonts w:ascii="Arial" w:eastAsia="宋体" w:hAnsi="Arial" w:cs="Arial"/>
                <w:color w:val="000000"/>
                <w:sz w:val="16"/>
                <w:szCs w:val="16"/>
              </w:rPr>
              <w:t>%</w:t>
            </w:r>
          </w:p>
        </w:tc>
      </w:tr>
      <w:tr w:rsidR="009F6D8A" w14:paraId="64304484" w14:textId="77777777">
        <w:trPr>
          <w:trHeight w:val="240"/>
        </w:trPr>
        <w:tc>
          <w:tcPr>
            <w:tcW w:w="0" w:type="auto"/>
            <w:gridSpan w:val="3"/>
            <w:shd w:val="clear" w:color="auto" w:fill="E1E1E1"/>
            <w:tcMar>
              <w:top w:w="0" w:type="dxa"/>
              <w:left w:w="20" w:type="dxa"/>
              <w:bottom w:w="0" w:type="dxa"/>
              <w:right w:w="20" w:type="dxa"/>
            </w:tcMar>
            <w:vAlign w:val="bottom"/>
          </w:tcPr>
          <w:p w14:paraId="64304479"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47A"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47B"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47C"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47D"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47E"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47F"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480"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481"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482"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483" w14:textId="77777777" w:rsidR="009F6D8A" w:rsidRDefault="009F6D8A">
            <w:pPr>
              <w:rPr>
                <w:rFonts w:ascii="宋体"/>
              </w:rPr>
            </w:pPr>
          </w:p>
        </w:tc>
      </w:tr>
      <w:tr w:rsidR="009F6D8A" w14:paraId="64304490" w14:textId="77777777">
        <w:trPr>
          <w:hidden/>
        </w:trPr>
        <w:tc>
          <w:tcPr>
            <w:tcW w:w="0" w:type="auto"/>
            <w:gridSpan w:val="3"/>
            <w:shd w:val="clear" w:color="auto" w:fill="auto"/>
            <w:vAlign w:val="bottom"/>
          </w:tcPr>
          <w:p w14:paraId="64304485" w14:textId="77777777" w:rsidR="009F6D8A" w:rsidRDefault="009F6D8A">
            <w:pPr>
              <w:rPr>
                <w:rFonts w:ascii="宋体"/>
                <w:vanish/>
              </w:rPr>
            </w:pPr>
          </w:p>
        </w:tc>
        <w:tc>
          <w:tcPr>
            <w:tcW w:w="0" w:type="auto"/>
            <w:gridSpan w:val="3"/>
            <w:shd w:val="clear" w:color="auto" w:fill="auto"/>
            <w:vAlign w:val="bottom"/>
          </w:tcPr>
          <w:p w14:paraId="64304486" w14:textId="77777777" w:rsidR="009F6D8A" w:rsidRDefault="009F6D8A">
            <w:pPr>
              <w:rPr>
                <w:rFonts w:ascii="宋体"/>
                <w:vanish/>
              </w:rPr>
            </w:pPr>
          </w:p>
        </w:tc>
        <w:tc>
          <w:tcPr>
            <w:tcW w:w="0" w:type="auto"/>
            <w:gridSpan w:val="3"/>
            <w:shd w:val="clear" w:color="auto" w:fill="auto"/>
            <w:vAlign w:val="bottom"/>
          </w:tcPr>
          <w:p w14:paraId="64304487" w14:textId="77777777" w:rsidR="009F6D8A" w:rsidRDefault="009F6D8A">
            <w:pPr>
              <w:rPr>
                <w:rFonts w:ascii="宋体"/>
                <w:vanish/>
              </w:rPr>
            </w:pPr>
          </w:p>
        </w:tc>
        <w:tc>
          <w:tcPr>
            <w:tcW w:w="0" w:type="auto"/>
            <w:gridSpan w:val="3"/>
            <w:shd w:val="clear" w:color="auto" w:fill="auto"/>
            <w:vAlign w:val="bottom"/>
          </w:tcPr>
          <w:p w14:paraId="64304488" w14:textId="77777777" w:rsidR="009F6D8A" w:rsidRDefault="009F6D8A">
            <w:pPr>
              <w:rPr>
                <w:rFonts w:ascii="宋体"/>
                <w:vanish/>
              </w:rPr>
            </w:pPr>
          </w:p>
        </w:tc>
        <w:tc>
          <w:tcPr>
            <w:tcW w:w="0" w:type="auto"/>
            <w:gridSpan w:val="3"/>
            <w:shd w:val="clear" w:color="auto" w:fill="auto"/>
            <w:vAlign w:val="bottom"/>
          </w:tcPr>
          <w:p w14:paraId="64304489" w14:textId="77777777" w:rsidR="009F6D8A" w:rsidRDefault="009F6D8A">
            <w:pPr>
              <w:rPr>
                <w:rFonts w:ascii="宋体"/>
                <w:vanish/>
              </w:rPr>
            </w:pPr>
          </w:p>
        </w:tc>
        <w:tc>
          <w:tcPr>
            <w:tcW w:w="0" w:type="auto"/>
            <w:gridSpan w:val="3"/>
            <w:shd w:val="clear" w:color="auto" w:fill="auto"/>
            <w:vAlign w:val="bottom"/>
          </w:tcPr>
          <w:p w14:paraId="6430448A" w14:textId="77777777" w:rsidR="009F6D8A" w:rsidRDefault="009F6D8A">
            <w:pPr>
              <w:rPr>
                <w:rFonts w:ascii="宋体"/>
                <w:vanish/>
              </w:rPr>
            </w:pPr>
          </w:p>
        </w:tc>
        <w:tc>
          <w:tcPr>
            <w:tcW w:w="0" w:type="auto"/>
            <w:gridSpan w:val="3"/>
            <w:shd w:val="clear" w:color="auto" w:fill="auto"/>
            <w:vAlign w:val="bottom"/>
          </w:tcPr>
          <w:p w14:paraId="6430448B" w14:textId="77777777" w:rsidR="009F6D8A" w:rsidRDefault="009F6D8A">
            <w:pPr>
              <w:rPr>
                <w:rFonts w:ascii="宋体"/>
                <w:vanish/>
              </w:rPr>
            </w:pPr>
          </w:p>
        </w:tc>
        <w:tc>
          <w:tcPr>
            <w:tcW w:w="0" w:type="auto"/>
            <w:gridSpan w:val="3"/>
            <w:shd w:val="clear" w:color="auto" w:fill="auto"/>
            <w:vAlign w:val="bottom"/>
          </w:tcPr>
          <w:p w14:paraId="6430448C" w14:textId="77777777" w:rsidR="009F6D8A" w:rsidRDefault="009F6D8A">
            <w:pPr>
              <w:rPr>
                <w:rFonts w:ascii="宋体"/>
                <w:vanish/>
              </w:rPr>
            </w:pPr>
          </w:p>
        </w:tc>
        <w:tc>
          <w:tcPr>
            <w:tcW w:w="0" w:type="auto"/>
            <w:gridSpan w:val="3"/>
            <w:shd w:val="clear" w:color="auto" w:fill="auto"/>
            <w:vAlign w:val="bottom"/>
          </w:tcPr>
          <w:p w14:paraId="6430448D" w14:textId="77777777" w:rsidR="009F6D8A" w:rsidRDefault="009F6D8A">
            <w:pPr>
              <w:rPr>
                <w:rFonts w:ascii="宋体"/>
                <w:vanish/>
              </w:rPr>
            </w:pPr>
          </w:p>
        </w:tc>
        <w:tc>
          <w:tcPr>
            <w:tcW w:w="0" w:type="auto"/>
            <w:gridSpan w:val="3"/>
            <w:shd w:val="clear" w:color="auto" w:fill="auto"/>
            <w:vAlign w:val="bottom"/>
          </w:tcPr>
          <w:p w14:paraId="6430448E" w14:textId="77777777" w:rsidR="009F6D8A" w:rsidRDefault="009F6D8A">
            <w:pPr>
              <w:rPr>
                <w:rFonts w:ascii="宋体"/>
                <w:vanish/>
              </w:rPr>
            </w:pPr>
          </w:p>
        </w:tc>
        <w:tc>
          <w:tcPr>
            <w:tcW w:w="0" w:type="auto"/>
            <w:gridSpan w:val="3"/>
            <w:shd w:val="clear" w:color="auto" w:fill="auto"/>
            <w:vAlign w:val="bottom"/>
          </w:tcPr>
          <w:p w14:paraId="6430448F" w14:textId="77777777" w:rsidR="009F6D8A" w:rsidRDefault="009F6D8A">
            <w:pPr>
              <w:rPr>
                <w:rFonts w:ascii="宋体"/>
                <w:vanish/>
              </w:rPr>
            </w:pPr>
          </w:p>
        </w:tc>
      </w:tr>
      <w:tr w:rsidR="009F6D8A" w14:paraId="6430449C" w14:textId="77777777">
        <w:trPr>
          <w:hidden/>
        </w:trPr>
        <w:tc>
          <w:tcPr>
            <w:tcW w:w="0" w:type="auto"/>
            <w:gridSpan w:val="3"/>
            <w:shd w:val="clear" w:color="auto" w:fill="auto"/>
            <w:vAlign w:val="bottom"/>
          </w:tcPr>
          <w:p w14:paraId="64304491" w14:textId="77777777" w:rsidR="009F6D8A" w:rsidRDefault="009F6D8A">
            <w:pPr>
              <w:rPr>
                <w:rFonts w:ascii="宋体"/>
                <w:vanish/>
              </w:rPr>
            </w:pPr>
          </w:p>
        </w:tc>
        <w:tc>
          <w:tcPr>
            <w:tcW w:w="0" w:type="auto"/>
            <w:gridSpan w:val="3"/>
            <w:shd w:val="clear" w:color="auto" w:fill="auto"/>
            <w:vAlign w:val="bottom"/>
          </w:tcPr>
          <w:p w14:paraId="64304492" w14:textId="77777777" w:rsidR="009F6D8A" w:rsidRDefault="009F6D8A">
            <w:pPr>
              <w:rPr>
                <w:rFonts w:ascii="宋体"/>
                <w:vanish/>
              </w:rPr>
            </w:pPr>
          </w:p>
        </w:tc>
        <w:tc>
          <w:tcPr>
            <w:tcW w:w="0" w:type="auto"/>
            <w:gridSpan w:val="3"/>
            <w:shd w:val="clear" w:color="auto" w:fill="auto"/>
            <w:vAlign w:val="bottom"/>
          </w:tcPr>
          <w:p w14:paraId="64304493" w14:textId="77777777" w:rsidR="009F6D8A" w:rsidRDefault="009F6D8A">
            <w:pPr>
              <w:rPr>
                <w:rFonts w:ascii="宋体"/>
                <w:vanish/>
              </w:rPr>
            </w:pPr>
          </w:p>
        </w:tc>
        <w:tc>
          <w:tcPr>
            <w:tcW w:w="0" w:type="auto"/>
            <w:gridSpan w:val="3"/>
            <w:shd w:val="clear" w:color="auto" w:fill="auto"/>
            <w:vAlign w:val="bottom"/>
          </w:tcPr>
          <w:p w14:paraId="64304494" w14:textId="77777777" w:rsidR="009F6D8A" w:rsidRDefault="009F6D8A">
            <w:pPr>
              <w:rPr>
                <w:rFonts w:ascii="宋体"/>
                <w:vanish/>
              </w:rPr>
            </w:pPr>
          </w:p>
        </w:tc>
        <w:tc>
          <w:tcPr>
            <w:tcW w:w="0" w:type="auto"/>
            <w:gridSpan w:val="3"/>
            <w:shd w:val="clear" w:color="auto" w:fill="auto"/>
            <w:vAlign w:val="bottom"/>
          </w:tcPr>
          <w:p w14:paraId="64304495" w14:textId="77777777" w:rsidR="009F6D8A" w:rsidRDefault="009F6D8A">
            <w:pPr>
              <w:rPr>
                <w:rFonts w:ascii="宋体"/>
                <w:vanish/>
              </w:rPr>
            </w:pPr>
          </w:p>
        </w:tc>
        <w:tc>
          <w:tcPr>
            <w:tcW w:w="0" w:type="auto"/>
            <w:gridSpan w:val="3"/>
            <w:shd w:val="clear" w:color="auto" w:fill="auto"/>
            <w:vAlign w:val="bottom"/>
          </w:tcPr>
          <w:p w14:paraId="64304496" w14:textId="77777777" w:rsidR="009F6D8A" w:rsidRDefault="009F6D8A">
            <w:pPr>
              <w:rPr>
                <w:rFonts w:ascii="宋体"/>
                <w:vanish/>
              </w:rPr>
            </w:pPr>
          </w:p>
        </w:tc>
        <w:tc>
          <w:tcPr>
            <w:tcW w:w="0" w:type="auto"/>
            <w:gridSpan w:val="3"/>
            <w:shd w:val="clear" w:color="auto" w:fill="auto"/>
            <w:vAlign w:val="bottom"/>
          </w:tcPr>
          <w:p w14:paraId="64304497" w14:textId="77777777" w:rsidR="009F6D8A" w:rsidRDefault="009F6D8A">
            <w:pPr>
              <w:rPr>
                <w:rFonts w:ascii="宋体"/>
                <w:vanish/>
              </w:rPr>
            </w:pPr>
          </w:p>
        </w:tc>
        <w:tc>
          <w:tcPr>
            <w:tcW w:w="0" w:type="auto"/>
            <w:gridSpan w:val="3"/>
            <w:shd w:val="clear" w:color="auto" w:fill="auto"/>
            <w:vAlign w:val="bottom"/>
          </w:tcPr>
          <w:p w14:paraId="64304498" w14:textId="77777777" w:rsidR="009F6D8A" w:rsidRDefault="009F6D8A">
            <w:pPr>
              <w:rPr>
                <w:rFonts w:ascii="宋体"/>
                <w:vanish/>
              </w:rPr>
            </w:pPr>
          </w:p>
        </w:tc>
        <w:tc>
          <w:tcPr>
            <w:tcW w:w="0" w:type="auto"/>
            <w:gridSpan w:val="3"/>
            <w:shd w:val="clear" w:color="auto" w:fill="auto"/>
            <w:vAlign w:val="bottom"/>
          </w:tcPr>
          <w:p w14:paraId="64304499" w14:textId="77777777" w:rsidR="009F6D8A" w:rsidRDefault="009F6D8A">
            <w:pPr>
              <w:rPr>
                <w:rFonts w:ascii="宋体"/>
                <w:vanish/>
              </w:rPr>
            </w:pPr>
          </w:p>
        </w:tc>
        <w:tc>
          <w:tcPr>
            <w:tcW w:w="0" w:type="auto"/>
            <w:gridSpan w:val="3"/>
            <w:shd w:val="clear" w:color="auto" w:fill="auto"/>
            <w:vAlign w:val="bottom"/>
          </w:tcPr>
          <w:p w14:paraId="6430449A" w14:textId="77777777" w:rsidR="009F6D8A" w:rsidRDefault="009F6D8A">
            <w:pPr>
              <w:rPr>
                <w:rFonts w:ascii="宋体"/>
                <w:vanish/>
              </w:rPr>
            </w:pPr>
          </w:p>
        </w:tc>
        <w:tc>
          <w:tcPr>
            <w:tcW w:w="0" w:type="auto"/>
            <w:gridSpan w:val="3"/>
            <w:shd w:val="clear" w:color="auto" w:fill="auto"/>
            <w:vAlign w:val="bottom"/>
          </w:tcPr>
          <w:p w14:paraId="6430449B" w14:textId="77777777" w:rsidR="009F6D8A" w:rsidRDefault="009F6D8A">
            <w:pPr>
              <w:rPr>
                <w:rFonts w:ascii="宋体"/>
                <w:vanish/>
              </w:rPr>
            </w:pPr>
          </w:p>
        </w:tc>
      </w:tr>
      <w:tr w:rsidR="009F6D8A" w14:paraId="643044A8" w14:textId="77777777">
        <w:trPr>
          <w:hidden/>
        </w:trPr>
        <w:tc>
          <w:tcPr>
            <w:tcW w:w="0" w:type="auto"/>
            <w:gridSpan w:val="3"/>
            <w:shd w:val="clear" w:color="auto" w:fill="auto"/>
            <w:vAlign w:val="bottom"/>
          </w:tcPr>
          <w:p w14:paraId="6430449D" w14:textId="77777777" w:rsidR="009F6D8A" w:rsidRDefault="009F6D8A">
            <w:pPr>
              <w:rPr>
                <w:rFonts w:ascii="宋体"/>
                <w:vanish/>
              </w:rPr>
            </w:pPr>
          </w:p>
        </w:tc>
        <w:tc>
          <w:tcPr>
            <w:tcW w:w="0" w:type="auto"/>
            <w:gridSpan w:val="3"/>
            <w:shd w:val="clear" w:color="auto" w:fill="auto"/>
            <w:vAlign w:val="bottom"/>
          </w:tcPr>
          <w:p w14:paraId="6430449E" w14:textId="77777777" w:rsidR="009F6D8A" w:rsidRDefault="009F6D8A">
            <w:pPr>
              <w:rPr>
                <w:rFonts w:ascii="宋体"/>
                <w:vanish/>
              </w:rPr>
            </w:pPr>
          </w:p>
        </w:tc>
        <w:tc>
          <w:tcPr>
            <w:tcW w:w="0" w:type="auto"/>
            <w:gridSpan w:val="3"/>
            <w:shd w:val="clear" w:color="auto" w:fill="auto"/>
            <w:vAlign w:val="bottom"/>
          </w:tcPr>
          <w:p w14:paraId="6430449F" w14:textId="77777777" w:rsidR="009F6D8A" w:rsidRDefault="009F6D8A">
            <w:pPr>
              <w:rPr>
                <w:rFonts w:ascii="宋体"/>
                <w:vanish/>
              </w:rPr>
            </w:pPr>
          </w:p>
        </w:tc>
        <w:tc>
          <w:tcPr>
            <w:tcW w:w="0" w:type="auto"/>
            <w:gridSpan w:val="3"/>
            <w:shd w:val="clear" w:color="auto" w:fill="auto"/>
            <w:vAlign w:val="bottom"/>
          </w:tcPr>
          <w:p w14:paraId="643044A0" w14:textId="77777777" w:rsidR="009F6D8A" w:rsidRDefault="009F6D8A">
            <w:pPr>
              <w:rPr>
                <w:rFonts w:ascii="宋体"/>
                <w:vanish/>
              </w:rPr>
            </w:pPr>
          </w:p>
        </w:tc>
        <w:tc>
          <w:tcPr>
            <w:tcW w:w="0" w:type="auto"/>
            <w:gridSpan w:val="3"/>
            <w:shd w:val="clear" w:color="auto" w:fill="auto"/>
            <w:vAlign w:val="bottom"/>
          </w:tcPr>
          <w:p w14:paraId="643044A1" w14:textId="77777777" w:rsidR="009F6D8A" w:rsidRDefault="009F6D8A">
            <w:pPr>
              <w:rPr>
                <w:rFonts w:ascii="宋体"/>
                <w:vanish/>
              </w:rPr>
            </w:pPr>
          </w:p>
        </w:tc>
        <w:tc>
          <w:tcPr>
            <w:tcW w:w="0" w:type="auto"/>
            <w:gridSpan w:val="3"/>
            <w:shd w:val="clear" w:color="auto" w:fill="auto"/>
            <w:vAlign w:val="bottom"/>
          </w:tcPr>
          <w:p w14:paraId="643044A2" w14:textId="77777777" w:rsidR="009F6D8A" w:rsidRDefault="009F6D8A">
            <w:pPr>
              <w:rPr>
                <w:rFonts w:ascii="宋体"/>
                <w:vanish/>
              </w:rPr>
            </w:pPr>
          </w:p>
        </w:tc>
        <w:tc>
          <w:tcPr>
            <w:tcW w:w="0" w:type="auto"/>
            <w:gridSpan w:val="3"/>
            <w:shd w:val="clear" w:color="auto" w:fill="auto"/>
            <w:vAlign w:val="bottom"/>
          </w:tcPr>
          <w:p w14:paraId="643044A3" w14:textId="77777777" w:rsidR="009F6D8A" w:rsidRDefault="009F6D8A">
            <w:pPr>
              <w:rPr>
                <w:rFonts w:ascii="宋体"/>
                <w:vanish/>
              </w:rPr>
            </w:pPr>
          </w:p>
        </w:tc>
        <w:tc>
          <w:tcPr>
            <w:tcW w:w="0" w:type="auto"/>
            <w:gridSpan w:val="3"/>
            <w:shd w:val="clear" w:color="auto" w:fill="auto"/>
            <w:vAlign w:val="bottom"/>
          </w:tcPr>
          <w:p w14:paraId="643044A4" w14:textId="77777777" w:rsidR="009F6D8A" w:rsidRDefault="009F6D8A">
            <w:pPr>
              <w:rPr>
                <w:rFonts w:ascii="宋体"/>
                <w:vanish/>
              </w:rPr>
            </w:pPr>
          </w:p>
        </w:tc>
        <w:tc>
          <w:tcPr>
            <w:tcW w:w="0" w:type="auto"/>
            <w:gridSpan w:val="3"/>
            <w:shd w:val="clear" w:color="auto" w:fill="auto"/>
            <w:vAlign w:val="bottom"/>
          </w:tcPr>
          <w:p w14:paraId="643044A5" w14:textId="77777777" w:rsidR="009F6D8A" w:rsidRDefault="009F6D8A">
            <w:pPr>
              <w:rPr>
                <w:rFonts w:ascii="宋体"/>
                <w:vanish/>
              </w:rPr>
            </w:pPr>
          </w:p>
        </w:tc>
        <w:tc>
          <w:tcPr>
            <w:tcW w:w="0" w:type="auto"/>
            <w:gridSpan w:val="3"/>
            <w:shd w:val="clear" w:color="auto" w:fill="auto"/>
            <w:vAlign w:val="bottom"/>
          </w:tcPr>
          <w:p w14:paraId="643044A6" w14:textId="77777777" w:rsidR="009F6D8A" w:rsidRDefault="009F6D8A">
            <w:pPr>
              <w:rPr>
                <w:rFonts w:ascii="宋体"/>
                <w:vanish/>
              </w:rPr>
            </w:pPr>
          </w:p>
        </w:tc>
        <w:tc>
          <w:tcPr>
            <w:tcW w:w="0" w:type="auto"/>
            <w:gridSpan w:val="3"/>
            <w:shd w:val="clear" w:color="auto" w:fill="auto"/>
            <w:vAlign w:val="bottom"/>
          </w:tcPr>
          <w:p w14:paraId="643044A7" w14:textId="77777777" w:rsidR="009F6D8A" w:rsidRDefault="009F6D8A">
            <w:pPr>
              <w:rPr>
                <w:rFonts w:ascii="宋体"/>
                <w:vanish/>
              </w:rPr>
            </w:pPr>
          </w:p>
        </w:tc>
      </w:tr>
      <w:tr w:rsidR="009F6D8A" w14:paraId="643044B4" w14:textId="77777777">
        <w:trPr>
          <w:hidden/>
        </w:trPr>
        <w:tc>
          <w:tcPr>
            <w:tcW w:w="0" w:type="auto"/>
            <w:gridSpan w:val="3"/>
            <w:shd w:val="clear" w:color="auto" w:fill="auto"/>
            <w:vAlign w:val="bottom"/>
          </w:tcPr>
          <w:p w14:paraId="643044A9" w14:textId="77777777" w:rsidR="009F6D8A" w:rsidRDefault="009F6D8A">
            <w:pPr>
              <w:rPr>
                <w:rFonts w:ascii="宋体"/>
                <w:vanish/>
              </w:rPr>
            </w:pPr>
          </w:p>
        </w:tc>
        <w:tc>
          <w:tcPr>
            <w:tcW w:w="0" w:type="auto"/>
            <w:gridSpan w:val="3"/>
            <w:shd w:val="clear" w:color="auto" w:fill="auto"/>
            <w:vAlign w:val="bottom"/>
          </w:tcPr>
          <w:p w14:paraId="643044AA" w14:textId="77777777" w:rsidR="009F6D8A" w:rsidRDefault="009F6D8A">
            <w:pPr>
              <w:rPr>
                <w:rFonts w:ascii="宋体"/>
                <w:vanish/>
              </w:rPr>
            </w:pPr>
          </w:p>
        </w:tc>
        <w:tc>
          <w:tcPr>
            <w:tcW w:w="0" w:type="auto"/>
            <w:gridSpan w:val="3"/>
            <w:shd w:val="clear" w:color="auto" w:fill="auto"/>
            <w:vAlign w:val="bottom"/>
          </w:tcPr>
          <w:p w14:paraId="643044AB" w14:textId="77777777" w:rsidR="009F6D8A" w:rsidRDefault="009F6D8A">
            <w:pPr>
              <w:rPr>
                <w:rFonts w:ascii="宋体"/>
                <w:vanish/>
              </w:rPr>
            </w:pPr>
          </w:p>
        </w:tc>
        <w:tc>
          <w:tcPr>
            <w:tcW w:w="0" w:type="auto"/>
            <w:gridSpan w:val="3"/>
            <w:shd w:val="clear" w:color="auto" w:fill="auto"/>
            <w:vAlign w:val="bottom"/>
          </w:tcPr>
          <w:p w14:paraId="643044AC" w14:textId="77777777" w:rsidR="009F6D8A" w:rsidRDefault="009F6D8A">
            <w:pPr>
              <w:rPr>
                <w:rFonts w:ascii="宋体"/>
                <w:vanish/>
              </w:rPr>
            </w:pPr>
          </w:p>
        </w:tc>
        <w:tc>
          <w:tcPr>
            <w:tcW w:w="0" w:type="auto"/>
            <w:gridSpan w:val="3"/>
            <w:shd w:val="clear" w:color="auto" w:fill="auto"/>
            <w:vAlign w:val="bottom"/>
          </w:tcPr>
          <w:p w14:paraId="643044AD" w14:textId="77777777" w:rsidR="009F6D8A" w:rsidRDefault="009F6D8A">
            <w:pPr>
              <w:rPr>
                <w:rFonts w:ascii="宋体"/>
                <w:vanish/>
              </w:rPr>
            </w:pPr>
          </w:p>
        </w:tc>
        <w:tc>
          <w:tcPr>
            <w:tcW w:w="0" w:type="auto"/>
            <w:gridSpan w:val="3"/>
            <w:shd w:val="clear" w:color="auto" w:fill="auto"/>
            <w:vAlign w:val="bottom"/>
          </w:tcPr>
          <w:p w14:paraId="643044AE" w14:textId="77777777" w:rsidR="009F6D8A" w:rsidRDefault="009F6D8A">
            <w:pPr>
              <w:rPr>
                <w:rFonts w:ascii="宋体"/>
                <w:vanish/>
              </w:rPr>
            </w:pPr>
          </w:p>
        </w:tc>
        <w:tc>
          <w:tcPr>
            <w:tcW w:w="0" w:type="auto"/>
            <w:gridSpan w:val="3"/>
            <w:shd w:val="clear" w:color="auto" w:fill="auto"/>
            <w:vAlign w:val="bottom"/>
          </w:tcPr>
          <w:p w14:paraId="643044AF" w14:textId="77777777" w:rsidR="009F6D8A" w:rsidRDefault="009F6D8A">
            <w:pPr>
              <w:rPr>
                <w:rFonts w:ascii="宋体"/>
                <w:vanish/>
              </w:rPr>
            </w:pPr>
          </w:p>
        </w:tc>
        <w:tc>
          <w:tcPr>
            <w:tcW w:w="0" w:type="auto"/>
            <w:gridSpan w:val="3"/>
            <w:shd w:val="clear" w:color="auto" w:fill="auto"/>
            <w:vAlign w:val="bottom"/>
          </w:tcPr>
          <w:p w14:paraId="643044B0" w14:textId="77777777" w:rsidR="009F6D8A" w:rsidRDefault="009F6D8A">
            <w:pPr>
              <w:rPr>
                <w:rFonts w:ascii="宋体"/>
                <w:vanish/>
              </w:rPr>
            </w:pPr>
          </w:p>
        </w:tc>
        <w:tc>
          <w:tcPr>
            <w:tcW w:w="0" w:type="auto"/>
            <w:gridSpan w:val="3"/>
            <w:shd w:val="clear" w:color="auto" w:fill="auto"/>
            <w:vAlign w:val="bottom"/>
          </w:tcPr>
          <w:p w14:paraId="643044B1" w14:textId="77777777" w:rsidR="009F6D8A" w:rsidRDefault="009F6D8A">
            <w:pPr>
              <w:rPr>
                <w:rFonts w:ascii="宋体"/>
                <w:vanish/>
              </w:rPr>
            </w:pPr>
          </w:p>
        </w:tc>
        <w:tc>
          <w:tcPr>
            <w:tcW w:w="0" w:type="auto"/>
            <w:gridSpan w:val="3"/>
            <w:shd w:val="clear" w:color="auto" w:fill="auto"/>
            <w:vAlign w:val="bottom"/>
          </w:tcPr>
          <w:p w14:paraId="643044B2" w14:textId="77777777" w:rsidR="009F6D8A" w:rsidRDefault="009F6D8A">
            <w:pPr>
              <w:rPr>
                <w:rFonts w:ascii="宋体"/>
                <w:vanish/>
              </w:rPr>
            </w:pPr>
          </w:p>
        </w:tc>
        <w:tc>
          <w:tcPr>
            <w:tcW w:w="0" w:type="auto"/>
            <w:gridSpan w:val="3"/>
            <w:shd w:val="clear" w:color="auto" w:fill="auto"/>
            <w:vAlign w:val="bottom"/>
          </w:tcPr>
          <w:p w14:paraId="643044B3" w14:textId="77777777" w:rsidR="009F6D8A" w:rsidRDefault="009F6D8A">
            <w:pPr>
              <w:rPr>
                <w:rFonts w:ascii="宋体"/>
                <w:vanish/>
              </w:rPr>
            </w:pPr>
          </w:p>
        </w:tc>
      </w:tr>
      <w:tr w:rsidR="009F6D8A" w14:paraId="643044C0" w14:textId="77777777">
        <w:trPr>
          <w:hidden/>
        </w:trPr>
        <w:tc>
          <w:tcPr>
            <w:tcW w:w="0" w:type="auto"/>
            <w:gridSpan w:val="3"/>
            <w:shd w:val="clear" w:color="auto" w:fill="auto"/>
            <w:vAlign w:val="bottom"/>
          </w:tcPr>
          <w:p w14:paraId="643044B5" w14:textId="77777777" w:rsidR="009F6D8A" w:rsidRDefault="009F6D8A">
            <w:pPr>
              <w:rPr>
                <w:rFonts w:ascii="宋体"/>
                <w:vanish/>
              </w:rPr>
            </w:pPr>
          </w:p>
        </w:tc>
        <w:tc>
          <w:tcPr>
            <w:tcW w:w="0" w:type="auto"/>
            <w:gridSpan w:val="3"/>
            <w:shd w:val="clear" w:color="auto" w:fill="auto"/>
            <w:vAlign w:val="bottom"/>
          </w:tcPr>
          <w:p w14:paraId="643044B6" w14:textId="77777777" w:rsidR="009F6D8A" w:rsidRDefault="009F6D8A">
            <w:pPr>
              <w:rPr>
                <w:rFonts w:ascii="宋体"/>
                <w:vanish/>
              </w:rPr>
            </w:pPr>
          </w:p>
        </w:tc>
        <w:tc>
          <w:tcPr>
            <w:tcW w:w="0" w:type="auto"/>
            <w:gridSpan w:val="3"/>
            <w:shd w:val="clear" w:color="auto" w:fill="auto"/>
            <w:vAlign w:val="bottom"/>
          </w:tcPr>
          <w:p w14:paraId="643044B7" w14:textId="77777777" w:rsidR="009F6D8A" w:rsidRDefault="009F6D8A">
            <w:pPr>
              <w:rPr>
                <w:rFonts w:ascii="宋体"/>
                <w:vanish/>
              </w:rPr>
            </w:pPr>
          </w:p>
        </w:tc>
        <w:tc>
          <w:tcPr>
            <w:tcW w:w="0" w:type="auto"/>
            <w:gridSpan w:val="3"/>
            <w:shd w:val="clear" w:color="auto" w:fill="auto"/>
            <w:vAlign w:val="bottom"/>
          </w:tcPr>
          <w:p w14:paraId="643044B8" w14:textId="77777777" w:rsidR="009F6D8A" w:rsidRDefault="009F6D8A">
            <w:pPr>
              <w:rPr>
                <w:rFonts w:ascii="宋体"/>
                <w:vanish/>
              </w:rPr>
            </w:pPr>
          </w:p>
        </w:tc>
        <w:tc>
          <w:tcPr>
            <w:tcW w:w="0" w:type="auto"/>
            <w:gridSpan w:val="3"/>
            <w:shd w:val="clear" w:color="auto" w:fill="auto"/>
            <w:vAlign w:val="bottom"/>
          </w:tcPr>
          <w:p w14:paraId="643044B9" w14:textId="77777777" w:rsidR="009F6D8A" w:rsidRDefault="009F6D8A">
            <w:pPr>
              <w:rPr>
                <w:rFonts w:ascii="宋体"/>
                <w:vanish/>
              </w:rPr>
            </w:pPr>
          </w:p>
        </w:tc>
        <w:tc>
          <w:tcPr>
            <w:tcW w:w="0" w:type="auto"/>
            <w:gridSpan w:val="3"/>
            <w:shd w:val="clear" w:color="auto" w:fill="auto"/>
            <w:vAlign w:val="bottom"/>
          </w:tcPr>
          <w:p w14:paraId="643044BA" w14:textId="77777777" w:rsidR="009F6D8A" w:rsidRDefault="009F6D8A">
            <w:pPr>
              <w:rPr>
                <w:rFonts w:ascii="宋体"/>
                <w:vanish/>
              </w:rPr>
            </w:pPr>
          </w:p>
        </w:tc>
        <w:tc>
          <w:tcPr>
            <w:tcW w:w="0" w:type="auto"/>
            <w:gridSpan w:val="3"/>
            <w:shd w:val="clear" w:color="auto" w:fill="auto"/>
            <w:vAlign w:val="bottom"/>
          </w:tcPr>
          <w:p w14:paraId="643044BB" w14:textId="77777777" w:rsidR="009F6D8A" w:rsidRDefault="009F6D8A">
            <w:pPr>
              <w:rPr>
                <w:rFonts w:ascii="宋体"/>
                <w:vanish/>
              </w:rPr>
            </w:pPr>
          </w:p>
        </w:tc>
        <w:tc>
          <w:tcPr>
            <w:tcW w:w="0" w:type="auto"/>
            <w:gridSpan w:val="3"/>
            <w:shd w:val="clear" w:color="auto" w:fill="auto"/>
            <w:vAlign w:val="bottom"/>
          </w:tcPr>
          <w:p w14:paraId="643044BC" w14:textId="77777777" w:rsidR="009F6D8A" w:rsidRDefault="009F6D8A">
            <w:pPr>
              <w:rPr>
                <w:rFonts w:ascii="宋体"/>
                <w:vanish/>
              </w:rPr>
            </w:pPr>
          </w:p>
        </w:tc>
        <w:tc>
          <w:tcPr>
            <w:tcW w:w="0" w:type="auto"/>
            <w:gridSpan w:val="3"/>
            <w:shd w:val="clear" w:color="auto" w:fill="auto"/>
            <w:vAlign w:val="bottom"/>
          </w:tcPr>
          <w:p w14:paraId="643044BD" w14:textId="77777777" w:rsidR="009F6D8A" w:rsidRDefault="009F6D8A">
            <w:pPr>
              <w:rPr>
                <w:rFonts w:ascii="宋体"/>
                <w:vanish/>
              </w:rPr>
            </w:pPr>
          </w:p>
        </w:tc>
        <w:tc>
          <w:tcPr>
            <w:tcW w:w="0" w:type="auto"/>
            <w:gridSpan w:val="3"/>
            <w:shd w:val="clear" w:color="auto" w:fill="auto"/>
            <w:vAlign w:val="bottom"/>
          </w:tcPr>
          <w:p w14:paraId="643044BE" w14:textId="77777777" w:rsidR="009F6D8A" w:rsidRDefault="009F6D8A">
            <w:pPr>
              <w:rPr>
                <w:rFonts w:ascii="宋体"/>
                <w:vanish/>
              </w:rPr>
            </w:pPr>
          </w:p>
        </w:tc>
        <w:tc>
          <w:tcPr>
            <w:tcW w:w="0" w:type="auto"/>
            <w:gridSpan w:val="3"/>
            <w:shd w:val="clear" w:color="auto" w:fill="auto"/>
            <w:vAlign w:val="bottom"/>
          </w:tcPr>
          <w:p w14:paraId="643044BF" w14:textId="77777777" w:rsidR="009F6D8A" w:rsidRDefault="009F6D8A">
            <w:pPr>
              <w:rPr>
                <w:rFonts w:ascii="宋体"/>
                <w:vanish/>
              </w:rPr>
            </w:pPr>
          </w:p>
        </w:tc>
      </w:tr>
      <w:tr w:rsidR="009F6D8A" w14:paraId="643044D0" w14:textId="77777777">
        <w:tc>
          <w:tcPr>
            <w:tcW w:w="0" w:type="auto"/>
            <w:gridSpan w:val="3"/>
            <w:shd w:val="clear" w:color="auto" w:fill="FFFFFF"/>
            <w:tcMar>
              <w:top w:w="40" w:type="dxa"/>
              <w:left w:w="155" w:type="dxa"/>
              <w:bottom w:w="40" w:type="dxa"/>
              <w:right w:w="20" w:type="dxa"/>
            </w:tcMar>
            <w:vAlign w:val="bottom"/>
          </w:tcPr>
          <w:p w14:paraId="643044C1" w14:textId="77777777" w:rsidR="009F6D8A" w:rsidRDefault="00C50974">
            <w:pPr>
              <w:textAlignment w:val="bottom"/>
            </w:pPr>
            <w:r>
              <w:rPr>
                <w:rFonts w:ascii="Arial" w:eastAsia="宋体" w:hAnsi="Arial" w:cs="Arial"/>
                <w:color w:val="000000"/>
                <w:sz w:val="16"/>
                <w:szCs w:val="16"/>
              </w:rPr>
              <w:t>Senior notes due 2022</w:t>
            </w:r>
          </w:p>
        </w:tc>
        <w:tc>
          <w:tcPr>
            <w:tcW w:w="0" w:type="auto"/>
            <w:gridSpan w:val="3"/>
            <w:shd w:val="clear" w:color="auto" w:fill="FFFFFF"/>
            <w:tcMar>
              <w:top w:w="0" w:type="dxa"/>
              <w:left w:w="20" w:type="dxa"/>
              <w:bottom w:w="0" w:type="dxa"/>
              <w:right w:w="20" w:type="dxa"/>
            </w:tcMar>
            <w:vAlign w:val="bottom"/>
          </w:tcPr>
          <w:p w14:paraId="643044C2" w14:textId="77777777" w:rsidR="009F6D8A" w:rsidRDefault="009F6D8A">
            <w:pPr>
              <w:rPr>
                <w:rFonts w:ascii="宋体"/>
              </w:rPr>
            </w:pPr>
          </w:p>
        </w:tc>
        <w:tc>
          <w:tcPr>
            <w:tcW w:w="0" w:type="auto"/>
            <w:gridSpan w:val="3"/>
            <w:shd w:val="clear" w:color="auto" w:fill="FFFFFF"/>
            <w:tcMar>
              <w:top w:w="40" w:type="dxa"/>
              <w:left w:w="20" w:type="dxa"/>
              <w:bottom w:w="40" w:type="dxa"/>
              <w:right w:w="20" w:type="dxa"/>
            </w:tcMar>
            <w:vAlign w:val="bottom"/>
          </w:tcPr>
          <w:p w14:paraId="643044C3" w14:textId="77777777" w:rsidR="009F6D8A" w:rsidRDefault="00C50974">
            <w:pPr>
              <w:textAlignment w:val="bottom"/>
            </w:pPr>
            <w:r>
              <w:rPr>
                <w:rFonts w:ascii="Arial" w:eastAsia="宋体" w:hAnsi="Arial" w:cs="Arial"/>
                <w:color w:val="000000"/>
                <w:sz w:val="16"/>
                <w:szCs w:val="16"/>
              </w:rPr>
              <w:t>3.800%</w:t>
            </w:r>
          </w:p>
        </w:tc>
        <w:tc>
          <w:tcPr>
            <w:tcW w:w="0" w:type="auto"/>
            <w:gridSpan w:val="3"/>
            <w:shd w:val="clear" w:color="auto" w:fill="FFFFFF"/>
            <w:tcMar>
              <w:top w:w="0" w:type="dxa"/>
              <w:left w:w="20" w:type="dxa"/>
              <w:bottom w:w="0" w:type="dxa"/>
              <w:right w:w="20" w:type="dxa"/>
            </w:tcMar>
            <w:vAlign w:val="bottom"/>
          </w:tcPr>
          <w:p w14:paraId="643044C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4C5" w14:textId="77777777" w:rsidR="009F6D8A" w:rsidRDefault="00C50974">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643044C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4C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4C8" w14:textId="77777777" w:rsidR="009F6D8A" w:rsidRDefault="00C50974">
            <w:pPr>
              <w:jc w:val="right"/>
              <w:textAlignment w:val="bottom"/>
            </w:pPr>
            <w:r>
              <w:rPr>
                <w:rFonts w:ascii="Arial" w:eastAsia="宋体" w:hAnsi="Arial" w:cs="Arial"/>
                <w:color w:val="000000"/>
                <w:sz w:val="16"/>
                <w:szCs w:val="16"/>
              </w:rPr>
              <w:t>3.989 </w:t>
            </w:r>
          </w:p>
        </w:tc>
        <w:tc>
          <w:tcPr>
            <w:tcW w:w="0" w:type="auto"/>
            <w:shd w:val="clear" w:color="auto" w:fill="FFFFFF"/>
            <w:tcMar>
              <w:top w:w="40" w:type="dxa"/>
              <w:left w:w="0" w:type="dxa"/>
              <w:bottom w:w="40" w:type="dxa"/>
              <w:right w:w="20" w:type="dxa"/>
            </w:tcMar>
            <w:vAlign w:val="bottom"/>
          </w:tcPr>
          <w:p w14:paraId="643044C9"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44C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4CB" w14:textId="77777777" w:rsidR="009F6D8A" w:rsidRDefault="00C50974">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643044C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4C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4CE" w14:textId="77777777" w:rsidR="009F6D8A" w:rsidRDefault="00C50974">
            <w:pPr>
              <w:jc w:val="right"/>
              <w:textAlignment w:val="bottom"/>
            </w:pPr>
            <w:r>
              <w:rPr>
                <w:rFonts w:ascii="Arial" w:eastAsia="宋体" w:hAnsi="Arial" w:cs="Arial"/>
                <w:color w:val="000000"/>
                <w:sz w:val="16"/>
                <w:szCs w:val="16"/>
              </w:rPr>
              <w:t>3.989 </w:t>
            </w:r>
          </w:p>
        </w:tc>
        <w:tc>
          <w:tcPr>
            <w:tcW w:w="0" w:type="auto"/>
            <w:shd w:val="clear" w:color="auto" w:fill="FFFFFF"/>
            <w:tcMar>
              <w:top w:w="40" w:type="dxa"/>
              <w:left w:w="0" w:type="dxa"/>
              <w:bottom w:w="40" w:type="dxa"/>
              <w:right w:w="20" w:type="dxa"/>
            </w:tcMar>
            <w:vAlign w:val="bottom"/>
          </w:tcPr>
          <w:p w14:paraId="643044CF" w14:textId="77777777" w:rsidR="009F6D8A" w:rsidRDefault="00C50974">
            <w:pPr>
              <w:jc w:val="right"/>
              <w:textAlignment w:val="bottom"/>
            </w:pPr>
            <w:r>
              <w:rPr>
                <w:rFonts w:ascii="Arial" w:eastAsia="宋体" w:hAnsi="Arial" w:cs="Arial"/>
                <w:color w:val="000000"/>
                <w:sz w:val="16"/>
                <w:szCs w:val="16"/>
              </w:rPr>
              <w:t>%</w:t>
            </w:r>
          </w:p>
        </w:tc>
      </w:tr>
      <w:tr w:rsidR="009F6D8A" w14:paraId="643044E0" w14:textId="77777777">
        <w:tc>
          <w:tcPr>
            <w:tcW w:w="0" w:type="auto"/>
            <w:gridSpan w:val="3"/>
            <w:shd w:val="clear" w:color="auto" w:fill="E1E1E1"/>
            <w:tcMar>
              <w:top w:w="40" w:type="dxa"/>
              <w:left w:w="155" w:type="dxa"/>
              <w:bottom w:w="40" w:type="dxa"/>
              <w:right w:w="20" w:type="dxa"/>
            </w:tcMar>
            <w:vAlign w:val="bottom"/>
          </w:tcPr>
          <w:p w14:paraId="643044D1" w14:textId="77777777" w:rsidR="009F6D8A" w:rsidRDefault="00C50974">
            <w:pPr>
              <w:textAlignment w:val="bottom"/>
            </w:pPr>
            <w:r>
              <w:rPr>
                <w:rFonts w:ascii="Arial" w:eastAsia="宋体" w:hAnsi="Arial" w:cs="Arial"/>
                <w:color w:val="000000"/>
                <w:sz w:val="16"/>
                <w:szCs w:val="16"/>
              </w:rPr>
              <w:t>Senior notes due 2022</w:t>
            </w:r>
          </w:p>
        </w:tc>
        <w:tc>
          <w:tcPr>
            <w:tcW w:w="0" w:type="auto"/>
            <w:gridSpan w:val="3"/>
            <w:shd w:val="clear" w:color="auto" w:fill="E1E1E1"/>
            <w:tcMar>
              <w:top w:w="0" w:type="dxa"/>
              <w:left w:w="20" w:type="dxa"/>
              <w:bottom w:w="0" w:type="dxa"/>
              <w:right w:w="20" w:type="dxa"/>
            </w:tcMar>
            <w:vAlign w:val="bottom"/>
          </w:tcPr>
          <w:p w14:paraId="643044D2" w14:textId="77777777" w:rsidR="009F6D8A" w:rsidRDefault="009F6D8A">
            <w:pPr>
              <w:rPr>
                <w:rFonts w:ascii="宋体"/>
              </w:rPr>
            </w:pPr>
          </w:p>
        </w:tc>
        <w:tc>
          <w:tcPr>
            <w:tcW w:w="0" w:type="auto"/>
            <w:gridSpan w:val="3"/>
            <w:shd w:val="clear" w:color="auto" w:fill="E1E1E1"/>
            <w:tcMar>
              <w:top w:w="40" w:type="dxa"/>
              <w:left w:w="20" w:type="dxa"/>
              <w:bottom w:w="40" w:type="dxa"/>
              <w:right w:w="20" w:type="dxa"/>
            </w:tcMar>
            <w:vAlign w:val="bottom"/>
          </w:tcPr>
          <w:p w14:paraId="643044D3" w14:textId="77777777" w:rsidR="009F6D8A" w:rsidRDefault="00C50974">
            <w:pPr>
              <w:textAlignment w:val="bottom"/>
            </w:pPr>
            <w:r>
              <w:rPr>
                <w:rFonts w:ascii="Arial" w:eastAsia="宋体" w:hAnsi="Arial" w:cs="Arial"/>
                <w:color w:val="000000"/>
                <w:sz w:val="16"/>
                <w:szCs w:val="16"/>
              </w:rPr>
              <w:t>2.600%</w:t>
            </w:r>
          </w:p>
        </w:tc>
        <w:tc>
          <w:tcPr>
            <w:tcW w:w="0" w:type="auto"/>
            <w:gridSpan w:val="3"/>
            <w:shd w:val="clear" w:color="auto" w:fill="E1E1E1"/>
            <w:tcMar>
              <w:top w:w="0" w:type="dxa"/>
              <w:left w:w="20" w:type="dxa"/>
              <w:bottom w:w="0" w:type="dxa"/>
              <w:right w:w="20" w:type="dxa"/>
            </w:tcMar>
            <w:vAlign w:val="bottom"/>
          </w:tcPr>
          <w:p w14:paraId="643044D4"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4D5" w14:textId="77777777" w:rsidR="009F6D8A" w:rsidRDefault="00C50974">
            <w:pPr>
              <w:jc w:val="right"/>
              <w:textAlignment w:val="bottom"/>
            </w:pPr>
            <w:r>
              <w:rPr>
                <w:rFonts w:ascii="Arial" w:eastAsia="宋体" w:hAnsi="Arial" w:cs="Arial"/>
                <w:color w:val="000000"/>
                <w:sz w:val="16"/>
                <w:szCs w:val="16"/>
              </w:rPr>
              <w:t>605 </w:t>
            </w:r>
          </w:p>
        </w:tc>
        <w:tc>
          <w:tcPr>
            <w:tcW w:w="0" w:type="auto"/>
            <w:shd w:val="clear" w:color="auto" w:fill="E1E1E1"/>
            <w:tcMar>
              <w:top w:w="40" w:type="dxa"/>
              <w:left w:w="0" w:type="dxa"/>
              <w:bottom w:w="40" w:type="dxa"/>
              <w:right w:w="20" w:type="dxa"/>
            </w:tcMar>
            <w:vAlign w:val="bottom"/>
          </w:tcPr>
          <w:p w14:paraId="643044D6"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4D7"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4D8" w14:textId="77777777" w:rsidR="009F6D8A" w:rsidRDefault="00C50974">
            <w:pPr>
              <w:jc w:val="right"/>
              <w:textAlignment w:val="bottom"/>
            </w:pPr>
            <w:r>
              <w:rPr>
                <w:rFonts w:ascii="Arial" w:eastAsia="宋体" w:hAnsi="Arial" w:cs="Arial"/>
                <w:color w:val="000000"/>
                <w:sz w:val="16"/>
                <w:szCs w:val="16"/>
              </w:rPr>
              <w:t>2.678 </w:t>
            </w:r>
          </w:p>
        </w:tc>
        <w:tc>
          <w:tcPr>
            <w:tcW w:w="0" w:type="auto"/>
            <w:shd w:val="clear" w:color="auto" w:fill="E1E1E1"/>
            <w:tcMar>
              <w:top w:w="40" w:type="dxa"/>
              <w:left w:w="0" w:type="dxa"/>
              <w:bottom w:w="40" w:type="dxa"/>
              <w:right w:w="20" w:type="dxa"/>
            </w:tcMar>
            <w:vAlign w:val="bottom"/>
          </w:tcPr>
          <w:p w14:paraId="643044D9"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1E1E1"/>
            <w:tcMar>
              <w:top w:w="0" w:type="dxa"/>
              <w:left w:w="20" w:type="dxa"/>
              <w:bottom w:w="0" w:type="dxa"/>
              <w:right w:w="20" w:type="dxa"/>
            </w:tcMar>
            <w:vAlign w:val="bottom"/>
          </w:tcPr>
          <w:p w14:paraId="643044DA"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4DB" w14:textId="77777777" w:rsidR="009F6D8A" w:rsidRDefault="00C50974">
            <w:pPr>
              <w:jc w:val="right"/>
              <w:textAlignment w:val="bottom"/>
            </w:pPr>
            <w:r>
              <w:rPr>
                <w:rFonts w:ascii="Arial" w:eastAsia="宋体" w:hAnsi="Arial" w:cs="Arial"/>
                <w:color w:val="000000"/>
                <w:sz w:val="16"/>
                <w:szCs w:val="16"/>
              </w:rPr>
              <w:t>1,000 </w:t>
            </w:r>
          </w:p>
        </w:tc>
        <w:tc>
          <w:tcPr>
            <w:tcW w:w="0" w:type="auto"/>
            <w:shd w:val="clear" w:color="auto" w:fill="E1E1E1"/>
            <w:tcMar>
              <w:top w:w="40" w:type="dxa"/>
              <w:left w:w="0" w:type="dxa"/>
              <w:bottom w:w="40" w:type="dxa"/>
              <w:right w:w="20" w:type="dxa"/>
            </w:tcMar>
            <w:vAlign w:val="bottom"/>
          </w:tcPr>
          <w:p w14:paraId="643044DC"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4DD"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4DE" w14:textId="77777777" w:rsidR="009F6D8A" w:rsidRDefault="00C50974">
            <w:pPr>
              <w:jc w:val="right"/>
              <w:textAlignment w:val="bottom"/>
            </w:pPr>
            <w:r>
              <w:rPr>
                <w:rFonts w:ascii="Arial" w:eastAsia="宋体" w:hAnsi="Arial" w:cs="Arial"/>
                <w:color w:val="000000"/>
                <w:sz w:val="16"/>
                <w:szCs w:val="16"/>
              </w:rPr>
              <w:t>2.678 </w:t>
            </w:r>
          </w:p>
        </w:tc>
        <w:tc>
          <w:tcPr>
            <w:tcW w:w="0" w:type="auto"/>
            <w:shd w:val="clear" w:color="auto" w:fill="E1E1E1"/>
            <w:tcMar>
              <w:top w:w="40" w:type="dxa"/>
              <w:left w:w="0" w:type="dxa"/>
              <w:bottom w:w="40" w:type="dxa"/>
              <w:right w:w="20" w:type="dxa"/>
            </w:tcMar>
            <w:vAlign w:val="bottom"/>
          </w:tcPr>
          <w:p w14:paraId="643044DF" w14:textId="77777777" w:rsidR="009F6D8A" w:rsidRDefault="00C50974">
            <w:pPr>
              <w:jc w:val="right"/>
              <w:textAlignment w:val="bottom"/>
            </w:pPr>
            <w:r>
              <w:rPr>
                <w:rFonts w:ascii="Arial" w:eastAsia="宋体" w:hAnsi="Arial" w:cs="Arial"/>
                <w:color w:val="000000"/>
                <w:sz w:val="16"/>
                <w:szCs w:val="16"/>
              </w:rPr>
              <w:t>%</w:t>
            </w:r>
          </w:p>
        </w:tc>
      </w:tr>
      <w:tr w:rsidR="009F6D8A" w14:paraId="643044F0" w14:textId="77777777">
        <w:tc>
          <w:tcPr>
            <w:tcW w:w="0" w:type="auto"/>
            <w:gridSpan w:val="3"/>
            <w:shd w:val="clear" w:color="auto" w:fill="FFFFFF"/>
            <w:tcMar>
              <w:top w:w="40" w:type="dxa"/>
              <w:left w:w="155" w:type="dxa"/>
              <w:bottom w:w="40" w:type="dxa"/>
              <w:right w:w="20" w:type="dxa"/>
            </w:tcMar>
            <w:vAlign w:val="bottom"/>
          </w:tcPr>
          <w:p w14:paraId="643044E1" w14:textId="77777777" w:rsidR="009F6D8A" w:rsidRDefault="00C50974">
            <w:pPr>
              <w:textAlignment w:val="bottom"/>
            </w:pPr>
            <w:r>
              <w:rPr>
                <w:rFonts w:ascii="Arial" w:eastAsia="宋体" w:hAnsi="Arial" w:cs="Arial"/>
                <w:color w:val="000000"/>
                <w:sz w:val="16"/>
                <w:szCs w:val="16"/>
              </w:rPr>
              <w:t>Senior notes due 2023</w:t>
            </w:r>
          </w:p>
        </w:tc>
        <w:tc>
          <w:tcPr>
            <w:tcW w:w="0" w:type="auto"/>
            <w:gridSpan w:val="3"/>
            <w:shd w:val="clear" w:color="auto" w:fill="FFFFFF"/>
            <w:tcMar>
              <w:top w:w="0" w:type="dxa"/>
              <w:left w:w="20" w:type="dxa"/>
              <w:bottom w:w="0" w:type="dxa"/>
              <w:right w:w="20" w:type="dxa"/>
            </w:tcMar>
            <w:vAlign w:val="bottom"/>
          </w:tcPr>
          <w:p w14:paraId="643044E2" w14:textId="77777777" w:rsidR="009F6D8A" w:rsidRDefault="009F6D8A">
            <w:pPr>
              <w:rPr>
                <w:rFonts w:ascii="宋体"/>
              </w:rPr>
            </w:pPr>
          </w:p>
        </w:tc>
        <w:tc>
          <w:tcPr>
            <w:tcW w:w="0" w:type="auto"/>
            <w:gridSpan w:val="3"/>
            <w:shd w:val="clear" w:color="auto" w:fill="FFFFFF"/>
            <w:tcMar>
              <w:top w:w="40" w:type="dxa"/>
              <w:left w:w="20" w:type="dxa"/>
              <w:bottom w:w="40" w:type="dxa"/>
              <w:right w:w="20" w:type="dxa"/>
            </w:tcMar>
            <w:vAlign w:val="bottom"/>
          </w:tcPr>
          <w:p w14:paraId="643044E3" w14:textId="77777777" w:rsidR="009F6D8A" w:rsidRDefault="00C50974">
            <w:pPr>
              <w:textAlignment w:val="bottom"/>
            </w:pPr>
            <w:r>
              <w:rPr>
                <w:rFonts w:ascii="Arial" w:eastAsia="宋体" w:hAnsi="Arial" w:cs="Arial"/>
                <w:color w:val="000000"/>
                <w:sz w:val="16"/>
                <w:szCs w:val="16"/>
              </w:rPr>
              <w:t>2.750%</w:t>
            </w:r>
          </w:p>
        </w:tc>
        <w:tc>
          <w:tcPr>
            <w:tcW w:w="0" w:type="auto"/>
            <w:gridSpan w:val="3"/>
            <w:shd w:val="clear" w:color="auto" w:fill="FFFFFF"/>
            <w:tcMar>
              <w:top w:w="0" w:type="dxa"/>
              <w:left w:w="20" w:type="dxa"/>
              <w:bottom w:w="0" w:type="dxa"/>
              <w:right w:w="20" w:type="dxa"/>
            </w:tcMar>
            <w:vAlign w:val="bottom"/>
          </w:tcPr>
          <w:p w14:paraId="643044E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4E5" w14:textId="77777777" w:rsidR="009F6D8A" w:rsidRDefault="00C50974">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643044E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4E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4E8" w14:textId="77777777" w:rsidR="009F6D8A" w:rsidRDefault="00C50974">
            <w:pPr>
              <w:jc w:val="right"/>
              <w:textAlignment w:val="bottom"/>
            </w:pPr>
            <w:r>
              <w:rPr>
                <w:rFonts w:ascii="Arial" w:eastAsia="宋体" w:hAnsi="Arial" w:cs="Arial"/>
                <w:color w:val="000000"/>
                <w:sz w:val="16"/>
                <w:szCs w:val="16"/>
              </w:rPr>
              <w:t>2.866 </w:t>
            </w:r>
          </w:p>
        </w:tc>
        <w:tc>
          <w:tcPr>
            <w:tcW w:w="0" w:type="auto"/>
            <w:shd w:val="clear" w:color="auto" w:fill="FFFFFF"/>
            <w:tcMar>
              <w:top w:w="40" w:type="dxa"/>
              <w:left w:w="0" w:type="dxa"/>
              <w:bottom w:w="40" w:type="dxa"/>
              <w:right w:w="20" w:type="dxa"/>
            </w:tcMar>
            <w:vAlign w:val="bottom"/>
          </w:tcPr>
          <w:p w14:paraId="643044E9"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44E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4EB" w14:textId="77777777" w:rsidR="009F6D8A" w:rsidRDefault="00C50974">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643044E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4E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4EE" w14:textId="77777777" w:rsidR="009F6D8A" w:rsidRDefault="00C50974">
            <w:pPr>
              <w:jc w:val="right"/>
              <w:textAlignment w:val="bottom"/>
            </w:pPr>
            <w:r>
              <w:rPr>
                <w:rFonts w:ascii="Arial" w:eastAsia="宋体" w:hAnsi="Arial" w:cs="Arial"/>
                <w:color w:val="000000"/>
                <w:sz w:val="16"/>
                <w:szCs w:val="16"/>
              </w:rPr>
              <w:t>2.866 </w:t>
            </w:r>
          </w:p>
        </w:tc>
        <w:tc>
          <w:tcPr>
            <w:tcW w:w="0" w:type="auto"/>
            <w:shd w:val="clear" w:color="auto" w:fill="FFFFFF"/>
            <w:tcMar>
              <w:top w:w="40" w:type="dxa"/>
              <w:left w:w="0" w:type="dxa"/>
              <w:bottom w:w="40" w:type="dxa"/>
              <w:right w:w="20" w:type="dxa"/>
            </w:tcMar>
            <w:vAlign w:val="bottom"/>
          </w:tcPr>
          <w:p w14:paraId="643044EF" w14:textId="77777777" w:rsidR="009F6D8A" w:rsidRDefault="00C50974">
            <w:pPr>
              <w:jc w:val="right"/>
              <w:textAlignment w:val="bottom"/>
            </w:pPr>
            <w:r>
              <w:rPr>
                <w:rFonts w:ascii="Arial" w:eastAsia="宋体" w:hAnsi="Arial" w:cs="Arial"/>
                <w:color w:val="000000"/>
                <w:sz w:val="16"/>
                <w:szCs w:val="16"/>
              </w:rPr>
              <w:t>%</w:t>
            </w:r>
          </w:p>
        </w:tc>
      </w:tr>
      <w:tr w:rsidR="009F6D8A" w14:paraId="64304500" w14:textId="77777777">
        <w:tc>
          <w:tcPr>
            <w:tcW w:w="0" w:type="auto"/>
            <w:gridSpan w:val="3"/>
            <w:shd w:val="clear" w:color="auto" w:fill="E1E1E1"/>
            <w:tcMar>
              <w:top w:w="40" w:type="dxa"/>
              <w:left w:w="155" w:type="dxa"/>
              <w:bottom w:w="40" w:type="dxa"/>
              <w:right w:w="20" w:type="dxa"/>
            </w:tcMar>
            <w:vAlign w:val="bottom"/>
          </w:tcPr>
          <w:p w14:paraId="643044F1" w14:textId="77777777" w:rsidR="009F6D8A" w:rsidRDefault="00C50974">
            <w:pPr>
              <w:textAlignment w:val="bottom"/>
            </w:pPr>
            <w:r>
              <w:rPr>
                <w:rFonts w:ascii="Arial" w:eastAsia="宋体" w:hAnsi="Arial" w:cs="Arial"/>
                <w:color w:val="000000"/>
                <w:sz w:val="16"/>
                <w:szCs w:val="16"/>
              </w:rPr>
              <w:t>Senior notes due 2024</w:t>
            </w:r>
          </w:p>
        </w:tc>
        <w:tc>
          <w:tcPr>
            <w:tcW w:w="0" w:type="auto"/>
            <w:gridSpan w:val="3"/>
            <w:shd w:val="clear" w:color="auto" w:fill="E1E1E1"/>
            <w:tcMar>
              <w:top w:w="0" w:type="dxa"/>
              <w:left w:w="20" w:type="dxa"/>
              <w:bottom w:w="0" w:type="dxa"/>
              <w:right w:w="20" w:type="dxa"/>
            </w:tcMar>
            <w:vAlign w:val="bottom"/>
          </w:tcPr>
          <w:p w14:paraId="643044F2" w14:textId="77777777" w:rsidR="009F6D8A" w:rsidRDefault="009F6D8A">
            <w:pPr>
              <w:rPr>
                <w:rFonts w:ascii="宋体"/>
              </w:rPr>
            </w:pPr>
          </w:p>
        </w:tc>
        <w:tc>
          <w:tcPr>
            <w:tcW w:w="0" w:type="auto"/>
            <w:gridSpan w:val="3"/>
            <w:shd w:val="clear" w:color="auto" w:fill="E1E1E1"/>
            <w:tcMar>
              <w:top w:w="40" w:type="dxa"/>
              <w:left w:w="20" w:type="dxa"/>
              <w:bottom w:w="40" w:type="dxa"/>
              <w:right w:w="20" w:type="dxa"/>
            </w:tcMar>
            <w:vAlign w:val="bottom"/>
          </w:tcPr>
          <w:p w14:paraId="643044F3" w14:textId="77777777" w:rsidR="009F6D8A" w:rsidRDefault="00C50974">
            <w:pPr>
              <w:textAlignment w:val="bottom"/>
            </w:pPr>
            <w:r>
              <w:rPr>
                <w:rFonts w:ascii="Arial" w:eastAsia="宋体" w:hAnsi="Arial" w:cs="Arial"/>
                <w:color w:val="000000"/>
                <w:sz w:val="16"/>
                <w:szCs w:val="16"/>
              </w:rPr>
              <w:t>3.450%</w:t>
            </w:r>
          </w:p>
        </w:tc>
        <w:tc>
          <w:tcPr>
            <w:tcW w:w="0" w:type="auto"/>
            <w:gridSpan w:val="3"/>
            <w:shd w:val="clear" w:color="auto" w:fill="E1E1E1"/>
            <w:tcMar>
              <w:top w:w="0" w:type="dxa"/>
              <w:left w:w="20" w:type="dxa"/>
              <w:bottom w:w="0" w:type="dxa"/>
              <w:right w:w="20" w:type="dxa"/>
            </w:tcMar>
            <w:vAlign w:val="bottom"/>
          </w:tcPr>
          <w:p w14:paraId="643044F4"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4F5" w14:textId="77777777" w:rsidR="009F6D8A" w:rsidRDefault="00C50974">
            <w:pPr>
              <w:jc w:val="right"/>
              <w:textAlignment w:val="bottom"/>
            </w:pPr>
            <w:r>
              <w:rPr>
                <w:rFonts w:ascii="Arial" w:eastAsia="宋体" w:hAnsi="Arial" w:cs="Arial"/>
                <w:color w:val="000000"/>
                <w:sz w:val="16"/>
                <w:szCs w:val="16"/>
              </w:rPr>
              <w:t>750 </w:t>
            </w:r>
          </w:p>
        </w:tc>
        <w:tc>
          <w:tcPr>
            <w:tcW w:w="0" w:type="auto"/>
            <w:shd w:val="clear" w:color="auto" w:fill="E1E1E1"/>
            <w:tcMar>
              <w:top w:w="40" w:type="dxa"/>
              <w:left w:w="0" w:type="dxa"/>
              <w:bottom w:w="40" w:type="dxa"/>
              <w:right w:w="20" w:type="dxa"/>
            </w:tcMar>
            <w:vAlign w:val="bottom"/>
          </w:tcPr>
          <w:p w14:paraId="643044F6"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4F7"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4F8" w14:textId="77777777" w:rsidR="009F6D8A" w:rsidRDefault="00C50974">
            <w:pPr>
              <w:jc w:val="right"/>
              <w:textAlignment w:val="bottom"/>
            </w:pPr>
            <w:r>
              <w:rPr>
                <w:rFonts w:ascii="Arial" w:eastAsia="宋体" w:hAnsi="Arial" w:cs="Arial"/>
                <w:color w:val="000000"/>
                <w:sz w:val="16"/>
                <w:szCs w:val="16"/>
              </w:rPr>
              <w:t>3.531 </w:t>
            </w:r>
          </w:p>
        </w:tc>
        <w:tc>
          <w:tcPr>
            <w:tcW w:w="0" w:type="auto"/>
            <w:shd w:val="clear" w:color="auto" w:fill="E1E1E1"/>
            <w:tcMar>
              <w:top w:w="40" w:type="dxa"/>
              <w:left w:w="0" w:type="dxa"/>
              <w:bottom w:w="40" w:type="dxa"/>
              <w:right w:w="20" w:type="dxa"/>
            </w:tcMar>
            <w:vAlign w:val="bottom"/>
          </w:tcPr>
          <w:p w14:paraId="643044F9"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1E1E1"/>
            <w:tcMar>
              <w:top w:w="0" w:type="dxa"/>
              <w:left w:w="20" w:type="dxa"/>
              <w:bottom w:w="0" w:type="dxa"/>
              <w:right w:w="20" w:type="dxa"/>
            </w:tcMar>
            <w:vAlign w:val="bottom"/>
          </w:tcPr>
          <w:p w14:paraId="643044FA"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4FB" w14:textId="77777777" w:rsidR="009F6D8A" w:rsidRDefault="00C50974">
            <w:pPr>
              <w:jc w:val="right"/>
              <w:textAlignment w:val="bottom"/>
            </w:pPr>
            <w:r>
              <w:rPr>
                <w:rFonts w:ascii="Arial" w:eastAsia="宋体" w:hAnsi="Arial" w:cs="Arial"/>
                <w:color w:val="000000"/>
                <w:sz w:val="16"/>
                <w:szCs w:val="16"/>
              </w:rPr>
              <w:t>750 </w:t>
            </w:r>
          </w:p>
        </w:tc>
        <w:tc>
          <w:tcPr>
            <w:tcW w:w="0" w:type="auto"/>
            <w:shd w:val="clear" w:color="auto" w:fill="E1E1E1"/>
            <w:tcMar>
              <w:top w:w="40" w:type="dxa"/>
              <w:left w:w="0" w:type="dxa"/>
              <w:bottom w:w="40" w:type="dxa"/>
              <w:right w:w="20" w:type="dxa"/>
            </w:tcMar>
            <w:vAlign w:val="bottom"/>
          </w:tcPr>
          <w:p w14:paraId="643044FC"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4FD"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4FE" w14:textId="77777777" w:rsidR="009F6D8A" w:rsidRDefault="00C50974">
            <w:pPr>
              <w:jc w:val="right"/>
              <w:textAlignment w:val="bottom"/>
            </w:pPr>
            <w:r>
              <w:rPr>
                <w:rFonts w:ascii="Arial" w:eastAsia="宋体" w:hAnsi="Arial" w:cs="Arial"/>
                <w:color w:val="000000"/>
                <w:sz w:val="16"/>
                <w:szCs w:val="16"/>
              </w:rPr>
              <w:t>3.531 </w:t>
            </w:r>
          </w:p>
        </w:tc>
        <w:tc>
          <w:tcPr>
            <w:tcW w:w="0" w:type="auto"/>
            <w:shd w:val="clear" w:color="auto" w:fill="E1E1E1"/>
            <w:tcMar>
              <w:top w:w="40" w:type="dxa"/>
              <w:left w:w="0" w:type="dxa"/>
              <w:bottom w:w="40" w:type="dxa"/>
              <w:right w:w="20" w:type="dxa"/>
            </w:tcMar>
            <w:vAlign w:val="bottom"/>
          </w:tcPr>
          <w:p w14:paraId="643044FF" w14:textId="77777777" w:rsidR="009F6D8A" w:rsidRDefault="00C50974">
            <w:pPr>
              <w:jc w:val="right"/>
              <w:textAlignment w:val="bottom"/>
            </w:pPr>
            <w:r>
              <w:rPr>
                <w:rFonts w:ascii="Arial" w:eastAsia="宋体" w:hAnsi="Arial" w:cs="Arial"/>
                <w:color w:val="000000"/>
                <w:sz w:val="16"/>
                <w:szCs w:val="16"/>
              </w:rPr>
              <w:t>%</w:t>
            </w:r>
          </w:p>
        </w:tc>
      </w:tr>
      <w:tr w:rsidR="009F6D8A" w14:paraId="64304510" w14:textId="77777777">
        <w:tc>
          <w:tcPr>
            <w:tcW w:w="0" w:type="auto"/>
            <w:gridSpan w:val="3"/>
            <w:shd w:val="clear" w:color="auto" w:fill="FFFFFF"/>
            <w:tcMar>
              <w:top w:w="40" w:type="dxa"/>
              <w:left w:w="155" w:type="dxa"/>
              <w:bottom w:w="40" w:type="dxa"/>
              <w:right w:w="20" w:type="dxa"/>
            </w:tcMar>
            <w:vAlign w:val="bottom"/>
          </w:tcPr>
          <w:p w14:paraId="64304501" w14:textId="77777777" w:rsidR="009F6D8A" w:rsidRDefault="00C50974">
            <w:pPr>
              <w:textAlignment w:val="bottom"/>
            </w:pPr>
            <w:r>
              <w:rPr>
                <w:rFonts w:ascii="Arial" w:eastAsia="宋体" w:hAnsi="Arial" w:cs="Arial"/>
                <w:color w:val="000000"/>
                <w:sz w:val="16"/>
                <w:szCs w:val="16"/>
              </w:rPr>
              <w:t>Senior notes due 2025</w:t>
            </w:r>
          </w:p>
        </w:tc>
        <w:tc>
          <w:tcPr>
            <w:tcW w:w="0" w:type="auto"/>
            <w:gridSpan w:val="3"/>
            <w:shd w:val="clear" w:color="auto" w:fill="FFFFFF"/>
            <w:tcMar>
              <w:top w:w="0" w:type="dxa"/>
              <w:left w:w="20" w:type="dxa"/>
              <w:bottom w:w="0" w:type="dxa"/>
              <w:right w:w="20" w:type="dxa"/>
            </w:tcMar>
            <w:vAlign w:val="bottom"/>
          </w:tcPr>
          <w:p w14:paraId="64304502" w14:textId="77777777" w:rsidR="009F6D8A" w:rsidRDefault="009F6D8A">
            <w:pPr>
              <w:rPr>
                <w:rFonts w:ascii="宋体"/>
              </w:rPr>
            </w:pPr>
          </w:p>
        </w:tc>
        <w:tc>
          <w:tcPr>
            <w:tcW w:w="0" w:type="auto"/>
            <w:gridSpan w:val="3"/>
            <w:shd w:val="clear" w:color="auto" w:fill="FFFFFF"/>
            <w:tcMar>
              <w:top w:w="40" w:type="dxa"/>
              <w:left w:w="20" w:type="dxa"/>
              <w:bottom w:w="40" w:type="dxa"/>
              <w:right w:w="20" w:type="dxa"/>
            </w:tcMar>
            <w:vAlign w:val="bottom"/>
          </w:tcPr>
          <w:p w14:paraId="64304503" w14:textId="77777777" w:rsidR="009F6D8A" w:rsidRDefault="00C50974">
            <w:pPr>
              <w:textAlignment w:val="bottom"/>
            </w:pPr>
            <w:r>
              <w:rPr>
                <w:rFonts w:ascii="Arial" w:eastAsia="宋体" w:hAnsi="Arial" w:cs="Arial"/>
                <w:color w:val="000000"/>
                <w:sz w:val="16"/>
                <w:szCs w:val="16"/>
              </w:rPr>
              <w:t>1.900%</w:t>
            </w:r>
          </w:p>
        </w:tc>
        <w:tc>
          <w:tcPr>
            <w:tcW w:w="0" w:type="auto"/>
            <w:gridSpan w:val="3"/>
            <w:shd w:val="clear" w:color="auto" w:fill="FFFFFF"/>
            <w:tcMar>
              <w:top w:w="0" w:type="dxa"/>
              <w:left w:w="20" w:type="dxa"/>
              <w:bottom w:w="0" w:type="dxa"/>
              <w:right w:w="20" w:type="dxa"/>
            </w:tcMar>
            <w:vAlign w:val="bottom"/>
          </w:tcPr>
          <w:p w14:paraId="6430450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505" w14:textId="77777777" w:rsidR="009F6D8A" w:rsidRDefault="00C50974">
            <w:pPr>
              <w:jc w:val="right"/>
              <w:textAlignment w:val="bottom"/>
            </w:pPr>
            <w:r>
              <w:rPr>
                <w:rFonts w:ascii="Arial" w:eastAsia="宋体" w:hAnsi="Arial" w:cs="Arial"/>
                <w:color w:val="000000"/>
                <w:sz w:val="16"/>
                <w:szCs w:val="16"/>
              </w:rPr>
              <w:t>800 </w:t>
            </w:r>
          </w:p>
        </w:tc>
        <w:tc>
          <w:tcPr>
            <w:tcW w:w="0" w:type="auto"/>
            <w:shd w:val="clear" w:color="auto" w:fill="FFFFFF"/>
            <w:tcMar>
              <w:top w:w="40" w:type="dxa"/>
              <w:left w:w="0" w:type="dxa"/>
              <w:bottom w:w="40" w:type="dxa"/>
              <w:right w:w="20" w:type="dxa"/>
            </w:tcMar>
            <w:vAlign w:val="bottom"/>
          </w:tcPr>
          <w:p w14:paraId="6430450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50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508" w14:textId="77777777" w:rsidR="009F6D8A" w:rsidRDefault="00C50974">
            <w:pPr>
              <w:jc w:val="right"/>
              <w:textAlignment w:val="bottom"/>
            </w:pPr>
            <w:r>
              <w:rPr>
                <w:rFonts w:ascii="Arial" w:eastAsia="宋体" w:hAnsi="Arial" w:cs="Arial"/>
                <w:color w:val="000000"/>
                <w:sz w:val="16"/>
                <w:szCs w:val="16"/>
              </w:rPr>
              <w:t>1.803 </w:t>
            </w:r>
          </w:p>
        </w:tc>
        <w:tc>
          <w:tcPr>
            <w:tcW w:w="0" w:type="auto"/>
            <w:shd w:val="clear" w:color="auto" w:fill="FFFFFF"/>
            <w:tcMar>
              <w:top w:w="40" w:type="dxa"/>
              <w:left w:w="0" w:type="dxa"/>
              <w:bottom w:w="40" w:type="dxa"/>
              <w:right w:w="20" w:type="dxa"/>
            </w:tcMar>
            <w:vAlign w:val="bottom"/>
          </w:tcPr>
          <w:p w14:paraId="64304509"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450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50B" w14:textId="77777777" w:rsidR="009F6D8A" w:rsidRDefault="00C50974">
            <w:pPr>
              <w:jc w:val="right"/>
              <w:textAlignment w:val="bottom"/>
            </w:pPr>
            <w:r>
              <w:rPr>
                <w:rFonts w:ascii="Arial" w:eastAsia="宋体" w:hAnsi="Arial" w:cs="Arial"/>
                <w:color w:val="000000"/>
                <w:sz w:val="16"/>
                <w:szCs w:val="16"/>
              </w:rPr>
              <w:t>800 </w:t>
            </w:r>
          </w:p>
        </w:tc>
        <w:tc>
          <w:tcPr>
            <w:tcW w:w="0" w:type="auto"/>
            <w:shd w:val="clear" w:color="auto" w:fill="FFFFFF"/>
            <w:tcMar>
              <w:top w:w="40" w:type="dxa"/>
              <w:left w:w="0" w:type="dxa"/>
              <w:bottom w:w="40" w:type="dxa"/>
              <w:right w:w="20" w:type="dxa"/>
            </w:tcMar>
            <w:vAlign w:val="bottom"/>
          </w:tcPr>
          <w:p w14:paraId="6430450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50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50E" w14:textId="77777777" w:rsidR="009F6D8A" w:rsidRDefault="00C50974">
            <w:pPr>
              <w:jc w:val="right"/>
              <w:textAlignment w:val="bottom"/>
            </w:pPr>
            <w:r>
              <w:rPr>
                <w:rFonts w:ascii="Arial" w:eastAsia="宋体" w:hAnsi="Arial" w:cs="Arial"/>
                <w:color w:val="000000"/>
                <w:sz w:val="16"/>
                <w:szCs w:val="16"/>
              </w:rPr>
              <w:t>1.803 </w:t>
            </w:r>
          </w:p>
        </w:tc>
        <w:tc>
          <w:tcPr>
            <w:tcW w:w="0" w:type="auto"/>
            <w:shd w:val="clear" w:color="auto" w:fill="FFFFFF"/>
            <w:tcMar>
              <w:top w:w="40" w:type="dxa"/>
              <w:left w:w="0" w:type="dxa"/>
              <w:bottom w:w="40" w:type="dxa"/>
              <w:right w:w="20" w:type="dxa"/>
            </w:tcMar>
            <w:vAlign w:val="bottom"/>
          </w:tcPr>
          <w:p w14:paraId="6430450F" w14:textId="77777777" w:rsidR="009F6D8A" w:rsidRDefault="00C50974">
            <w:pPr>
              <w:jc w:val="right"/>
              <w:textAlignment w:val="bottom"/>
            </w:pPr>
            <w:r>
              <w:rPr>
                <w:rFonts w:ascii="Arial" w:eastAsia="宋体" w:hAnsi="Arial" w:cs="Arial"/>
                <w:color w:val="000000"/>
                <w:sz w:val="16"/>
                <w:szCs w:val="16"/>
              </w:rPr>
              <w:t>%</w:t>
            </w:r>
          </w:p>
        </w:tc>
      </w:tr>
      <w:tr w:rsidR="009F6D8A" w14:paraId="64304520" w14:textId="77777777">
        <w:tc>
          <w:tcPr>
            <w:tcW w:w="0" w:type="auto"/>
            <w:gridSpan w:val="3"/>
            <w:shd w:val="clear" w:color="auto" w:fill="E1E1E1"/>
            <w:tcMar>
              <w:top w:w="40" w:type="dxa"/>
              <w:left w:w="155" w:type="dxa"/>
              <w:bottom w:w="40" w:type="dxa"/>
              <w:right w:w="20" w:type="dxa"/>
            </w:tcMar>
            <w:vAlign w:val="bottom"/>
          </w:tcPr>
          <w:p w14:paraId="64304511" w14:textId="77777777" w:rsidR="009F6D8A" w:rsidRDefault="00C50974">
            <w:pPr>
              <w:textAlignment w:val="bottom"/>
            </w:pPr>
            <w:r>
              <w:rPr>
                <w:rFonts w:ascii="Arial" w:eastAsia="宋体" w:hAnsi="Arial" w:cs="Arial"/>
                <w:color w:val="000000"/>
                <w:sz w:val="16"/>
                <w:szCs w:val="16"/>
              </w:rPr>
              <w:t>Senior notes due 2026</w:t>
            </w:r>
          </w:p>
        </w:tc>
        <w:tc>
          <w:tcPr>
            <w:tcW w:w="0" w:type="auto"/>
            <w:gridSpan w:val="3"/>
            <w:shd w:val="clear" w:color="auto" w:fill="E1E1E1"/>
            <w:tcMar>
              <w:top w:w="0" w:type="dxa"/>
              <w:left w:w="20" w:type="dxa"/>
              <w:bottom w:w="0" w:type="dxa"/>
              <w:right w:w="20" w:type="dxa"/>
            </w:tcMar>
            <w:vAlign w:val="bottom"/>
          </w:tcPr>
          <w:p w14:paraId="64304512" w14:textId="77777777" w:rsidR="009F6D8A" w:rsidRDefault="009F6D8A">
            <w:pPr>
              <w:rPr>
                <w:rFonts w:ascii="宋体"/>
              </w:rPr>
            </w:pPr>
          </w:p>
        </w:tc>
        <w:tc>
          <w:tcPr>
            <w:tcW w:w="0" w:type="auto"/>
            <w:gridSpan w:val="3"/>
            <w:shd w:val="clear" w:color="auto" w:fill="E1E1E1"/>
            <w:tcMar>
              <w:top w:w="40" w:type="dxa"/>
              <w:left w:w="20" w:type="dxa"/>
              <w:bottom w:w="40" w:type="dxa"/>
              <w:right w:w="20" w:type="dxa"/>
            </w:tcMar>
            <w:vAlign w:val="bottom"/>
          </w:tcPr>
          <w:p w14:paraId="64304513" w14:textId="77777777" w:rsidR="009F6D8A" w:rsidRDefault="00C50974">
            <w:pPr>
              <w:textAlignment w:val="bottom"/>
            </w:pPr>
            <w:r>
              <w:rPr>
                <w:rFonts w:ascii="Arial" w:eastAsia="宋体" w:hAnsi="Arial" w:cs="Arial"/>
                <w:color w:val="000000"/>
                <w:sz w:val="16"/>
                <w:szCs w:val="16"/>
              </w:rPr>
              <w:t>1.400%</w:t>
            </w:r>
          </w:p>
        </w:tc>
        <w:tc>
          <w:tcPr>
            <w:tcW w:w="0" w:type="auto"/>
            <w:gridSpan w:val="3"/>
            <w:shd w:val="clear" w:color="auto" w:fill="E1E1E1"/>
            <w:tcMar>
              <w:top w:w="0" w:type="dxa"/>
              <w:left w:w="20" w:type="dxa"/>
              <w:bottom w:w="0" w:type="dxa"/>
              <w:right w:w="20" w:type="dxa"/>
            </w:tcMar>
            <w:vAlign w:val="bottom"/>
          </w:tcPr>
          <w:p w14:paraId="64304514"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15" w14:textId="77777777" w:rsidR="009F6D8A" w:rsidRDefault="00C50974">
            <w:pPr>
              <w:jc w:val="right"/>
              <w:textAlignment w:val="bottom"/>
            </w:pPr>
            <w:r>
              <w:rPr>
                <w:rFonts w:ascii="Arial" w:eastAsia="宋体" w:hAnsi="Arial" w:cs="Arial"/>
                <w:color w:val="000000"/>
                <w:sz w:val="16"/>
                <w:szCs w:val="16"/>
              </w:rPr>
              <w:t>750 </w:t>
            </w:r>
          </w:p>
        </w:tc>
        <w:tc>
          <w:tcPr>
            <w:tcW w:w="0" w:type="auto"/>
            <w:shd w:val="clear" w:color="auto" w:fill="E1E1E1"/>
            <w:tcMar>
              <w:top w:w="40" w:type="dxa"/>
              <w:left w:w="0" w:type="dxa"/>
              <w:bottom w:w="40" w:type="dxa"/>
              <w:right w:w="20" w:type="dxa"/>
            </w:tcMar>
            <w:vAlign w:val="bottom"/>
          </w:tcPr>
          <w:p w14:paraId="64304516"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517"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18" w14:textId="77777777" w:rsidR="009F6D8A" w:rsidRDefault="00C50974">
            <w:pPr>
              <w:jc w:val="right"/>
              <w:textAlignment w:val="bottom"/>
            </w:pPr>
            <w:r>
              <w:rPr>
                <w:rFonts w:ascii="Arial" w:eastAsia="宋体" w:hAnsi="Arial" w:cs="Arial"/>
                <w:color w:val="000000"/>
                <w:sz w:val="16"/>
                <w:szCs w:val="16"/>
              </w:rPr>
              <w:t>1.252 </w:t>
            </w:r>
          </w:p>
        </w:tc>
        <w:tc>
          <w:tcPr>
            <w:tcW w:w="0" w:type="auto"/>
            <w:shd w:val="clear" w:color="auto" w:fill="E1E1E1"/>
            <w:tcMar>
              <w:top w:w="40" w:type="dxa"/>
              <w:left w:w="0" w:type="dxa"/>
              <w:bottom w:w="40" w:type="dxa"/>
              <w:right w:w="20" w:type="dxa"/>
            </w:tcMar>
            <w:vAlign w:val="bottom"/>
          </w:tcPr>
          <w:p w14:paraId="64304519"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1E1E1"/>
            <w:tcMar>
              <w:top w:w="0" w:type="dxa"/>
              <w:left w:w="20" w:type="dxa"/>
              <w:bottom w:w="0" w:type="dxa"/>
              <w:right w:w="20" w:type="dxa"/>
            </w:tcMar>
            <w:vAlign w:val="bottom"/>
          </w:tcPr>
          <w:p w14:paraId="6430451A"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1B" w14:textId="77777777" w:rsidR="009F6D8A" w:rsidRDefault="00C50974">
            <w:pPr>
              <w:jc w:val="right"/>
              <w:textAlignment w:val="bottom"/>
            </w:pPr>
            <w:r>
              <w:rPr>
                <w:rFonts w:ascii="Arial" w:eastAsia="宋体" w:hAnsi="Arial" w:cs="Arial"/>
                <w:color w:val="000000"/>
                <w:sz w:val="16"/>
                <w:szCs w:val="16"/>
              </w:rPr>
              <w:t>— </w:t>
            </w:r>
          </w:p>
        </w:tc>
        <w:tc>
          <w:tcPr>
            <w:tcW w:w="0" w:type="auto"/>
            <w:shd w:val="clear" w:color="auto" w:fill="E1E1E1"/>
            <w:tcMar>
              <w:top w:w="40" w:type="dxa"/>
              <w:left w:w="0" w:type="dxa"/>
              <w:bottom w:w="40" w:type="dxa"/>
              <w:right w:w="20" w:type="dxa"/>
            </w:tcMar>
            <w:vAlign w:val="bottom"/>
          </w:tcPr>
          <w:p w14:paraId="6430451C"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51D"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1E" w14:textId="77777777" w:rsidR="009F6D8A" w:rsidRDefault="00C50974">
            <w:pPr>
              <w:jc w:val="right"/>
              <w:textAlignment w:val="bottom"/>
            </w:pPr>
            <w:r>
              <w:rPr>
                <w:rFonts w:ascii="Arial" w:eastAsia="宋体" w:hAnsi="Arial" w:cs="Arial"/>
                <w:color w:val="000000"/>
                <w:sz w:val="16"/>
                <w:szCs w:val="16"/>
              </w:rPr>
              <w:t>— </w:t>
            </w:r>
          </w:p>
        </w:tc>
        <w:tc>
          <w:tcPr>
            <w:tcW w:w="0" w:type="auto"/>
            <w:shd w:val="clear" w:color="auto" w:fill="E1E1E1"/>
            <w:tcMar>
              <w:top w:w="40" w:type="dxa"/>
              <w:left w:w="0" w:type="dxa"/>
              <w:bottom w:w="40" w:type="dxa"/>
              <w:right w:w="20" w:type="dxa"/>
            </w:tcMar>
            <w:vAlign w:val="bottom"/>
          </w:tcPr>
          <w:p w14:paraId="6430451F" w14:textId="77777777" w:rsidR="009F6D8A" w:rsidRDefault="00C50974">
            <w:pPr>
              <w:jc w:val="right"/>
              <w:textAlignment w:val="bottom"/>
            </w:pPr>
            <w:r>
              <w:rPr>
                <w:rFonts w:ascii="Arial" w:eastAsia="宋体" w:hAnsi="Arial" w:cs="Arial"/>
                <w:color w:val="000000"/>
                <w:sz w:val="16"/>
                <w:szCs w:val="16"/>
              </w:rPr>
              <w:t>%</w:t>
            </w:r>
          </w:p>
        </w:tc>
      </w:tr>
      <w:tr w:rsidR="009F6D8A" w14:paraId="64304530" w14:textId="77777777">
        <w:tc>
          <w:tcPr>
            <w:tcW w:w="0" w:type="auto"/>
            <w:gridSpan w:val="3"/>
            <w:shd w:val="clear" w:color="auto" w:fill="FFFFFF"/>
            <w:tcMar>
              <w:top w:w="40" w:type="dxa"/>
              <w:left w:w="155" w:type="dxa"/>
              <w:bottom w:w="40" w:type="dxa"/>
              <w:right w:w="20" w:type="dxa"/>
            </w:tcMar>
            <w:vAlign w:val="bottom"/>
          </w:tcPr>
          <w:p w14:paraId="64304521" w14:textId="77777777" w:rsidR="009F6D8A" w:rsidRDefault="00C50974">
            <w:pPr>
              <w:textAlignment w:val="bottom"/>
            </w:pPr>
            <w:r>
              <w:rPr>
                <w:rFonts w:ascii="Arial" w:eastAsia="宋体" w:hAnsi="Arial" w:cs="Arial"/>
                <w:color w:val="000000"/>
                <w:sz w:val="16"/>
                <w:szCs w:val="16"/>
              </w:rPr>
              <w:t>Senior notes due 2027</w:t>
            </w:r>
          </w:p>
        </w:tc>
        <w:tc>
          <w:tcPr>
            <w:tcW w:w="0" w:type="auto"/>
            <w:gridSpan w:val="3"/>
            <w:shd w:val="clear" w:color="auto" w:fill="FFFFFF"/>
            <w:tcMar>
              <w:top w:w="0" w:type="dxa"/>
              <w:left w:w="20" w:type="dxa"/>
              <w:bottom w:w="0" w:type="dxa"/>
              <w:right w:w="20" w:type="dxa"/>
            </w:tcMar>
            <w:vAlign w:val="bottom"/>
          </w:tcPr>
          <w:p w14:paraId="64304522" w14:textId="77777777" w:rsidR="009F6D8A" w:rsidRDefault="009F6D8A">
            <w:pPr>
              <w:rPr>
                <w:rFonts w:ascii="宋体"/>
              </w:rPr>
            </w:pPr>
          </w:p>
        </w:tc>
        <w:tc>
          <w:tcPr>
            <w:tcW w:w="0" w:type="auto"/>
            <w:gridSpan w:val="3"/>
            <w:shd w:val="clear" w:color="auto" w:fill="FFFFFF"/>
            <w:tcMar>
              <w:top w:w="40" w:type="dxa"/>
              <w:left w:w="20" w:type="dxa"/>
              <w:bottom w:w="40" w:type="dxa"/>
              <w:right w:w="20" w:type="dxa"/>
            </w:tcMar>
            <w:vAlign w:val="bottom"/>
          </w:tcPr>
          <w:p w14:paraId="64304523" w14:textId="77777777" w:rsidR="009F6D8A" w:rsidRDefault="00C50974">
            <w:pPr>
              <w:textAlignment w:val="bottom"/>
            </w:pPr>
            <w:r>
              <w:rPr>
                <w:rFonts w:ascii="Arial" w:eastAsia="宋体" w:hAnsi="Arial" w:cs="Arial"/>
                <w:color w:val="000000"/>
                <w:sz w:val="16"/>
                <w:szCs w:val="16"/>
              </w:rPr>
              <w:t>3.600%</w:t>
            </w:r>
          </w:p>
        </w:tc>
        <w:tc>
          <w:tcPr>
            <w:tcW w:w="0" w:type="auto"/>
            <w:gridSpan w:val="3"/>
            <w:shd w:val="clear" w:color="auto" w:fill="FFFFFF"/>
            <w:tcMar>
              <w:top w:w="0" w:type="dxa"/>
              <w:left w:w="20" w:type="dxa"/>
              <w:bottom w:w="0" w:type="dxa"/>
              <w:right w:w="20" w:type="dxa"/>
            </w:tcMar>
            <w:vAlign w:val="bottom"/>
          </w:tcPr>
          <w:p w14:paraId="6430452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525" w14:textId="77777777" w:rsidR="009F6D8A" w:rsidRDefault="00C50974">
            <w:pPr>
              <w:jc w:val="right"/>
              <w:textAlignment w:val="bottom"/>
            </w:pPr>
            <w:r>
              <w:rPr>
                <w:rFonts w:ascii="Arial" w:eastAsia="宋体" w:hAnsi="Arial" w:cs="Arial"/>
                <w:color w:val="000000"/>
                <w:sz w:val="16"/>
                <w:szCs w:val="16"/>
              </w:rPr>
              <w:t>850 </w:t>
            </w:r>
          </w:p>
        </w:tc>
        <w:tc>
          <w:tcPr>
            <w:tcW w:w="0" w:type="auto"/>
            <w:shd w:val="clear" w:color="auto" w:fill="FFFFFF"/>
            <w:tcMar>
              <w:top w:w="40" w:type="dxa"/>
              <w:left w:w="0" w:type="dxa"/>
              <w:bottom w:w="40" w:type="dxa"/>
              <w:right w:w="20" w:type="dxa"/>
            </w:tcMar>
            <w:vAlign w:val="bottom"/>
          </w:tcPr>
          <w:p w14:paraId="6430452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52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528" w14:textId="77777777" w:rsidR="009F6D8A" w:rsidRDefault="00C50974">
            <w:pPr>
              <w:jc w:val="right"/>
              <w:textAlignment w:val="bottom"/>
            </w:pPr>
            <w:r>
              <w:rPr>
                <w:rFonts w:ascii="Arial" w:eastAsia="宋体" w:hAnsi="Arial" w:cs="Arial"/>
                <w:color w:val="000000"/>
                <w:sz w:val="16"/>
                <w:szCs w:val="16"/>
              </w:rPr>
              <w:t>3.689 </w:t>
            </w:r>
          </w:p>
        </w:tc>
        <w:tc>
          <w:tcPr>
            <w:tcW w:w="0" w:type="auto"/>
            <w:shd w:val="clear" w:color="auto" w:fill="FFFFFF"/>
            <w:tcMar>
              <w:top w:w="40" w:type="dxa"/>
              <w:left w:w="0" w:type="dxa"/>
              <w:bottom w:w="40" w:type="dxa"/>
              <w:right w:w="20" w:type="dxa"/>
            </w:tcMar>
            <w:vAlign w:val="bottom"/>
          </w:tcPr>
          <w:p w14:paraId="64304529"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452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52B" w14:textId="77777777" w:rsidR="009F6D8A" w:rsidRDefault="00C50974">
            <w:pPr>
              <w:jc w:val="right"/>
              <w:textAlignment w:val="bottom"/>
            </w:pPr>
            <w:r>
              <w:rPr>
                <w:rFonts w:ascii="Arial" w:eastAsia="宋体" w:hAnsi="Arial" w:cs="Arial"/>
                <w:color w:val="000000"/>
                <w:sz w:val="16"/>
                <w:szCs w:val="16"/>
              </w:rPr>
              <w:t>850 </w:t>
            </w:r>
          </w:p>
        </w:tc>
        <w:tc>
          <w:tcPr>
            <w:tcW w:w="0" w:type="auto"/>
            <w:shd w:val="clear" w:color="auto" w:fill="FFFFFF"/>
            <w:tcMar>
              <w:top w:w="40" w:type="dxa"/>
              <w:left w:w="0" w:type="dxa"/>
              <w:bottom w:w="40" w:type="dxa"/>
              <w:right w:w="20" w:type="dxa"/>
            </w:tcMar>
            <w:vAlign w:val="bottom"/>
          </w:tcPr>
          <w:p w14:paraId="6430452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52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52E" w14:textId="77777777" w:rsidR="009F6D8A" w:rsidRDefault="00C50974">
            <w:pPr>
              <w:jc w:val="right"/>
              <w:textAlignment w:val="bottom"/>
            </w:pPr>
            <w:r>
              <w:rPr>
                <w:rFonts w:ascii="Arial" w:eastAsia="宋体" w:hAnsi="Arial" w:cs="Arial"/>
                <w:color w:val="000000"/>
                <w:sz w:val="16"/>
                <w:szCs w:val="16"/>
              </w:rPr>
              <w:t>3.689 </w:t>
            </w:r>
          </w:p>
        </w:tc>
        <w:tc>
          <w:tcPr>
            <w:tcW w:w="0" w:type="auto"/>
            <w:shd w:val="clear" w:color="auto" w:fill="FFFFFF"/>
            <w:tcMar>
              <w:top w:w="40" w:type="dxa"/>
              <w:left w:w="0" w:type="dxa"/>
              <w:bottom w:w="40" w:type="dxa"/>
              <w:right w:w="20" w:type="dxa"/>
            </w:tcMar>
            <w:vAlign w:val="bottom"/>
          </w:tcPr>
          <w:p w14:paraId="6430452F" w14:textId="77777777" w:rsidR="009F6D8A" w:rsidRDefault="00C50974">
            <w:pPr>
              <w:jc w:val="right"/>
              <w:textAlignment w:val="bottom"/>
            </w:pPr>
            <w:r>
              <w:rPr>
                <w:rFonts w:ascii="Arial" w:eastAsia="宋体" w:hAnsi="Arial" w:cs="Arial"/>
                <w:color w:val="000000"/>
                <w:sz w:val="16"/>
                <w:szCs w:val="16"/>
              </w:rPr>
              <w:t>%</w:t>
            </w:r>
          </w:p>
        </w:tc>
      </w:tr>
      <w:tr w:rsidR="009F6D8A" w14:paraId="64304540" w14:textId="77777777">
        <w:tc>
          <w:tcPr>
            <w:tcW w:w="0" w:type="auto"/>
            <w:gridSpan w:val="3"/>
            <w:shd w:val="clear" w:color="auto" w:fill="E1E1E1"/>
            <w:tcMar>
              <w:top w:w="40" w:type="dxa"/>
              <w:left w:w="155" w:type="dxa"/>
              <w:bottom w:w="40" w:type="dxa"/>
              <w:right w:w="20" w:type="dxa"/>
            </w:tcMar>
            <w:vAlign w:val="bottom"/>
          </w:tcPr>
          <w:p w14:paraId="64304531" w14:textId="77777777" w:rsidR="009F6D8A" w:rsidRDefault="00C50974">
            <w:pPr>
              <w:textAlignment w:val="bottom"/>
            </w:pPr>
            <w:r>
              <w:rPr>
                <w:rFonts w:ascii="Arial" w:eastAsia="宋体" w:hAnsi="Arial" w:cs="Arial"/>
                <w:color w:val="000000"/>
                <w:sz w:val="16"/>
                <w:szCs w:val="16"/>
              </w:rPr>
              <w:t>Senior notes due 2030</w:t>
            </w:r>
          </w:p>
        </w:tc>
        <w:tc>
          <w:tcPr>
            <w:tcW w:w="0" w:type="auto"/>
            <w:gridSpan w:val="3"/>
            <w:shd w:val="clear" w:color="auto" w:fill="E1E1E1"/>
            <w:tcMar>
              <w:top w:w="0" w:type="dxa"/>
              <w:left w:w="20" w:type="dxa"/>
              <w:bottom w:w="0" w:type="dxa"/>
              <w:right w:w="20" w:type="dxa"/>
            </w:tcMar>
            <w:vAlign w:val="bottom"/>
          </w:tcPr>
          <w:p w14:paraId="64304532" w14:textId="77777777" w:rsidR="009F6D8A" w:rsidRDefault="009F6D8A">
            <w:pPr>
              <w:rPr>
                <w:rFonts w:ascii="宋体"/>
              </w:rPr>
            </w:pPr>
          </w:p>
        </w:tc>
        <w:tc>
          <w:tcPr>
            <w:tcW w:w="0" w:type="auto"/>
            <w:gridSpan w:val="3"/>
            <w:shd w:val="clear" w:color="auto" w:fill="E1E1E1"/>
            <w:tcMar>
              <w:top w:w="40" w:type="dxa"/>
              <w:left w:w="20" w:type="dxa"/>
              <w:bottom w:w="40" w:type="dxa"/>
              <w:right w:w="20" w:type="dxa"/>
            </w:tcMar>
            <w:vAlign w:val="bottom"/>
          </w:tcPr>
          <w:p w14:paraId="64304533" w14:textId="77777777" w:rsidR="009F6D8A" w:rsidRDefault="00C50974">
            <w:pPr>
              <w:textAlignment w:val="bottom"/>
            </w:pPr>
            <w:r>
              <w:rPr>
                <w:rFonts w:ascii="Arial" w:eastAsia="宋体" w:hAnsi="Arial" w:cs="Arial"/>
                <w:color w:val="000000"/>
                <w:sz w:val="16"/>
                <w:szCs w:val="16"/>
              </w:rPr>
              <w:t>2.700%</w:t>
            </w:r>
          </w:p>
        </w:tc>
        <w:tc>
          <w:tcPr>
            <w:tcW w:w="0" w:type="auto"/>
            <w:gridSpan w:val="3"/>
            <w:shd w:val="clear" w:color="auto" w:fill="E1E1E1"/>
            <w:tcMar>
              <w:top w:w="0" w:type="dxa"/>
              <w:left w:w="20" w:type="dxa"/>
              <w:bottom w:w="0" w:type="dxa"/>
              <w:right w:w="20" w:type="dxa"/>
            </w:tcMar>
            <w:vAlign w:val="bottom"/>
          </w:tcPr>
          <w:p w14:paraId="64304534"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35" w14:textId="77777777" w:rsidR="009F6D8A" w:rsidRDefault="00C50974">
            <w:pPr>
              <w:jc w:val="right"/>
              <w:textAlignment w:val="bottom"/>
            </w:pPr>
            <w:r>
              <w:rPr>
                <w:rFonts w:ascii="Arial" w:eastAsia="宋体" w:hAnsi="Arial" w:cs="Arial"/>
                <w:color w:val="000000"/>
                <w:sz w:val="16"/>
                <w:szCs w:val="16"/>
              </w:rPr>
              <w:t>950 </w:t>
            </w:r>
          </w:p>
        </w:tc>
        <w:tc>
          <w:tcPr>
            <w:tcW w:w="0" w:type="auto"/>
            <w:shd w:val="clear" w:color="auto" w:fill="E1E1E1"/>
            <w:tcMar>
              <w:top w:w="40" w:type="dxa"/>
              <w:left w:w="0" w:type="dxa"/>
              <w:bottom w:w="40" w:type="dxa"/>
              <w:right w:w="20" w:type="dxa"/>
            </w:tcMar>
            <w:vAlign w:val="bottom"/>
          </w:tcPr>
          <w:p w14:paraId="64304536"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537"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38" w14:textId="77777777" w:rsidR="009F6D8A" w:rsidRDefault="00C50974">
            <w:pPr>
              <w:jc w:val="right"/>
              <w:textAlignment w:val="bottom"/>
            </w:pPr>
            <w:r>
              <w:rPr>
                <w:rFonts w:ascii="Arial" w:eastAsia="宋体" w:hAnsi="Arial" w:cs="Arial"/>
                <w:color w:val="000000"/>
                <w:sz w:val="16"/>
                <w:szCs w:val="16"/>
              </w:rPr>
              <w:t>2.623 </w:t>
            </w:r>
          </w:p>
        </w:tc>
        <w:tc>
          <w:tcPr>
            <w:tcW w:w="0" w:type="auto"/>
            <w:shd w:val="clear" w:color="auto" w:fill="E1E1E1"/>
            <w:tcMar>
              <w:top w:w="40" w:type="dxa"/>
              <w:left w:w="0" w:type="dxa"/>
              <w:bottom w:w="40" w:type="dxa"/>
              <w:right w:w="20" w:type="dxa"/>
            </w:tcMar>
            <w:vAlign w:val="bottom"/>
          </w:tcPr>
          <w:p w14:paraId="64304539"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1E1E1"/>
            <w:tcMar>
              <w:top w:w="0" w:type="dxa"/>
              <w:left w:w="20" w:type="dxa"/>
              <w:bottom w:w="0" w:type="dxa"/>
              <w:right w:w="20" w:type="dxa"/>
            </w:tcMar>
            <w:vAlign w:val="bottom"/>
          </w:tcPr>
          <w:p w14:paraId="6430453A"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3B" w14:textId="77777777" w:rsidR="009F6D8A" w:rsidRDefault="00C50974">
            <w:pPr>
              <w:jc w:val="right"/>
              <w:textAlignment w:val="bottom"/>
            </w:pPr>
            <w:r>
              <w:rPr>
                <w:rFonts w:ascii="Arial" w:eastAsia="宋体" w:hAnsi="Arial" w:cs="Arial"/>
                <w:color w:val="000000"/>
                <w:sz w:val="16"/>
                <w:szCs w:val="16"/>
              </w:rPr>
              <w:t>950 </w:t>
            </w:r>
          </w:p>
        </w:tc>
        <w:tc>
          <w:tcPr>
            <w:tcW w:w="0" w:type="auto"/>
            <w:shd w:val="clear" w:color="auto" w:fill="E1E1E1"/>
            <w:tcMar>
              <w:top w:w="40" w:type="dxa"/>
              <w:left w:w="0" w:type="dxa"/>
              <w:bottom w:w="40" w:type="dxa"/>
              <w:right w:w="20" w:type="dxa"/>
            </w:tcMar>
            <w:vAlign w:val="bottom"/>
          </w:tcPr>
          <w:p w14:paraId="6430453C"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53D"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3E" w14:textId="77777777" w:rsidR="009F6D8A" w:rsidRDefault="00C50974">
            <w:pPr>
              <w:jc w:val="right"/>
              <w:textAlignment w:val="bottom"/>
            </w:pPr>
            <w:r>
              <w:rPr>
                <w:rFonts w:ascii="Arial" w:eastAsia="宋体" w:hAnsi="Arial" w:cs="Arial"/>
                <w:color w:val="000000"/>
                <w:sz w:val="16"/>
                <w:szCs w:val="16"/>
              </w:rPr>
              <w:t>2.623 </w:t>
            </w:r>
          </w:p>
        </w:tc>
        <w:tc>
          <w:tcPr>
            <w:tcW w:w="0" w:type="auto"/>
            <w:shd w:val="clear" w:color="auto" w:fill="E1E1E1"/>
            <w:tcMar>
              <w:top w:w="40" w:type="dxa"/>
              <w:left w:w="0" w:type="dxa"/>
              <w:bottom w:w="40" w:type="dxa"/>
              <w:right w:w="20" w:type="dxa"/>
            </w:tcMar>
            <w:vAlign w:val="bottom"/>
          </w:tcPr>
          <w:p w14:paraId="6430453F" w14:textId="77777777" w:rsidR="009F6D8A" w:rsidRDefault="00C50974">
            <w:pPr>
              <w:jc w:val="right"/>
              <w:textAlignment w:val="bottom"/>
            </w:pPr>
            <w:r>
              <w:rPr>
                <w:rFonts w:ascii="Arial" w:eastAsia="宋体" w:hAnsi="Arial" w:cs="Arial"/>
                <w:color w:val="000000"/>
                <w:sz w:val="16"/>
                <w:szCs w:val="16"/>
              </w:rPr>
              <w:t>%</w:t>
            </w:r>
          </w:p>
        </w:tc>
      </w:tr>
      <w:tr w:rsidR="009F6D8A" w14:paraId="64304550" w14:textId="77777777">
        <w:tc>
          <w:tcPr>
            <w:tcW w:w="0" w:type="auto"/>
            <w:gridSpan w:val="3"/>
            <w:shd w:val="clear" w:color="auto" w:fill="FFFFFF"/>
            <w:tcMar>
              <w:top w:w="40" w:type="dxa"/>
              <w:left w:w="155" w:type="dxa"/>
              <w:bottom w:w="40" w:type="dxa"/>
              <w:right w:w="20" w:type="dxa"/>
            </w:tcMar>
            <w:vAlign w:val="bottom"/>
          </w:tcPr>
          <w:p w14:paraId="64304541" w14:textId="77777777" w:rsidR="009F6D8A" w:rsidRDefault="00C50974">
            <w:pPr>
              <w:textAlignment w:val="bottom"/>
            </w:pPr>
            <w:r>
              <w:rPr>
                <w:rFonts w:ascii="Arial" w:eastAsia="宋体" w:hAnsi="Arial" w:cs="Arial"/>
                <w:color w:val="000000"/>
                <w:sz w:val="16"/>
                <w:szCs w:val="16"/>
              </w:rPr>
              <w:t>Senior notes due 2031</w:t>
            </w:r>
          </w:p>
        </w:tc>
        <w:tc>
          <w:tcPr>
            <w:tcW w:w="0" w:type="auto"/>
            <w:gridSpan w:val="3"/>
            <w:shd w:val="clear" w:color="auto" w:fill="FFFFFF"/>
            <w:tcMar>
              <w:top w:w="0" w:type="dxa"/>
              <w:left w:w="20" w:type="dxa"/>
              <w:bottom w:w="0" w:type="dxa"/>
              <w:right w:w="20" w:type="dxa"/>
            </w:tcMar>
            <w:vAlign w:val="bottom"/>
          </w:tcPr>
          <w:p w14:paraId="64304542" w14:textId="77777777" w:rsidR="009F6D8A" w:rsidRDefault="009F6D8A">
            <w:pPr>
              <w:rPr>
                <w:rFonts w:ascii="宋体"/>
              </w:rPr>
            </w:pPr>
          </w:p>
        </w:tc>
        <w:tc>
          <w:tcPr>
            <w:tcW w:w="0" w:type="auto"/>
            <w:gridSpan w:val="3"/>
            <w:shd w:val="clear" w:color="auto" w:fill="FFFFFF"/>
            <w:tcMar>
              <w:top w:w="40" w:type="dxa"/>
              <w:left w:w="20" w:type="dxa"/>
              <w:bottom w:w="40" w:type="dxa"/>
              <w:right w:w="20" w:type="dxa"/>
            </w:tcMar>
            <w:vAlign w:val="bottom"/>
          </w:tcPr>
          <w:p w14:paraId="64304543" w14:textId="77777777" w:rsidR="009F6D8A" w:rsidRDefault="00C50974">
            <w:pPr>
              <w:textAlignment w:val="bottom"/>
            </w:pPr>
            <w:r>
              <w:rPr>
                <w:rFonts w:ascii="Arial" w:eastAsia="宋体" w:hAnsi="Arial" w:cs="Arial"/>
                <w:color w:val="000000"/>
                <w:sz w:val="16"/>
                <w:szCs w:val="16"/>
              </w:rPr>
              <w:t>2.600%</w:t>
            </w:r>
          </w:p>
        </w:tc>
        <w:tc>
          <w:tcPr>
            <w:tcW w:w="0" w:type="auto"/>
            <w:gridSpan w:val="3"/>
            <w:shd w:val="clear" w:color="auto" w:fill="FFFFFF"/>
            <w:tcMar>
              <w:top w:w="0" w:type="dxa"/>
              <w:left w:w="20" w:type="dxa"/>
              <w:bottom w:w="0" w:type="dxa"/>
              <w:right w:w="20" w:type="dxa"/>
            </w:tcMar>
            <w:vAlign w:val="bottom"/>
          </w:tcPr>
          <w:p w14:paraId="6430454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545" w14:textId="77777777" w:rsidR="009F6D8A" w:rsidRDefault="00C50974">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6430454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54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548" w14:textId="77777777" w:rsidR="009F6D8A" w:rsidRDefault="00C50974">
            <w:pPr>
              <w:jc w:val="right"/>
              <w:textAlignment w:val="bottom"/>
            </w:pPr>
            <w:r>
              <w:rPr>
                <w:rFonts w:ascii="Arial" w:eastAsia="宋体" w:hAnsi="Arial" w:cs="Arial"/>
                <w:color w:val="000000"/>
                <w:sz w:val="16"/>
                <w:szCs w:val="16"/>
              </w:rPr>
              <w:t>2.186 </w:t>
            </w:r>
          </w:p>
        </w:tc>
        <w:tc>
          <w:tcPr>
            <w:tcW w:w="0" w:type="auto"/>
            <w:shd w:val="clear" w:color="auto" w:fill="FFFFFF"/>
            <w:tcMar>
              <w:top w:w="40" w:type="dxa"/>
              <w:left w:w="0" w:type="dxa"/>
              <w:bottom w:w="40" w:type="dxa"/>
              <w:right w:w="20" w:type="dxa"/>
            </w:tcMar>
            <w:vAlign w:val="bottom"/>
          </w:tcPr>
          <w:p w14:paraId="64304549"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454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54B" w14:textId="77777777" w:rsidR="009F6D8A" w:rsidRDefault="00C50974">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6430454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54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54E" w14:textId="77777777" w:rsidR="009F6D8A" w:rsidRDefault="00C50974">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6430454F" w14:textId="77777777" w:rsidR="009F6D8A" w:rsidRDefault="00C50974">
            <w:pPr>
              <w:jc w:val="right"/>
              <w:textAlignment w:val="bottom"/>
            </w:pPr>
            <w:r>
              <w:rPr>
                <w:rFonts w:ascii="Arial" w:eastAsia="宋体" w:hAnsi="Arial" w:cs="Arial"/>
                <w:color w:val="000000"/>
                <w:sz w:val="16"/>
                <w:szCs w:val="16"/>
              </w:rPr>
              <w:t>%</w:t>
            </w:r>
          </w:p>
        </w:tc>
      </w:tr>
      <w:tr w:rsidR="009F6D8A" w14:paraId="64304560" w14:textId="77777777">
        <w:tc>
          <w:tcPr>
            <w:tcW w:w="0" w:type="auto"/>
            <w:gridSpan w:val="3"/>
            <w:shd w:val="clear" w:color="auto" w:fill="E1E1E1"/>
            <w:tcMar>
              <w:top w:w="40" w:type="dxa"/>
              <w:left w:w="155" w:type="dxa"/>
              <w:bottom w:w="40" w:type="dxa"/>
              <w:right w:w="20" w:type="dxa"/>
            </w:tcMar>
            <w:vAlign w:val="bottom"/>
          </w:tcPr>
          <w:p w14:paraId="64304551" w14:textId="77777777" w:rsidR="009F6D8A" w:rsidRDefault="00C50974">
            <w:pPr>
              <w:textAlignment w:val="bottom"/>
            </w:pPr>
            <w:r>
              <w:rPr>
                <w:rFonts w:ascii="Arial" w:eastAsia="宋体" w:hAnsi="Arial" w:cs="Arial"/>
                <w:color w:val="000000"/>
                <w:sz w:val="16"/>
                <w:szCs w:val="16"/>
              </w:rPr>
              <w:t>Senior notes due 2042</w:t>
            </w:r>
          </w:p>
        </w:tc>
        <w:tc>
          <w:tcPr>
            <w:tcW w:w="0" w:type="auto"/>
            <w:gridSpan w:val="3"/>
            <w:shd w:val="clear" w:color="auto" w:fill="E1E1E1"/>
            <w:tcMar>
              <w:top w:w="0" w:type="dxa"/>
              <w:left w:w="20" w:type="dxa"/>
              <w:bottom w:w="0" w:type="dxa"/>
              <w:right w:w="20" w:type="dxa"/>
            </w:tcMar>
            <w:vAlign w:val="bottom"/>
          </w:tcPr>
          <w:p w14:paraId="64304552" w14:textId="77777777" w:rsidR="009F6D8A" w:rsidRDefault="009F6D8A">
            <w:pPr>
              <w:rPr>
                <w:rFonts w:ascii="宋体"/>
              </w:rPr>
            </w:pPr>
          </w:p>
        </w:tc>
        <w:tc>
          <w:tcPr>
            <w:tcW w:w="0" w:type="auto"/>
            <w:gridSpan w:val="3"/>
            <w:shd w:val="clear" w:color="auto" w:fill="E1E1E1"/>
            <w:tcMar>
              <w:top w:w="40" w:type="dxa"/>
              <w:left w:w="20" w:type="dxa"/>
              <w:bottom w:w="40" w:type="dxa"/>
              <w:right w:w="20" w:type="dxa"/>
            </w:tcMar>
            <w:vAlign w:val="bottom"/>
          </w:tcPr>
          <w:p w14:paraId="64304553" w14:textId="77777777" w:rsidR="009F6D8A" w:rsidRDefault="00C50974">
            <w:pPr>
              <w:textAlignment w:val="bottom"/>
            </w:pPr>
            <w:r>
              <w:rPr>
                <w:rFonts w:ascii="Arial" w:eastAsia="宋体" w:hAnsi="Arial" w:cs="Arial"/>
                <w:color w:val="000000"/>
                <w:sz w:val="16"/>
                <w:szCs w:val="16"/>
              </w:rPr>
              <w:t>4.000%</w:t>
            </w:r>
          </w:p>
        </w:tc>
        <w:tc>
          <w:tcPr>
            <w:tcW w:w="0" w:type="auto"/>
            <w:gridSpan w:val="3"/>
            <w:shd w:val="clear" w:color="auto" w:fill="E1E1E1"/>
            <w:tcMar>
              <w:top w:w="0" w:type="dxa"/>
              <w:left w:w="20" w:type="dxa"/>
              <w:bottom w:w="0" w:type="dxa"/>
              <w:right w:w="20" w:type="dxa"/>
            </w:tcMar>
            <w:vAlign w:val="bottom"/>
          </w:tcPr>
          <w:p w14:paraId="64304554"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55" w14:textId="77777777" w:rsidR="009F6D8A" w:rsidRDefault="00C50974">
            <w:pPr>
              <w:jc w:val="right"/>
              <w:textAlignment w:val="bottom"/>
            </w:pPr>
            <w:r>
              <w:rPr>
                <w:rFonts w:ascii="Arial" w:eastAsia="宋体" w:hAnsi="Arial" w:cs="Arial"/>
                <w:color w:val="000000"/>
                <w:sz w:val="16"/>
                <w:szCs w:val="16"/>
              </w:rPr>
              <w:t>750 </w:t>
            </w:r>
          </w:p>
        </w:tc>
        <w:tc>
          <w:tcPr>
            <w:tcW w:w="0" w:type="auto"/>
            <w:shd w:val="clear" w:color="auto" w:fill="E1E1E1"/>
            <w:tcMar>
              <w:top w:w="40" w:type="dxa"/>
              <w:left w:w="0" w:type="dxa"/>
              <w:bottom w:w="40" w:type="dxa"/>
              <w:right w:w="20" w:type="dxa"/>
            </w:tcMar>
            <w:vAlign w:val="bottom"/>
          </w:tcPr>
          <w:p w14:paraId="64304556"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557"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58" w14:textId="77777777" w:rsidR="009F6D8A" w:rsidRDefault="00C50974">
            <w:pPr>
              <w:jc w:val="right"/>
              <w:textAlignment w:val="bottom"/>
            </w:pPr>
            <w:r>
              <w:rPr>
                <w:rFonts w:ascii="Arial" w:eastAsia="宋体" w:hAnsi="Arial" w:cs="Arial"/>
                <w:color w:val="000000"/>
                <w:sz w:val="16"/>
                <w:szCs w:val="16"/>
              </w:rPr>
              <w:t>4.114 </w:t>
            </w:r>
          </w:p>
        </w:tc>
        <w:tc>
          <w:tcPr>
            <w:tcW w:w="0" w:type="auto"/>
            <w:shd w:val="clear" w:color="auto" w:fill="E1E1E1"/>
            <w:tcMar>
              <w:top w:w="40" w:type="dxa"/>
              <w:left w:w="0" w:type="dxa"/>
              <w:bottom w:w="40" w:type="dxa"/>
              <w:right w:w="20" w:type="dxa"/>
            </w:tcMar>
            <w:vAlign w:val="bottom"/>
          </w:tcPr>
          <w:p w14:paraId="64304559"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1E1E1"/>
            <w:tcMar>
              <w:top w:w="0" w:type="dxa"/>
              <w:left w:w="20" w:type="dxa"/>
              <w:bottom w:w="0" w:type="dxa"/>
              <w:right w:w="20" w:type="dxa"/>
            </w:tcMar>
            <w:vAlign w:val="bottom"/>
          </w:tcPr>
          <w:p w14:paraId="6430455A"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5B" w14:textId="77777777" w:rsidR="009F6D8A" w:rsidRDefault="00C50974">
            <w:pPr>
              <w:jc w:val="right"/>
              <w:textAlignment w:val="bottom"/>
            </w:pPr>
            <w:r>
              <w:rPr>
                <w:rFonts w:ascii="Arial" w:eastAsia="宋体" w:hAnsi="Arial" w:cs="Arial"/>
                <w:color w:val="000000"/>
                <w:sz w:val="16"/>
                <w:szCs w:val="16"/>
              </w:rPr>
              <w:t>750 </w:t>
            </w:r>
          </w:p>
        </w:tc>
        <w:tc>
          <w:tcPr>
            <w:tcW w:w="0" w:type="auto"/>
            <w:shd w:val="clear" w:color="auto" w:fill="E1E1E1"/>
            <w:tcMar>
              <w:top w:w="40" w:type="dxa"/>
              <w:left w:w="0" w:type="dxa"/>
              <w:bottom w:w="40" w:type="dxa"/>
              <w:right w:w="20" w:type="dxa"/>
            </w:tcMar>
            <w:vAlign w:val="bottom"/>
          </w:tcPr>
          <w:p w14:paraId="6430455C"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55D"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5E" w14:textId="77777777" w:rsidR="009F6D8A" w:rsidRDefault="00C50974">
            <w:pPr>
              <w:jc w:val="right"/>
              <w:textAlignment w:val="bottom"/>
            </w:pPr>
            <w:r>
              <w:rPr>
                <w:rFonts w:ascii="Arial" w:eastAsia="宋体" w:hAnsi="Arial" w:cs="Arial"/>
                <w:color w:val="000000"/>
                <w:sz w:val="16"/>
                <w:szCs w:val="16"/>
              </w:rPr>
              <w:t>4.114 </w:t>
            </w:r>
          </w:p>
        </w:tc>
        <w:tc>
          <w:tcPr>
            <w:tcW w:w="0" w:type="auto"/>
            <w:shd w:val="clear" w:color="auto" w:fill="E1E1E1"/>
            <w:tcMar>
              <w:top w:w="40" w:type="dxa"/>
              <w:left w:w="0" w:type="dxa"/>
              <w:bottom w:w="40" w:type="dxa"/>
              <w:right w:w="20" w:type="dxa"/>
            </w:tcMar>
            <w:vAlign w:val="bottom"/>
          </w:tcPr>
          <w:p w14:paraId="6430455F" w14:textId="77777777" w:rsidR="009F6D8A" w:rsidRDefault="00C50974">
            <w:pPr>
              <w:jc w:val="right"/>
              <w:textAlignment w:val="bottom"/>
            </w:pPr>
            <w:r>
              <w:rPr>
                <w:rFonts w:ascii="Arial" w:eastAsia="宋体" w:hAnsi="Arial" w:cs="Arial"/>
                <w:color w:val="000000"/>
                <w:sz w:val="16"/>
                <w:szCs w:val="16"/>
              </w:rPr>
              <w:t>%</w:t>
            </w:r>
          </w:p>
        </w:tc>
      </w:tr>
      <w:tr w:rsidR="009F6D8A" w14:paraId="64304570" w14:textId="77777777">
        <w:tc>
          <w:tcPr>
            <w:tcW w:w="0" w:type="auto"/>
            <w:gridSpan w:val="3"/>
            <w:shd w:val="clear" w:color="auto" w:fill="FFFFFF"/>
            <w:tcMar>
              <w:top w:w="40" w:type="dxa"/>
              <w:left w:w="155" w:type="dxa"/>
              <w:bottom w:w="40" w:type="dxa"/>
              <w:right w:w="20" w:type="dxa"/>
            </w:tcMar>
            <w:vAlign w:val="bottom"/>
          </w:tcPr>
          <w:p w14:paraId="64304561" w14:textId="77777777" w:rsidR="009F6D8A" w:rsidRDefault="00C50974">
            <w:pPr>
              <w:textAlignment w:val="bottom"/>
            </w:pPr>
            <w:r>
              <w:rPr>
                <w:rFonts w:ascii="Arial" w:eastAsia="宋体" w:hAnsi="Arial" w:cs="Arial"/>
                <w:color w:val="000000"/>
                <w:sz w:val="16"/>
                <w:szCs w:val="16"/>
              </w:rPr>
              <w:t>Senior notes due 2051</w:t>
            </w:r>
          </w:p>
        </w:tc>
        <w:tc>
          <w:tcPr>
            <w:tcW w:w="0" w:type="auto"/>
            <w:gridSpan w:val="3"/>
            <w:shd w:val="clear" w:color="auto" w:fill="FFFFFF"/>
            <w:tcMar>
              <w:top w:w="0" w:type="dxa"/>
              <w:left w:w="20" w:type="dxa"/>
              <w:bottom w:w="0" w:type="dxa"/>
              <w:right w:w="20" w:type="dxa"/>
            </w:tcMar>
            <w:vAlign w:val="bottom"/>
          </w:tcPr>
          <w:p w14:paraId="64304562" w14:textId="77777777" w:rsidR="009F6D8A" w:rsidRDefault="009F6D8A">
            <w:pPr>
              <w:rPr>
                <w:rFonts w:ascii="宋体"/>
              </w:rPr>
            </w:pPr>
          </w:p>
        </w:tc>
        <w:tc>
          <w:tcPr>
            <w:tcW w:w="0" w:type="auto"/>
            <w:gridSpan w:val="3"/>
            <w:shd w:val="clear" w:color="auto" w:fill="FFFFFF"/>
            <w:tcMar>
              <w:top w:w="40" w:type="dxa"/>
              <w:left w:w="20" w:type="dxa"/>
              <w:bottom w:w="40" w:type="dxa"/>
              <w:right w:w="20" w:type="dxa"/>
            </w:tcMar>
            <w:vAlign w:val="bottom"/>
          </w:tcPr>
          <w:p w14:paraId="64304563" w14:textId="77777777" w:rsidR="009F6D8A" w:rsidRDefault="00C50974">
            <w:pPr>
              <w:textAlignment w:val="bottom"/>
            </w:pPr>
            <w:r>
              <w:rPr>
                <w:rFonts w:ascii="Arial" w:eastAsia="宋体" w:hAnsi="Arial" w:cs="Arial"/>
                <w:color w:val="000000"/>
                <w:sz w:val="16"/>
                <w:szCs w:val="16"/>
              </w:rPr>
              <w:t>3.650%</w:t>
            </w:r>
          </w:p>
        </w:tc>
        <w:tc>
          <w:tcPr>
            <w:tcW w:w="0" w:type="auto"/>
            <w:gridSpan w:val="3"/>
            <w:shd w:val="clear" w:color="auto" w:fill="FFFFFF"/>
            <w:tcMar>
              <w:top w:w="0" w:type="dxa"/>
              <w:left w:w="20" w:type="dxa"/>
              <w:bottom w:w="0" w:type="dxa"/>
              <w:right w:w="20" w:type="dxa"/>
            </w:tcMar>
            <w:vAlign w:val="bottom"/>
          </w:tcPr>
          <w:p w14:paraId="6430456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565" w14:textId="77777777" w:rsidR="009F6D8A" w:rsidRDefault="00C50974">
            <w:pPr>
              <w:jc w:val="right"/>
              <w:textAlignment w:val="bottom"/>
            </w:pPr>
            <w:r>
              <w:rPr>
                <w:rFonts w:ascii="Arial" w:eastAsia="宋体" w:hAnsi="Arial" w:cs="Arial"/>
                <w:color w:val="000000"/>
                <w:sz w:val="16"/>
                <w:szCs w:val="16"/>
              </w:rPr>
              <w:t>1,000 </w:t>
            </w:r>
          </w:p>
        </w:tc>
        <w:tc>
          <w:tcPr>
            <w:tcW w:w="0" w:type="auto"/>
            <w:shd w:val="clear" w:color="auto" w:fill="FFFFFF"/>
            <w:tcMar>
              <w:top w:w="40" w:type="dxa"/>
              <w:left w:w="0" w:type="dxa"/>
              <w:bottom w:w="40" w:type="dxa"/>
              <w:right w:w="20" w:type="dxa"/>
            </w:tcMar>
            <w:vAlign w:val="bottom"/>
          </w:tcPr>
          <w:p w14:paraId="6430456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56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568" w14:textId="77777777" w:rsidR="009F6D8A" w:rsidRDefault="00C50974">
            <w:pPr>
              <w:jc w:val="right"/>
              <w:textAlignment w:val="bottom"/>
            </w:pPr>
            <w:r>
              <w:rPr>
                <w:rFonts w:ascii="Arial" w:eastAsia="宋体" w:hAnsi="Arial" w:cs="Arial"/>
                <w:color w:val="000000"/>
                <w:sz w:val="16"/>
                <w:szCs w:val="16"/>
              </w:rPr>
              <w:t>2.517 </w:t>
            </w:r>
          </w:p>
        </w:tc>
        <w:tc>
          <w:tcPr>
            <w:tcW w:w="0" w:type="auto"/>
            <w:shd w:val="clear" w:color="auto" w:fill="FFFFFF"/>
            <w:tcMar>
              <w:top w:w="40" w:type="dxa"/>
              <w:left w:w="0" w:type="dxa"/>
              <w:bottom w:w="40" w:type="dxa"/>
              <w:right w:w="20" w:type="dxa"/>
            </w:tcMar>
            <w:vAlign w:val="bottom"/>
          </w:tcPr>
          <w:p w14:paraId="64304569"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456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56B" w14:textId="77777777" w:rsidR="009F6D8A" w:rsidRDefault="00C50974">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6430456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56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56E" w14:textId="77777777" w:rsidR="009F6D8A" w:rsidRDefault="00C50974">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6430456F" w14:textId="77777777" w:rsidR="009F6D8A" w:rsidRDefault="00C50974">
            <w:pPr>
              <w:jc w:val="right"/>
              <w:textAlignment w:val="bottom"/>
            </w:pPr>
            <w:r>
              <w:rPr>
                <w:rFonts w:ascii="Arial" w:eastAsia="宋体" w:hAnsi="Arial" w:cs="Arial"/>
                <w:color w:val="000000"/>
                <w:sz w:val="16"/>
                <w:szCs w:val="16"/>
              </w:rPr>
              <w:t>%</w:t>
            </w:r>
          </w:p>
        </w:tc>
      </w:tr>
      <w:tr w:rsidR="009F6D8A" w14:paraId="64304580" w14:textId="77777777">
        <w:tc>
          <w:tcPr>
            <w:tcW w:w="0" w:type="auto"/>
            <w:gridSpan w:val="3"/>
            <w:shd w:val="clear" w:color="auto" w:fill="E1E1E1"/>
            <w:tcMar>
              <w:top w:w="40" w:type="dxa"/>
              <w:left w:w="155" w:type="dxa"/>
              <w:bottom w:w="40" w:type="dxa"/>
              <w:right w:w="20" w:type="dxa"/>
            </w:tcMar>
            <w:vAlign w:val="bottom"/>
          </w:tcPr>
          <w:p w14:paraId="64304571" w14:textId="77777777" w:rsidR="009F6D8A" w:rsidRDefault="00C50974">
            <w:pPr>
              <w:textAlignment w:val="bottom"/>
            </w:pPr>
            <w:r>
              <w:rPr>
                <w:rFonts w:ascii="Arial" w:eastAsia="宋体" w:hAnsi="Arial" w:cs="Arial"/>
                <w:color w:val="000000"/>
                <w:sz w:val="16"/>
                <w:szCs w:val="16"/>
              </w:rPr>
              <w:t>Senior notes due 2056</w:t>
            </w:r>
          </w:p>
        </w:tc>
        <w:tc>
          <w:tcPr>
            <w:tcW w:w="0" w:type="auto"/>
            <w:gridSpan w:val="3"/>
            <w:shd w:val="clear" w:color="auto" w:fill="E1E1E1"/>
            <w:tcMar>
              <w:top w:w="0" w:type="dxa"/>
              <w:left w:w="20" w:type="dxa"/>
              <w:bottom w:w="0" w:type="dxa"/>
              <w:right w:w="20" w:type="dxa"/>
            </w:tcMar>
            <w:vAlign w:val="bottom"/>
          </w:tcPr>
          <w:p w14:paraId="64304572" w14:textId="77777777" w:rsidR="009F6D8A" w:rsidRDefault="009F6D8A">
            <w:pPr>
              <w:rPr>
                <w:rFonts w:ascii="宋体"/>
              </w:rPr>
            </w:pPr>
          </w:p>
        </w:tc>
        <w:tc>
          <w:tcPr>
            <w:tcW w:w="0" w:type="auto"/>
            <w:gridSpan w:val="3"/>
            <w:shd w:val="clear" w:color="auto" w:fill="E1E1E1"/>
            <w:tcMar>
              <w:top w:w="40" w:type="dxa"/>
              <w:left w:w="20" w:type="dxa"/>
              <w:bottom w:w="40" w:type="dxa"/>
              <w:right w:w="20" w:type="dxa"/>
            </w:tcMar>
            <w:vAlign w:val="bottom"/>
          </w:tcPr>
          <w:p w14:paraId="64304573" w14:textId="77777777" w:rsidR="009F6D8A" w:rsidRDefault="00C50974">
            <w:pPr>
              <w:textAlignment w:val="bottom"/>
            </w:pPr>
            <w:r>
              <w:rPr>
                <w:rFonts w:ascii="Arial" w:eastAsia="宋体" w:hAnsi="Arial" w:cs="Arial"/>
                <w:color w:val="000000"/>
                <w:sz w:val="16"/>
                <w:szCs w:val="16"/>
              </w:rPr>
              <w:t>6.000%</w:t>
            </w:r>
          </w:p>
        </w:tc>
        <w:tc>
          <w:tcPr>
            <w:tcW w:w="0" w:type="auto"/>
            <w:gridSpan w:val="3"/>
            <w:shd w:val="clear" w:color="auto" w:fill="E1E1E1"/>
            <w:tcMar>
              <w:top w:w="0" w:type="dxa"/>
              <w:left w:w="20" w:type="dxa"/>
              <w:bottom w:w="0" w:type="dxa"/>
              <w:right w:w="20" w:type="dxa"/>
            </w:tcMar>
            <w:vAlign w:val="bottom"/>
          </w:tcPr>
          <w:p w14:paraId="64304574"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75" w14:textId="77777777" w:rsidR="009F6D8A" w:rsidRDefault="00C50974">
            <w:pPr>
              <w:jc w:val="right"/>
              <w:textAlignment w:val="bottom"/>
            </w:pPr>
            <w:r>
              <w:rPr>
                <w:rFonts w:ascii="Arial" w:eastAsia="宋体" w:hAnsi="Arial" w:cs="Arial"/>
                <w:color w:val="000000"/>
                <w:sz w:val="16"/>
                <w:szCs w:val="16"/>
              </w:rPr>
              <w:t>— </w:t>
            </w:r>
          </w:p>
        </w:tc>
        <w:tc>
          <w:tcPr>
            <w:tcW w:w="0" w:type="auto"/>
            <w:shd w:val="clear" w:color="auto" w:fill="E1E1E1"/>
            <w:tcMar>
              <w:top w:w="40" w:type="dxa"/>
              <w:left w:w="0" w:type="dxa"/>
              <w:bottom w:w="40" w:type="dxa"/>
              <w:right w:w="20" w:type="dxa"/>
            </w:tcMar>
            <w:vAlign w:val="bottom"/>
          </w:tcPr>
          <w:p w14:paraId="64304576"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577"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78" w14:textId="77777777" w:rsidR="009F6D8A" w:rsidRDefault="00C50974">
            <w:pPr>
              <w:jc w:val="right"/>
              <w:textAlignment w:val="bottom"/>
            </w:pPr>
            <w:r>
              <w:rPr>
                <w:rFonts w:ascii="Arial" w:eastAsia="宋体" w:hAnsi="Arial" w:cs="Arial"/>
                <w:color w:val="000000"/>
                <w:sz w:val="16"/>
                <w:szCs w:val="16"/>
              </w:rPr>
              <w:t>— </w:t>
            </w:r>
          </w:p>
        </w:tc>
        <w:tc>
          <w:tcPr>
            <w:tcW w:w="0" w:type="auto"/>
            <w:shd w:val="clear" w:color="auto" w:fill="E1E1E1"/>
            <w:tcMar>
              <w:top w:w="40" w:type="dxa"/>
              <w:left w:w="0" w:type="dxa"/>
              <w:bottom w:w="40" w:type="dxa"/>
              <w:right w:w="20" w:type="dxa"/>
            </w:tcMar>
            <w:vAlign w:val="bottom"/>
          </w:tcPr>
          <w:p w14:paraId="64304579"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1E1E1"/>
            <w:tcMar>
              <w:top w:w="0" w:type="dxa"/>
              <w:left w:w="20" w:type="dxa"/>
              <w:bottom w:w="0" w:type="dxa"/>
              <w:right w:w="20" w:type="dxa"/>
            </w:tcMar>
            <w:vAlign w:val="bottom"/>
          </w:tcPr>
          <w:p w14:paraId="6430457A"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7B" w14:textId="77777777" w:rsidR="009F6D8A" w:rsidRDefault="00C50974">
            <w:pPr>
              <w:jc w:val="right"/>
              <w:textAlignment w:val="bottom"/>
            </w:pPr>
            <w:r>
              <w:rPr>
                <w:rFonts w:ascii="Arial" w:eastAsia="宋体" w:hAnsi="Arial" w:cs="Arial"/>
                <w:color w:val="000000"/>
                <w:sz w:val="16"/>
                <w:szCs w:val="16"/>
              </w:rPr>
              <w:t>750 </w:t>
            </w:r>
          </w:p>
        </w:tc>
        <w:tc>
          <w:tcPr>
            <w:tcW w:w="0" w:type="auto"/>
            <w:shd w:val="clear" w:color="auto" w:fill="E1E1E1"/>
            <w:tcMar>
              <w:top w:w="40" w:type="dxa"/>
              <w:left w:w="0" w:type="dxa"/>
              <w:bottom w:w="40" w:type="dxa"/>
              <w:right w:w="20" w:type="dxa"/>
            </w:tcMar>
            <w:vAlign w:val="bottom"/>
          </w:tcPr>
          <w:p w14:paraId="6430457C"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57D"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7E" w14:textId="77777777" w:rsidR="009F6D8A" w:rsidRDefault="00C50974">
            <w:pPr>
              <w:jc w:val="right"/>
              <w:textAlignment w:val="bottom"/>
            </w:pPr>
            <w:r>
              <w:rPr>
                <w:rFonts w:ascii="Arial" w:eastAsia="宋体" w:hAnsi="Arial" w:cs="Arial"/>
                <w:color w:val="000000"/>
                <w:sz w:val="16"/>
                <w:szCs w:val="16"/>
              </w:rPr>
              <w:t>6.547 </w:t>
            </w:r>
          </w:p>
        </w:tc>
        <w:tc>
          <w:tcPr>
            <w:tcW w:w="0" w:type="auto"/>
            <w:shd w:val="clear" w:color="auto" w:fill="E1E1E1"/>
            <w:tcMar>
              <w:top w:w="40" w:type="dxa"/>
              <w:left w:w="0" w:type="dxa"/>
              <w:bottom w:w="40" w:type="dxa"/>
              <w:right w:w="20" w:type="dxa"/>
            </w:tcMar>
            <w:vAlign w:val="bottom"/>
          </w:tcPr>
          <w:p w14:paraId="6430457F" w14:textId="77777777" w:rsidR="009F6D8A" w:rsidRDefault="00C50974">
            <w:pPr>
              <w:jc w:val="right"/>
              <w:textAlignment w:val="bottom"/>
            </w:pPr>
            <w:r>
              <w:rPr>
                <w:rFonts w:ascii="Arial" w:eastAsia="宋体" w:hAnsi="Arial" w:cs="Arial"/>
                <w:color w:val="000000"/>
                <w:sz w:val="16"/>
                <w:szCs w:val="16"/>
              </w:rPr>
              <w:t>%</w:t>
            </w:r>
          </w:p>
        </w:tc>
      </w:tr>
      <w:tr w:rsidR="009F6D8A" w14:paraId="6430458E" w14:textId="77777777">
        <w:tc>
          <w:tcPr>
            <w:tcW w:w="0" w:type="auto"/>
            <w:gridSpan w:val="3"/>
            <w:shd w:val="clear" w:color="auto" w:fill="FFFFFF"/>
            <w:tcMar>
              <w:top w:w="40" w:type="dxa"/>
              <w:left w:w="380" w:type="dxa"/>
              <w:bottom w:w="40" w:type="dxa"/>
              <w:right w:w="20" w:type="dxa"/>
            </w:tcMar>
            <w:vAlign w:val="bottom"/>
          </w:tcPr>
          <w:p w14:paraId="64304581" w14:textId="77777777" w:rsidR="009F6D8A" w:rsidRDefault="00C50974">
            <w:pPr>
              <w:textAlignment w:val="bottom"/>
            </w:pPr>
            <w:r>
              <w:rPr>
                <w:rFonts w:ascii="Arial" w:eastAsia="宋体" w:hAnsi="Arial" w:cs="Arial"/>
                <w:color w:val="000000"/>
                <w:sz w:val="16"/>
                <w:szCs w:val="16"/>
              </w:rPr>
              <w:t>Total senior notes</w:t>
            </w:r>
          </w:p>
        </w:tc>
        <w:tc>
          <w:tcPr>
            <w:tcW w:w="0" w:type="auto"/>
            <w:gridSpan w:val="3"/>
            <w:shd w:val="clear" w:color="auto" w:fill="FFFFFF"/>
            <w:tcMar>
              <w:top w:w="0" w:type="dxa"/>
              <w:left w:w="20" w:type="dxa"/>
              <w:bottom w:w="0" w:type="dxa"/>
              <w:right w:w="20" w:type="dxa"/>
            </w:tcMar>
            <w:vAlign w:val="bottom"/>
          </w:tcPr>
          <w:p w14:paraId="64304582"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83"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84"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585" w14:textId="77777777" w:rsidR="009F6D8A" w:rsidRDefault="00C50974">
            <w:pPr>
              <w:jc w:val="right"/>
              <w:textAlignment w:val="bottom"/>
            </w:pPr>
            <w:r>
              <w:rPr>
                <w:rFonts w:ascii="Arial" w:eastAsia="宋体" w:hAnsi="Arial" w:cs="Arial"/>
                <w:color w:val="000000"/>
                <w:sz w:val="16"/>
                <w:szCs w:val="16"/>
              </w:rPr>
              <w:t>9,105 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58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587"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8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89"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58A" w14:textId="77777777" w:rsidR="009F6D8A" w:rsidRDefault="00C50974">
            <w:pPr>
              <w:jc w:val="right"/>
              <w:textAlignment w:val="bottom"/>
            </w:pPr>
            <w:r>
              <w:rPr>
                <w:rFonts w:ascii="Arial" w:eastAsia="宋体" w:hAnsi="Arial" w:cs="Arial"/>
                <w:color w:val="000000"/>
                <w:sz w:val="16"/>
                <w:szCs w:val="16"/>
              </w:rPr>
              <w:t>7,750 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58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58C"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8D" w14:textId="77777777" w:rsidR="009F6D8A" w:rsidRDefault="009F6D8A">
            <w:pPr>
              <w:rPr>
                <w:rFonts w:ascii="宋体"/>
              </w:rPr>
            </w:pPr>
          </w:p>
        </w:tc>
      </w:tr>
      <w:tr w:rsidR="009F6D8A" w14:paraId="6430459C" w14:textId="77777777">
        <w:tc>
          <w:tcPr>
            <w:tcW w:w="0" w:type="auto"/>
            <w:gridSpan w:val="3"/>
            <w:shd w:val="clear" w:color="auto" w:fill="E1E1E1"/>
            <w:tcMar>
              <w:top w:w="40" w:type="dxa"/>
              <w:left w:w="20" w:type="dxa"/>
              <w:bottom w:w="40" w:type="dxa"/>
              <w:right w:w="20" w:type="dxa"/>
            </w:tcMar>
            <w:vAlign w:val="bottom"/>
          </w:tcPr>
          <w:p w14:paraId="6430458F" w14:textId="77777777" w:rsidR="009F6D8A" w:rsidRDefault="00C50974">
            <w:pPr>
              <w:textAlignment w:val="bottom"/>
            </w:pPr>
            <w:r>
              <w:rPr>
                <w:rFonts w:ascii="Arial" w:eastAsia="宋体" w:hAnsi="Arial" w:cs="Arial"/>
                <w:color w:val="000000"/>
                <w:sz w:val="16"/>
                <w:szCs w:val="16"/>
              </w:rPr>
              <w:t xml:space="preserve">Hedge accounting fair value adjustments </w:t>
            </w:r>
            <w:r>
              <w:rPr>
                <w:rFonts w:ascii="Arial" w:eastAsia="宋体" w:hAnsi="Arial" w:cs="Arial"/>
                <w:color w:val="000000"/>
                <w:sz w:val="10"/>
                <w:szCs w:val="10"/>
              </w:rPr>
              <w:t>(1)</w:t>
            </w:r>
          </w:p>
        </w:tc>
        <w:tc>
          <w:tcPr>
            <w:tcW w:w="0" w:type="auto"/>
            <w:gridSpan w:val="3"/>
            <w:shd w:val="clear" w:color="auto" w:fill="E1E1E1"/>
            <w:tcMar>
              <w:top w:w="0" w:type="dxa"/>
              <w:left w:w="20" w:type="dxa"/>
              <w:bottom w:w="0" w:type="dxa"/>
              <w:right w:w="20" w:type="dxa"/>
            </w:tcMar>
            <w:vAlign w:val="bottom"/>
          </w:tcPr>
          <w:p w14:paraId="64304590"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91"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92"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93" w14:textId="77777777" w:rsidR="009F6D8A" w:rsidRDefault="00C50974">
            <w:pPr>
              <w:jc w:val="right"/>
              <w:textAlignment w:val="bottom"/>
            </w:pPr>
            <w:r>
              <w:rPr>
                <w:rFonts w:ascii="Arial" w:eastAsia="宋体" w:hAnsi="Arial" w:cs="Arial"/>
                <w:color w:val="000000"/>
                <w:sz w:val="16"/>
                <w:szCs w:val="16"/>
              </w:rPr>
              <w:t>9 </w:t>
            </w:r>
          </w:p>
        </w:tc>
        <w:tc>
          <w:tcPr>
            <w:tcW w:w="0" w:type="auto"/>
            <w:shd w:val="clear" w:color="auto" w:fill="E1E1E1"/>
            <w:tcMar>
              <w:top w:w="40" w:type="dxa"/>
              <w:left w:w="0" w:type="dxa"/>
              <w:bottom w:w="40" w:type="dxa"/>
              <w:right w:w="20" w:type="dxa"/>
            </w:tcMar>
            <w:vAlign w:val="bottom"/>
          </w:tcPr>
          <w:p w14:paraId="64304594"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595"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96"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97"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98" w14:textId="77777777" w:rsidR="009F6D8A" w:rsidRDefault="00C50974">
            <w:pPr>
              <w:jc w:val="right"/>
              <w:textAlignment w:val="bottom"/>
            </w:pPr>
            <w:r>
              <w:rPr>
                <w:rFonts w:ascii="Arial" w:eastAsia="宋体" w:hAnsi="Arial" w:cs="Arial"/>
                <w:color w:val="000000"/>
                <w:sz w:val="16"/>
                <w:szCs w:val="16"/>
              </w:rPr>
              <w:t>10 </w:t>
            </w:r>
          </w:p>
        </w:tc>
        <w:tc>
          <w:tcPr>
            <w:tcW w:w="0" w:type="auto"/>
            <w:shd w:val="clear" w:color="auto" w:fill="E1E1E1"/>
            <w:tcMar>
              <w:top w:w="40" w:type="dxa"/>
              <w:left w:w="0" w:type="dxa"/>
              <w:bottom w:w="40" w:type="dxa"/>
              <w:right w:w="20" w:type="dxa"/>
            </w:tcMar>
            <w:vAlign w:val="bottom"/>
          </w:tcPr>
          <w:p w14:paraId="64304599"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59A"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9B" w14:textId="77777777" w:rsidR="009F6D8A" w:rsidRDefault="009F6D8A">
            <w:pPr>
              <w:rPr>
                <w:rFonts w:ascii="宋体"/>
              </w:rPr>
            </w:pPr>
          </w:p>
        </w:tc>
      </w:tr>
      <w:tr w:rsidR="009F6D8A" w14:paraId="643045AA" w14:textId="77777777">
        <w:tc>
          <w:tcPr>
            <w:tcW w:w="0" w:type="auto"/>
            <w:gridSpan w:val="3"/>
            <w:shd w:val="clear" w:color="auto" w:fill="FFFFFF"/>
            <w:tcMar>
              <w:top w:w="40" w:type="dxa"/>
              <w:left w:w="20" w:type="dxa"/>
              <w:bottom w:w="40" w:type="dxa"/>
              <w:right w:w="20" w:type="dxa"/>
            </w:tcMar>
            <w:vAlign w:val="bottom"/>
          </w:tcPr>
          <w:p w14:paraId="6430459D" w14:textId="77777777" w:rsidR="009F6D8A" w:rsidRDefault="00C50974">
            <w:pPr>
              <w:textAlignment w:val="bottom"/>
            </w:pPr>
            <w:r>
              <w:rPr>
                <w:rFonts w:ascii="Arial" w:eastAsia="宋体" w:hAnsi="Arial" w:cs="Arial"/>
                <w:color w:val="000000"/>
                <w:sz w:val="16"/>
                <w:szCs w:val="16"/>
              </w:rPr>
              <w:t>Unamortized premium/(discount) and debt issuance costs</w:t>
            </w:r>
          </w:p>
        </w:tc>
        <w:tc>
          <w:tcPr>
            <w:tcW w:w="0" w:type="auto"/>
            <w:gridSpan w:val="3"/>
            <w:shd w:val="clear" w:color="auto" w:fill="FFFFFF"/>
            <w:tcMar>
              <w:top w:w="0" w:type="dxa"/>
              <w:left w:w="20" w:type="dxa"/>
              <w:bottom w:w="0" w:type="dxa"/>
              <w:right w:w="20" w:type="dxa"/>
            </w:tcMar>
            <w:vAlign w:val="bottom"/>
          </w:tcPr>
          <w:p w14:paraId="6430459E"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9F"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A0"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5A1" w14:textId="77777777" w:rsidR="009F6D8A" w:rsidRDefault="00C50974">
            <w:pPr>
              <w:jc w:val="right"/>
              <w:textAlignment w:val="bottom"/>
            </w:pPr>
            <w:r>
              <w:rPr>
                <w:rFonts w:ascii="Arial" w:eastAsia="宋体" w:hAnsi="Arial" w:cs="Arial"/>
                <w:color w:val="000000"/>
                <w:sz w:val="16"/>
                <w:szCs w:val="16"/>
              </w:rPr>
              <w:t>(33)</w:t>
            </w:r>
          </w:p>
        </w:tc>
        <w:tc>
          <w:tcPr>
            <w:tcW w:w="0" w:type="auto"/>
            <w:shd w:val="clear" w:color="auto" w:fill="FFFFFF"/>
            <w:tcMar>
              <w:top w:w="40" w:type="dxa"/>
              <w:left w:w="0" w:type="dxa"/>
              <w:bottom w:w="40" w:type="dxa"/>
              <w:right w:w="20" w:type="dxa"/>
            </w:tcMar>
            <w:vAlign w:val="bottom"/>
          </w:tcPr>
          <w:p w14:paraId="643045A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5A3"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A4"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A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5A6" w14:textId="77777777" w:rsidR="009F6D8A" w:rsidRDefault="00C50974">
            <w:pPr>
              <w:jc w:val="right"/>
              <w:textAlignment w:val="bottom"/>
            </w:pPr>
            <w:r>
              <w:rPr>
                <w:rFonts w:ascii="Arial" w:eastAsia="宋体" w:hAnsi="Arial" w:cs="Arial"/>
                <w:color w:val="000000"/>
                <w:sz w:val="16"/>
                <w:szCs w:val="16"/>
              </w:rPr>
              <w:t>(20)</w:t>
            </w:r>
          </w:p>
        </w:tc>
        <w:tc>
          <w:tcPr>
            <w:tcW w:w="0" w:type="auto"/>
            <w:shd w:val="clear" w:color="auto" w:fill="FFFFFF"/>
            <w:tcMar>
              <w:top w:w="40" w:type="dxa"/>
              <w:left w:w="0" w:type="dxa"/>
              <w:bottom w:w="40" w:type="dxa"/>
              <w:right w:w="20" w:type="dxa"/>
            </w:tcMar>
            <w:vAlign w:val="bottom"/>
          </w:tcPr>
          <w:p w14:paraId="643045A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5A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A9" w14:textId="77777777" w:rsidR="009F6D8A" w:rsidRDefault="009F6D8A">
            <w:pPr>
              <w:rPr>
                <w:rFonts w:ascii="宋体"/>
              </w:rPr>
            </w:pPr>
          </w:p>
        </w:tc>
      </w:tr>
      <w:tr w:rsidR="009F6D8A" w14:paraId="643045B6" w14:textId="77777777">
        <w:trPr>
          <w:hidden/>
        </w:trPr>
        <w:tc>
          <w:tcPr>
            <w:tcW w:w="0" w:type="auto"/>
            <w:gridSpan w:val="3"/>
            <w:shd w:val="clear" w:color="auto" w:fill="auto"/>
            <w:vAlign w:val="bottom"/>
          </w:tcPr>
          <w:p w14:paraId="643045AB" w14:textId="77777777" w:rsidR="009F6D8A" w:rsidRDefault="009F6D8A">
            <w:pPr>
              <w:rPr>
                <w:rFonts w:ascii="宋体"/>
                <w:vanish/>
              </w:rPr>
            </w:pPr>
          </w:p>
        </w:tc>
        <w:tc>
          <w:tcPr>
            <w:tcW w:w="0" w:type="auto"/>
            <w:gridSpan w:val="3"/>
            <w:shd w:val="clear" w:color="auto" w:fill="auto"/>
            <w:vAlign w:val="bottom"/>
          </w:tcPr>
          <w:p w14:paraId="643045AC" w14:textId="77777777" w:rsidR="009F6D8A" w:rsidRDefault="009F6D8A">
            <w:pPr>
              <w:rPr>
                <w:rFonts w:ascii="宋体"/>
                <w:vanish/>
              </w:rPr>
            </w:pPr>
          </w:p>
        </w:tc>
        <w:tc>
          <w:tcPr>
            <w:tcW w:w="0" w:type="auto"/>
            <w:gridSpan w:val="3"/>
            <w:shd w:val="clear" w:color="auto" w:fill="auto"/>
            <w:vAlign w:val="bottom"/>
          </w:tcPr>
          <w:p w14:paraId="643045AD" w14:textId="77777777" w:rsidR="009F6D8A" w:rsidRDefault="009F6D8A">
            <w:pPr>
              <w:rPr>
                <w:rFonts w:ascii="宋体"/>
                <w:vanish/>
              </w:rPr>
            </w:pPr>
          </w:p>
        </w:tc>
        <w:tc>
          <w:tcPr>
            <w:tcW w:w="0" w:type="auto"/>
            <w:gridSpan w:val="3"/>
            <w:shd w:val="clear" w:color="auto" w:fill="auto"/>
            <w:vAlign w:val="bottom"/>
          </w:tcPr>
          <w:p w14:paraId="643045AE" w14:textId="77777777" w:rsidR="009F6D8A" w:rsidRDefault="009F6D8A">
            <w:pPr>
              <w:rPr>
                <w:rFonts w:ascii="宋体"/>
                <w:vanish/>
              </w:rPr>
            </w:pPr>
          </w:p>
        </w:tc>
        <w:tc>
          <w:tcPr>
            <w:tcW w:w="0" w:type="auto"/>
            <w:gridSpan w:val="3"/>
            <w:shd w:val="clear" w:color="auto" w:fill="auto"/>
            <w:vAlign w:val="bottom"/>
          </w:tcPr>
          <w:p w14:paraId="643045AF" w14:textId="77777777" w:rsidR="009F6D8A" w:rsidRDefault="009F6D8A">
            <w:pPr>
              <w:rPr>
                <w:rFonts w:ascii="宋体"/>
                <w:vanish/>
              </w:rPr>
            </w:pPr>
          </w:p>
        </w:tc>
        <w:tc>
          <w:tcPr>
            <w:tcW w:w="0" w:type="auto"/>
            <w:gridSpan w:val="3"/>
            <w:shd w:val="clear" w:color="auto" w:fill="auto"/>
            <w:vAlign w:val="bottom"/>
          </w:tcPr>
          <w:p w14:paraId="643045B0" w14:textId="77777777" w:rsidR="009F6D8A" w:rsidRDefault="009F6D8A">
            <w:pPr>
              <w:rPr>
                <w:rFonts w:ascii="宋体"/>
                <w:vanish/>
              </w:rPr>
            </w:pPr>
          </w:p>
        </w:tc>
        <w:tc>
          <w:tcPr>
            <w:tcW w:w="0" w:type="auto"/>
            <w:gridSpan w:val="3"/>
            <w:shd w:val="clear" w:color="auto" w:fill="auto"/>
            <w:vAlign w:val="bottom"/>
          </w:tcPr>
          <w:p w14:paraId="643045B1" w14:textId="77777777" w:rsidR="009F6D8A" w:rsidRDefault="009F6D8A">
            <w:pPr>
              <w:rPr>
                <w:rFonts w:ascii="宋体"/>
                <w:vanish/>
              </w:rPr>
            </w:pPr>
          </w:p>
        </w:tc>
        <w:tc>
          <w:tcPr>
            <w:tcW w:w="0" w:type="auto"/>
            <w:gridSpan w:val="3"/>
            <w:shd w:val="clear" w:color="auto" w:fill="auto"/>
            <w:vAlign w:val="bottom"/>
          </w:tcPr>
          <w:p w14:paraId="643045B2" w14:textId="77777777" w:rsidR="009F6D8A" w:rsidRDefault="009F6D8A">
            <w:pPr>
              <w:rPr>
                <w:rFonts w:ascii="宋体"/>
                <w:vanish/>
              </w:rPr>
            </w:pPr>
          </w:p>
        </w:tc>
        <w:tc>
          <w:tcPr>
            <w:tcW w:w="0" w:type="auto"/>
            <w:gridSpan w:val="3"/>
            <w:shd w:val="clear" w:color="auto" w:fill="auto"/>
            <w:vAlign w:val="bottom"/>
          </w:tcPr>
          <w:p w14:paraId="643045B3" w14:textId="77777777" w:rsidR="009F6D8A" w:rsidRDefault="009F6D8A">
            <w:pPr>
              <w:rPr>
                <w:rFonts w:ascii="宋体"/>
                <w:vanish/>
              </w:rPr>
            </w:pPr>
          </w:p>
        </w:tc>
        <w:tc>
          <w:tcPr>
            <w:tcW w:w="0" w:type="auto"/>
            <w:gridSpan w:val="3"/>
            <w:shd w:val="clear" w:color="auto" w:fill="auto"/>
            <w:vAlign w:val="bottom"/>
          </w:tcPr>
          <w:p w14:paraId="643045B4" w14:textId="77777777" w:rsidR="009F6D8A" w:rsidRDefault="009F6D8A">
            <w:pPr>
              <w:rPr>
                <w:rFonts w:ascii="宋体"/>
                <w:vanish/>
              </w:rPr>
            </w:pPr>
          </w:p>
        </w:tc>
        <w:tc>
          <w:tcPr>
            <w:tcW w:w="0" w:type="auto"/>
            <w:gridSpan w:val="3"/>
            <w:shd w:val="clear" w:color="auto" w:fill="auto"/>
            <w:vAlign w:val="bottom"/>
          </w:tcPr>
          <w:p w14:paraId="643045B5" w14:textId="77777777" w:rsidR="009F6D8A" w:rsidRDefault="009F6D8A">
            <w:pPr>
              <w:rPr>
                <w:rFonts w:ascii="宋体"/>
                <w:vanish/>
              </w:rPr>
            </w:pPr>
          </w:p>
        </w:tc>
      </w:tr>
      <w:tr w:rsidR="009F6D8A" w14:paraId="643045C4" w14:textId="77777777">
        <w:tc>
          <w:tcPr>
            <w:tcW w:w="0" w:type="auto"/>
            <w:gridSpan w:val="3"/>
            <w:shd w:val="clear" w:color="auto" w:fill="E1E1E1"/>
            <w:tcMar>
              <w:top w:w="40" w:type="dxa"/>
              <w:left w:w="20" w:type="dxa"/>
              <w:bottom w:w="40" w:type="dxa"/>
              <w:right w:w="20" w:type="dxa"/>
            </w:tcMar>
            <w:vAlign w:val="bottom"/>
          </w:tcPr>
          <w:p w14:paraId="643045B7" w14:textId="77777777" w:rsidR="009F6D8A" w:rsidRDefault="00C50974">
            <w:pPr>
              <w:textAlignment w:val="bottom"/>
            </w:pPr>
            <w:r>
              <w:rPr>
                <w:rFonts w:ascii="Arial" w:eastAsia="宋体" w:hAnsi="Arial" w:cs="Arial"/>
                <w:color w:val="000000"/>
                <w:sz w:val="16"/>
                <w:szCs w:val="16"/>
              </w:rPr>
              <w:t>Less: Current portion of long-term debt</w:t>
            </w:r>
          </w:p>
        </w:tc>
        <w:tc>
          <w:tcPr>
            <w:tcW w:w="0" w:type="auto"/>
            <w:gridSpan w:val="3"/>
            <w:shd w:val="clear" w:color="auto" w:fill="E1E1E1"/>
            <w:tcMar>
              <w:top w:w="0" w:type="dxa"/>
              <w:left w:w="20" w:type="dxa"/>
              <w:bottom w:w="0" w:type="dxa"/>
              <w:right w:w="20" w:type="dxa"/>
            </w:tcMar>
            <w:vAlign w:val="bottom"/>
          </w:tcPr>
          <w:p w14:paraId="643045B8"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B9"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BA"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BB" w14:textId="77777777" w:rsidR="009F6D8A" w:rsidRDefault="00C50974">
            <w:pPr>
              <w:jc w:val="right"/>
              <w:textAlignment w:val="bottom"/>
            </w:pPr>
            <w:r>
              <w:rPr>
                <w:rFonts w:ascii="Arial" w:eastAsia="宋体" w:hAnsi="Arial" w:cs="Arial"/>
                <w:color w:val="000000"/>
                <w:sz w:val="16"/>
                <w:szCs w:val="16"/>
              </w:rPr>
              <w:t>(750)</w:t>
            </w:r>
          </w:p>
        </w:tc>
        <w:tc>
          <w:tcPr>
            <w:tcW w:w="0" w:type="auto"/>
            <w:shd w:val="clear" w:color="auto" w:fill="E1E1E1"/>
            <w:tcMar>
              <w:top w:w="40" w:type="dxa"/>
              <w:left w:w="0" w:type="dxa"/>
              <w:bottom w:w="40" w:type="dxa"/>
              <w:right w:w="20" w:type="dxa"/>
            </w:tcMar>
            <w:vAlign w:val="bottom"/>
          </w:tcPr>
          <w:p w14:paraId="643045BC"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5BD"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BE"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BF"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C0" w14:textId="77777777" w:rsidR="009F6D8A" w:rsidRDefault="00C50974">
            <w:pPr>
              <w:jc w:val="right"/>
              <w:textAlignment w:val="bottom"/>
            </w:pPr>
            <w:r>
              <w:rPr>
                <w:rFonts w:ascii="Arial" w:eastAsia="宋体" w:hAnsi="Arial" w:cs="Arial"/>
                <w:color w:val="000000"/>
                <w:sz w:val="16"/>
                <w:szCs w:val="16"/>
              </w:rPr>
              <w:t>— </w:t>
            </w:r>
          </w:p>
        </w:tc>
        <w:tc>
          <w:tcPr>
            <w:tcW w:w="0" w:type="auto"/>
            <w:shd w:val="clear" w:color="auto" w:fill="E1E1E1"/>
            <w:tcMar>
              <w:top w:w="40" w:type="dxa"/>
              <w:left w:w="0" w:type="dxa"/>
              <w:bottom w:w="40" w:type="dxa"/>
              <w:right w:w="20" w:type="dxa"/>
            </w:tcMar>
            <w:vAlign w:val="bottom"/>
          </w:tcPr>
          <w:p w14:paraId="643045C1"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5C2"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C3" w14:textId="77777777" w:rsidR="009F6D8A" w:rsidRDefault="009F6D8A">
            <w:pPr>
              <w:rPr>
                <w:rFonts w:ascii="宋体"/>
              </w:rPr>
            </w:pPr>
          </w:p>
        </w:tc>
      </w:tr>
      <w:tr w:rsidR="009F6D8A" w14:paraId="643045D2" w14:textId="77777777">
        <w:tc>
          <w:tcPr>
            <w:tcW w:w="0" w:type="auto"/>
            <w:gridSpan w:val="3"/>
            <w:shd w:val="clear" w:color="auto" w:fill="FFFFFF"/>
            <w:tcMar>
              <w:top w:w="40" w:type="dxa"/>
              <w:left w:w="380" w:type="dxa"/>
              <w:bottom w:w="40" w:type="dxa"/>
              <w:right w:w="20" w:type="dxa"/>
            </w:tcMar>
            <w:vAlign w:val="bottom"/>
          </w:tcPr>
          <w:p w14:paraId="643045C5" w14:textId="77777777" w:rsidR="009F6D8A" w:rsidRDefault="00C50974">
            <w:pPr>
              <w:textAlignment w:val="bottom"/>
            </w:pPr>
            <w:r>
              <w:rPr>
                <w:rFonts w:ascii="Arial" w:eastAsia="宋体" w:hAnsi="Arial" w:cs="Arial"/>
                <w:color w:val="000000"/>
                <w:sz w:val="16"/>
                <w:szCs w:val="16"/>
              </w:rPr>
              <w:t>Total long-term debt</w:t>
            </w:r>
          </w:p>
        </w:tc>
        <w:tc>
          <w:tcPr>
            <w:tcW w:w="0" w:type="auto"/>
            <w:gridSpan w:val="3"/>
            <w:shd w:val="clear" w:color="auto" w:fill="FFFFFF"/>
            <w:tcMar>
              <w:top w:w="0" w:type="dxa"/>
              <w:left w:w="20" w:type="dxa"/>
              <w:bottom w:w="0" w:type="dxa"/>
              <w:right w:w="20" w:type="dxa"/>
            </w:tcMar>
            <w:vAlign w:val="bottom"/>
          </w:tcPr>
          <w:p w14:paraId="643045C6"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C7"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C8"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5C9" w14:textId="77777777" w:rsidR="009F6D8A" w:rsidRDefault="00C50974">
            <w:pPr>
              <w:jc w:val="right"/>
              <w:textAlignment w:val="bottom"/>
            </w:pPr>
            <w:r>
              <w:rPr>
                <w:rFonts w:ascii="Arial" w:eastAsia="宋体" w:hAnsi="Arial" w:cs="Arial"/>
                <w:color w:val="000000"/>
                <w:sz w:val="16"/>
                <w:szCs w:val="16"/>
              </w:rPr>
              <w:t>8,331 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5C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5CB"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CC"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CD"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5CE" w14:textId="77777777" w:rsidR="009F6D8A" w:rsidRDefault="00C50974">
            <w:pPr>
              <w:jc w:val="right"/>
              <w:textAlignment w:val="bottom"/>
            </w:pPr>
            <w:r>
              <w:rPr>
                <w:rFonts w:ascii="Arial" w:eastAsia="宋体" w:hAnsi="Arial" w:cs="Arial"/>
                <w:color w:val="000000"/>
                <w:sz w:val="16"/>
                <w:szCs w:val="16"/>
              </w:rPr>
              <w:t>7,740 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5C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5D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D1" w14:textId="77777777" w:rsidR="009F6D8A" w:rsidRDefault="009F6D8A">
            <w:pPr>
              <w:rPr>
                <w:rFonts w:ascii="宋体"/>
              </w:rPr>
            </w:pPr>
          </w:p>
        </w:tc>
      </w:tr>
      <w:tr w:rsidR="009F6D8A" w14:paraId="643045DE" w14:textId="77777777">
        <w:trPr>
          <w:trHeight w:val="240"/>
        </w:trPr>
        <w:tc>
          <w:tcPr>
            <w:tcW w:w="0" w:type="auto"/>
            <w:gridSpan w:val="3"/>
            <w:shd w:val="clear" w:color="auto" w:fill="E1E1E1"/>
            <w:tcMar>
              <w:top w:w="0" w:type="dxa"/>
              <w:left w:w="20" w:type="dxa"/>
              <w:bottom w:w="0" w:type="dxa"/>
              <w:right w:w="20" w:type="dxa"/>
            </w:tcMar>
            <w:vAlign w:val="bottom"/>
          </w:tcPr>
          <w:p w14:paraId="643045D3"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D4"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D5"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D6" w14:textId="77777777" w:rsidR="009F6D8A" w:rsidRDefault="009F6D8A">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43045D7"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D8"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D9"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DA" w14:textId="77777777" w:rsidR="009F6D8A" w:rsidRDefault="009F6D8A">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43045DB"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DC"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DD" w14:textId="77777777" w:rsidR="009F6D8A" w:rsidRDefault="009F6D8A">
            <w:pPr>
              <w:rPr>
                <w:rFonts w:ascii="宋体"/>
              </w:rPr>
            </w:pPr>
          </w:p>
        </w:tc>
      </w:tr>
      <w:tr w:rsidR="009F6D8A" w14:paraId="643045EA" w14:textId="77777777">
        <w:tc>
          <w:tcPr>
            <w:tcW w:w="0" w:type="auto"/>
            <w:gridSpan w:val="3"/>
            <w:shd w:val="clear" w:color="auto" w:fill="FFFFFF"/>
            <w:tcMar>
              <w:top w:w="40" w:type="dxa"/>
              <w:left w:w="20" w:type="dxa"/>
              <w:bottom w:w="40" w:type="dxa"/>
              <w:right w:w="20" w:type="dxa"/>
            </w:tcMar>
            <w:vAlign w:val="bottom"/>
          </w:tcPr>
          <w:p w14:paraId="643045DF" w14:textId="77777777" w:rsidR="009F6D8A" w:rsidRDefault="00C50974">
            <w:pPr>
              <w:textAlignment w:val="bottom"/>
            </w:pPr>
            <w:r>
              <w:rPr>
                <w:rFonts w:ascii="Arial" w:eastAsia="宋体" w:hAnsi="Arial" w:cs="Arial"/>
                <w:b/>
                <w:bCs/>
                <w:color w:val="000000"/>
                <w:sz w:val="16"/>
                <w:szCs w:val="16"/>
              </w:rPr>
              <w:t>Short-Term Debt</w:t>
            </w:r>
          </w:p>
        </w:tc>
        <w:tc>
          <w:tcPr>
            <w:tcW w:w="0" w:type="auto"/>
            <w:gridSpan w:val="3"/>
            <w:shd w:val="clear" w:color="auto" w:fill="FFFFFF"/>
            <w:tcMar>
              <w:top w:w="0" w:type="dxa"/>
              <w:left w:w="20" w:type="dxa"/>
              <w:bottom w:w="0" w:type="dxa"/>
              <w:right w:w="20" w:type="dxa"/>
            </w:tcMar>
            <w:vAlign w:val="bottom"/>
          </w:tcPr>
          <w:p w14:paraId="643045E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E1"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E2"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E3"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E4"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E5"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E6"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E7"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E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5E9" w14:textId="77777777" w:rsidR="009F6D8A" w:rsidRDefault="009F6D8A">
            <w:pPr>
              <w:rPr>
                <w:rFonts w:ascii="宋体"/>
              </w:rPr>
            </w:pPr>
          </w:p>
        </w:tc>
      </w:tr>
      <w:tr w:rsidR="009F6D8A" w14:paraId="643045F8" w14:textId="77777777">
        <w:tc>
          <w:tcPr>
            <w:tcW w:w="0" w:type="auto"/>
            <w:gridSpan w:val="3"/>
            <w:shd w:val="clear" w:color="auto" w:fill="E1E1E1"/>
            <w:tcMar>
              <w:top w:w="40" w:type="dxa"/>
              <w:left w:w="155" w:type="dxa"/>
              <w:bottom w:w="40" w:type="dxa"/>
              <w:right w:w="20" w:type="dxa"/>
            </w:tcMar>
            <w:vAlign w:val="bottom"/>
          </w:tcPr>
          <w:p w14:paraId="643045EB" w14:textId="77777777" w:rsidR="009F6D8A" w:rsidRDefault="00C50974">
            <w:pPr>
              <w:textAlignment w:val="bottom"/>
            </w:pPr>
            <w:r>
              <w:rPr>
                <w:rFonts w:ascii="Arial" w:eastAsia="宋体" w:hAnsi="Arial" w:cs="Arial"/>
                <w:color w:val="000000"/>
                <w:sz w:val="16"/>
                <w:szCs w:val="16"/>
              </w:rPr>
              <w:t>Current portion of long-term debt</w:t>
            </w:r>
          </w:p>
        </w:tc>
        <w:tc>
          <w:tcPr>
            <w:tcW w:w="0" w:type="auto"/>
            <w:gridSpan w:val="3"/>
            <w:shd w:val="clear" w:color="auto" w:fill="E1E1E1"/>
            <w:tcMar>
              <w:top w:w="0" w:type="dxa"/>
              <w:left w:w="20" w:type="dxa"/>
              <w:bottom w:w="0" w:type="dxa"/>
              <w:right w:w="20" w:type="dxa"/>
            </w:tcMar>
            <w:vAlign w:val="bottom"/>
          </w:tcPr>
          <w:p w14:paraId="643045EC"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ED"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EE"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EF" w14:textId="77777777" w:rsidR="009F6D8A" w:rsidRDefault="00C50974">
            <w:pPr>
              <w:jc w:val="right"/>
              <w:textAlignment w:val="bottom"/>
            </w:pPr>
            <w:r>
              <w:rPr>
                <w:rFonts w:ascii="Arial" w:eastAsia="宋体" w:hAnsi="Arial" w:cs="Arial"/>
                <w:color w:val="000000"/>
                <w:sz w:val="16"/>
                <w:szCs w:val="16"/>
              </w:rPr>
              <w:t>750 </w:t>
            </w:r>
          </w:p>
        </w:tc>
        <w:tc>
          <w:tcPr>
            <w:tcW w:w="0" w:type="auto"/>
            <w:shd w:val="clear" w:color="auto" w:fill="E1E1E1"/>
            <w:tcMar>
              <w:top w:w="40" w:type="dxa"/>
              <w:left w:w="0" w:type="dxa"/>
              <w:bottom w:w="40" w:type="dxa"/>
              <w:right w:w="20" w:type="dxa"/>
            </w:tcMar>
            <w:vAlign w:val="bottom"/>
          </w:tcPr>
          <w:p w14:paraId="643045F0"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5F1"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F2"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F3"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5F4" w14:textId="77777777" w:rsidR="009F6D8A" w:rsidRDefault="00C50974">
            <w:pPr>
              <w:jc w:val="right"/>
              <w:textAlignment w:val="bottom"/>
            </w:pPr>
            <w:r>
              <w:rPr>
                <w:rFonts w:ascii="Arial" w:eastAsia="宋体" w:hAnsi="Arial" w:cs="Arial"/>
                <w:color w:val="000000"/>
                <w:sz w:val="16"/>
                <w:szCs w:val="16"/>
              </w:rPr>
              <w:t>— </w:t>
            </w:r>
          </w:p>
        </w:tc>
        <w:tc>
          <w:tcPr>
            <w:tcW w:w="0" w:type="auto"/>
            <w:shd w:val="clear" w:color="auto" w:fill="E1E1E1"/>
            <w:tcMar>
              <w:top w:w="40" w:type="dxa"/>
              <w:left w:w="0" w:type="dxa"/>
              <w:bottom w:w="40" w:type="dxa"/>
              <w:right w:w="20" w:type="dxa"/>
            </w:tcMar>
            <w:vAlign w:val="bottom"/>
          </w:tcPr>
          <w:p w14:paraId="643045F5"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5F6"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5F7" w14:textId="77777777" w:rsidR="009F6D8A" w:rsidRDefault="009F6D8A">
            <w:pPr>
              <w:rPr>
                <w:rFonts w:ascii="宋体"/>
              </w:rPr>
            </w:pPr>
          </w:p>
        </w:tc>
      </w:tr>
      <w:tr w:rsidR="009F6D8A" w14:paraId="64304604" w14:textId="77777777">
        <w:trPr>
          <w:hidden/>
        </w:trPr>
        <w:tc>
          <w:tcPr>
            <w:tcW w:w="0" w:type="auto"/>
            <w:gridSpan w:val="3"/>
            <w:shd w:val="clear" w:color="auto" w:fill="auto"/>
            <w:vAlign w:val="bottom"/>
          </w:tcPr>
          <w:p w14:paraId="643045F9" w14:textId="77777777" w:rsidR="009F6D8A" w:rsidRDefault="009F6D8A">
            <w:pPr>
              <w:rPr>
                <w:rFonts w:ascii="宋体"/>
                <w:vanish/>
              </w:rPr>
            </w:pPr>
          </w:p>
        </w:tc>
        <w:tc>
          <w:tcPr>
            <w:tcW w:w="0" w:type="auto"/>
            <w:gridSpan w:val="3"/>
            <w:shd w:val="clear" w:color="auto" w:fill="auto"/>
            <w:vAlign w:val="bottom"/>
          </w:tcPr>
          <w:p w14:paraId="643045FA" w14:textId="77777777" w:rsidR="009F6D8A" w:rsidRDefault="009F6D8A">
            <w:pPr>
              <w:rPr>
                <w:rFonts w:ascii="宋体"/>
                <w:vanish/>
              </w:rPr>
            </w:pPr>
          </w:p>
        </w:tc>
        <w:tc>
          <w:tcPr>
            <w:tcW w:w="0" w:type="auto"/>
            <w:gridSpan w:val="3"/>
            <w:shd w:val="clear" w:color="auto" w:fill="auto"/>
            <w:vAlign w:val="bottom"/>
          </w:tcPr>
          <w:p w14:paraId="643045FB" w14:textId="77777777" w:rsidR="009F6D8A" w:rsidRDefault="009F6D8A">
            <w:pPr>
              <w:rPr>
                <w:rFonts w:ascii="宋体"/>
                <w:vanish/>
              </w:rPr>
            </w:pPr>
          </w:p>
        </w:tc>
        <w:tc>
          <w:tcPr>
            <w:tcW w:w="0" w:type="auto"/>
            <w:gridSpan w:val="3"/>
            <w:shd w:val="clear" w:color="auto" w:fill="auto"/>
            <w:vAlign w:val="bottom"/>
          </w:tcPr>
          <w:p w14:paraId="643045FC" w14:textId="77777777" w:rsidR="009F6D8A" w:rsidRDefault="009F6D8A">
            <w:pPr>
              <w:rPr>
                <w:rFonts w:ascii="宋体"/>
                <w:vanish/>
              </w:rPr>
            </w:pPr>
          </w:p>
        </w:tc>
        <w:tc>
          <w:tcPr>
            <w:tcW w:w="0" w:type="auto"/>
            <w:gridSpan w:val="3"/>
            <w:shd w:val="clear" w:color="auto" w:fill="auto"/>
            <w:vAlign w:val="bottom"/>
          </w:tcPr>
          <w:p w14:paraId="643045FD" w14:textId="77777777" w:rsidR="009F6D8A" w:rsidRDefault="009F6D8A">
            <w:pPr>
              <w:rPr>
                <w:rFonts w:ascii="宋体"/>
                <w:vanish/>
              </w:rPr>
            </w:pPr>
          </w:p>
        </w:tc>
        <w:tc>
          <w:tcPr>
            <w:tcW w:w="0" w:type="auto"/>
            <w:gridSpan w:val="3"/>
            <w:shd w:val="clear" w:color="auto" w:fill="auto"/>
            <w:vAlign w:val="bottom"/>
          </w:tcPr>
          <w:p w14:paraId="643045FE" w14:textId="77777777" w:rsidR="009F6D8A" w:rsidRDefault="009F6D8A">
            <w:pPr>
              <w:rPr>
                <w:rFonts w:ascii="宋体"/>
                <w:vanish/>
              </w:rPr>
            </w:pPr>
          </w:p>
        </w:tc>
        <w:tc>
          <w:tcPr>
            <w:tcW w:w="0" w:type="auto"/>
            <w:gridSpan w:val="3"/>
            <w:shd w:val="clear" w:color="auto" w:fill="auto"/>
            <w:vAlign w:val="bottom"/>
          </w:tcPr>
          <w:p w14:paraId="643045FF" w14:textId="77777777" w:rsidR="009F6D8A" w:rsidRDefault="009F6D8A">
            <w:pPr>
              <w:rPr>
                <w:rFonts w:ascii="宋体"/>
                <w:vanish/>
              </w:rPr>
            </w:pPr>
          </w:p>
        </w:tc>
        <w:tc>
          <w:tcPr>
            <w:tcW w:w="0" w:type="auto"/>
            <w:gridSpan w:val="3"/>
            <w:shd w:val="clear" w:color="auto" w:fill="auto"/>
            <w:vAlign w:val="bottom"/>
          </w:tcPr>
          <w:p w14:paraId="64304600" w14:textId="77777777" w:rsidR="009F6D8A" w:rsidRDefault="009F6D8A">
            <w:pPr>
              <w:rPr>
                <w:rFonts w:ascii="宋体"/>
                <w:vanish/>
              </w:rPr>
            </w:pPr>
          </w:p>
        </w:tc>
        <w:tc>
          <w:tcPr>
            <w:tcW w:w="0" w:type="auto"/>
            <w:gridSpan w:val="3"/>
            <w:shd w:val="clear" w:color="auto" w:fill="auto"/>
            <w:vAlign w:val="bottom"/>
          </w:tcPr>
          <w:p w14:paraId="64304601" w14:textId="77777777" w:rsidR="009F6D8A" w:rsidRDefault="009F6D8A">
            <w:pPr>
              <w:rPr>
                <w:rFonts w:ascii="宋体"/>
                <w:vanish/>
              </w:rPr>
            </w:pPr>
          </w:p>
        </w:tc>
        <w:tc>
          <w:tcPr>
            <w:tcW w:w="0" w:type="auto"/>
            <w:gridSpan w:val="3"/>
            <w:shd w:val="clear" w:color="auto" w:fill="auto"/>
            <w:vAlign w:val="bottom"/>
          </w:tcPr>
          <w:p w14:paraId="64304602" w14:textId="77777777" w:rsidR="009F6D8A" w:rsidRDefault="009F6D8A">
            <w:pPr>
              <w:rPr>
                <w:rFonts w:ascii="宋体"/>
                <w:vanish/>
              </w:rPr>
            </w:pPr>
          </w:p>
        </w:tc>
        <w:tc>
          <w:tcPr>
            <w:tcW w:w="0" w:type="auto"/>
            <w:gridSpan w:val="3"/>
            <w:shd w:val="clear" w:color="auto" w:fill="auto"/>
            <w:vAlign w:val="bottom"/>
          </w:tcPr>
          <w:p w14:paraId="64304603" w14:textId="77777777" w:rsidR="009F6D8A" w:rsidRDefault="009F6D8A">
            <w:pPr>
              <w:rPr>
                <w:rFonts w:ascii="宋体"/>
                <w:vanish/>
              </w:rPr>
            </w:pPr>
          </w:p>
        </w:tc>
      </w:tr>
      <w:tr w:rsidR="009F6D8A" w14:paraId="64304610" w14:textId="77777777">
        <w:trPr>
          <w:hidden/>
        </w:trPr>
        <w:tc>
          <w:tcPr>
            <w:tcW w:w="0" w:type="auto"/>
            <w:gridSpan w:val="3"/>
            <w:shd w:val="clear" w:color="auto" w:fill="auto"/>
            <w:vAlign w:val="bottom"/>
          </w:tcPr>
          <w:p w14:paraId="64304605" w14:textId="77777777" w:rsidR="009F6D8A" w:rsidRDefault="009F6D8A">
            <w:pPr>
              <w:rPr>
                <w:rFonts w:ascii="宋体"/>
                <w:vanish/>
              </w:rPr>
            </w:pPr>
          </w:p>
        </w:tc>
        <w:tc>
          <w:tcPr>
            <w:tcW w:w="0" w:type="auto"/>
            <w:gridSpan w:val="3"/>
            <w:shd w:val="clear" w:color="auto" w:fill="auto"/>
            <w:vAlign w:val="bottom"/>
          </w:tcPr>
          <w:p w14:paraId="64304606" w14:textId="77777777" w:rsidR="009F6D8A" w:rsidRDefault="009F6D8A">
            <w:pPr>
              <w:rPr>
                <w:rFonts w:ascii="宋体"/>
                <w:vanish/>
              </w:rPr>
            </w:pPr>
          </w:p>
        </w:tc>
        <w:tc>
          <w:tcPr>
            <w:tcW w:w="0" w:type="auto"/>
            <w:gridSpan w:val="3"/>
            <w:shd w:val="clear" w:color="auto" w:fill="auto"/>
            <w:vAlign w:val="bottom"/>
          </w:tcPr>
          <w:p w14:paraId="64304607" w14:textId="77777777" w:rsidR="009F6D8A" w:rsidRDefault="009F6D8A">
            <w:pPr>
              <w:rPr>
                <w:rFonts w:ascii="宋体"/>
                <w:vanish/>
              </w:rPr>
            </w:pPr>
          </w:p>
        </w:tc>
        <w:tc>
          <w:tcPr>
            <w:tcW w:w="0" w:type="auto"/>
            <w:gridSpan w:val="3"/>
            <w:shd w:val="clear" w:color="auto" w:fill="auto"/>
            <w:vAlign w:val="bottom"/>
          </w:tcPr>
          <w:p w14:paraId="64304608" w14:textId="77777777" w:rsidR="009F6D8A" w:rsidRDefault="009F6D8A">
            <w:pPr>
              <w:rPr>
                <w:rFonts w:ascii="宋体"/>
                <w:vanish/>
              </w:rPr>
            </w:pPr>
          </w:p>
        </w:tc>
        <w:tc>
          <w:tcPr>
            <w:tcW w:w="0" w:type="auto"/>
            <w:gridSpan w:val="3"/>
            <w:shd w:val="clear" w:color="auto" w:fill="auto"/>
            <w:vAlign w:val="bottom"/>
          </w:tcPr>
          <w:p w14:paraId="64304609" w14:textId="77777777" w:rsidR="009F6D8A" w:rsidRDefault="009F6D8A">
            <w:pPr>
              <w:rPr>
                <w:rFonts w:ascii="宋体"/>
                <w:vanish/>
              </w:rPr>
            </w:pPr>
          </w:p>
        </w:tc>
        <w:tc>
          <w:tcPr>
            <w:tcW w:w="0" w:type="auto"/>
            <w:gridSpan w:val="3"/>
            <w:shd w:val="clear" w:color="auto" w:fill="auto"/>
            <w:vAlign w:val="bottom"/>
          </w:tcPr>
          <w:p w14:paraId="6430460A" w14:textId="77777777" w:rsidR="009F6D8A" w:rsidRDefault="009F6D8A">
            <w:pPr>
              <w:rPr>
                <w:rFonts w:ascii="宋体"/>
                <w:vanish/>
              </w:rPr>
            </w:pPr>
          </w:p>
        </w:tc>
        <w:tc>
          <w:tcPr>
            <w:tcW w:w="0" w:type="auto"/>
            <w:gridSpan w:val="3"/>
            <w:shd w:val="clear" w:color="auto" w:fill="auto"/>
            <w:vAlign w:val="bottom"/>
          </w:tcPr>
          <w:p w14:paraId="6430460B" w14:textId="77777777" w:rsidR="009F6D8A" w:rsidRDefault="009F6D8A">
            <w:pPr>
              <w:rPr>
                <w:rFonts w:ascii="宋体"/>
                <w:vanish/>
              </w:rPr>
            </w:pPr>
          </w:p>
        </w:tc>
        <w:tc>
          <w:tcPr>
            <w:tcW w:w="0" w:type="auto"/>
            <w:gridSpan w:val="3"/>
            <w:shd w:val="clear" w:color="auto" w:fill="auto"/>
            <w:vAlign w:val="bottom"/>
          </w:tcPr>
          <w:p w14:paraId="6430460C" w14:textId="77777777" w:rsidR="009F6D8A" w:rsidRDefault="009F6D8A">
            <w:pPr>
              <w:rPr>
                <w:rFonts w:ascii="宋体"/>
                <w:vanish/>
              </w:rPr>
            </w:pPr>
          </w:p>
        </w:tc>
        <w:tc>
          <w:tcPr>
            <w:tcW w:w="0" w:type="auto"/>
            <w:gridSpan w:val="3"/>
            <w:shd w:val="clear" w:color="auto" w:fill="auto"/>
            <w:vAlign w:val="bottom"/>
          </w:tcPr>
          <w:p w14:paraId="6430460D" w14:textId="77777777" w:rsidR="009F6D8A" w:rsidRDefault="009F6D8A">
            <w:pPr>
              <w:rPr>
                <w:rFonts w:ascii="宋体"/>
                <w:vanish/>
              </w:rPr>
            </w:pPr>
          </w:p>
        </w:tc>
        <w:tc>
          <w:tcPr>
            <w:tcW w:w="0" w:type="auto"/>
            <w:gridSpan w:val="3"/>
            <w:shd w:val="clear" w:color="auto" w:fill="auto"/>
            <w:vAlign w:val="bottom"/>
          </w:tcPr>
          <w:p w14:paraId="6430460E" w14:textId="77777777" w:rsidR="009F6D8A" w:rsidRDefault="009F6D8A">
            <w:pPr>
              <w:rPr>
                <w:rFonts w:ascii="宋体"/>
                <w:vanish/>
              </w:rPr>
            </w:pPr>
          </w:p>
        </w:tc>
        <w:tc>
          <w:tcPr>
            <w:tcW w:w="0" w:type="auto"/>
            <w:gridSpan w:val="3"/>
            <w:shd w:val="clear" w:color="auto" w:fill="auto"/>
            <w:vAlign w:val="bottom"/>
          </w:tcPr>
          <w:p w14:paraId="6430460F" w14:textId="77777777" w:rsidR="009F6D8A" w:rsidRDefault="009F6D8A">
            <w:pPr>
              <w:rPr>
                <w:rFonts w:ascii="宋体"/>
                <w:vanish/>
              </w:rPr>
            </w:pPr>
          </w:p>
        </w:tc>
      </w:tr>
      <w:tr w:rsidR="009F6D8A" w14:paraId="6430461E" w14:textId="77777777">
        <w:tc>
          <w:tcPr>
            <w:tcW w:w="0" w:type="auto"/>
            <w:gridSpan w:val="3"/>
            <w:shd w:val="clear" w:color="auto" w:fill="FFFFFF"/>
            <w:tcMar>
              <w:top w:w="40" w:type="dxa"/>
              <w:left w:w="155" w:type="dxa"/>
              <w:bottom w:w="40" w:type="dxa"/>
              <w:right w:w="20" w:type="dxa"/>
            </w:tcMar>
            <w:vAlign w:val="bottom"/>
          </w:tcPr>
          <w:p w14:paraId="64304611" w14:textId="77777777" w:rsidR="009F6D8A" w:rsidRDefault="00C50974">
            <w:pPr>
              <w:textAlignment w:val="bottom"/>
            </w:pPr>
            <w:r>
              <w:rPr>
                <w:rFonts w:ascii="Arial" w:eastAsia="宋体" w:hAnsi="Arial" w:cs="Arial"/>
                <w:color w:val="000000"/>
                <w:sz w:val="16"/>
                <w:szCs w:val="16"/>
              </w:rPr>
              <w:t>Unamortized premium/(discount) and debt issuance costs</w:t>
            </w:r>
          </w:p>
        </w:tc>
        <w:tc>
          <w:tcPr>
            <w:tcW w:w="0" w:type="auto"/>
            <w:gridSpan w:val="3"/>
            <w:shd w:val="clear" w:color="auto" w:fill="FFFFFF"/>
            <w:tcMar>
              <w:top w:w="0" w:type="dxa"/>
              <w:left w:w="20" w:type="dxa"/>
              <w:bottom w:w="0" w:type="dxa"/>
              <w:right w:w="20" w:type="dxa"/>
            </w:tcMar>
            <w:vAlign w:val="bottom"/>
          </w:tcPr>
          <w:p w14:paraId="64304612"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613"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61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615" w14:textId="77777777" w:rsidR="009F6D8A" w:rsidRDefault="00C50974">
            <w:pPr>
              <w:jc w:val="right"/>
              <w:textAlignment w:val="bottom"/>
            </w:pPr>
            <w:r>
              <w:rPr>
                <w:rFonts w:ascii="Arial" w:eastAsia="宋体" w:hAnsi="Arial" w:cs="Arial"/>
                <w:color w:val="000000"/>
                <w:sz w:val="16"/>
                <w:szCs w:val="16"/>
              </w:rPr>
              <w:t>(1)</w:t>
            </w:r>
          </w:p>
        </w:tc>
        <w:tc>
          <w:tcPr>
            <w:tcW w:w="0" w:type="auto"/>
            <w:shd w:val="clear" w:color="auto" w:fill="FFFFFF"/>
            <w:tcMar>
              <w:top w:w="40" w:type="dxa"/>
              <w:left w:w="0" w:type="dxa"/>
              <w:bottom w:w="40" w:type="dxa"/>
              <w:right w:w="20" w:type="dxa"/>
            </w:tcMar>
            <w:vAlign w:val="bottom"/>
          </w:tcPr>
          <w:p w14:paraId="6430461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617"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61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61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61A" w14:textId="77777777" w:rsidR="009F6D8A" w:rsidRDefault="00C50974">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6430461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61C"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61D" w14:textId="77777777" w:rsidR="009F6D8A" w:rsidRDefault="009F6D8A">
            <w:pPr>
              <w:rPr>
                <w:rFonts w:ascii="宋体"/>
              </w:rPr>
            </w:pPr>
          </w:p>
        </w:tc>
      </w:tr>
      <w:tr w:rsidR="009F6D8A" w14:paraId="6430462C" w14:textId="77777777">
        <w:tc>
          <w:tcPr>
            <w:tcW w:w="0" w:type="auto"/>
            <w:gridSpan w:val="3"/>
            <w:shd w:val="clear" w:color="auto" w:fill="E1E1E1"/>
            <w:tcMar>
              <w:top w:w="40" w:type="dxa"/>
              <w:left w:w="155" w:type="dxa"/>
              <w:bottom w:w="40" w:type="dxa"/>
              <w:right w:w="20" w:type="dxa"/>
            </w:tcMar>
            <w:vAlign w:val="bottom"/>
          </w:tcPr>
          <w:p w14:paraId="6430461F" w14:textId="77777777" w:rsidR="009F6D8A" w:rsidRDefault="00C50974">
            <w:pPr>
              <w:textAlignment w:val="bottom"/>
            </w:pPr>
            <w:r>
              <w:rPr>
                <w:rFonts w:ascii="Arial" w:eastAsia="宋体" w:hAnsi="Arial" w:cs="Arial"/>
                <w:color w:val="000000"/>
                <w:sz w:val="16"/>
                <w:szCs w:val="16"/>
              </w:rPr>
              <w:t>Other short-term borrowings</w:t>
            </w:r>
          </w:p>
        </w:tc>
        <w:tc>
          <w:tcPr>
            <w:tcW w:w="0" w:type="auto"/>
            <w:gridSpan w:val="3"/>
            <w:shd w:val="clear" w:color="auto" w:fill="E1E1E1"/>
            <w:tcMar>
              <w:top w:w="0" w:type="dxa"/>
              <w:left w:w="20" w:type="dxa"/>
              <w:bottom w:w="0" w:type="dxa"/>
              <w:right w:w="20" w:type="dxa"/>
            </w:tcMar>
            <w:vAlign w:val="bottom"/>
          </w:tcPr>
          <w:p w14:paraId="64304620"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621"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622"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623" w14:textId="77777777" w:rsidR="009F6D8A" w:rsidRDefault="00C50974">
            <w:pPr>
              <w:jc w:val="right"/>
              <w:textAlignment w:val="bottom"/>
            </w:pPr>
            <w:r>
              <w:rPr>
                <w:rFonts w:ascii="Arial" w:eastAsia="宋体" w:hAnsi="Arial" w:cs="Arial"/>
                <w:color w:val="000000"/>
                <w:sz w:val="16"/>
                <w:szCs w:val="16"/>
              </w:rPr>
              <w:t>12 </w:t>
            </w:r>
          </w:p>
        </w:tc>
        <w:tc>
          <w:tcPr>
            <w:tcW w:w="0" w:type="auto"/>
            <w:shd w:val="clear" w:color="auto" w:fill="E1E1E1"/>
            <w:tcMar>
              <w:top w:w="40" w:type="dxa"/>
              <w:left w:w="0" w:type="dxa"/>
              <w:bottom w:w="40" w:type="dxa"/>
              <w:right w:w="20" w:type="dxa"/>
            </w:tcMar>
            <w:vAlign w:val="bottom"/>
          </w:tcPr>
          <w:p w14:paraId="64304624"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625"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626"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627"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628" w14:textId="77777777" w:rsidR="009F6D8A" w:rsidRDefault="00C50974">
            <w:pPr>
              <w:jc w:val="right"/>
              <w:textAlignment w:val="bottom"/>
            </w:pPr>
            <w:r>
              <w:rPr>
                <w:rFonts w:ascii="Arial" w:eastAsia="宋体" w:hAnsi="Arial" w:cs="Arial"/>
                <w:color w:val="000000"/>
                <w:sz w:val="16"/>
                <w:szCs w:val="16"/>
              </w:rPr>
              <w:t>6 </w:t>
            </w:r>
          </w:p>
        </w:tc>
        <w:tc>
          <w:tcPr>
            <w:tcW w:w="0" w:type="auto"/>
            <w:shd w:val="clear" w:color="auto" w:fill="E1E1E1"/>
            <w:tcMar>
              <w:top w:w="40" w:type="dxa"/>
              <w:left w:w="0" w:type="dxa"/>
              <w:bottom w:w="40" w:type="dxa"/>
              <w:right w:w="20" w:type="dxa"/>
            </w:tcMar>
            <w:vAlign w:val="bottom"/>
          </w:tcPr>
          <w:p w14:paraId="64304629"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62A"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62B" w14:textId="77777777" w:rsidR="009F6D8A" w:rsidRDefault="009F6D8A">
            <w:pPr>
              <w:rPr>
                <w:rFonts w:ascii="宋体"/>
              </w:rPr>
            </w:pPr>
          </w:p>
        </w:tc>
      </w:tr>
      <w:tr w:rsidR="009F6D8A" w14:paraId="6430463A" w14:textId="77777777">
        <w:tc>
          <w:tcPr>
            <w:tcW w:w="0" w:type="auto"/>
            <w:gridSpan w:val="3"/>
            <w:shd w:val="clear" w:color="auto" w:fill="FFFFFF"/>
            <w:tcMar>
              <w:top w:w="40" w:type="dxa"/>
              <w:left w:w="380" w:type="dxa"/>
              <w:bottom w:w="40" w:type="dxa"/>
              <w:right w:w="20" w:type="dxa"/>
            </w:tcMar>
            <w:vAlign w:val="bottom"/>
          </w:tcPr>
          <w:p w14:paraId="6430462D" w14:textId="77777777" w:rsidR="009F6D8A" w:rsidRDefault="00C50974">
            <w:pPr>
              <w:textAlignment w:val="bottom"/>
            </w:pPr>
            <w:r>
              <w:rPr>
                <w:rFonts w:ascii="Arial" w:eastAsia="宋体" w:hAnsi="Arial" w:cs="Arial"/>
                <w:color w:val="000000"/>
                <w:sz w:val="16"/>
                <w:szCs w:val="16"/>
              </w:rPr>
              <w:t>Total short-term debt</w:t>
            </w:r>
          </w:p>
        </w:tc>
        <w:tc>
          <w:tcPr>
            <w:tcW w:w="0" w:type="auto"/>
            <w:gridSpan w:val="3"/>
            <w:shd w:val="clear" w:color="auto" w:fill="FFFFFF"/>
            <w:tcMar>
              <w:top w:w="0" w:type="dxa"/>
              <w:left w:w="20" w:type="dxa"/>
              <w:bottom w:w="0" w:type="dxa"/>
              <w:right w:w="20" w:type="dxa"/>
            </w:tcMar>
            <w:vAlign w:val="bottom"/>
          </w:tcPr>
          <w:p w14:paraId="6430462E"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62F"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630"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631" w14:textId="77777777" w:rsidR="009F6D8A" w:rsidRDefault="00C50974">
            <w:pPr>
              <w:jc w:val="right"/>
              <w:textAlignment w:val="bottom"/>
            </w:pPr>
            <w:r>
              <w:rPr>
                <w:rFonts w:ascii="Arial" w:eastAsia="宋体" w:hAnsi="Arial" w:cs="Arial"/>
                <w:color w:val="000000"/>
                <w:sz w:val="16"/>
                <w:szCs w:val="16"/>
              </w:rPr>
              <w:t>761 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63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633"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634"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635"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636" w14:textId="77777777" w:rsidR="009F6D8A" w:rsidRDefault="00C50974">
            <w:pPr>
              <w:jc w:val="right"/>
              <w:textAlignment w:val="bottom"/>
            </w:pPr>
            <w:r>
              <w:rPr>
                <w:rFonts w:ascii="Arial" w:eastAsia="宋体" w:hAnsi="Arial" w:cs="Arial"/>
                <w:color w:val="000000"/>
                <w:sz w:val="16"/>
                <w:szCs w:val="16"/>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63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63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639" w14:textId="77777777" w:rsidR="009F6D8A" w:rsidRDefault="009F6D8A">
            <w:pPr>
              <w:rPr>
                <w:rFonts w:ascii="宋体"/>
              </w:rPr>
            </w:pPr>
          </w:p>
        </w:tc>
      </w:tr>
      <w:tr w:rsidR="009F6D8A" w14:paraId="6430464A" w14:textId="77777777">
        <w:tc>
          <w:tcPr>
            <w:tcW w:w="0" w:type="auto"/>
            <w:gridSpan w:val="3"/>
            <w:shd w:val="clear" w:color="auto" w:fill="E1E1E1"/>
            <w:tcMar>
              <w:top w:w="40" w:type="dxa"/>
              <w:left w:w="155" w:type="dxa"/>
              <w:bottom w:w="40" w:type="dxa"/>
              <w:right w:w="20" w:type="dxa"/>
            </w:tcMar>
            <w:vAlign w:val="bottom"/>
          </w:tcPr>
          <w:p w14:paraId="6430463B" w14:textId="77777777" w:rsidR="009F6D8A" w:rsidRDefault="00C50974">
            <w:pPr>
              <w:textAlignment w:val="bottom"/>
            </w:pPr>
            <w:r>
              <w:rPr>
                <w:rFonts w:ascii="Arial" w:eastAsia="宋体" w:hAnsi="Arial" w:cs="Arial"/>
                <w:b/>
                <w:bCs/>
                <w:color w:val="000000"/>
                <w:sz w:val="16"/>
                <w:szCs w:val="16"/>
              </w:rPr>
              <w:t>Total Debt</w:t>
            </w:r>
          </w:p>
        </w:tc>
        <w:tc>
          <w:tcPr>
            <w:tcW w:w="0" w:type="auto"/>
            <w:gridSpan w:val="3"/>
            <w:shd w:val="clear" w:color="auto" w:fill="E1E1E1"/>
            <w:tcMar>
              <w:top w:w="0" w:type="dxa"/>
              <w:left w:w="20" w:type="dxa"/>
              <w:bottom w:w="0" w:type="dxa"/>
              <w:right w:w="20" w:type="dxa"/>
            </w:tcMar>
            <w:vAlign w:val="bottom"/>
          </w:tcPr>
          <w:p w14:paraId="6430463C"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63D"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63E"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463F"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4640" w14:textId="77777777" w:rsidR="009F6D8A" w:rsidRDefault="00C50974">
            <w:pPr>
              <w:jc w:val="right"/>
              <w:textAlignment w:val="bottom"/>
            </w:pPr>
            <w:r>
              <w:rPr>
                <w:rFonts w:ascii="Arial" w:eastAsia="宋体" w:hAnsi="Arial" w:cs="Arial"/>
                <w:color w:val="000000"/>
                <w:sz w:val="16"/>
                <w:szCs w:val="16"/>
              </w:rPr>
              <w:t>9,092 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4641"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642"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643"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644"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4645"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4646" w14:textId="77777777" w:rsidR="009F6D8A" w:rsidRDefault="00C50974">
            <w:pPr>
              <w:jc w:val="right"/>
              <w:textAlignment w:val="bottom"/>
            </w:pPr>
            <w:r>
              <w:rPr>
                <w:rFonts w:ascii="Arial" w:eastAsia="宋体" w:hAnsi="Arial" w:cs="Arial"/>
                <w:color w:val="000000"/>
                <w:sz w:val="16"/>
                <w:szCs w:val="16"/>
              </w:rPr>
              <w:t>7,746 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4647"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648"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649" w14:textId="77777777" w:rsidR="009F6D8A" w:rsidRDefault="009F6D8A">
            <w:pPr>
              <w:rPr>
                <w:rFonts w:ascii="宋体"/>
              </w:rPr>
            </w:pPr>
          </w:p>
        </w:tc>
      </w:tr>
    </w:tbl>
    <w:p w14:paraId="6430464B" w14:textId="77777777" w:rsidR="009F6D8A" w:rsidRDefault="00C50974">
      <w:pPr>
        <w:spacing w:before="80"/>
        <w:ind w:hanging="270"/>
      </w:pPr>
      <w:r>
        <w:rPr>
          <w:rFonts w:ascii="Arial" w:eastAsia="宋体" w:hAnsi="Arial" w:cs="Arial"/>
          <w:color w:val="000000"/>
          <w:sz w:val="10"/>
          <w:szCs w:val="10"/>
        </w:rPr>
        <w:t>(1)</w:t>
      </w:r>
      <w:r>
        <w:rPr>
          <w:rFonts w:ascii="Arial" w:eastAsia="宋体" w:hAnsi="Arial" w:cs="Arial"/>
          <w:color w:val="000000"/>
          <w:sz w:val="16"/>
          <w:szCs w:val="16"/>
        </w:rPr>
        <w:t>    Includes the fair value adjustments to debt associated with terminated interest rate swaps which are being recorded as a reduction to interest expense over the remaining term of the related notes.</w:t>
      </w:r>
    </w:p>
    <w:p w14:paraId="6430464C" w14:textId="77777777" w:rsidR="009F6D8A" w:rsidRDefault="009F6D8A">
      <w:pPr>
        <w:ind w:hanging="270"/>
      </w:pPr>
    </w:p>
    <w:p w14:paraId="6430464D" w14:textId="77777777" w:rsidR="009F6D8A" w:rsidRDefault="00C50974">
      <w:pPr>
        <w:ind w:firstLine="270"/>
      </w:pPr>
      <w:r>
        <w:rPr>
          <w:rFonts w:ascii="Arial" w:eastAsia="宋体" w:hAnsi="Arial" w:cs="Arial"/>
          <w:b/>
          <w:bCs/>
          <w:i/>
          <w:iCs/>
          <w:color w:val="000000"/>
          <w:sz w:val="20"/>
          <w:szCs w:val="20"/>
        </w:rPr>
        <w:t>Senior No</w:t>
      </w:r>
      <w:r>
        <w:rPr>
          <w:rFonts w:ascii="Arial" w:eastAsia="宋体" w:hAnsi="Arial" w:cs="Arial"/>
          <w:b/>
          <w:bCs/>
          <w:i/>
          <w:iCs/>
          <w:color w:val="000000"/>
          <w:sz w:val="20"/>
          <w:szCs w:val="20"/>
        </w:rPr>
        <w:t xml:space="preserve">tes </w:t>
      </w:r>
    </w:p>
    <w:p w14:paraId="6430464E" w14:textId="77777777" w:rsidR="009F6D8A" w:rsidRDefault="009F6D8A">
      <w:pPr>
        <w:ind w:firstLine="270"/>
      </w:pPr>
    </w:p>
    <w:p w14:paraId="6430464F" w14:textId="77777777" w:rsidR="009F6D8A" w:rsidRDefault="00C50974">
      <w:pPr>
        <w:ind w:firstLine="540"/>
        <w:jc w:val="both"/>
      </w:pPr>
      <w:r>
        <w:rPr>
          <w:rFonts w:ascii="Arial" w:eastAsia="宋体" w:hAnsi="Arial" w:cs="Arial"/>
          <w:color w:val="000000"/>
          <w:sz w:val="20"/>
          <w:szCs w:val="20"/>
        </w:rPr>
        <w:t xml:space="preserve">On January 29, 2021, the company announced that it issued a notice of redemption for the $750 million aggregate principal amount of the 6.000% senior notes due 2056. The effective date of this redemption was March 1, 2021. Total cash </w:t>
      </w:r>
      <w:r>
        <w:rPr>
          <w:rFonts w:ascii="Arial" w:eastAsia="宋体" w:hAnsi="Arial" w:cs="Arial"/>
          <w:color w:val="000000"/>
          <w:sz w:val="20"/>
          <w:szCs w:val="20"/>
        </w:rPr>
        <w:t>consideration paid was $750 million, as the redemption price was equal to 100% of the principal amount. In addition, we paid accrued and unpaid interest on the principal amount.</w:t>
      </w:r>
    </w:p>
    <w:p w14:paraId="64304650" w14:textId="77777777" w:rsidR="009F6D8A" w:rsidRDefault="009F6D8A">
      <w:pPr>
        <w:ind w:firstLine="540"/>
        <w:jc w:val="both"/>
      </w:pPr>
    </w:p>
    <w:p w14:paraId="64304651" w14:textId="77777777" w:rsidR="009F6D8A" w:rsidRDefault="00C50974">
      <w:pPr>
        <w:ind w:firstLine="540"/>
        <w:jc w:val="both"/>
      </w:pPr>
      <w:r>
        <w:rPr>
          <w:rFonts w:ascii="Arial" w:eastAsia="宋体" w:hAnsi="Arial" w:cs="Arial"/>
          <w:color w:val="000000"/>
          <w:sz w:val="20"/>
          <w:szCs w:val="20"/>
        </w:rPr>
        <w:t>In March 2021, we settled cash tender offers with holders of approximately 39</w:t>
      </w:r>
      <w:r>
        <w:rPr>
          <w:rFonts w:ascii="Arial" w:eastAsia="宋体" w:hAnsi="Arial" w:cs="Arial"/>
          <w:color w:val="000000"/>
          <w:sz w:val="20"/>
          <w:szCs w:val="20"/>
        </w:rPr>
        <w:t>% of the total outstanding $1 billion aggregate principal amount of the 2.600% senior fixed rate notes due 2022. Total cash consideration paid for these purchases was $405 million and the carrying amount of the notes was $395 million, resulting in a loss o</w:t>
      </w:r>
      <w:r>
        <w:rPr>
          <w:rFonts w:ascii="Arial" w:eastAsia="宋体" w:hAnsi="Arial" w:cs="Arial"/>
          <w:color w:val="000000"/>
          <w:sz w:val="20"/>
          <w:szCs w:val="20"/>
        </w:rPr>
        <w:t>n extinguishment of $10 million (including immaterial fees and other costs associated with the tender), which was recorded in interest and other, net in our condensed consolidated statement of income. In addition, we paid any accrued interest on the tender</w:t>
      </w:r>
      <w:r>
        <w:rPr>
          <w:rFonts w:ascii="Arial" w:eastAsia="宋体" w:hAnsi="Arial" w:cs="Arial"/>
          <w:color w:val="000000"/>
          <w:sz w:val="20"/>
          <w:szCs w:val="20"/>
        </w:rPr>
        <w:t>ed notes up to, but not including the date of settlement.</w:t>
      </w:r>
    </w:p>
    <w:p w14:paraId="64304652" w14:textId="77777777" w:rsidR="009F6D8A" w:rsidRDefault="009F6D8A">
      <w:pPr>
        <w:ind w:firstLine="540"/>
        <w:jc w:val="both"/>
      </w:pPr>
    </w:p>
    <w:p w14:paraId="64304653" w14:textId="77777777" w:rsidR="009F6D8A" w:rsidRDefault="00C50974">
      <w:pPr>
        <w:ind w:firstLine="540"/>
        <w:jc w:val="both"/>
      </w:pPr>
      <w:r>
        <w:rPr>
          <w:rFonts w:ascii="Arial" w:eastAsia="宋体" w:hAnsi="Arial" w:cs="Arial"/>
          <w:color w:val="000000"/>
          <w:sz w:val="20"/>
          <w:szCs w:val="20"/>
        </w:rPr>
        <w:t>In May 2021, we issued senior notes, in an aggregate principal amount of $2.5 billion, which consisted of $750 million of 1.400% fixed rate notes due 2026, $750 million of 2.600% fixed rate notes d</w:t>
      </w:r>
      <w:r>
        <w:rPr>
          <w:rFonts w:ascii="Arial" w:eastAsia="宋体" w:hAnsi="Arial" w:cs="Arial"/>
          <w:color w:val="000000"/>
          <w:sz w:val="20"/>
          <w:szCs w:val="20"/>
        </w:rPr>
        <w:t xml:space="preserve">ue to 2031 and $1.0 billion of 3.650% fixed rate notes due 2051. </w:t>
      </w:r>
    </w:p>
    <w:p w14:paraId="64304654" w14:textId="77777777" w:rsidR="009F6D8A" w:rsidRDefault="009F6D8A">
      <w:pPr>
        <w:jc w:val="center"/>
      </w:pPr>
    </w:p>
    <w:p w14:paraId="64304655" w14:textId="77777777" w:rsidR="009F6D8A" w:rsidRDefault="00C50974">
      <w:pPr>
        <w:jc w:val="center"/>
      </w:pPr>
      <w:r>
        <w:rPr>
          <w:rFonts w:ascii="Arial" w:eastAsia="宋体" w:hAnsi="Arial" w:cs="Arial"/>
          <w:color w:val="000000"/>
          <w:sz w:val="20"/>
          <w:szCs w:val="20"/>
        </w:rPr>
        <w:t>29</w:t>
      </w:r>
    </w:p>
    <w:p w14:paraId="64304656" w14:textId="77777777" w:rsidR="009F6D8A" w:rsidRDefault="00C50974">
      <w:r>
        <w:pict w14:anchorId="64305820">
          <v:rect id="_x0000_i1053" style="width:415.3pt;height:1.5pt" o:hralign="center" o:hrstd="t" o:hr="t" fillcolor="#a0a0a0" stroked="f"/>
        </w:pict>
      </w:r>
    </w:p>
    <w:p w14:paraId="64304657" w14:textId="77777777" w:rsidR="009F6D8A" w:rsidRDefault="009F6D8A">
      <w:pPr>
        <w:jc w:val="center"/>
      </w:pPr>
    </w:p>
    <w:p w14:paraId="64304658" w14:textId="77777777" w:rsidR="009F6D8A" w:rsidRDefault="00C50974">
      <w:pPr>
        <w:jc w:val="center"/>
      </w:pPr>
      <w:r>
        <w:rPr>
          <w:rFonts w:ascii="Arial" w:eastAsia="宋体" w:hAnsi="Arial" w:cs="Arial"/>
          <w:b/>
          <w:bCs/>
          <w:color w:val="000000"/>
          <w:sz w:val="20"/>
          <w:szCs w:val="20"/>
        </w:rPr>
        <w:t>eBay Inc.</w:t>
      </w:r>
    </w:p>
    <w:p w14:paraId="64304659"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465A" w14:textId="77777777" w:rsidR="009F6D8A" w:rsidRDefault="009F6D8A">
      <w:pPr>
        <w:jc w:val="both"/>
      </w:pPr>
    </w:p>
    <w:p w14:paraId="6430465B" w14:textId="77777777" w:rsidR="009F6D8A" w:rsidRDefault="00C50974">
      <w:pPr>
        <w:ind w:firstLine="540"/>
        <w:jc w:val="both"/>
      </w:pPr>
      <w:r>
        <w:rPr>
          <w:rFonts w:ascii="Arial" w:eastAsia="宋体" w:hAnsi="Arial" w:cs="Arial"/>
          <w:color w:val="000000"/>
          <w:sz w:val="20"/>
          <w:szCs w:val="20"/>
        </w:rPr>
        <w:t>None of the floating rate notes are redeemable prior to maturity. We may redeem some or all of the other fixed rate notes of each series at any time and from time to time prior to their maturity, generally at a make-whole redemption price, plus accrued and</w:t>
      </w:r>
      <w:r>
        <w:rPr>
          <w:rFonts w:ascii="Arial" w:eastAsia="宋体" w:hAnsi="Arial" w:cs="Arial"/>
          <w:color w:val="000000"/>
          <w:sz w:val="20"/>
          <w:szCs w:val="20"/>
        </w:rPr>
        <w:t xml:space="preserve"> unpaid interest. </w:t>
      </w:r>
    </w:p>
    <w:p w14:paraId="6430465C" w14:textId="77777777" w:rsidR="009F6D8A" w:rsidRDefault="009F6D8A">
      <w:pPr>
        <w:ind w:firstLine="540"/>
        <w:jc w:val="both"/>
      </w:pPr>
    </w:p>
    <w:p w14:paraId="6430465D" w14:textId="77777777" w:rsidR="009F6D8A" w:rsidRDefault="00C50974">
      <w:pPr>
        <w:ind w:firstLine="540"/>
        <w:jc w:val="both"/>
      </w:pPr>
      <w:r>
        <w:rPr>
          <w:rFonts w:ascii="Arial" w:eastAsia="宋体" w:hAnsi="Arial" w:cs="Arial"/>
          <w:color w:val="000000"/>
          <w:sz w:val="20"/>
          <w:szCs w:val="20"/>
        </w:rPr>
        <w:t>If a change of control triggering event (as defined in the applicable senior notes) occurs with respect to the 3.800% fixed rate notes due 2022, the floating rate notes due 2023, the 2.750% fixed rate notes due 2023, the 1.900% fixed ra</w:t>
      </w:r>
      <w:r>
        <w:rPr>
          <w:rFonts w:ascii="Arial" w:eastAsia="宋体" w:hAnsi="Arial" w:cs="Arial"/>
          <w:color w:val="000000"/>
          <w:sz w:val="20"/>
          <w:szCs w:val="20"/>
        </w:rPr>
        <w:t>te notes due 2025, the 1.400% fixed rate notes due 2026, the 3.600% fixed rate notes due 2027, the 2.700% fixed rate notes due 2030, the 2.600% fixed rate notes due 2031 or the 3.650% fixed rate notes due 2051, we must, subject to certain exceptions, offer</w:t>
      </w:r>
      <w:r>
        <w:rPr>
          <w:rFonts w:ascii="Arial" w:eastAsia="宋体" w:hAnsi="Arial" w:cs="Arial"/>
          <w:color w:val="000000"/>
          <w:sz w:val="20"/>
          <w:szCs w:val="20"/>
        </w:rPr>
        <w:t xml:space="preserve"> to repurchase all of the notes of the applicable series at a price equal to 101% of the principal amount, plus accrued and unpaid interest. </w:t>
      </w:r>
    </w:p>
    <w:p w14:paraId="6430465E" w14:textId="77777777" w:rsidR="009F6D8A" w:rsidRDefault="009F6D8A">
      <w:pPr>
        <w:ind w:firstLine="540"/>
        <w:jc w:val="both"/>
      </w:pPr>
    </w:p>
    <w:p w14:paraId="6430465F" w14:textId="77777777" w:rsidR="009F6D8A" w:rsidRDefault="00C50974">
      <w:pPr>
        <w:ind w:firstLine="540"/>
        <w:jc w:val="both"/>
      </w:pPr>
      <w:r>
        <w:rPr>
          <w:rFonts w:ascii="Arial" w:eastAsia="宋体" w:hAnsi="Arial" w:cs="Arial"/>
          <w:color w:val="000000"/>
          <w:sz w:val="20"/>
          <w:szCs w:val="20"/>
        </w:rPr>
        <w:t>The indenture pursuant to which the senior notes were issued includes customary covenants that, among other thing</w:t>
      </w:r>
      <w:r>
        <w:rPr>
          <w:rFonts w:ascii="Arial" w:eastAsia="宋体" w:hAnsi="Arial" w:cs="Arial"/>
          <w:color w:val="000000"/>
          <w:sz w:val="20"/>
          <w:szCs w:val="20"/>
        </w:rPr>
        <w:t>s and subject to exceptions, limit our ability to incur, assume or guarantee debt secured by liens on specified assets or enter into sale and lease-back transactions with respect to specified properties, and also includes customary events of default with c</w:t>
      </w:r>
      <w:r>
        <w:rPr>
          <w:rFonts w:ascii="Arial" w:eastAsia="宋体" w:hAnsi="Arial" w:cs="Arial"/>
          <w:color w:val="000000"/>
          <w:sz w:val="20"/>
          <w:szCs w:val="20"/>
        </w:rPr>
        <w:t xml:space="preserve">ustomary grace periods in certain circumstances, including payment defaults and bankruptcy-related defaults. </w:t>
      </w:r>
    </w:p>
    <w:p w14:paraId="64304660" w14:textId="77777777" w:rsidR="009F6D8A" w:rsidRDefault="009F6D8A">
      <w:pPr>
        <w:ind w:firstLine="540"/>
        <w:jc w:val="both"/>
      </w:pPr>
    </w:p>
    <w:p w14:paraId="64304661" w14:textId="77777777" w:rsidR="009F6D8A" w:rsidRDefault="00C50974">
      <w:pPr>
        <w:ind w:firstLine="540"/>
        <w:jc w:val="both"/>
      </w:pPr>
      <w:r>
        <w:rPr>
          <w:rFonts w:ascii="Arial" w:eastAsia="宋体" w:hAnsi="Arial" w:cs="Arial"/>
          <w:color w:val="000000"/>
          <w:sz w:val="20"/>
          <w:szCs w:val="20"/>
        </w:rPr>
        <w:t>To help achieve our interest rate risk management objectives, during the second quarter of 2020, we entered into interest rate swap agreements th</w:t>
      </w:r>
      <w:r>
        <w:rPr>
          <w:rFonts w:ascii="Arial" w:eastAsia="宋体" w:hAnsi="Arial" w:cs="Arial"/>
          <w:color w:val="000000"/>
          <w:sz w:val="20"/>
          <w:szCs w:val="20"/>
        </w:rPr>
        <w:t>at effectively converted $400 million of our LIBOR-based floating-rate debt to a fixed-rate basis. These swaps were designated as cash flow hedges and have maturity dates in 2023.</w:t>
      </w:r>
    </w:p>
    <w:p w14:paraId="64304662" w14:textId="77777777" w:rsidR="009F6D8A" w:rsidRDefault="009F6D8A">
      <w:pPr>
        <w:ind w:firstLine="540"/>
        <w:jc w:val="both"/>
      </w:pPr>
    </w:p>
    <w:p w14:paraId="64304663" w14:textId="77777777" w:rsidR="009F6D8A" w:rsidRDefault="00C50974">
      <w:pPr>
        <w:ind w:firstLine="540"/>
        <w:jc w:val="both"/>
      </w:pPr>
      <w:r>
        <w:rPr>
          <w:rFonts w:ascii="Arial" w:eastAsia="宋体" w:hAnsi="Arial" w:cs="Arial"/>
          <w:color w:val="000000"/>
          <w:sz w:val="20"/>
          <w:szCs w:val="20"/>
        </w:rPr>
        <w:t>The effective interest rates for our senior notes include the interest paya</w:t>
      </w:r>
      <w:r>
        <w:rPr>
          <w:rFonts w:ascii="Arial" w:eastAsia="宋体" w:hAnsi="Arial" w:cs="Arial"/>
          <w:color w:val="000000"/>
          <w:sz w:val="20"/>
          <w:szCs w:val="20"/>
        </w:rPr>
        <w:t>ble, the amortization of debt issuance costs and the amortization of any original issue discount and premium on these senior notes. Interest on these senior notes is payable either quarterly or semiannually. Interest expense associated with these senior no</w:t>
      </w:r>
      <w:r>
        <w:rPr>
          <w:rFonts w:ascii="Arial" w:eastAsia="宋体" w:hAnsi="Arial" w:cs="Arial"/>
          <w:color w:val="000000"/>
          <w:sz w:val="20"/>
          <w:szCs w:val="20"/>
        </w:rPr>
        <w:t xml:space="preserve">tes, including amortization of debt issuance costs, was approximately $59 million and $74 million during the three months ended June 30, 2021 and 2020, respectively, and $125 million and $144 million during the six months ended June 30, 2021 and 2020. </w:t>
      </w:r>
    </w:p>
    <w:p w14:paraId="64304664" w14:textId="77777777" w:rsidR="009F6D8A" w:rsidRDefault="009F6D8A">
      <w:pPr>
        <w:ind w:firstLine="540"/>
        <w:jc w:val="both"/>
      </w:pPr>
    </w:p>
    <w:p w14:paraId="64304665" w14:textId="77777777" w:rsidR="009F6D8A" w:rsidRDefault="00C50974">
      <w:pPr>
        <w:ind w:firstLine="540"/>
        <w:jc w:val="both"/>
      </w:pPr>
      <w:r>
        <w:rPr>
          <w:rFonts w:ascii="Arial" w:eastAsia="宋体" w:hAnsi="Arial" w:cs="Arial"/>
          <w:color w:val="000000"/>
          <w:sz w:val="20"/>
          <w:szCs w:val="20"/>
        </w:rPr>
        <w:t>As</w:t>
      </w:r>
      <w:r>
        <w:rPr>
          <w:rFonts w:ascii="Arial" w:eastAsia="宋体" w:hAnsi="Arial" w:cs="Arial"/>
          <w:color w:val="000000"/>
          <w:sz w:val="20"/>
          <w:szCs w:val="20"/>
        </w:rPr>
        <w:t xml:space="preserve"> of June 30, 2021 and December 31, 2020, the estimated fair value of these senior notes, using Level 2 inputs, was approximately $9.5 billion and $8.3 billion, respectively.</w:t>
      </w:r>
    </w:p>
    <w:p w14:paraId="64304666" w14:textId="77777777" w:rsidR="009F6D8A" w:rsidRDefault="009F6D8A">
      <w:pPr>
        <w:ind w:firstLine="360"/>
      </w:pPr>
    </w:p>
    <w:p w14:paraId="64304667" w14:textId="77777777" w:rsidR="009F6D8A" w:rsidRDefault="00C50974">
      <w:pPr>
        <w:ind w:firstLine="270"/>
      </w:pPr>
      <w:r>
        <w:rPr>
          <w:rFonts w:ascii="Arial" w:eastAsia="宋体" w:hAnsi="Arial" w:cs="Arial"/>
          <w:b/>
          <w:bCs/>
          <w:i/>
          <w:iCs/>
          <w:color w:val="000000"/>
          <w:sz w:val="20"/>
          <w:szCs w:val="20"/>
        </w:rPr>
        <w:t>Commercial Paper</w:t>
      </w:r>
    </w:p>
    <w:p w14:paraId="64304668" w14:textId="77777777" w:rsidR="009F6D8A" w:rsidRDefault="009F6D8A">
      <w:pPr>
        <w:ind w:firstLine="360"/>
      </w:pPr>
    </w:p>
    <w:p w14:paraId="64304669" w14:textId="77777777" w:rsidR="009F6D8A" w:rsidRDefault="00C50974">
      <w:pPr>
        <w:ind w:firstLine="540"/>
        <w:jc w:val="both"/>
      </w:pPr>
      <w:r>
        <w:rPr>
          <w:rFonts w:ascii="Arial" w:eastAsia="宋体" w:hAnsi="Arial" w:cs="Arial"/>
          <w:color w:val="000000"/>
          <w:sz w:val="20"/>
          <w:szCs w:val="20"/>
        </w:rPr>
        <w:t>We have a commercial paper program pursuant to which we may iss</w:t>
      </w:r>
      <w:r>
        <w:rPr>
          <w:rFonts w:ascii="Arial" w:eastAsia="宋体" w:hAnsi="Arial" w:cs="Arial"/>
          <w:color w:val="000000"/>
          <w:sz w:val="20"/>
          <w:szCs w:val="20"/>
        </w:rPr>
        <w:t xml:space="preserve">ue commercial paper notes in an aggregate principal amount at maturity of up to $1.5 billion outstanding at any time with maturities of up to 397 days from the date of issue. As of June 30, 2021, there were no commercial paper notes outstanding. </w:t>
      </w:r>
    </w:p>
    <w:p w14:paraId="6430466A" w14:textId="77777777" w:rsidR="009F6D8A" w:rsidRDefault="009F6D8A">
      <w:pPr>
        <w:ind w:firstLine="360"/>
      </w:pPr>
    </w:p>
    <w:p w14:paraId="6430466B" w14:textId="77777777" w:rsidR="009F6D8A" w:rsidRDefault="00C50974">
      <w:pPr>
        <w:ind w:firstLine="270"/>
      </w:pPr>
      <w:r>
        <w:rPr>
          <w:rFonts w:ascii="Arial" w:eastAsia="宋体" w:hAnsi="Arial" w:cs="Arial"/>
          <w:b/>
          <w:bCs/>
          <w:i/>
          <w:iCs/>
          <w:color w:val="000000"/>
          <w:sz w:val="20"/>
          <w:szCs w:val="20"/>
        </w:rPr>
        <w:t>Credit A</w:t>
      </w:r>
      <w:r>
        <w:rPr>
          <w:rFonts w:ascii="Arial" w:eastAsia="宋体" w:hAnsi="Arial" w:cs="Arial"/>
          <w:b/>
          <w:bCs/>
          <w:i/>
          <w:iCs/>
          <w:color w:val="000000"/>
          <w:sz w:val="20"/>
          <w:szCs w:val="20"/>
        </w:rPr>
        <w:t xml:space="preserve">greement </w:t>
      </w:r>
    </w:p>
    <w:p w14:paraId="6430466C" w14:textId="77777777" w:rsidR="009F6D8A" w:rsidRDefault="009F6D8A">
      <w:pPr>
        <w:ind w:firstLine="360"/>
      </w:pPr>
    </w:p>
    <w:p w14:paraId="6430466D" w14:textId="77777777" w:rsidR="009F6D8A" w:rsidRDefault="00C50974">
      <w:pPr>
        <w:ind w:firstLine="540"/>
        <w:jc w:val="both"/>
      </w:pPr>
      <w:r>
        <w:rPr>
          <w:rFonts w:ascii="Arial" w:eastAsia="宋体" w:hAnsi="Arial" w:cs="Arial"/>
          <w:color w:val="000000"/>
          <w:sz w:val="20"/>
          <w:szCs w:val="20"/>
        </w:rPr>
        <w:t>In March 2020, we entered into a credit agreement that provides for an unsecured $2 billion five-year credit facility. We may also, subject to the agreement of the applicable lenders, increase commitments under the revolving credit facility by u</w:t>
      </w:r>
      <w:r>
        <w:rPr>
          <w:rFonts w:ascii="Arial" w:eastAsia="宋体" w:hAnsi="Arial" w:cs="Arial"/>
          <w:color w:val="000000"/>
          <w:sz w:val="20"/>
          <w:szCs w:val="20"/>
        </w:rPr>
        <w:t>p to $1 billion. Funds borrowed under the credit agreement may be used for working capital, capital expenditures, acquisitions and other general corporate purposes. The credit agreement replaced our prior $2 billion unsecured revolving credit agreement dat</w:t>
      </w:r>
      <w:r>
        <w:rPr>
          <w:rFonts w:ascii="Arial" w:eastAsia="宋体" w:hAnsi="Arial" w:cs="Arial"/>
          <w:color w:val="000000"/>
          <w:sz w:val="20"/>
          <w:szCs w:val="20"/>
        </w:rPr>
        <w:t>ed November 2015, which was terminated effective March 2020.</w:t>
      </w:r>
    </w:p>
    <w:p w14:paraId="6430466E" w14:textId="77777777" w:rsidR="009F6D8A" w:rsidRDefault="009F6D8A">
      <w:pPr>
        <w:ind w:firstLine="540"/>
        <w:jc w:val="both"/>
      </w:pPr>
    </w:p>
    <w:p w14:paraId="6430466F" w14:textId="77777777" w:rsidR="009F6D8A" w:rsidRDefault="00C50974">
      <w:pPr>
        <w:ind w:firstLine="540"/>
        <w:jc w:val="both"/>
      </w:pPr>
      <w:r>
        <w:rPr>
          <w:rFonts w:ascii="Arial" w:eastAsia="宋体" w:hAnsi="Arial" w:cs="Arial"/>
          <w:color w:val="000000"/>
          <w:sz w:val="20"/>
          <w:szCs w:val="20"/>
        </w:rPr>
        <w:t xml:space="preserve">As of June 30, 2021, no borrowings were outstanding under our $2 billion credit agreement. However, as described above, we have an up to $1.5 billion commercial paper program and are </w:t>
      </w:r>
      <w:r>
        <w:rPr>
          <w:rFonts w:ascii="Arial" w:eastAsia="宋体" w:hAnsi="Arial" w:cs="Arial"/>
          <w:color w:val="000000"/>
          <w:sz w:val="20"/>
          <w:szCs w:val="20"/>
        </w:rPr>
        <w:t>required to maintain available borrowing capacity under our credit agreement in order to repay commercial paper borrowings in the event we are unable to repay those borrowings from other sources when they become due, in an aggregate amount of $1.5 billion.</w:t>
      </w:r>
      <w:r>
        <w:rPr>
          <w:rFonts w:ascii="Arial" w:eastAsia="宋体" w:hAnsi="Arial" w:cs="Arial"/>
          <w:color w:val="000000"/>
          <w:sz w:val="20"/>
          <w:szCs w:val="20"/>
        </w:rPr>
        <w:t> As of June 30, 2021, no borrowings were outstanding under our commercial paper program; therefore, $2 billion of borrowing capacity was available for other purposes permitted by the credit agreement, subject to customary conditions to borrowing. The credi</w:t>
      </w:r>
      <w:r>
        <w:rPr>
          <w:rFonts w:ascii="Arial" w:eastAsia="宋体" w:hAnsi="Arial" w:cs="Arial"/>
          <w:color w:val="000000"/>
          <w:sz w:val="20"/>
          <w:szCs w:val="20"/>
        </w:rPr>
        <w:t>t agreement includes a covenant limiting our consolidated leverage ratio to no more than 4.0:1.0, subject to, upon the occurrence of a qualified material acquisition, if so elected by us, a step-up to 4.5:1.0 for the four fiscal quarters completed followin</w:t>
      </w:r>
      <w:r>
        <w:rPr>
          <w:rFonts w:ascii="Arial" w:eastAsia="宋体" w:hAnsi="Arial" w:cs="Arial"/>
          <w:color w:val="000000"/>
          <w:sz w:val="20"/>
          <w:szCs w:val="20"/>
        </w:rPr>
        <w:t>g such qualified material acquisition. The credit agreement includes customary events of default, with corresponding grace periods in certain circumstances, including payment defaults, cross-defaults and bankruptcy-related defaults.</w:t>
      </w:r>
      <w:r>
        <w:rPr>
          <w:rFonts w:ascii="Arial" w:eastAsia="宋体" w:hAnsi="Arial" w:cs="Arial"/>
          <w:color w:val="000000"/>
        </w:rPr>
        <w:t xml:space="preserve"> </w:t>
      </w:r>
      <w:r>
        <w:rPr>
          <w:rFonts w:ascii="Arial" w:eastAsia="宋体" w:hAnsi="Arial" w:cs="Arial"/>
          <w:color w:val="000000"/>
          <w:sz w:val="20"/>
          <w:szCs w:val="20"/>
        </w:rPr>
        <w:t>In addition, the credit</w:t>
      </w:r>
      <w:r>
        <w:rPr>
          <w:rFonts w:ascii="Arial" w:eastAsia="宋体" w:hAnsi="Arial" w:cs="Arial"/>
          <w:color w:val="000000"/>
          <w:sz w:val="20"/>
          <w:szCs w:val="20"/>
        </w:rPr>
        <w:t xml:space="preserve"> agreement </w:t>
      </w:r>
    </w:p>
    <w:p w14:paraId="64304670" w14:textId="77777777" w:rsidR="009F6D8A" w:rsidRDefault="009F6D8A">
      <w:pPr>
        <w:jc w:val="center"/>
      </w:pPr>
    </w:p>
    <w:p w14:paraId="64304671" w14:textId="77777777" w:rsidR="009F6D8A" w:rsidRDefault="00C50974">
      <w:pPr>
        <w:jc w:val="center"/>
      </w:pPr>
      <w:r>
        <w:rPr>
          <w:rFonts w:ascii="Arial" w:eastAsia="宋体" w:hAnsi="Arial" w:cs="Arial"/>
          <w:color w:val="000000"/>
          <w:sz w:val="20"/>
          <w:szCs w:val="20"/>
        </w:rPr>
        <w:t>30</w:t>
      </w:r>
    </w:p>
    <w:p w14:paraId="64304672" w14:textId="77777777" w:rsidR="009F6D8A" w:rsidRDefault="00C50974">
      <w:r>
        <w:pict w14:anchorId="64305821">
          <v:rect id="_x0000_i1054" style="width:415.3pt;height:1.5pt" o:hralign="center" o:hrstd="t" o:hr="t" fillcolor="#a0a0a0" stroked="f"/>
        </w:pict>
      </w:r>
    </w:p>
    <w:p w14:paraId="64304673" w14:textId="77777777" w:rsidR="009F6D8A" w:rsidRDefault="009F6D8A">
      <w:pPr>
        <w:jc w:val="center"/>
      </w:pPr>
    </w:p>
    <w:p w14:paraId="64304674" w14:textId="77777777" w:rsidR="009F6D8A" w:rsidRDefault="00C50974">
      <w:pPr>
        <w:jc w:val="center"/>
      </w:pPr>
      <w:r>
        <w:rPr>
          <w:rFonts w:ascii="Arial" w:eastAsia="宋体" w:hAnsi="Arial" w:cs="Arial"/>
          <w:b/>
          <w:bCs/>
          <w:color w:val="000000"/>
          <w:sz w:val="20"/>
          <w:szCs w:val="20"/>
        </w:rPr>
        <w:t>eBay Inc.</w:t>
      </w:r>
    </w:p>
    <w:p w14:paraId="64304675"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4676" w14:textId="77777777" w:rsidR="009F6D8A" w:rsidRDefault="00C50974">
      <w:pPr>
        <w:jc w:val="both"/>
      </w:pPr>
      <w:r>
        <w:rPr>
          <w:rFonts w:ascii="Arial" w:eastAsia="宋体" w:hAnsi="Arial" w:cs="Arial"/>
          <w:color w:val="000000"/>
          <w:sz w:val="20"/>
          <w:szCs w:val="20"/>
        </w:rPr>
        <w:t>contains customary affirmative and negative covenants, including restrictions regarding the incurrence of liens and subsidiary indebtedness, in each case, subject</w:t>
      </w:r>
      <w:r>
        <w:rPr>
          <w:rFonts w:ascii="Arial" w:eastAsia="宋体" w:hAnsi="Arial" w:cs="Arial"/>
          <w:color w:val="000000"/>
          <w:sz w:val="20"/>
          <w:szCs w:val="20"/>
        </w:rPr>
        <w:t xml:space="preserve"> to customary exceptions. The credit agreement also contains customary representations and warranties.</w:t>
      </w:r>
    </w:p>
    <w:p w14:paraId="64304677" w14:textId="77777777" w:rsidR="009F6D8A" w:rsidRDefault="009F6D8A">
      <w:pPr>
        <w:ind w:firstLine="360"/>
        <w:jc w:val="both"/>
      </w:pPr>
    </w:p>
    <w:p w14:paraId="64304678" w14:textId="77777777" w:rsidR="009F6D8A" w:rsidRDefault="00C50974">
      <w:pPr>
        <w:ind w:firstLine="540"/>
        <w:jc w:val="both"/>
      </w:pPr>
      <w:r>
        <w:rPr>
          <w:rFonts w:ascii="Arial" w:eastAsia="宋体" w:hAnsi="Arial" w:cs="Arial"/>
          <w:color w:val="000000"/>
          <w:sz w:val="20"/>
          <w:szCs w:val="20"/>
        </w:rPr>
        <w:t>We were in compliance with all financial covenants in our outstanding debt instruments during the six months ended June 30, 2021.</w:t>
      </w:r>
    </w:p>
    <w:p w14:paraId="64304679" w14:textId="77777777" w:rsidR="009F6D8A" w:rsidRDefault="009F6D8A">
      <w:pPr>
        <w:jc w:val="both"/>
      </w:pPr>
    </w:p>
    <w:p w14:paraId="6430467A" w14:textId="77777777" w:rsidR="009F6D8A" w:rsidRDefault="00C50974">
      <w:pPr>
        <w:jc w:val="both"/>
      </w:pPr>
      <w:r>
        <w:rPr>
          <w:rFonts w:ascii="Arial" w:eastAsia="宋体" w:hAnsi="Arial" w:cs="Arial"/>
          <w:b/>
          <w:bCs/>
          <w:color w:val="000000"/>
          <w:sz w:val="20"/>
          <w:szCs w:val="20"/>
        </w:rPr>
        <w:t>Note 10 — Balance She</w:t>
      </w:r>
      <w:r>
        <w:rPr>
          <w:rFonts w:ascii="Arial" w:eastAsia="宋体" w:hAnsi="Arial" w:cs="Arial"/>
          <w:b/>
          <w:bCs/>
          <w:color w:val="000000"/>
          <w:sz w:val="20"/>
          <w:szCs w:val="20"/>
        </w:rPr>
        <w:t>et Components</w:t>
      </w:r>
    </w:p>
    <w:p w14:paraId="6430467B" w14:textId="77777777" w:rsidR="009F6D8A" w:rsidRDefault="009F6D8A"/>
    <w:p w14:paraId="6430467C" w14:textId="77777777" w:rsidR="009F6D8A" w:rsidRDefault="00C50974">
      <w:pPr>
        <w:ind w:firstLine="270"/>
        <w:jc w:val="both"/>
      </w:pPr>
      <w:r>
        <w:rPr>
          <w:rFonts w:ascii="Arial" w:eastAsia="宋体" w:hAnsi="Arial" w:cs="Arial"/>
          <w:b/>
          <w:bCs/>
          <w:i/>
          <w:iCs/>
          <w:color w:val="000000"/>
          <w:sz w:val="20"/>
          <w:szCs w:val="20"/>
        </w:rPr>
        <w:t>Contract Balances</w:t>
      </w:r>
    </w:p>
    <w:p w14:paraId="6430467D" w14:textId="77777777" w:rsidR="009F6D8A" w:rsidRDefault="009F6D8A">
      <w:pPr>
        <w:ind w:firstLine="720"/>
        <w:jc w:val="both"/>
      </w:pPr>
    </w:p>
    <w:p w14:paraId="6430467E" w14:textId="77777777" w:rsidR="009F6D8A" w:rsidRDefault="00C50974">
      <w:pPr>
        <w:ind w:firstLine="540"/>
        <w:jc w:val="both"/>
      </w:pPr>
      <w:r>
        <w:rPr>
          <w:rFonts w:ascii="Arial" w:eastAsia="宋体" w:hAnsi="Arial" w:cs="Arial"/>
          <w:color w:val="000000"/>
          <w:sz w:val="20"/>
          <w:szCs w:val="20"/>
        </w:rPr>
        <w:t>Timing of revenue recognition may differ from the timing of invoicing to customers. Accounts receivable represents amounts invoiced and revenue recognized prior to invoicing when we have satisfied our performance obligatio</w:t>
      </w:r>
      <w:r>
        <w:rPr>
          <w:rFonts w:ascii="Arial" w:eastAsia="宋体" w:hAnsi="Arial" w:cs="Arial"/>
          <w:color w:val="000000"/>
          <w:sz w:val="20"/>
          <w:szCs w:val="20"/>
        </w:rPr>
        <w:t>n and have the unconditional right to payment. The allowance for doubtful accounts and authorized credits is estimated based upon our assessment of various factors including historical experience, the age of the accounts receivable balances, current econom</w:t>
      </w:r>
      <w:r>
        <w:rPr>
          <w:rFonts w:ascii="Arial" w:eastAsia="宋体" w:hAnsi="Arial" w:cs="Arial"/>
          <w:color w:val="000000"/>
          <w:sz w:val="20"/>
          <w:szCs w:val="20"/>
        </w:rPr>
        <w:t>ic conditions</w:t>
      </w:r>
      <w:r>
        <w:rPr>
          <w:rFonts w:ascii="Arial" w:eastAsia="宋体" w:hAnsi="Arial" w:cs="Arial"/>
          <w:color w:val="222222"/>
          <w:sz w:val="20"/>
          <w:szCs w:val="20"/>
        </w:rPr>
        <w:t xml:space="preserve"> reasonable and supportable forecasts,</w:t>
      </w:r>
      <w:r>
        <w:rPr>
          <w:rFonts w:ascii="Arial" w:eastAsia="宋体" w:hAnsi="Arial" w:cs="Arial"/>
          <w:color w:val="000000"/>
          <w:sz w:val="20"/>
          <w:szCs w:val="20"/>
        </w:rPr>
        <w:t xml:space="preserve"> and other factors that may affect our customers’ ability to pay. The allowance for doubtful accounts and authorized credits was $115 million and $136 million as of June 30, 2021 and December 31, 2020, respectively. As of June 30, 2021, we reported allowan</w:t>
      </w:r>
      <w:r>
        <w:rPr>
          <w:rFonts w:ascii="Arial" w:eastAsia="宋体" w:hAnsi="Arial" w:cs="Arial"/>
          <w:color w:val="000000"/>
          <w:sz w:val="20"/>
          <w:szCs w:val="20"/>
        </w:rPr>
        <w:t>ces for doubtful accounts of $80 million reflecting a decrease of $17 million, net of write-offs of $65 million for the six months ended June 30, 2021.</w:t>
      </w:r>
    </w:p>
    <w:p w14:paraId="6430467F" w14:textId="77777777" w:rsidR="009F6D8A" w:rsidRDefault="00C50974">
      <w:pPr>
        <w:spacing w:before="180"/>
        <w:ind w:firstLine="540"/>
        <w:jc w:val="both"/>
      </w:pPr>
      <w:r>
        <w:rPr>
          <w:rFonts w:ascii="Arial" w:eastAsia="宋体" w:hAnsi="Arial" w:cs="Arial"/>
          <w:color w:val="000000"/>
          <w:sz w:val="20"/>
          <w:szCs w:val="20"/>
        </w:rPr>
        <w:t xml:space="preserve">Deferred revenue consists of fees received related to unsatisfied performance obligations at the end of </w:t>
      </w:r>
      <w:r>
        <w:rPr>
          <w:rFonts w:ascii="Arial" w:eastAsia="宋体" w:hAnsi="Arial" w:cs="Arial"/>
          <w:color w:val="000000"/>
          <w:sz w:val="20"/>
          <w:szCs w:val="20"/>
        </w:rPr>
        <w:t xml:space="preserve">the period. Due to the generally short-term duration of contracts, the majority of the performance obligations are satisfied in the following reporting period. The amount of revenue recognized for the six month period ended June 30, 2021 that was included </w:t>
      </w:r>
      <w:r>
        <w:rPr>
          <w:rFonts w:ascii="Arial" w:eastAsia="宋体" w:hAnsi="Arial" w:cs="Arial"/>
          <w:color w:val="000000"/>
          <w:sz w:val="20"/>
          <w:szCs w:val="20"/>
        </w:rPr>
        <w:t>in the deferred revenue balance at the beginning of the period was $46 million. The amount of revenue recognized for the six month period ended June 30, 2020 that was included in the deferred revenue balance at the beginning of the period was $64 million.</w:t>
      </w:r>
    </w:p>
    <w:p w14:paraId="64304680" w14:textId="77777777" w:rsidR="009F6D8A" w:rsidRDefault="009F6D8A"/>
    <w:p w14:paraId="64304681" w14:textId="77777777" w:rsidR="009F6D8A" w:rsidRDefault="00C50974">
      <w:pPr>
        <w:ind w:firstLine="270"/>
        <w:jc w:val="both"/>
      </w:pPr>
      <w:r>
        <w:rPr>
          <w:rFonts w:ascii="Arial" w:eastAsia="宋体" w:hAnsi="Arial" w:cs="Arial"/>
          <w:b/>
          <w:bCs/>
          <w:i/>
          <w:iCs/>
          <w:color w:val="000000"/>
          <w:sz w:val="20"/>
          <w:szCs w:val="20"/>
        </w:rPr>
        <w:t>Cash, cash equivalents and restricted cash</w:t>
      </w:r>
    </w:p>
    <w:tbl>
      <w:tblPr>
        <w:tblW w:w="5000" w:type="pct"/>
        <w:tblCellMar>
          <w:top w:w="15" w:type="dxa"/>
          <w:left w:w="15" w:type="dxa"/>
          <w:bottom w:w="15" w:type="dxa"/>
          <w:right w:w="15" w:type="dxa"/>
        </w:tblCellMar>
        <w:tblLook w:val="04A0" w:firstRow="1" w:lastRow="0" w:firstColumn="1" w:lastColumn="0" w:noHBand="0" w:noVBand="1"/>
      </w:tblPr>
      <w:tblGrid>
        <w:gridCol w:w="40"/>
        <w:gridCol w:w="5911"/>
        <w:gridCol w:w="36"/>
        <w:gridCol w:w="121"/>
        <w:gridCol w:w="974"/>
        <w:gridCol w:w="36"/>
        <w:gridCol w:w="36"/>
        <w:gridCol w:w="36"/>
        <w:gridCol w:w="36"/>
        <w:gridCol w:w="122"/>
        <w:gridCol w:w="952"/>
        <w:gridCol w:w="36"/>
      </w:tblGrid>
      <w:tr w:rsidR="009F6D8A" w14:paraId="6430468E" w14:textId="77777777">
        <w:tc>
          <w:tcPr>
            <w:tcW w:w="50" w:type="pct"/>
            <w:shd w:val="clear" w:color="auto" w:fill="auto"/>
            <w:vAlign w:val="bottom"/>
          </w:tcPr>
          <w:p w14:paraId="64304682" w14:textId="77777777" w:rsidR="009F6D8A" w:rsidRDefault="009F6D8A">
            <w:pPr>
              <w:rPr>
                <w:rFonts w:ascii="宋体"/>
              </w:rPr>
            </w:pPr>
          </w:p>
        </w:tc>
        <w:tc>
          <w:tcPr>
            <w:tcW w:w="3570" w:type="pct"/>
            <w:shd w:val="clear" w:color="auto" w:fill="auto"/>
            <w:vAlign w:val="bottom"/>
          </w:tcPr>
          <w:p w14:paraId="64304683" w14:textId="77777777" w:rsidR="009F6D8A" w:rsidRDefault="009F6D8A">
            <w:pPr>
              <w:rPr>
                <w:rFonts w:ascii="宋体"/>
              </w:rPr>
            </w:pPr>
          </w:p>
        </w:tc>
        <w:tc>
          <w:tcPr>
            <w:tcW w:w="5" w:type="pct"/>
            <w:shd w:val="clear" w:color="auto" w:fill="auto"/>
            <w:vAlign w:val="bottom"/>
          </w:tcPr>
          <w:p w14:paraId="64304684" w14:textId="77777777" w:rsidR="009F6D8A" w:rsidRDefault="009F6D8A">
            <w:pPr>
              <w:rPr>
                <w:rFonts w:ascii="宋体"/>
              </w:rPr>
            </w:pPr>
          </w:p>
        </w:tc>
        <w:tc>
          <w:tcPr>
            <w:tcW w:w="50" w:type="pct"/>
            <w:shd w:val="clear" w:color="auto" w:fill="auto"/>
            <w:vAlign w:val="bottom"/>
          </w:tcPr>
          <w:p w14:paraId="64304685" w14:textId="77777777" w:rsidR="009F6D8A" w:rsidRDefault="009F6D8A">
            <w:pPr>
              <w:rPr>
                <w:rFonts w:ascii="宋体"/>
              </w:rPr>
            </w:pPr>
          </w:p>
        </w:tc>
        <w:tc>
          <w:tcPr>
            <w:tcW w:w="610" w:type="pct"/>
            <w:shd w:val="clear" w:color="auto" w:fill="auto"/>
            <w:vAlign w:val="bottom"/>
          </w:tcPr>
          <w:p w14:paraId="64304686" w14:textId="77777777" w:rsidR="009F6D8A" w:rsidRDefault="009F6D8A">
            <w:pPr>
              <w:rPr>
                <w:rFonts w:ascii="宋体"/>
              </w:rPr>
            </w:pPr>
          </w:p>
        </w:tc>
        <w:tc>
          <w:tcPr>
            <w:tcW w:w="5" w:type="pct"/>
            <w:shd w:val="clear" w:color="auto" w:fill="auto"/>
            <w:vAlign w:val="bottom"/>
          </w:tcPr>
          <w:p w14:paraId="64304687" w14:textId="77777777" w:rsidR="009F6D8A" w:rsidRDefault="009F6D8A">
            <w:pPr>
              <w:rPr>
                <w:rFonts w:ascii="宋体"/>
              </w:rPr>
            </w:pPr>
          </w:p>
        </w:tc>
        <w:tc>
          <w:tcPr>
            <w:tcW w:w="5" w:type="pct"/>
            <w:shd w:val="clear" w:color="auto" w:fill="auto"/>
            <w:vAlign w:val="bottom"/>
          </w:tcPr>
          <w:p w14:paraId="64304688" w14:textId="77777777" w:rsidR="009F6D8A" w:rsidRDefault="009F6D8A">
            <w:pPr>
              <w:rPr>
                <w:rFonts w:ascii="宋体"/>
              </w:rPr>
            </w:pPr>
          </w:p>
        </w:tc>
        <w:tc>
          <w:tcPr>
            <w:tcW w:w="26" w:type="pct"/>
            <w:shd w:val="clear" w:color="auto" w:fill="auto"/>
            <w:vAlign w:val="bottom"/>
          </w:tcPr>
          <w:p w14:paraId="64304689" w14:textId="77777777" w:rsidR="009F6D8A" w:rsidRDefault="009F6D8A">
            <w:pPr>
              <w:rPr>
                <w:rFonts w:ascii="宋体"/>
              </w:rPr>
            </w:pPr>
          </w:p>
        </w:tc>
        <w:tc>
          <w:tcPr>
            <w:tcW w:w="5" w:type="pct"/>
            <w:shd w:val="clear" w:color="auto" w:fill="auto"/>
            <w:vAlign w:val="bottom"/>
          </w:tcPr>
          <w:p w14:paraId="6430468A" w14:textId="77777777" w:rsidR="009F6D8A" w:rsidRDefault="009F6D8A">
            <w:pPr>
              <w:rPr>
                <w:rFonts w:ascii="宋体"/>
              </w:rPr>
            </w:pPr>
          </w:p>
        </w:tc>
        <w:tc>
          <w:tcPr>
            <w:tcW w:w="50" w:type="pct"/>
            <w:shd w:val="clear" w:color="auto" w:fill="auto"/>
            <w:vAlign w:val="bottom"/>
          </w:tcPr>
          <w:p w14:paraId="6430468B" w14:textId="77777777" w:rsidR="009F6D8A" w:rsidRDefault="009F6D8A">
            <w:pPr>
              <w:rPr>
                <w:rFonts w:ascii="宋体"/>
              </w:rPr>
            </w:pPr>
          </w:p>
        </w:tc>
        <w:tc>
          <w:tcPr>
            <w:tcW w:w="617" w:type="pct"/>
            <w:shd w:val="clear" w:color="auto" w:fill="auto"/>
            <w:vAlign w:val="bottom"/>
          </w:tcPr>
          <w:p w14:paraId="6430468C" w14:textId="77777777" w:rsidR="009F6D8A" w:rsidRDefault="009F6D8A">
            <w:pPr>
              <w:rPr>
                <w:rFonts w:ascii="宋体"/>
              </w:rPr>
            </w:pPr>
          </w:p>
        </w:tc>
        <w:tc>
          <w:tcPr>
            <w:tcW w:w="5" w:type="pct"/>
            <w:shd w:val="clear" w:color="auto" w:fill="auto"/>
            <w:vAlign w:val="bottom"/>
          </w:tcPr>
          <w:p w14:paraId="6430468D" w14:textId="77777777" w:rsidR="009F6D8A" w:rsidRDefault="009F6D8A">
            <w:pPr>
              <w:rPr>
                <w:rFonts w:ascii="宋体"/>
              </w:rPr>
            </w:pPr>
          </w:p>
        </w:tc>
      </w:tr>
      <w:tr w:rsidR="009F6D8A" w14:paraId="64304693" w14:textId="77777777">
        <w:tc>
          <w:tcPr>
            <w:tcW w:w="0" w:type="auto"/>
            <w:gridSpan w:val="3"/>
            <w:shd w:val="clear" w:color="auto" w:fill="auto"/>
            <w:tcMar>
              <w:top w:w="0" w:type="dxa"/>
              <w:left w:w="20" w:type="dxa"/>
              <w:bottom w:w="0" w:type="dxa"/>
              <w:right w:w="20" w:type="dxa"/>
            </w:tcMar>
            <w:vAlign w:val="bottom"/>
          </w:tcPr>
          <w:p w14:paraId="6430468F"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690" w14:textId="77777777" w:rsidR="009F6D8A" w:rsidRDefault="00C50974">
            <w:pPr>
              <w:jc w:val="center"/>
              <w:textAlignment w:val="bottom"/>
            </w:pPr>
            <w:r>
              <w:rPr>
                <w:rFonts w:ascii="Arial" w:eastAsia="宋体" w:hAnsi="Arial" w:cs="Arial"/>
                <w:b/>
                <w:bCs/>
                <w:color w:val="000000"/>
                <w:sz w:val="16"/>
                <w:szCs w:val="16"/>
              </w:rPr>
              <w:t>June 30, 2021</w:t>
            </w:r>
          </w:p>
        </w:tc>
        <w:tc>
          <w:tcPr>
            <w:tcW w:w="0" w:type="auto"/>
            <w:gridSpan w:val="3"/>
            <w:shd w:val="clear" w:color="auto" w:fill="auto"/>
            <w:tcMar>
              <w:top w:w="0" w:type="dxa"/>
              <w:left w:w="20" w:type="dxa"/>
              <w:bottom w:w="0" w:type="dxa"/>
              <w:right w:w="20" w:type="dxa"/>
            </w:tcMar>
            <w:vAlign w:val="bottom"/>
          </w:tcPr>
          <w:p w14:paraId="64304691"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692" w14:textId="77777777" w:rsidR="009F6D8A" w:rsidRDefault="00C50974">
            <w:pPr>
              <w:jc w:val="center"/>
              <w:textAlignment w:val="bottom"/>
            </w:pPr>
            <w:r>
              <w:rPr>
                <w:rFonts w:ascii="Arial" w:eastAsia="宋体" w:hAnsi="Arial" w:cs="Arial"/>
                <w:b/>
                <w:bCs/>
                <w:color w:val="000000"/>
                <w:sz w:val="16"/>
                <w:szCs w:val="16"/>
              </w:rPr>
              <w:t>December 31, 2020</w:t>
            </w:r>
          </w:p>
        </w:tc>
      </w:tr>
      <w:tr w:rsidR="009F6D8A" w14:paraId="6430469C" w14:textId="77777777">
        <w:tc>
          <w:tcPr>
            <w:tcW w:w="0" w:type="auto"/>
            <w:gridSpan w:val="3"/>
            <w:shd w:val="clear" w:color="auto" w:fill="DDDDDD"/>
            <w:tcMar>
              <w:top w:w="40" w:type="dxa"/>
              <w:left w:w="20" w:type="dxa"/>
              <w:bottom w:w="40" w:type="dxa"/>
              <w:right w:w="20" w:type="dxa"/>
            </w:tcMar>
            <w:vAlign w:val="bottom"/>
          </w:tcPr>
          <w:p w14:paraId="64304694" w14:textId="77777777" w:rsidR="009F6D8A" w:rsidRDefault="00C50974">
            <w:pPr>
              <w:textAlignment w:val="bottom"/>
            </w:pPr>
            <w:r>
              <w:rPr>
                <w:rFonts w:ascii="Arial" w:eastAsia="宋体" w:hAnsi="Arial" w:cs="Arial"/>
                <w:color w:val="000000"/>
                <w:sz w:val="18"/>
                <w:szCs w:val="18"/>
              </w:rPr>
              <w:t>Cash and cash equivalents</w:t>
            </w:r>
          </w:p>
        </w:tc>
        <w:tc>
          <w:tcPr>
            <w:tcW w:w="0" w:type="auto"/>
            <w:tcBorders>
              <w:top w:val="single" w:sz="8" w:space="0" w:color="000000"/>
            </w:tcBorders>
            <w:shd w:val="clear" w:color="auto" w:fill="DDDDDD"/>
            <w:tcMar>
              <w:top w:w="40" w:type="dxa"/>
              <w:left w:w="20" w:type="dxa"/>
              <w:bottom w:w="40" w:type="dxa"/>
              <w:right w:w="0" w:type="dxa"/>
            </w:tcMar>
            <w:vAlign w:val="bottom"/>
          </w:tcPr>
          <w:p w14:paraId="64304695"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left w:w="0" w:type="dxa"/>
              <w:bottom w:w="40" w:type="dxa"/>
              <w:right w:w="0" w:type="dxa"/>
            </w:tcMar>
            <w:vAlign w:val="bottom"/>
          </w:tcPr>
          <w:p w14:paraId="64304696" w14:textId="77777777" w:rsidR="009F6D8A" w:rsidRDefault="00C50974">
            <w:pPr>
              <w:jc w:val="right"/>
              <w:textAlignment w:val="bottom"/>
            </w:pPr>
            <w:r>
              <w:rPr>
                <w:rFonts w:ascii="Arial" w:eastAsia="宋体" w:hAnsi="Arial" w:cs="Arial"/>
                <w:color w:val="000000"/>
                <w:sz w:val="18"/>
                <w:szCs w:val="18"/>
              </w:rPr>
              <w:t>2,128 </w:t>
            </w:r>
          </w:p>
        </w:tc>
        <w:tc>
          <w:tcPr>
            <w:tcW w:w="0" w:type="auto"/>
            <w:tcBorders>
              <w:top w:val="single" w:sz="8" w:space="0" w:color="000000"/>
            </w:tcBorders>
            <w:shd w:val="clear" w:color="auto" w:fill="DDDDDD"/>
            <w:tcMar>
              <w:top w:w="40" w:type="dxa"/>
              <w:left w:w="0" w:type="dxa"/>
              <w:bottom w:w="40" w:type="dxa"/>
              <w:right w:w="20" w:type="dxa"/>
            </w:tcMar>
            <w:vAlign w:val="bottom"/>
          </w:tcPr>
          <w:p w14:paraId="64304697" w14:textId="77777777" w:rsidR="009F6D8A" w:rsidRDefault="009F6D8A">
            <w:pPr>
              <w:jc w:val="right"/>
              <w:rPr>
                <w:rFonts w:ascii="宋体"/>
              </w:rPr>
            </w:pPr>
          </w:p>
        </w:tc>
        <w:tc>
          <w:tcPr>
            <w:tcW w:w="0" w:type="auto"/>
            <w:gridSpan w:val="3"/>
            <w:shd w:val="clear" w:color="auto" w:fill="DDDDDD"/>
            <w:tcMar>
              <w:top w:w="0" w:type="dxa"/>
              <w:left w:w="20" w:type="dxa"/>
              <w:bottom w:w="0" w:type="dxa"/>
              <w:right w:w="20" w:type="dxa"/>
            </w:tcMar>
            <w:vAlign w:val="bottom"/>
          </w:tcPr>
          <w:p w14:paraId="64304698" w14:textId="77777777" w:rsidR="009F6D8A" w:rsidRDefault="009F6D8A">
            <w:pPr>
              <w:rPr>
                <w:rFonts w:ascii="宋体"/>
              </w:rPr>
            </w:pPr>
          </w:p>
        </w:tc>
        <w:tc>
          <w:tcPr>
            <w:tcW w:w="0" w:type="auto"/>
            <w:tcBorders>
              <w:top w:val="single" w:sz="8" w:space="0" w:color="000000"/>
            </w:tcBorders>
            <w:shd w:val="clear" w:color="auto" w:fill="DDDDDD"/>
            <w:tcMar>
              <w:top w:w="40" w:type="dxa"/>
              <w:left w:w="20" w:type="dxa"/>
              <w:bottom w:w="40" w:type="dxa"/>
              <w:right w:w="0" w:type="dxa"/>
            </w:tcMar>
            <w:vAlign w:val="bottom"/>
          </w:tcPr>
          <w:p w14:paraId="64304699"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left w:w="0" w:type="dxa"/>
              <w:bottom w:w="40" w:type="dxa"/>
              <w:right w:w="0" w:type="dxa"/>
            </w:tcMar>
            <w:vAlign w:val="bottom"/>
          </w:tcPr>
          <w:p w14:paraId="6430469A" w14:textId="77777777" w:rsidR="009F6D8A" w:rsidRDefault="00C50974">
            <w:pPr>
              <w:jc w:val="right"/>
              <w:textAlignment w:val="bottom"/>
            </w:pPr>
            <w:r>
              <w:rPr>
                <w:rFonts w:ascii="Arial" w:eastAsia="宋体" w:hAnsi="Arial" w:cs="Arial"/>
                <w:color w:val="000000"/>
                <w:sz w:val="18"/>
                <w:szCs w:val="18"/>
              </w:rPr>
              <w:t>1,101 </w:t>
            </w:r>
          </w:p>
        </w:tc>
        <w:tc>
          <w:tcPr>
            <w:tcW w:w="0" w:type="auto"/>
            <w:tcBorders>
              <w:top w:val="single" w:sz="8" w:space="0" w:color="000000"/>
            </w:tcBorders>
            <w:shd w:val="clear" w:color="auto" w:fill="DDDDDD"/>
            <w:tcMar>
              <w:top w:w="40" w:type="dxa"/>
              <w:left w:w="0" w:type="dxa"/>
              <w:bottom w:w="40" w:type="dxa"/>
              <w:right w:w="20" w:type="dxa"/>
            </w:tcMar>
            <w:vAlign w:val="bottom"/>
          </w:tcPr>
          <w:p w14:paraId="6430469B" w14:textId="77777777" w:rsidR="009F6D8A" w:rsidRDefault="009F6D8A">
            <w:pPr>
              <w:jc w:val="right"/>
              <w:rPr>
                <w:rFonts w:ascii="宋体"/>
              </w:rPr>
            </w:pPr>
          </w:p>
        </w:tc>
      </w:tr>
      <w:tr w:rsidR="009F6D8A" w14:paraId="643046A3" w14:textId="77777777">
        <w:tc>
          <w:tcPr>
            <w:tcW w:w="0" w:type="auto"/>
            <w:gridSpan w:val="3"/>
            <w:shd w:val="clear" w:color="auto" w:fill="FFFFFF"/>
            <w:tcMar>
              <w:top w:w="40" w:type="dxa"/>
              <w:left w:w="20" w:type="dxa"/>
              <w:bottom w:w="40" w:type="dxa"/>
              <w:right w:w="20" w:type="dxa"/>
            </w:tcMar>
            <w:vAlign w:val="bottom"/>
          </w:tcPr>
          <w:p w14:paraId="6430469D" w14:textId="77777777" w:rsidR="009F6D8A" w:rsidRDefault="00C50974">
            <w:pPr>
              <w:textAlignment w:val="bottom"/>
            </w:pPr>
            <w:r>
              <w:rPr>
                <w:rFonts w:ascii="Arial" w:eastAsia="宋体" w:hAnsi="Arial" w:cs="Arial"/>
                <w:color w:val="000000"/>
                <w:sz w:val="18"/>
                <w:szCs w:val="18"/>
              </w:rPr>
              <w:t>Customer accounts</w:t>
            </w:r>
          </w:p>
        </w:tc>
        <w:tc>
          <w:tcPr>
            <w:tcW w:w="0" w:type="auto"/>
            <w:gridSpan w:val="2"/>
            <w:shd w:val="clear" w:color="auto" w:fill="FFFFFF"/>
            <w:tcMar>
              <w:top w:w="40" w:type="dxa"/>
              <w:left w:w="20" w:type="dxa"/>
              <w:bottom w:w="40" w:type="dxa"/>
              <w:right w:w="0" w:type="dxa"/>
            </w:tcMar>
            <w:vAlign w:val="bottom"/>
          </w:tcPr>
          <w:p w14:paraId="6430469E"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430469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6A0"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6A1"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43046A2" w14:textId="77777777" w:rsidR="009F6D8A" w:rsidRDefault="009F6D8A">
            <w:pPr>
              <w:jc w:val="right"/>
              <w:rPr>
                <w:rFonts w:ascii="宋体"/>
              </w:rPr>
            </w:pPr>
          </w:p>
        </w:tc>
      </w:tr>
      <w:tr w:rsidR="009F6D8A" w14:paraId="643046AA" w14:textId="77777777">
        <w:tc>
          <w:tcPr>
            <w:tcW w:w="0" w:type="auto"/>
            <w:gridSpan w:val="3"/>
            <w:shd w:val="clear" w:color="auto" w:fill="DDDDDD"/>
            <w:tcMar>
              <w:top w:w="40" w:type="dxa"/>
              <w:left w:w="20" w:type="dxa"/>
              <w:bottom w:w="40" w:type="dxa"/>
              <w:right w:w="20" w:type="dxa"/>
            </w:tcMar>
            <w:vAlign w:val="bottom"/>
          </w:tcPr>
          <w:p w14:paraId="643046A4" w14:textId="77777777" w:rsidR="009F6D8A" w:rsidRDefault="00C50974">
            <w:pPr>
              <w:textAlignment w:val="bottom"/>
            </w:pPr>
            <w:r>
              <w:rPr>
                <w:rFonts w:ascii="Arial" w:eastAsia="宋体" w:hAnsi="Arial" w:cs="Arial"/>
                <w:color w:val="000000"/>
                <w:sz w:val="18"/>
                <w:szCs w:val="18"/>
              </w:rPr>
              <w:t>Restricted cash included in short-term investments</w:t>
            </w:r>
          </w:p>
        </w:tc>
        <w:tc>
          <w:tcPr>
            <w:tcW w:w="0" w:type="auto"/>
            <w:gridSpan w:val="2"/>
            <w:shd w:val="clear" w:color="auto" w:fill="DDDDDD"/>
            <w:tcMar>
              <w:top w:w="40" w:type="dxa"/>
              <w:left w:w="20" w:type="dxa"/>
              <w:bottom w:w="40" w:type="dxa"/>
              <w:right w:w="0" w:type="dxa"/>
            </w:tcMar>
            <w:vAlign w:val="bottom"/>
          </w:tcPr>
          <w:p w14:paraId="643046A5" w14:textId="77777777" w:rsidR="009F6D8A" w:rsidRDefault="00C50974">
            <w:pPr>
              <w:jc w:val="right"/>
              <w:textAlignment w:val="bottom"/>
            </w:pPr>
            <w:r>
              <w:rPr>
                <w:rFonts w:ascii="Arial" w:eastAsia="宋体" w:hAnsi="Arial" w:cs="Arial"/>
                <w:color w:val="000000"/>
                <w:sz w:val="18"/>
                <w:szCs w:val="18"/>
              </w:rPr>
              <w:t>15 </w:t>
            </w:r>
          </w:p>
        </w:tc>
        <w:tc>
          <w:tcPr>
            <w:tcW w:w="0" w:type="auto"/>
            <w:shd w:val="clear" w:color="auto" w:fill="DDDDDD"/>
            <w:tcMar>
              <w:top w:w="40" w:type="dxa"/>
              <w:left w:w="0" w:type="dxa"/>
              <w:bottom w:w="40" w:type="dxa"/>
              <w:right w:w="20" w:type="dxa"/>
            </w:tcMar>
            <w:vAlign w:val="bottom"/>
          </w:tcPr>
          <w:p w14:paraId="643046A6" w14:textId="77777777" w:rsidR="009F6D8A" w:rsidRDefault="009F6D8A">
            <w:pPr>
              <w:jc w:val="right"/>
              <w:rPr>
                <w:rFonts w:ascii="宋体"/>
              </w:rPr>
            </w:pPr>
          </w:p>
        </w:tc>
        <w:tc>
          <w:tcPr>
            <w:tcW w:w="0" w:type="auto"/>
            <w:gridSpan w:val="3"/>
            <w:shd w:val="clear" w:color="auto" w:fill="DDDDDD"/>
            <w:tcMar>
              <w:top w:w="0" w:type="dxa"/>
              <w:left w:w="20" w:type="dxa"/>
              <w:bottom w:w="0" w:type="dxa"/>
              <w:right w:w="20" w:type="dxa"/>
            </w:tcMar>
            <w:vAlign w:val="bottom"/>
          </w:tcPr>
          <w:p w14:paraId="643046A7" w14:textId="77777777" w:rsidR="009F6D8A" w:rsidRDefault="009F6D8A">
            <w:pPr>
              <w:rPr>
                <w:rFonts w:ascii="宋体"/>
              </w:rPr>
            </w:pPr>
          </w:p>
        </w:tc>
        <w:tc>
          <w:tcPr>
            <w:tcW w:w="0" w:type="auto"/>
            <w:gridSpan w:val="2"/>
            <w:shd w:val="clear" w:color="auto" w:fill="DDDDDD"/>
            <w:tcMar>
              <w:top w:w="40" w:type="dxa"/>
              <w:left w:w="20" w:type="dxa"/>
              <w:bottom w:w="40" w:type="dxa"/>
              <w:right w:w="0" w:type="dxa"/>
            </w:tcMar>
            <w:vAlign w:val="bottom"/>
          </w:tcPr>
          <w:p w14:paraId="643046A8" w14:textId="77777777" w:rsidR="009F6D8A" w:rsidRDefault="00C50974">
            <w:pPr>
              <w:jc w:val="right"/>
              <w:textAlignment w:val="bottom"/>
            </w:pPr>
            <w:r>
              <w:rPr>
                <w:rFonts w:ascii="Arial" w:eastAsia="宋体" w:hAnsi="Arial" w:cs="Arial"/>
                <w:color w:val="000000"/>
                <w:sz w:val="18"/>
                <w:szCs w:val="18"/>
              </w:rPr>
              <w:t>137 </w:t>
            </w:r>
          </w:p>
        </w:tc>
        <w:tc>
          <w:tcPr>
            <w:tcW w:w="0" w:type="auto"/>
            <w:shd w:val="clear" w:color="auto" w:fill="DDDDDD"/>
            <w:tcMar>
              <w:top w:w="40" w:type="dxa"/>
              <w:left w:w="0" w:type="dxa"/>
              <w:bottom w:w="40" w:type="dxa"/>
              <w:right w:w="20" w:type="dxa"/>
            </w:tcMar>
            <w:vAlign w:val="bottom"/>
          </w:tcPr>
          <w:p w14:paraId="643046A9" w14:textId="77777777" w:rsidR="009F6D8A" w:rsidRDefault="009F6D8A">
            <w:pPr>
              <w:jc w:val="right"/>
              <w:rPr>
                <w:rFonts w:ascii="宋体"/>
              </w:rPr>
            </w:pPr>
          </w:p>
        </w:tc>
      </w:tr>
      <w:tr w:rsidR="009F6D8A" w14:paraId="643046B3" w14:textId="77777777">
        <w:tc>
          <w:tcPr>
            <w:tcW w:w="0" w:type="auto"/>
            <w:gridSpan w:val="3"/>
            <w:shd w:val="clear" w:color="auto" w:fill="FFFFFF"/>
            <w:tcMar>
              <w:top w:w="40" w:type="dxa"/>
              <w:left w:w="20" w:type="dxa"/>
              <w:bottom w:w="40" w:type="dxa"/>
              <w:right w:w="20" w:type="dxa"/>
            </w:tcMar>
            <w:vAlign w:val="bottom"/>
          </w:tcPr>
          <w:p w14:paraId="643046AB" w14:textId="77777777" w:rsidR="009F6D8A" w:rsidRDefault="00C50974">
            <w:pPr>
              <w:textAlignment w:val="bottom"/>
            </w:pPr>
            <w:r>
              <w:rPr>
                <w:rFonts w:ascii="Arial" w:eastAsia="宋体" w:hAnsi="Arial" w:cs="Arial"/>
                <w:color w:val="000000"/>
                <w:sz w:val="18"/>
                <w:szCs w:val="18"/>
              </w:rPr>
              <w:t xml:space="preserve">Cash, cash </w:t>
            </w:r>
            <w:r>
              <w:rPr>
                <w:rFonts w:ascii="Arial" w:eastAsia="宋体" w:hAnsi="Arial" w:cs="Arial"/>
                <w:color w:val="000000"/>
                <w:sz w:val="18"/>
                <w:szCs w:val="18"/>
              </w:rPr>
              <w:t>equivalents and restricted cash</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46A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46AD" w14:textId="77777777" w:rsidR="009F6D8A" w:rsidRDefault="00C50974">
            <w:pPr>
              <w:jc w:val="right"/>
              <w:textAlignment w:val="bottom"/>
            </w:pPr>
            <w:r>
              <w:rPr>
                <w:rFonts w:ascii="Arial" w:eastAsia="宋体" w:hAnsi="Arial" w:cs="Arial"/>
                <w:color w:val="000000"/>
                <w:sz w:val="18"/>
                <w:szCs w:val="18"/>
              </w:rPr>
              <w:t>2,144 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46A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6AF"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46B0"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46B1" w14:textId="77777777" w:rsidR="009F6D8A" w:rsidRDefault="00C50974">
            <w:pPr>
              <w:jc w:val="right"/>
              <w:textAlignment w:val="bottom"/>
            </w:pPr>
            <w:r>
              <w:rPr>
                <w:rFonts w:ascii="Arial" w:eastAsia="宋体" w:hAnsi="Arial" w:cs="Arial"/>
                <w:color w:val="000000"/>
                <w:sz w:val="18"/>
                <w:szCs w:val="18"/>
              </w:rPr>
              <w:t>1,238 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46B2" w14:textId="77777777" w:rsidR="009F6D8A" w:rsidRDefault="009F6D8A">
            <w:pPr>
              <w:jc w:val="right"/>
              <w:rPr>
                <w:rFonts w:ascii="宋体"/>
              </w:rPr>
            </w:pPr>
          </w:p>
        </w:tc>
      </w:tr>
      <w:tr w:rsidR="009F6D8A" w14:paraId="643046B8" w14:textId="77777777">
        <w:trPr>
          <w:hidden/>
        </w:trPr>
        <w:tc>
          <w:tcPr>
            <w:tcW w:w="0" w:type="auto"/>
            <w:gridSpan w:val="3"/>
            <w:shd w:val="clear" w:color="auto" w:fill="auto"/>
            <w:vAlign w:val="bottom"/>
          </w:tcPr>
          <w:p w14:paraId="643046B4" w14:textId="77777777" w:rsidR="009F6D8A" w:rsidRDefault="009F6D8A">
            <w:pPr>
              <w:rPr>
                <w:rFonts w:ascii="宋体"/>
                <w:vanish/>
              </w:rPr>
            </w:pPr>
          </w:p>
        </w:tc>
        <w:tc>
          <w:tcPr>
            <w:tcW w:w="0" w:type="auto"/>
            <w:gridSpan w:val="3"/>
            <w:shd w:val="clear" w:color="auto" w:fill="auto"/>
            <w:vAlign w:val="bottom"/>
          </w:tcPr>
          <w:p w14:paraId="643046B5" w14:textId="77777777" w:rsidR="009F6D8A" w:rsidRDefault="009F6D8A">
            <w:pPr>
              <w:rPr>
                <w:rFonts w:ascii="宋体"/>
                <w:vanish/>
              </w:rPr>
            </w:pPr>
          </w:p>
        </w:tc>
        <w:tc>
          <w:tcPr>
            <w:tcW w:w="0" w:type="auto"/>
            <w:gridSpan w:val="3"/>
            <w:shd w:val="clear" w:color="auto" w:fill="auto"/>
            <w:vAlign w:val="bottom"/>
          </w:tcPr>
          <w:p w14:paraId="643046B6" w14:textId="77777777" w:rsidR="009F6D8A" w:rsidRDefault="009F6D8A">
            <w:pPr>
              <w:rPr>
                <w:rFonts w:ascii="宋体"/>
                <w:vanish/>
              </w:rPr>
            </w:pPr>
          </w:p>
        </w:tc>
        <w:tc>
          <w:tcPr>
            <w:tcW w:w="0" w:type="auto"/>
            <w:gridSpan w:val="3"/>
            <w:shd w:val="clear" w:color="auto" w:fill="auto"/>
            <w:vAlign w:val="bottom"/>
          </w:tcPr>
          <w:p w14:paraId="643046B7" w14:textId="77777777" w:rsidR="009F6D8A" w:rsidRDefault="009F6D8A">
            <w:pPr>
              <w:rPr>
                <w:rFonts w:ascii="宋体"/>
                <w:vanish/>
              </w:rPr>
            </w:pPr>
          </w:p>
        </w:tc>
      </w:tr>
    </w:tbl>
    <w:p w14:paraId="643046B9" w14:textId="77777777" w:rsidR="009F6D8A" w:rsidRDefault="009F6D8A">
      <w:pPr>
        <w:ind w:firstLine="270"/>
        <w:jc w:val="both"/>
      </w:pPr>
    </w:p>
    <w:p w14:paraId="643046BA" w14:textId="77777777" w:rsidR="009F6D8A" w:rsidRDefault="00C50974">
      <w:pPr>
        <w:ind w:firstLine="270"/>
        <w:jc w:val="both"/>
      </w:pPr>
      <w:r>
        <w:rPr>
          <w:rFonts w:ascii="Arial" w:eastAsia="宋体" w:hAnsi="Arial" w:cs="Arial"/>
          <w:b/>
          <w:bCs/>
          <w:i/>
          <w:iCs/>
          <w:color w:val="000000"/>
          <w:sz w:val="20"/>
          <w:szCs w:val="20"/>
        </w:rPr>
        <w:t>Customer accounts and funds receivable</w:t>
      </w:r>
    </w:p>
    <w:tbl>
      <w:tblPr>
        <w:tblW w:w="5000" w:type="pct"/>
        <w:tblCellMar>
          <w:top w:w="15" w:type="dxa"/>
          <w:left w:w="15" w:type="dxa"/>
          <w:bottom w:w="15" w:type="dxa"/>
          <w:right w:w="15" w:type="dxa"/>
        </w:tblCellMar>
        <w:tblLook w:val="04A0" w:firstRow="1" w:lastRow="0" w:firstColumn="1" w:lastColumn="0" w:noHBand="0" w:noVBand="1"/>
      </w:tblPr>
      <w:tblGrid>
        <w:gridCol w:w="40"/>
        <w:gridCol w:w="5911"/>
        <w:gridCol w:w="36"/>
        <w:gridCol w:w="121"/>
        <w:gridCol w:w="974"/>
        <w:gridCol w:w="36"/>
        <w:gridCol w:w="36"/>
        <w:gridCol w:w="36"/>
        <w:gridCol w:w="36"/>
        <w:gridCol w:w="122"/>
        <w:gridCol w:w="952"/>
        <w:gridCol w:w="36"/>
      </w:tblGrid>
      <w:tr w:rsidR="009F6D8A" w14:paraId="643046C7" w14:textId="77777777">
        <w:tc>
          <w:tcPr>
            <w:tcW w:w="50" w:type="pct"/>
            <w:shd w:val="clear" w:color="auto" w:fill="auto"/>
            <w:vAlign w:val="bottom"/>
          </w:tcPr>
          <w:p w14:paraId="643046BB" w14:textId="77777777" w:rsidR="009F6D8A" w:rsidRDefault="009F6D8A">
            <w:pPr>
              <w:rPr>
                <w:rFonts w:ascii="宋体"/>
              </w:rPr>
            </w:pPr>
          </w:p>
        </w:tc>
        <w:tc>
          <w:tcPr>
            <w:tcW w:w="3570" w:type="pct"/>
            <w:shd w:val="clear" w:color="auto" w:fill="auto"/>
            <w:vAlign w:val="bottom"/>
          </w:tcPr>
          <w:p w14:paraId="643046BC" w14:textId="77777777" w:rsidR="009F6D8A" w:rsidRDefault="009F6D8A">
            <w:pPr>
              <w:rPr>
                <w:rFonts w:ascii="宋体"/>
              </w:rPr>
            </w:pPr>
          </w:p>
        </w:tc>
        <w:tc>
          <w:tcPr>
            <w:tcW w:w="5" w:type="pct"/>
            <w:shd w:val="clear" w:color="auto" w:fill="auto"/>
            <w:vAlign w:val="bottom"/>
          </w:tcPr>
          <w:p w14:paraId="643046BD" w14:textId="77777777" w:rsidR="009F6D8A" w:rsidRDefault="009F6D8A">
            <w:pPr>
              <w:rPr>
                <w:rFonts w:ascii="宋体"/>
              </w:rPr>
            </w:pPr>
          </w:p>
        </w:tc>
        <w:tc>
          <w:tcPr>
            <w:tcW w:w="50" w:type="pct"/>
            <w:shd w:val="clear" w:color="auto" w:fill="auto"/>
            <w:vAlign w:val="bottom"/>
          </w:tcPr>
          <w:p w14:paraId="643046BE" w14:textId="77777777" w:rsidR="009F6D8A" w:rsidRDefault="009F6D8A">
            <w:pPr>
              <w:rPr>
                <w:rFonts w:ascii="宋体"/>
              </w:rPr>
            </w:pPr>
          </w:p>
        </w:tc>
        <w:tc>
          <w:tcPr>
            <w:tcW w:w="610" w:type="pct"/>
            <w:shd w:val="clear" w:color="auto" w:fill="auto"/>
            <w:vAlign w:val="bottom"/>
          </w:tcPr>
          <w:p w14:paraId="643046BF" w14:textId="77777777" w:rsidR="009F6D8A" w:rsidRDefault="009F6D8A">
            <w:pPr>
              <w:rPr>
                <w:rFonts w:ascii="宋体"/>
              </w:rPr>
            </w:pPr>
          </w:p>
        </w:tc>
        <w:tc>
          <w:tcPr>
            <w:tcW w:w="5" w:type="pct"/>
            <w:shd w:val="clear" w:color="auto" w:fill="auto"/>
            <w:vAlign w:val="bottom"/>
          </w:tcPr>
          <w:p w14:paraId="643046C0" w14:textId="77777777" w:rsidR="009F6D8A" w:rsidRDefault="009F6D8A">
            <w:pPr>
              <w:rPr>
                <w:rFonts w:ascii="宋体"/>
              </w:rPr>
            </w:pPr>
          </w:p>
        </w:tc>
        <w:tc>
          <w:tcPr>
            <w:tcW w:w="5" w:type="pct"/>
            <w:shd w:val="clear" w:color="auto" w:fill="auto"/>
            <w:vAlign w:val="bottom"/>
          </w:tcPr>
          <w:p w14:paraId="643046C1" w14:textId="77777777" w:rsidR="009F6D8A" w:rsidRDefault="009F6D8A">
            <w:pPr>
              <w:rPr>
                <w:rFonts w:ascii="宋体"/>
              </w:rPr>
            </w:pPr>
          </w:p>
        </w:tc>
        <w:tc>
          <w:tcPr>
            <w:tcW w:w="26" w:type="pct"/>
            <w:shd w:val="clear" w:color="auto" w:fill="auto"/>
            <w:vAlign w:val="bottom"/>
          </w:tcPr>
          <w:p w14:paraId="643046C2" w14:textId="77777777" w:rsidR="009F6D8A" w:rsidRDefault="009F6D8A">
            <w:pPr>
              <w:rPr>
                <w:rFonts w:ascii="宋体"/>
              </w:rPr>
            </w:pPr>
          </w:p>
        </w:tc>
        <w:tc>
          <w:tcPr>
            <w:tcW w:w="5" w:type="pct"/>
            <w:shd w:val="clear" w:color="auto" w:fill="auto"/>
            <w:vAlign w:val="bottom"/>
          </w:tcPr>
          <w:p w14:paraId="643046C3" w14:textId="77777777" w:rsidR="009F6D8A" w:rsidRDefault="009F6D8A">
            <w:pPr>
              <w:rPr>
                <w:rFonts w:ascii="宋体"/>
              </w:rPr>
            </w:pPr>
          </w:p>
        </w:tc>
        <w:tc>
          <w:tcPr>
            <w:tcW w:w="50" w:type="pct"/>
            <w:shd w:val="clear" w:color="auto" w:fill="auto"/>
            <w:vAlign w:val="bottom"/>
          </w:tcPr>
          <w:p w14:paraId="643046C4" w14:textId="77777777" w:rsidR="009F6D8A" w:rsidRDefault="009F6D8A">
            <w:pPr>
              <w:rPr>
                <w:rFonts w:ascii="宋体"/>
              </w:rPr>
            </w:pPr>
          </w:p>
        </w:tc>
        <w:tc>
          <w:tcPr>
            <w:tcW w:w="617" w:type="pct"/>
            <w:shd w:val="clear" w:color="auto" w:fill="auto"/>
            <w:vAlign w:val="bottom"/>
          </w:tcPr>
          <w:p w14:paraId="643046C5" w14:textId="77777777" w:rsidR="009F6D8A" w:rsidRDefault="009F6D8A">
            <w:pPr>
              <w:rPr>
                <w:rFonts w:ascii="宋体"/>
              </w:rPr>
            </w:pPr>
          </w:p>
        </w:tc>
        <w:tc>
          <w:tcPr>
            <w:tcW w:w="5" w:type="pct"/>
            <w:shd w:val="clear" w:color="auto" w:fill="auto"/>
            <w:vAlign w:val="bottom"/>
          </w:tcPr>
          <w:p w14:paraId="643046C6" w14:textId="77777777" w:rsidR="009F6D8A" w:rsidRDefault="009F6D8A">
            <w:pPr>
              <w:rPr>
                <w:rFonts w:ascii="宋体"/>
              </w:rPr>
            </w:pPr>
          </w:p>
        </w:tc>
      </w:tr>
      <w:tr w:rsidR="009F6D8A" w14:paraId="643046CC" w14:textId="77777777">
        <w:tc>
          <w:tcPr>
            <w:tcW w:w="0" w:type="auto"/>
            <w:gridSpan w:val="3"/>
            <w:shd w:val="clear" w:color="auto" w:fill="auto"/>
            <w:tcMar>
              <w:top w:w="0" w:type="dxa"/>
              <w:left w:w="20" w:type="dxa"/>
              <w:bottom w:w="0" w:type="dxa"/>
              <w:right w:w="20" w:type="dxa"/>
            </w:tcMar>
            <w:vAlign w:val="bottom"/>
          </w:tcPr>
          <w:p w14:paraId="643046C8"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6C9" w14:textId="77777777" w:rsidR="009F6D8A" w:rsidRDefault="00C50974">
            <w:pPr>
              <w:jc w:val="center"/>
              <w:textAlignment w:val="bottom"/>
            </w:pPr>
            <w:r>
              <w:rPr>
                <w:rFonts w:ascii="Arial" w:eastAsia="宋体" w:hAnsi="Arial" w:cs="Arial"/>
                <w:b/>
                <w:bCs/>
                <w:color w:val="000000"/>
                <w:sz w:val="16"/>
                <w:szCs w:val="16"/>
              </w:rPr>
              <w:t>June 30, 2021</w:t>
            </w:r>
          </w:p>
        </w:tc>
        <w:tc>
          <w:tcPr>
            <w:tcW w:w="0" w:type="auto"/>
            <w:gridSpan w:val="3"/>
            <w:shd w:val="clear" w:color="auto" w:fill="auto"/>
            <w:tcMar>
              <w:top w:w="0" w:type="dxa"/>
              <w:left w:w="20" w:type="dxa"/>
              <w:bottom w:w="0" w:type="dxa"/>
              <w:right w:w="20" w:type="dxa"/>
            </w:tcMar>
            <w:vAlign w:val="bottom"/>
          </w:tcPr>
          <w:p w14:paraId="643046CA"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6CB" w14:textId="77777777" w:rsidR="009F6D8A" w:rsidRDefault="00C50974">
            <w:pPr>
              <w:jc w:val="center"/>
              <w:textAlignment w:val="bottom"/>
            </w:pPr>
            <w:r>
              <w:rPr>
                <w:rFonts w:ascii="Arial" w:eastAsia="宋体" w:hAnsi="Arial" w:cs="Arial"/>
                <w:b/>
                <w:bCs/>
                <w:color w:val="000000"/>
                <w:sz w:val="16"/>
                <w:szCs w:val="16"/>
              </w:rPr>
              <w:t>December 31, 2020</w:t>
            </w:r>
          </w:p>
        </w:tc>
      </w:tr>
      <w:tr w:rsidR="009F6D8A" w14:paraId="643046D5" w14:textId="77777777">
        <w:tc>
          <w:tcPr>
            <w:tcW w:w="0" w:type="auto"/>
            <w:gridSpan w:val="3"/>
            <w:shd w:val="clear" w:color="auto" w:fill="DDDDDD"/>
            <w:tcMar>
              <w:top w:w="40" w:type="dxa"/>
              <w:left w:w="20" w:type="dxa"/>
              <w:bottom w:w="40" w:type="dxa"/>
              <w:right w:w="20" w:type="dxa"/>
            </w:tcMar>
            <w:vAlign w:val="bottom"/>
          </w:tcPr>
          <w:p w14:paraId="643046CD" w14:textId="77777777" w:rsidR="009F6D8A" w:rsidRDefault="00C50974">
            <w:pPr>
              <w:textAlignment w:val="bottom"/>
            </w:pPr>
            <w:r>
              <w:rPr>
                <w:rFonts w:ascii="Arial" w:eastAsia="宋体" w:hAnsi="Arial" w:cs="Arial"/>
                <w:color w:val="000000"/>
                <w:sz w:val="18"/>
                <w:szCs w:val="18"/>
              </w:rPr>
              <w:t>Cash and cash equivalents</w:t>
            </w:r>
          </w:p>
        </w:tc>
        <w:tc>
          <w:tcPr>
            <w:tcW w:w="0" w:type="auto"/>
            <w:tcBorders>
              <w:top w:val="single" w:sz="8" w:space="0" w:color="000000"/>
            </w:tcBorders>
            <w:shd w:val="clear" w:color="auto" w:fill="DDDDDD"/>
            <w:tcMar>
              <w:top w:w="40" w:type="dxa"/>
              <w:left w:w="20" w:type="dxa"/>
              <w:bottom w:w="40" w:type="dxa"/>
              <w:right w:w="0" w:type="dxa"/>
            </w:tcMar>
            <w:vAlign w:val="bottom"/>
          </w:tcPr>
          <w:p w14:paraId="643046CE"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left w:w="0" w:type="dxa"/>
              <w:bottom w:w="40" w:type="dxa"/>
              <w:right w:w="0" w:type="dxa"/>
            </w:tcMar>
            <w:vAlign w:val="bottom"/>
          </w:tcPr>
          <w:p w14:paraId="643046CF" w14:textId="77777777" w:rsidR="009F6D8A" w:rsidRDefault="00C50974">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DDDDDD"/>
            <w:tcMar>
              <w:top w:w="40" w:type="dxa"/>
              <w:left w:w="0" w:type="dxa"/>
              <w:bottom w:w="40" w:type="dxa"/>
              <w:right w:w="20" w:type="dxa"/>
            </w:tcMar>
            <w:vAlign w:val="bottom"/>
          </w:tcPr>
          <w:p w14:paraId="643046D0" w14:textId="77777777" w:rsidR="009F6D8A" w:rsidRDefault="009F6D8A">
            <w:pPr>
              <w:jc w:val="right"/>
              <w:rPr>
                <w:rFonts w:ascii="宋体"/>
              </w:rPr>
            </w:pPr>
          </w:p>
        </w:tc>
        <w:tc>
          <w:tcPr>
            <w:tcW w:w="0" w:type="auto"/>
            <w:gridSpan w:val="3"/>
            <w:shd w:val="clear" w:color="auto" w:fill="DDDDDD"/>
            <w:tcMar>
              <w:top w:w="0" w:type="dxa"/>
              <w:left w:w="20" w:type="dxa"/>
              <w:bottom w:w="0" w:type="dxa"/>
              <w:right w:w="20" w:type="dxa"/>
            </w:tcMar>
            <w:vAlign w:val="bottom"/>
          </w:tcPr>
          <w:p w14:paraId="643046D1" w14:textId="77777777" w:rsidR="009F6D8A" w:rsidRDefault="009F6D8A">
            <w:pPr>
              <w:rPr>
                <w:rFonts w:ascii="宋体"/>
              </w:rPr>
            </w:pPr>
          </w:p>
        </w:tc>
        <w:tc>
          <w:tcPr>
            <w:tcW w:w="0" w:type="auto"/>
            <w:tcBorders>
              <w:top w:val="single" w:sz="8" w:space="0" w:color="000000"/>
            </w:tcBorders>
            <w:shd w:val="clear" w:color="auto" w:fill="DDDDDD"/>
            <w:tcMar>
              <w:top w:w="40" w:type="dxa"/>
              <w:left w:w="20" w:type="dxa"/>
              <w:bottom w:w="40" w:type="dxa"/>
              <w:right w:w="0" w:type="dxa"/>
            </w:tcMar>
            <w:vAlign w:val="bottom"/>
          </w:tcPr>
          <w:p w14:paraId="643046D2"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DDDDD"/>
            <w:tcMar>
              <w:top w:w="40" w:type="dxa"/>
              <w:left w:w="0" w:type="dxa"/>
              <w:bottom w:w="40" w:type="dxa"/>
              <w:right w:w="0" w:type="dxa"/>
            </w:tcMar>
            <w:vAlign w:val="bottom"/>
          </w:tcPr>
          <w:p w14:paraId="643046D3"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DDDDDD"/>
            <w:tcMar>
              <w:top w:w="40" w:type="dxa"/>
              <w:left w:w="0" w:type="dxa"/>
              <w:bottom w:w="40" w:type="dxa"/>
              <w:right w:w="20" w:type="dxa"/>
            </w:tcMar>
            <w:vAlign w:val="bottom"/>
          </w:tcPr>
          <w:p w14:paraId="643046D4" w14:textId="77777777" w:rsidR="009F6D8A" w:rsidRDefault="009F6D8A">
            <w:pPr>
              <w:jc w:val="right"/>
              <w:rPr>
                <w:rFonts w:ascii="宋体"/>
              </w:rPr>
            </w:pPr>
          </w:p>
        </w:tc>
      </w:tr>
      <w:tr w:rsidR="009F6D8A" w14:paraId="643046DC" w14:textId="77777777">
        <w:tc>
          <w:tcPr>
            <w:tcW w:w="0" w:type="auto"/>
            <w:gridSpan w:val="3"/>
            <w:shd w:val="clear" w:color="auto" w:fill="FFFFFF"/>
            <w:tcMar>
              <w:top w:w="40" w:type="dxa"/>
              <w:left w:w="20" w:type="dxa"/>
              <w:bottom w:w="40" w:type="dxa"/>
              <w:right w:w="20" w:type="dxa"/>
            </w:tcMar>
            <w:vAlign w:val="bottom"/>
          </w:tcPr>
          <w:p w14:paraId="643046D6" w14:textId="77777777" w:rsidR="009F6D8A" w:rsidRDefault="00C50974">
            <w:pPr>
              <w:textAlignment w:val="bottom"/>
            </w:pPr>
            <w:r>
              <w:rPr>
                <w:rFonts w:ascii="Arial" w:eastAsia="宋体" w:hAnsi="Arial" w:cs="Arial"/>
                <w:color w:val="000000"/>
                <w:sz w:val="18"/>
                <w:szCs w:val="18"/>
              </w:rPr>
              <w:t>Funds receivable</w:t>
            </w:r>
          </w:p>
        </w:tc>
        <w:tc>
          <w:tcPr>
            <w:tcW w:w="0" w:type="auto"/>
            <w:gridSpan w:val="2"/>
            <w:shd w:val="clear" w:color="auto" w:fill="FFFFFF"/>
            <w:tcMar>
              <w:top w:w="40" w:type="dxa"/>
              <w:left w:w="20" w:type="dxa"/>
              <w:bottom w:w="40" w:type="dxa"/>
              <w:right w:w="0" w:type="dxa"/>
            </w:tcMar>
            <w:vAlign w:val="bottom"/>
          </w:tcPr>
          <w:p w14:paraId="643046D7" w14:textId="77777777" w:rsidR="009F6D8A" w:rsidRDefault="00C50974">
            <w:pPr>
              <w:jc w:val="right"/>
              <w:textAlignment w:val="bottom"/>
            </w:pPr>
            <w:r>
              <w:rPr>
                <w:rFonts w:ascii="Arial" w:eastAsia="宋体" w:hAnsi="Arial" w:cs="Arial"/>
                <w:color w:val="000000"/>
                <w:sz w:val="18"/>
                <w:szCs w:val="18"/>
              </w:rPr>
              <w:t>484 </w:t>
            </w:r>
          </w:p>
        </w:tc>
        <w:tc>
          <w:tcPr>
            <w:tcW w:w="0" w:type="auto"/>
            <w:shd w:val="clear" w:color="auto" w:fill="FFFFFF"/>
            <w:tcMar>
              <w:top w:w="40" w:type="dxa"/>
              <w:left w:w="0" w:type="dxa"/>
              <w:bottom w:w="40" w:type="dxa"/>
              <w:right w:w="20" w:type="dxa"/>
            </w:tcMar>
            <w:vAlign w:val="bottom"/>
          </w:tcPr>
          <w:p w14:paraId="643046D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6D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6DA" w14:textId="77777777" w:rsidR="009F6D8A" w:rsidRDefault="00C50974">
            <w:pPr>
              <w:jc w:val="right"/>
              <w:textAlignment w:val="bottom"/>
            </w:pPr>
            <w:r>
              <w:rPr>
                <w:rFonts w:ascii="Arial" w:eastAsia="宋体" w:hAnsi="Arial" w:cs="Arial"/>
                <w:color w:val="000000"/>
                <w:sz w:val="18"/>
                <w:szCs w:val="18"/>
              </w:rPr>
              <w:t>290 </w:t>
            </w:r>
          </w:p>
        </w:tc>
        <w:tc>
          <w:tcPr>
            <w:tcW w:w="0" w:type="auto"/>
            <w:shd w:val="clear" w:color="auto" w:fill="FFFFFF"/>
            <w:tcMar>
              <w:top w:w="40" w:type="dxa"/>
              <w:left w:w="0" w:type="dxa"/>
              <w:bottom w:w="40" w:type="dxa"/>
              <w:right w:w="20" w:type="dxa"/>
            </w:tcMar>
            <w:vAlign w:val="bottom"/>
          </w:tcPr>
          <w:p w14:paraId="643046DB" w14:textId="77777777" w:rsidR="009F6D8A" w:rsidRDefault="009F6D8A">
            <w:pPr>
              <w:jc w:val="right"/>
              <w:rPr>
                <w:rFonts w:ascii="宋体"/>
              </w:rPr>
            </w:pPr>
          </w:p>
        </w:tc>
      </w:tr>
      <w:tr w:rsidR="009F6D8A" w14:paraId="643046E5" w14:textId="77777777">
        <w:tc>
          <w:tcPr>
            <w:tcW w:w="0" w:type="auto"/>
            <w:gridSpan w:val="3"/>
            <w:shd w:val="clear" w:color="auto" w:fill="DDDDDD"/>
            <w:tcMar>
              <w:top w:w="40" w:type="dxa"/>
              <w:left w:w="20" w:type="dxa"/>
              <w:bottom w:w="40" w:type="dxa"/>
              <w:right w:w="20" w:type="dxa"/>
            </w:tcMar>
            <w:vAlign w:val="bottom"/>
          </w:tcPr>
          <w:p w14:paraId="643046DD" w14:textId="77777777" w:rsidR="009F6D8A" w:rsidRDefault="00C50974">
            <w:pPr>
              <w:textAlignment w:val="bottom"/>
            </w:pPr>
            <w:r>
              <w:rPr>
                <w:rFonts w:ascii="Arial" w:eastAsia="宋体" w:hAnsi="Arial" w:cs="Arial"/>
                <w:color w:val="000000"/>
                <w:sz w:val="18"/>
                <w:szCs w:val="18"/>
              </w:rPr>
              <w:t xml:space="preserve">Customer accounts and funds </w:t>
            </w:r>
            <w:r>
              <w:rPr>
                <w:rFonts w:ascii="Arial" w:eastAsia="宋体" w:hAnsi="Arial" w:cs="Arial"/>
                <w:color w:val="000000"/>
                <w:sz w:val="18"/>
                <w:szCs w:val="18"/>
              </w:rPr>
              <w:t>receivable</w:t>
            </w:r>
          </w:p>
        </w:tc>
        <w:tc>
          <w:tcPr>
            <w:tcW w:w="0" w:type="auto"/>
            <w:tcBorders>
              <w:top w:val="single" w:sz="8" w:space="0" w:color="000000"/>
              <w:bottom w:val="double" w:sz="6" w:space="0" w:color="000000"/>
            </w:tcBorders>
            <w:shd w:val="clear" w:color="auto" w:fill="DDDDDD"/>
            <w:tcMar>
              <w:top w:w="40" w:type="dxa"/>
              <w:left w:w="20" w:type="dxa"/>
              <w:bottom w:w="40" w:type="dxa"/>
              <w:right w:w="0" w:type="dxa"/>
            </w:tcMar>
            <w:vAlign w:val="bottom"/>
          </w:tcPr>
          <w:p w14:paraId="643046DE"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DDDDD"/>
            <w:tcMar>
              <w:top w:w="40" w:type="dxa"/>
              <w:left w:w="0" w:type="dxa"/>
              <w:bottom w:w="40" w:type="dxa"/>
              <w:right w:w="0" w:type="dxa"/>
            </w:tcMar>
            <w:vAlign w:val="bottom"/>
          </w:tcPr>
          <w:p w14:paraId="643046DF" w14:textId="77777777" w:rsidR="009F6D8A" w:rsidRDefault="00C50974">
            <w:pPr>
              <w:jc w:val="right"/>
              <w:textAlignment w:val="bottom"/>
            </w:pPr>
            <w:r>
              <w:rPr>
                <w:rFonts w:ascii="Arial" w:eastAsia="宋体" w:hAnsi="Arial" w:cs="Arial"/>
                <w:color w:val="000000"/>
                <w:sz w:val="18"/>
                <w:szCs w:val="18"/>
              </w:rPr>
              <w:t>485 </w:t>
            </w:r>
          </w:p>
        </w:tc>
        <w:tc>
          <w:tcPr>
            <w:tcW w:w="0" w:type="auto"/>
            <w:tcBorders>
              <w:top w:val="single" w:sz="8" w:space="0" w:color="000000"/>
              <w:bottom w:val="double" w:sz="6" w:space="0" w:color="000000"/>
            </w:tcBorders>
            <w:shd w:val="clear" w:color="auto" w:fill="DDDDDD"/>
            <w:tcMar>
              <w:top w:w="40" w:type="dxa"/>
              <w:left w:w="0" w:type="dxa"/>
              <w:bottom w:w="40" w:type="dxa"/>
              <w:right w:w="20" w:type="dxa"/>
            </w:tcMar>
            <w:vAlign w:val="bottom"/>
          </w:tcPr>
          <w:p w14:paraId="643046E0" w14:textId="77777777" w:rsidR="009F6D8A" w:rsidRDefault="009F6D8A">
            <w:pPr>
              <w:jc w:val="right"/>
              <w:rPr>
                <w:rFonts w:ascii="宋体"/>
              </w:rPr>
            </w:pPr>
          </w:p>
        </w:tc>
        <w:tc>
          <w:tcPr>
            <w:tcW w:w="0" w:type="auto"/>
            <w:gridSpan w:val="3"/>
            <w:shd w:val="clear" w:color="auto" w:fill="DDDDDD"/>
            <w:tcMar>
              <w:top w:w="0" w:type="dxa"/>
              <w:left w:w="20" w:type="dxa"/>
              <w:bottom w:w="0" w:type="dxa"/>
              <w:right w:w="20" w:type="dxa"/>
            </w:tcMar>
            <w:vAlign w:val="bottom"/>
          </w:tcPr>
          <w:p w14:paraId="643046E1" w14:textId="77777777" w:rsidR="009F6D8A" w:rsidRDefault="009F6D8A">
            <w:pPr>
              <w:rPr>
                <w:rFonts w:ascii="宋体"/>
              </w:rPr>
            </w:pPr>
          </w:p>
        </w:tc>
        <w:tc>
          <w:tcPr>
            <w:tcW w:w="0" w:type="auto"/>
            <w:tcBorders>
              <w:top w:val="single" w:sz="8" w:space="0" w:color="000000"/>
              <w:bottom w:val="double" w:sz="6" w:space="0" w:color="000000"/>
            </w:tcBorders>
            <w:shd w:val="clear" w:color="auto" w:fill="DDDDDD"/>
            <w:tcMar>
              <w:top w:w="40" w:type="dxa"/>
              <w:left w:w="20" w:type="dxa"/>
              <w:bottom w:w="40" w:type="dxa"/>
              <w:right w:w="0" w:type="dxa"/>
            </w:tcMar>
            <w:vAlign w:val="bottom"/>
          </w:tcPr>
          <w:p w14:paraId="643046E2"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DDDDD"/>
            <w:tcMar>
              <w:top w:w="40" w:type="dxa"/>
              <w:left w:w="0" w:type="dxa"/>
              <w:bottom w:w="40" w:type="dxa"/>
              <w:right w:w="0" w:type="dxa"/>
            </w:tcMar>
            <w:vAlign w:val="bottom"/>
          </w:tcPr>
          <w:p w14:paraId="643046E3" w14:textId="77777777" w:rsidR="009F6D8A" w:rsidRDefault="00C50974">
            <w:pPr>
              <w:jc w:val="right"/>
              <w:textAlignment w:val="bottom"/>
            </w:pPr>
            <w:r>
              <w:rPr>
                <w:rFonts w:ascii="Arial" w:eastAsia="宋体" w:hAnsi="Arial" w:cs="Arial"/>
                <w:color w:val="000000"/>
                <w:sz w:val="18"/>
                <w:szCs w:val="18"/>
              </w:rPr>
              <w:t>290 </w:t>
            </w:r>
          </w:p>
        </w:tc>
        <w:tc>
          <w:tcPr>
            <w:tcW w:w="0" w:type="auto"/>
            <w:tcBorders>
              <w:top w:val="single" w:sz="8" w:space="0" w:color="000000"/>
              <w:bottom w:val="double" w:sz="6" w:space="0" w:color="000000"/>
            </w:tcBorders>
            <w:shd w:val="clear" w:color="auto" w:fill="DDDDDD"/>
            <w:tcMar>
              <w:top w:w="40" w:type="dxa"/>
              <w:left w:w="0" w:type="dxa"/>
              <w:bottom w:w="40" w:type="dxa"/>
              <w:right w:w="20" w:type="dxa"/>
            </w:tcMar>
            <w:vAlign w:val="bottom"/>
          </w:tcPr>
          <w:p w14:paraId="643046E4" w14:textId="77777777" w:rsidR="009F6D8A" w:rsidRDefault="009F6D8A">
            <w:pPr>
              <w:jc w:val="right"/>
              <w:rPr>
                <w:rFonts w:ascii="宋体"/>
              </w:rPr>
            </w:pPr>
          </w:p>
        </w:tc>
      </w:tr>
    </w:tbl>
    <w:p w14:paraId="643046E6" w14:textId="77777777" w:rsidR="009F6D8A" w:rsidRDefault="009F6D8A"/>
    <w:p w14:paraId="643046E7" w14:textId="77777777" w:rsidR="009F6D8A" w:rsidRDefault="00C50974">
      <w:pPr>
        <w:jc w:val="both"/>
      </w:pPr>
      <w:r>
        <w:rPr>
          <w:rFonts w:ascii="Arial" w:eastAsia="宋体" w:hAnsi="Arial" w:cs="Arial"/>
          <w:b/>
          <w:bCs/>
          <w:color w:val="000000"/>
          <w:sz w:val="20"/>
          <w:szCs w:val="20"/>
        </w:rPr>
        <w:t xml:space="preserve">Note 11 — Commitments and Contingencies </w:t>
      </w:r>
    </w:p>
    <w:p w14:paraId="643046E8" w14:textId="77777777" w:rsidR="009F6D8A" w:rsidRDefault="009F6D8A">
      <w:pPr>
        <w:ind w:firstLine="450"/>
        <w:jc w:val="both"/>
      </w:pPr>
    </w:p>
    <w:p w14:paraId="643046E9" w14:textId="77777777" w:rsidR="009F6D8A" w:rsidRDefault="00C50974">
      <w:pPr>
        <w:ind w:firstLine="270"/>
        <w:jc w:val="both"/>
      </w:pPr>
      <w:r>
        <w:rPr>
          <w:rFonts w:ascii="Arial" w:eastAsia="宋体" w:hAnsi="Arial" w:cs="Arial"/>
          <w:b/>
          <w:bCs/>
          <w:i/>
          <w:iCs/>
          <w:color w:val="000000"/>
          <w:sz w:val="20"/>
          <w:szCs w:val="20"/>
        </w:rPr>
        <w:t>Off-Balance Sheet Arrangements</w:t>
      </w:r>
    </w:p>
    <w:p w14:paraId="643046EA" w14:textId="77777777" w:rsidR="009F6D8A" w:rsidRDefault="009F6D8A">
      <w:pPr>
        <w:jc w:val="both"/>
      </w:pPr>
    </w:p>
    <w:p w14:paraId="643046EB" w14:textId="77777777" w:rsidR="009F6D8A" w:rsidRDefault="00C50974">
      <w:pPr>
        <w:ind w:firstLine="540"/>
        <w:jc w:val="both"/>
      </w:pPr>
      <w:r>
        <w:rPr>
          <w:rFonts w:ascii="Arial" w:eastAsia="宋体" w:hAnsi="Arial" w:cs="Arial"/>
          <w:color w:val="000000"/>
          <w:sz w:val="20"/>
          <w:szCs w:val="20"/>
        </w:rPr>
        <w:t>As of June 30, 2021, we had no off-balance sheet arrangements that have, or are reasonably likely to have, a current or future material effect on our consolidated financial condition, results of operations, liquidity, capital expenditures or capital resour</w:t>
      </w:r>
      <w:r>
        <w:rPr>
          <w:rFonts w:ascii="Arial" w:eastAsia="宋体" w:hAnsi="Arial" w:cs="Arial"/>
          <w:color w:val="000000"/>
          <w:sz w:val="20"/>
          <w:szCs w:val="20"/>
        </w:rPr>
        <w:t xml:space="preserve">ces. </w:t>
      </w:r>
    </w:p>
    <w:p w14:paraId="643046EC" w14:textId="77777777" w:rsidR="009F6D8A" w:rsidRDefault="009F6D8A">
      <w:pPr>
        <w:ind w:firstLine="540"/>
        <w:jc w:val="both"/>
      </w:pPr>
    </w:p>
    <w:p w14:paraId="643046ED" w14:textId="77777777" w:rsidR="009F6D8A" w:rsidRDefault="00C50974">
      <w:pPr>
        <w:ind w:firstLine="540"/>
        <w:jc w:val="both"/>
      </w:pPr>
      <w:r>
        <w:rPr>
          <w:rFonts w:ascii="Arial" w:eastAsia="宋体" w:hAnsi="Arial" w:cs="Arial"/>
          <w:color w:val="000000"/>
          <w:sz w:val="20"/>
          <w:szCs w:val="20"/>
        </w:rPr>
        <w:t>We have a cash pooling arrangement with a financial institution for cash management purposes. This arrangement allows for cash withdrawals from the financial institution based upon our aggregate operating cash balances held within the same financial instit</w:t>
      </w:r>
      <w:r>
        <w:rPr>
          <w:rFonts w:ascii="Arial" w:eastAsia="宋体" w:hAnsi="Arial" w:cs="Arial"/>
          <w:color w:val="000000"/>
          <w:sz w:val="20"/>
          <w:szCs w:val="20"/>
        </w:rPr>
        <w:t>ution (“Aggregate Cash Deposits”). This arrangement also allows us to withdraw amounts exceeding the Aggregate Cash Deposits up to an agreed-upon limit. The net balance of the withdrawals and the Aggregate Cash Deposits are used by the financial institutio</w:t>
      </w:r>
      <w:r>
        <w:rPr>
          <w:rFonts w:ascii="Arial" w:eastAsia="宋体" w:hAnsi="Arial" w:cs="Arial"/>
          <w:color w:val="000000"/>
          <w:sz w:val="20"/>
          <w:szCs w:val="20"/>
        </w:rPr>
        <w:t xml:space="preserve">n as a basis for calculating our net </w:t>
      </w:r>
    </w:p>
    <w:p w14:paraId="643046EE" w14:textId="77777777" w:rsidR="009F6D8A" w:rsidRDefault="009F6D8A">
      <w:pPr>
        <w:jc w:val="center"/>
      </w:pPr>
    </w:p>
    <w:p w14:paraId="643046EF" w14:textId="77777777" w:rsidR="009F6D8A" w:rsidRDefault="00C50974">
      <w:pPr>
        <w:jc w:val="center"/>
      </w:pPr>
      <w:r>
        <w:rPr>
          <w:rFonts w:ascii="Arial" w:eastAsia="宋体" w:hAnsi="Arial" w:cs="Arial"/>
          <w:color w:val="000000"/>
          <w:sz w:val="20"/>
          <w:szCs w:val="20"/>
        </w:rPr>
        <w:t>31</w:t>
      </w:r>
    </w:p>
    <w:p w14:paraId="643046F0" w14:textId="77777777" w:rsidR="009F6D8A" w:rsidRDefault="00C50974">
      <w:r>
        <w:pict w14:anchorId="64305822">
          <v:rect id="_x0000_i1055" style="width:415.3pt;height:1.5pt" o:hralign="center" o:hrstd="t" o:hr="t" fillcolor="#a0a0a0" stroked="f"/>
        </w:pict>
      </w:r>
    </w:p>
    <w:p w14:paraId="643046F1" w14:textId="77777777" w:rsidR="009F6D8A" w:rsidRDefault="009F6D8A">
      <w:pPr>
        <w:jc w:val="center"/>
      </w:pPr>
    </w:p>
    <w:p w14:paraId="643046F2" w14:textId="77777777" w:rsidR="009F6D8A" w:rsidRDefault="00C50974">
      <w:pPr>
        <w:jc w:val="center"/>
      </w:pPr>
      <w:r>
        <w:rPr>
          <w:rFonts w:ascii="Arial" w:eastAsia="宋体" w:hAnsi="Arial" w:cs="Arial"/>
          <w:b/>
          <w:bCs/>
          <w:color w:val="000000"/>
          <w:sz w:val="20"/>
          <w:szCs w:val="20"/>
        </w:rPr>
        <w:t>eBay Inc.</w:t>
      </w:r>
    </w:p>
    <w:p w14:paraId="643046F3"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46F4" w14:textId="77777777" w:rsidR="009F6D8A" w:rsidRDefault="00C50974">
      <w:pPr>
        <w:jc w:val="both"/>
      </w:pPr>
      <w:r>
        <w:rPr>
          <w:rFonts w:ascii="Arial" w:eastAsia="宋体" w:hAnsi="Arial" w:cs="Arial"/>
          <w:color w:val="000000"/>
          <w:sz w:val="20"/>
          <w:szCs w:val="20"/>
        </w:rPr>
        <w:t>interest expense or income under the arrangement. As of June 30, 2021, we had a total of $2.1 billion in aggregate cash deposits, partia</w:t>
      </w:r>
      <w:r>
        <w:rPr>
          <w:rFonts w:ascii="Arial" w:eastAsia="宋体" w:hAnsi="Arial" w:cs="Arial"/>
          <w:color w:val="000000"/>
          <w:sz w:val="20"/>
          <w:szCs w:val="20"/>
        </w:rPr>
        <w:t>lly offset by $1.9 billion in cash withdrawals, held within the financial institution under the cash pooling arrangement.</w:t>
      </w:r>
    </w:p>
    <w:p w14:paraId="643046F5" w14:textId="77777777" w:rsidR="009F6D8A" w:rsidRDefault="009F6D8A">
      <w:pPr>
        <w:jc w:val="both"/>
      </w:pPr>
    </w:p>
    <w:p w14:paraId="643046F6" w14:textId="77777777" w:rsidR="009F6D8A" w:rsidRDefault="00C50974">
      <w:pPr>
        <w:ind w:firstLine="270"/>
        <w:jc w:val="both"/>
      </w:pPr>
      <w:r>
        <w:rPr>
          <w:rFonts w:ascii="Arial" w:eastAsia="宋体" w:hAnsi="Arial" w:cs="Arial"/>
          <w:b/>
          <w:bCs/>
          <w:i/>
          <w:iCs/>
          <w:color w:val="000000"/>
          <w:sz w:val="20"/>
          <w:szCs w:val="20"/>
        </w:rPr>
        <w:t>Litigation and Other Legal Matters</w:t>
      </w:r>
    </w:p>
    <w:p w14:paraId="643046F7" w14:textId="77777777" w:rsidR="009F6D8A" w:rsidRDefault="00C50974">
      <w:pPr>
        <w:jc w:val="both"/>
      </w:pPr>
      <w:r>
        <w:rPr>
          <w:rFonts w:ascii="Arial" w:eastAsia="宋体" w:hAnsi="Arial" w:cs="Arial"/>
          <w:color w:val="000000"/>
          <w:sz w:val="20"/>
          <w:szCs w:val="20"/>
        </w:rPr>
        <w:t> </w:t>
      </w:r>
    </w:p>
    <w:p w14:paraId="643046F8" w14:textId="77777777" w:rsidR="009F6D8A" w:rsidRDefault="00C50974">
      <w:pPr>
        <w:ind w:firstLine="450"/>
        <w:jc w:val="both"/>
      </w:pPr>
      <w:r>
        <w:rPr>
          <w:rFonts w:ascii="Arial" w:eastAsia="宋体" w:hAnsi="Arial" w:cs="Arial"/>
          <w:color w:val="000000"/>
          <w:sz w:val="20"/>
          <w:szCs w:val="20"/>
        </w:rPr>
        <w:t>Overview</w:t>
      </w:r>
    </w:p>
    <w:p w14:paraId="643046F9" w14:textId="77777777" w:rsidR="009F6D8A" w:rsidRDefault="00C50974">
      <w:pPr>
        <w:spacing w:before="200"/>
        <w:ind w:firstLine="540"/>
        <w:jc w:val="both"/>
      </w:pPr>
      <w:r>
        <w:rPr>
          <w:rFonts w:ascii="Arial" w:eastAsia="宋体" w:hAnsi="Arial" w:cs="Arial"/>
          <w:color w:val="000000"/>
          <w:sz w:val="20"/>
          <w:szCs w:val="20"/>
        </w:rPr>
        <w:t xml:space="preserve">We are involved in legal and regulatory proceedings on an ongoing basis. Many of these </w:t>
      </w:r>
      <w:r>
        <w:rPr>
          <w:rFonts w:ascii="Arial" w:eastAsia="宋体" w:hAnsi="Arial" w:cs="Arial"/>
          <w:color w:val="000000"/>
          <w:sz w:val="20"/>
          <w:szCs w:val="20"/>
        </w:rPr>
        <w:t>proceedings are in early stages and may seek an indeterminate amount of damages. If we believe that a loss arising from such matters is probable and can be reasonably estimated, we accrue the estimated liability in our financial statements. If only a range</w:t>
      </w:r>
      <w:r>
        <w:rPr>
          <w:rFonts w:ascii="Arial" w:eastAsia="宋体" w:hAnsi="Arial" w:cs="Arial"/>
          <w:color w:val="000000"/>
          <w:sz w:val="20"/>
          <w:szCs w:val="20"/>
        </w:rPr>
        <w:t xml:space="preserve"> of estimated losses can be determined, we accrue an amount within the range that, in our judgment, reflects the most likely outcome; if none of the estimates within that range is a better estimate than any other amount, we accrue the low end of the range.</w:t>
      </w:r>
      <w:r>
        <w:rPr>
          <w:rFonts w:ascii="Arial" w:eastAsia="宋体" w:hAnsi="Arial" w:cs="Arial"/>
          <w:color w:val="000000"/>
          <w:sz w:val="20"/>
          <w:szCs w:val="20"/>
        </w:rPr>
        <w:t xml:space="preserve"> For those proceedings in which an unfavorable outcome is reasonably possible but not probable, we have disclosed an estimate of the reasonably possible loss or range of losses or we have concluded that an estimate of the reasonably possible loss or range </w:t>
      </w:r>
      <w:r>
        <w:rPr>
          <w:rFonts w:ascii="Arial" w:eastAsia="宋体" w:hAnsi="Arial" w:cs="Arial"/>
          <w:color w:val="000000"/>
          <w:sz w:val="20"/>
          <w:szCs w:val="20"/>
        </w:rPr>
        <w:t>of losses arising directly from the proceeding (i.e., monetary damages or amounts paid in judgment or settlement) is not material. If we cannot estimate the probable or reasonably possible loss or range of losses arising from a proceeding, we have disclose</w:t>
      </w:r>
      <w:r>
        <w:rPr>
          <w:rFonts w:ascii="Arial" w:eastAsia="宋体" w:hAnsi="Arial" w:cs="Arial"/>
          <w:color w:val="000000"/>
          <w:sz w:val="20"/>
          <w:szCs w:val="20"/>
        </w:rPr>
        <w:t>d that fact. In assessing the materiality of a proceeding, we evaluate, among other factors, the amount of monetary damages claimed, as well as the potential impact of non-monetary remedies sought by plaintiffs (e.g., injunctive relief) that may require us</w:t>
      </w:r>
      <w:r>
        <w:rPr>
          <w:rFonts w:ascii="Arial" w:eastAsia="宋体" w:hAnsi="Arial" w:cs="Arial"/>
          <w:color w:val="000000"/>
          <w:sz w:val="20"/>
          <w:szCs w:val="20"/>
        </w:rPr>
        <w:t xml:space="preserve"> to change our business practices in a manner that could have a material adverse impact on our business. With respect to the matters disclosed in this Note 11, we are unable to estimate the possible loss or range of losses that could potentially result fro</w:t>
      </w:r>
      <w:r>
        <w:rPr>
          <w:rFonts w:ascii="Arial" w:eastAsia="宋体" w:hAnsi="Arial" w:cs="Arial"/>
          <w:color w:val="000000"/>
          <w:sz w:val="20"/>
          <w:szCs w:val="20"/>
        </w:rPr>
        <w:t>m the application of such non-monetary remedies.</w:t>
      </w:r>
    </w:p>
    <w:p w14:paraId="643046FA" w14:textId="77777777" w:rsidR="009F6D8A" w:rsidRDefault="009F6D8A">
      <w:pPr>
        <w:ind w:firstLine="540"/>
        <w:jc w:val="both"/>
      </w:pPr>
    </w:p>
    <w:p w14:paraId="643046FB" w14:textId="77777777" w:rsidR="009F6D8A" w:rsidRDefault="00C50974">
      <w:pPr>
        <w:ind w:firstLine="540"/>
        <w:jc w:val="both"/>
      </w:pPr>
      <w:r>
        <w:rPr>
          <w:rFonts w:ascii="Arial" w:eastAsia="宋体" w:hAnsi="Arial" w:cs="Arial"/>
          <w:color w:val="000000"/>
          <w:sz w:val="20"/>
          <w:szCs w:val="20"/>
        </w:rPr>
        <w:t>Amounts accrued for legal and regulatory proceedings for which we believe a loss is probable were not material for the six months ended June 30, 2021. We have concluded, based on currently available informa</w:t>
      </w:r>
      <w:r>
        <w:rPr>
          <w:rFonts w:ascii="Arial" w:eastAsia="宋体" w:hAnsi="Arial" w:cs="Arial"/>
          <w:color w:val="000000"/>
          <w:sz w:val="20"/>
          <w:szCs w:val="20"/>
        </w:rPr>
        <w:t>tion, that reasonably possible losses arising directly from the proceedings (i.e., monetary damages or amounts paid in judgment or settlement) in excess of our recorded accruals are also not material. However, legal and regulatory proceedings are inherentl</w:t>
      </w:r>
      <w:r>
        <w:rPr>
          <w:rFonts w:ascii="Arial" w:eastAsia="宋体" w:hAnsi="Arial" w:cs="Arial"/>
          <w:color w:val="000000"/>
          <w:sz w:val="20"/>
          <w:szCs w:val="20"/>
        </w:rPr>
        <w:t>y unpredictable and subject to significant uncertainties. If one or more matters were resolved against us in a reporting period for amounts in excess of management’s expectations, the impact on our operating results or financial condition for that reportin</w:t>
      </w:r>
      <w:r>
        <w:rPr>
          <w:rFonts w:ascii="Arial" w:eastAsia="宋体" w:hAnsi="Arial" w:cs="Arial"/>
          <w:color w:val="000000"/>
          <w:sz w:val="20"/>
          <w:szCs w:val="20"/>
        </w:rPr>
        <w:t>g period could be material. Legal fees are expensed as incurred.</w:t>
      </w:r>
    </w:p>
    <w:p w14:paraId="643046FC" w14:textId="77777777" w:rsidR="009F6D8A" w:rsidRDefault="009F6D8A">
      <w:pPr>
        <w:ind w:firstLine="540"/>
        <w:jc w:val="both"/>
      </w:pPr>
    </w:p>
    <w:p w14:paraId="643046FD" w14:textId="77777777" w:rsidR="009F6D8A" w:rsidRDefault="00C50974">
      <w:pPr>
        <w:ind w:firstLine="450"/>
        <w:jc w:val="both"/>
      </w:pPr>
      <w:r>
        <w:rPr>
          <w:rFonts w:ascii="Arial" w:eastAsia="宋体" w:hAnsi="Arial" w:cs="Arial"/>
          <w:color w:val="000000"/>
          <w:sz w:val="20"/>
          <w:szCs w:val="20"/>
        </w:rPr>
        <w:t>General Matters</w:t>
      </w:r>
    </w:p>
    <w:p w14:paraId="643046FE" w14:textId="77777777" w:rsidR="009F6D8A" w:rsidRDefault="009F6D8A">
      <w:pPr>
        <w:ind w:firstLine="540"/>
        <w:jc w:val="both"/>
      </w:pPr>
    </w:p>
    <w:p w14:paraId="643046FF" w14:textId="77777777" w:rsidR="009F6D8A" w:rsidRDefault="00C50974">
      <w:pPr>
        <w:ind w:firstLine="540"/>
        <w:jc w:val="both"/>
      </w:pPr>
      <w:r>
        <w:rPr>
          <w:rFonts w:ascii="Arial" w:eastAsia="宋体" w:hAnsi="Arial" w:cs="Arial"/>
          <w:color w:val="000000"/>
          <w:sz w:val="20"/>
          <w:szCs w:val="20"/>
        </w:rPr>
        <w:t xml:space="preserve">Third parties have from time to time claimed, and others may claim in the future, that we have infringed their intellectual property rights. We are subject to patent </w:t>
      </w:r>
      <w:r>
        <w:rPr>
          <w:rFonts w:ascii="Arial" w:eastAsia="宋体" w:hAnsi="Arial" w:cs="Arial"/>
          <w:color w:val="000000"/>
          <w:sz w:val="20"/>
          <w:szCs w:val="20"/>
        </w:rPr>
        <w:t>disputes, and expect that we could be subject to additional patent infringement claims involving various aspects of our business as our products and services continue to expand in scope and complexity. Such claims may be brought directly or indirectly agai</w:t>
      </w:r>
      <w:r>
        <w:rPr>
          <w:rFonts w:ascii="Arial" w:eastAsia="宋体" w:hAnsi="Arial" w:cs="Arial"/>
          <w:color w:val="000000"/>
          <w:sz w:val="20"/>
          <w:szCs w:val="20"/>
        </w:rPr>
        <w:t>nst us and/or against our customers (who may be entitled to contractual indemnification under their contracts with us), and we are subject to increased exposure to such claims as a result of our acquisitions and divestitures and in cases where we are enter</w:t>
      </w:r>
      <w:r>
        <w:rPr>
          <w:rFonts w:ascii="Arial" w:eastAsia="宋体" w:hAnsi="Arial" w:cs="Arial"/>
          <w:color w:val="000000"/>
          <w:sz w:val="20"/>
          <w:szCs w:val="20"/>
        </w:rPr>
        <w:t>ing new lines of business. We have in the past been forced to litigate such claims. We may also become more vulnerable to third-party claims as laws such as the Digital Millennium Copyright Act, the Lanham Act and the Communications Decency Act are interpr</w:t>
      </w:r>
      <w:r>
        <w:rPr>
          <w:rFonts w:ascii="Arial" w:eastAsia="宋体" w:hAnsi="Arial" w:cs="Arial"/>
          <w:color w:val="000000"/>
          <w:sz w:val="20"/>
          <w:szCs w:val="20"/>
        </w:rPr>
        <w:t>eted by the courts, and as we expand the scope of our business (both in terms of the range of products and services that we offer and our geographical operations) and become subject to laws in jurisdictions where the underlying laws with respect to the pot</w:t>
      </w:r>
      <w:r>
        <w:rPr>
          <w:rFonts w:ascii="Arial" w:eastAsia="宋体" w:hAnsi="Arial" w:cs="Arial"/>
          <w:color w:val="000000"/>
          <w:sz w:val="20"/>
          <w:szCs w:val="20"/>
        </w:rPr>
        <w:t>ential liability of online intermediaries like ourselves are either unclear or less favorable. We believe that additional lawsuits alleging that we have violated patent, copyright or trademark laws will be filed against us. Intellectual property claims, wh</w:t>
      </w:r>
      <w:r>
        <w:rPr>
          <w:rFonts w:ascii="Arial" w:eastAsia="宋体" w:hAnsi="Arial" w:cs="Arial"/>
          <w:color w:val="000000"/>
          <w:sz w:val="20"/>
          <w:szCs w:val="20"/>
        </w:rPr>
        <w:t>ether meritorious or not, are time consuming and costly to defend and resolve, could require expensive changes in our methods of doing business or could require us to enter into costly royalty or licensing agreements on unfavorable terms.</w:t>
      </w:r>
    </w:p>
    <w:p w14:paraId="64304700" w14:textId="77777777" w:rsidR="009F6D8A" w:rsidRDefault="009F6D8A">
      <w:pPr>
        <w:ind w:firstLine="540"/>
        <w:jc w:val="both"/>
      </w:pPr>
    </w:p>
    <w:p w14:paraId="64304701" w14:textId="77777777" w:rsidR="009F6D8A" w:rsidRDefault="009F6D8A">
      <w:pPr>
        <w:jc w:val="center"/>
      </w:pPr>
    </w:p>
    <w:p w14:paraId="64304702" w14:textId="77777777" w:rsidR="009F6D8A" w:rsidRDefault="00C50974">
      <w:pPr>
        <w:jc w:val="center"/>
      </w:pPr>
      <w:r>
        <w:rPr>
          <w:rFonts w:ascii="Arial" w:eastAsia="宋体" w:hAnsi="Arial" w:cs="Arial"/>
          <w:color w:val="000000"/>
          <w:sz w:val="20"/>
          <w:szCs w:val="20"/>
        </w:rPr>
        <w:t>32</w:t>
      </w:r>
    </w:p>
    <w:p w14:paraId="64304703" w14:textId="77777777" w:rsidR="009F6D8A" w:rsidRDefault="00C50974">
      <w:r>
        <w:pict w14:anchorId="64305823">
          <v:rect id="_x0000_i1056" style="width:415.3pt;height:1.5pt" o:hralign="center" o:hrstd="t" o:hr="t" fillcolor="#a0a0a0" stroked="f"/>
        </w:pict>
      </w:r>
    </w:p>
    <w:p w14:paraId="64304704" w14:textId="77777777" w:rsidR="009F6D8A" w:rsidRDefault="009F6D8A">
      <w:pPr>
        <w:jc w:val="center"/>
      </w:pPr>
    </w:p>
    <w:p w14:paraId="64304705" w14:textId="77777777" w:rsidR="009F6D8A" w:rsidRDefault="00C50974">
      <w:pPr>
        <w:jc w:val="center"/>
      </w:pPr>
      <w:r>
        <w:rPr>
          <w:rFonts w:ascii="Arial" w:eastAsia="宋体" w:hAnsi="Arial" w:cs="Arial"/>
          <w:b/>
          <w:bCs/>
          <w:color w:val="000000"/>
          <w:sz w:val="20"/>
          <w:szCs w:val="20"/>
        </w:rPr>
        <w:t>eBay Inc.</w:t>
      </w:r>
    </w:p>
    <w:p w14:paraId="64304706"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4707" w14:textId="77777777" w:rsidR="009F6D8A" w:rsidRDefault="00C50974">
      <w:pPr>
        <w:ind w:firstLine="540"/>
        <w:jc w:val="both"/>
      </w:pPr>
      <w:r>
        <w:rPr>
          <w:rFonts w:ascii="Arial" w:eastAsia="宋体" w:hAnsi="Arial" w:cs="Arial"/>
          <w:color w:val="000000"/>
          <w:sz w:val="20"/>
          <w:szCs w:val="20"/>
        </w:rPr>
        <w:t>From time to time, we are involved in other disputes or regulatory inquiries that arise in the ordinary course of business, including suits by our users (individually or as class actions) al</w:t>
      </w:r>
      <w:r>
        <w:rPr>
          <w:rFonts w:ascii="Arial" w:eastAsia="宋体" w:hAnsi="Arial" w:cs="Arial"/>
          <w:color w:val="000000"/>
          <w:sz w:val="20"/>
          <w:szCs w:val="20"/>
        </w:rPr>
        <w:t>leging, among other things, improper disclosure of our prices, rules or policies, that our practices, prices, rules, policies or customer/user agreements violate applicable law or that we have acted unfairly and/or not acted in conformity with such practic</w:t>
      </w:r>
      <w:r>
        <w:rPr>
          <w:rFonts w:ascii="Arial" w:eastAsia="宋体" w:hAnsi="Arial" w:cs="Arial"/>
          <w:color w:val="000000"/>
          <w:sz w:val="20"/>
          <w:szCs w:val="20"/>
        </w:rPr>
        <w:t>es, prices, rules, policies or agreements. Further, the number and significance of these disputes and inquiries are increasing as the political and regulatory landscape changes and, as we have grown larger, our businesses have expanded in scope (both in te</w:t>
      </w:r>
      <w:r>
        <w:rPr>
          <w:rFonts w:ascii="Arial" w:eastAsia="宋体" w:hAnsi="Arial" w:cs="Arial"/>
          <w:color w:val="000000"/>
          <w:sz w:val="20"/>
          <w:szCs w:val="20"/>
        </w:rPr>
        <w:t>rms of the range of products and services that we offer and our geographical operations) and our products and services have increased in complexity. Any claims or regulatory actions against us, whether meritorious or not, could be time consuming, result in</w:t>
      </w:r>
      <w:r>
        <w:rPr>
          <w:rFonts w:ascii="Arial" w:eastAsia="宋体" w:hAnsi="Arial" w:cs="Arial"/>
          <w:color w:val="000000"/>
          <w:sz w:val="20"/>
          <w:szCs w:val="20"/>
        </w:rPr>
        <w:t xml:space="preserve"> costly litigation, damage awards (including statutory damages for certain causes of action in certain jurisdictions), injunctive relief or increased costs of doing business through adverse judgment or settlement, require us to change our business practice</w:t>
      </w:r>
      <w:r>
        <w:rPr>
          <w:rFonts w:ascii="Arial" w:eastAsia="宋体" w:hAnsi="Arial" w:cs="Arial"/>
          <w:color w:val="000000"/>
          <w:sz w:val="20"/>
          <w:szCs w:val="20"/>
        </w:rPr>
        <w:t>s in expensive ways, require significant amounts of management time, result in the diversion of significant operational resources or otherwise harm our business.</w:t>
      </w:r>
    </w:p>
    <w:p w14:paraId="64304708" w14:textId="77777777" w:rsidR="009F6D8A" w:rsidRDefault="009F6D8A">
      <w:pPr>
        <w:ind w:firstLine="540"/>
        <w:jc w:val="both"/>
      </w:pPr>
    </w:p>
    <w:p w14:paraId="64304709" w14:textId="77777777" w:rsidR="009F6D8A" w:rsidRDefault="00C50974">
      <w:pPr>
        <w:ind w:firstLine="270"/>
        <w:jc w:val="both"/>
      </w:pPr>
      <w:r>
        <w:rPr>
          <w:rFonts w:ascii="Arial" w:eastAsia="宋体" w:hAnsi="Arial" w:cs="Arial"/>
          <w:b/>
          <w:bCs/>
          <w:i/>
          <w:iCs/>
          <w:color w:val="000000"/>
          <w:sz w:val="20"/>
          <w:szCs w:val="20"/>
        </w:rPr>
        <w:t xml:space="preserve">Indemnification Provisions </w:t>
      </w:r>
    </w:p>
    <w:p w14:paraId="6430470A" w14:textId="77777777" w:rsidR="009F6D8A" w:rsidRDefault="009F6D8A">
      <w:pPr>
        <w:jc w:val="both"/>
      </w:pPr>
    </w:p>
    <w:p w14:paraId="6430470B" w14:textId="77777777" w:rsidR="009F6D8A" w:rsidRDefault="00C50974">
      <w:pPr>
        <w:ind w:firstLine="540"/>
        <w:jc w:val="both"/>
      </w:pPr>
      <w:r>
        <w:rPr>
          <w:rFonts w:ascii="Arial" w:eastAsia="宋体" w:hAnsi="Arial" w:cs="Arial"/>
          <w:color w:val="000000"/>
          <w:sz w:val="20"/>
          <w:szCs w:val="20"/>
        </w:rPr>
        <w:t>We entered into a separation and distribution agreement and vari</w:t>
      </w:r>
      <w:r>
        <w:rPr>
          <w:rFonts w:ascii="Arial" w:eastAsia="宋体" w:hAnsi="Arial" w:cs="Arial"/>
          <w:color w:val="000000"/>
          <w:sz w:val="20"/>
          <w:szCs w:val="20"/>
        </w:rPr>
        <w:t>ous other agreements with PayPal to govern the separation and relationship of the two companies. These agreements provide for specific indemnity and liability obligations and could lead to disputes between us and PayPal, which may be significant. In additi</w:t>
      </w:r>
      <w:r>
        <w:rPr>
          <w:rFonts w:ascii="Arial" w:eastAsia="宋体" w:hAnsi="Arial" w:cs="Arial"/>
          <w:color w:val="000000"/>
          <w:sz w:val="20"/>
          <w:szCs w:val="20"/>
        </w:rPr>
        <w:t>on, the indemnity rights we have against PayPal under the agreements may not be sufficient to protect us and our indemnity obligations to PayPal may be significant.</w:t>
      </w:r>
    </w:p>
    <w:p w14:paraId="6430470C" w14:textId="77777777" w:rsidR="009F6D8A" w:rsidRDefault="009F6D8A">
      <w:pPr>
        <w:ind w:firstLine="540"/>
        <w:jc w:val="both"/>
      </w:pPr>
    </w:p>
    <w:p w14:paraId="6430470D" w14:textId="77777777" w:rsidR="009F6D8A" w:rsidRDefault="00C50974">
      <w:pPr>
        <w:ind w:firstLine="540"/>
        <w:jc w:val="both"/>
      </w:pPr>
      <w:r>
        <w:rPr>
          <w:rFonts w:ascii="Arial" w:eastAsia="宋体" w:hAnsi="Arial" w:cs="Arial"/>
          <w:color w:val="000000"/>
          <w:sz w:val="20"/>
          <w:szCs w:val="20"/>
        </w:rPr>
        <w:t>In addition, we have entered into indemnification agreements with each of our directors, e</w:t>
      </w:r>
      <w:r>
        <w:rPr>
          <w:rFonts w:ascii="Arial" w:eastAsia="宋体" w:hAnsi="Arial" w:cs="Arial"/>
          <w:color w:val="000000"/>
          <w:sz w:val="20"/>
          <w:szCs w:val="20"/>
        </w:rPr>
        <w:t xml:space="preserve">xecutive officers and certain other officers. These agreements require us to indemnify such individuals, to the fullest extent permitted by Delaware law, for certain liabilities to which they may become subject as a result of their affiliation with us. </w:t>
      </w:r>
    </w:p>
    <w:p w14:paraId="6430470E" w14:textId="77777777" w:rsidR="009F6D8A" w:rsidRDefault="009F6D8A">
      <w:pPr>
        <w:ind w:firstLine="540"/>
        <w:jc w:val="both"/>
      </w:pPr>
    </w:p>
    <w:p w14:paraId="6430470F" w14:textId="77777777" w:rsidR="009F6D8A" w:rsidRDefault="00C50974">
      <w:pPr>
        <w:ind w:firstLine="540"/>
        <w:jc w:val="both"/>
      </w:pPr>
      <w:r>
        <w:rPr>
          <w:rFonts w:ascii="Arial" w:eastAsia="宋体" w:hAnsi="Arial" w:cs="Arial"/>
          <w:color w:val="000000"/>
          <w:sz w:val="20"/>
          <w:szCs w:val="20"/>
        </w:rPr>
        <w:t>I</w:t>
      </w:r>
      <w:r>
        <w:rPr>
          <w:rFonts w:ascii="Arial" w:eastAsia="宋体" w:hAnsi="Arial" w:cs="Arial"/>
          <w:color w:val="000000"/>
          <w:sz w:val="20"/>
          <w:szCs w:val="20"/>
        </w:rPr>
        <w:t>n the ordinary course of business, we have included limited indemnification provisions in certain of our agreements with parties with which we have commercial relations, including our standard marketing, promotions and application programming interface lic</w:t>
      </w:r>
      <w:r>
        <w:rPr>
          <w:rFonts w:ascii="Arial" w:eastAsia="宋体" w:hAnsi="Arial" w:cs="Arial"/>
          <w:color w:val="000000"/>
          <w:sz w:val="20"/>
          <w:szCs w:val="20"/>
        </w:rPr>
        <w:t>ense agreements. Under these contracts, we generally indemnify, hold harmless and agree to reimburse the indemnified party for losses suffered or incurred by the indemnified party in connection with claims by a third party with respect to our domain names,</w:t>
      </w:r>
      <w:r>
        <w:rPr>
          <w:rFonts w:ascii="Arial" w:eastAsia="宋体" w:hAnsi="Arial" w:cs="Arial"/>
          <w:color w:val="000000"/>
          <w:sz w:val="20"/>
          <w:szCs w:val="20"/>
        </w:rPr>
        <w:t xml:space="preserve"> trademarks, logos and other branding elements to the extent that such marks are applicable to our performance under the subject agreement. In certain cases, we have agreed to provide indemnification for intellectual property infringement. It is not possib</w:t>
      </w:r>
      <w:r>
        <w:rPr>
          <w:rFonts w:ascii="Arial" w:eastAsia="宋体" w:hAnsi="Arial" w:cs="Arial"/>
          <w:color w:val="000000"/>
          <w:sz w:val="20"/>
          <w:szCs w:val="20"/>
        </w:rPr>
        <w:t>le to determine the maximum potential loss under these indemnification provisions due to our limited history of prior indemnification claims and the unique facts and circumstances involved in each particular provision. To date, losses recorded in our conde</w:t>
      </w:r>
      <w:r>
        <w:rPr>
          <w:rFonts w:ascii="Arial" w:eastAsia="宋体" w:hAnsi="Arial" w:cs="Arial"/>
          <w:color w:val="000000"/>
          <w:sz w:val="20"/>
          <w:szCs w:val="20"/>
        </w:rPr>
        <w:t>nsed consolidated statement of income in connection with our indemnification provisions have not been significant, either individually or collectively. </w:t>
      </w:r>
    </w:p>
    <w:p w14:paraId="64304710" w14:textId="77777777" w:rsidR="009F6D8A" w:rsidRDefault="009F6D8A">
      <w:pPr>
        <w:jc w:val="both"/>
      </w:pPr>
    </w:p>
    <w:p w14:paraId="64304711" w14:textId="77777777" w:rsidR="009F6D8A" w:rsidRDefault="00C50974">
      <w:pPr>
        <w:jc w:val="both"/>
      </w:pPr>
      <w:r>
        <w:rPr>
          <w:rFonts w:ascii="Arial" w:eastAsia="宋体" w:hAnsi="Arial" w:cs="Arial"/>
          <w:b/>
          <w:bCs/>
          <w:color w:val="000000"/>
          <w:sz w:val="20"/>
          <w:szCs w:val="20"/>
        </w:rPr>
        <w:t>Note 12 — Stockholders’ Equity</w:t>
      </w:r>
    </w:p>
    <w:p w14:paraId="64304712" w14:textId="77777777" w:rsidR="009F6D8A" w:rsidRDefault="009F6D8A">
      <w:pPr>
        <w:jc w:val="both"/>
      </w:pPr>
    </w:p>
    <w:p w14:paraId="64304713" w14:textId="77777777" w:rsidR="009F6D8A" w:rsidRDefault="00C50974">
      <w:pPr>
        <w:ind w:firstLine="180"/>
        <w:jc w:val="both"/>
      </w:pPr>
      <w:r>
        <w:rPr>
          <w:rFonts w:ascii="Arial" w:eastAsia="宋体" w:hAnsi="Arial" w:cs="Arial"/>
          <w:b/>
          <w:bCs/>
          <w:i/>
          <w:iCs/>
          <w:color w:val="000000"/>
          <w:sz w:val="20"/>
          <w:szCs w:val="20"/>
        </w:rPr>
        <w:t xml:space="preserve">Stock Repurchase Program </w:t>
      </w:r>
    </w:p>
    <w:p w14:paraId="64304714" w14:textId="77777777" w:rsidR="009F6D8A" w:rsidRDefault="009F6D8A">
      <w:pPr>
        <w:ind w:firstLine="540"/>
      </w:pPr>
    </w:p>
    <w:p w14:paraId="64304715" w14:textId="77777777" w:rsidR="009F6D8A" w:rsidRDefault="00C50974">
      <w:pPr>
        <w:ind w:firstLine="540"/>
        <w:jc w:val="both"/>
      </w:pPr>
      <w:r>
        <w:rPr>
          <w:rFonts w:ascii="Arial" w:eastAsia="宋体" w:hAnsi="Arial" w:cs="Arial"/>
          <w:color w:val="000000"/>
          <w:sz w:val="20"/>
          <w:szCs w:val="20"/>
        </w:rPr>
        <w:t xml:space="preserve">Our stock repurchase programs are intended </w:t>
      </w:r>
      <w:r>
        <w:rPr>
          <w:rFonts w:ascii="Arial" w:eastAsia="宋体" w:hAnsi="Arial" w:cs="Arial"/>
          <w:color w:val="000000"/>
          <w:sz w:val="20"/>
          <w:szCs w:val="20"/>
        </w:rPr>
        <w:t>to programmatically offset the impact of dilution from our equity compensation programs and, subject to market conditions and other factors, to make opportunistic and programmatic repurchases of our common stock to reduce our outstanding share count. Any s</w:t>
      </w:r>
      <w:r>
        <w:rPr>
          <w:rFonts w:ascii="Arial" w:eastAsia="宋体" w:hAnsi="Arial" w:cs="Arial"/>
          <w:color w:val="000000"/>
          <w:sz w:val="20"/>
          <w:szCs w:val="20"/>
        </w:rPr>
        <w:t>hare repurchases under our stock repurchase programs may be made through open market transactions, block trades, privately negotiated transactions (including accelerated share repurchase transactions) or other means at times and in such amounts as manageme</w:t>
      </w:r>
      <w:r>
        <w:rPr>
          <w:rFonts w:ascii="Arial" w:eastAsia="宋体" w:hAnsi="Arial" w:cs="Arial"/>
          <w:color w:val="000000"/>
          <w:sz w:val="20"/>
          <w:szCs w:val="20"/>
        </w:rPr>
        <w:t>nt deems appropriate and will be funded from our working capital or other financing alternatives. Our stock repurchase programs may be limited or terminated at any time without prior notice. The timing and actual number of shares repurchased will depend on</w:t>
      </w:r>
      <w:r>
        <w:rPr>
          <w:rFonts w:ascii="Arial" w:eastAsia="宋体" w:hAnsi="Arial" w:cs="Arial"/>
          <w:color w:val="000000"/>
          <w:sz w:val="20"/>
          <w:szCs w:val="20"/>
        </w:rPr>
        <w:t xml:space="preserve"> a variety of factors, including corporate and regulatory requirements, price and other market conditions and management’s determination as to the appropriate use of our cash. </w:t>
      </w:r>
    </w:p>
    <w:p w14:paraId="64304716" w14:textId="77777777" w:rsidR="009F6D8A" w:rsidRDefault="009F6D8A">
      <w:pPr>
        <w:ind w:firstLine="540"/>
        <w:jc w:val="both"/>
      </w:pPr>
    </w:p>
    <w:p w14:paraId="64304717" w14:textId="77777777" w:rsidR="009F6D8A" w:rsidRDefault="00C50974">
      <w:pPr>
        <w:ind w:firstLine="540"/>
        <w:jc w:val="both"/>
      </w:pPr>
      <w:r>
        <w:rPr>
          <w:rFonts w:ascii="Arial" w:eastAsia="宋体" w:hAnsi="Arial" w:cs="Arial"/>
          <w:color w:val="000000"/>
          <w:sz w:val="20"/>
          <w:szCs w:val="20"/>
        </w:rPr>
        <w:t>In January 2020, our Board authorized an additional $5.0 billion stock repurchase program and in February 2021, our Board authorized an additional $4.0 billion stock repurchase program. These stock repurchase programs have no expiration from the date of au</w:t>
      </w:r>
      <w:r>
        <w:rPr>
          <w:rFonts w:ascii="Arial" w:eastAsia="宋体" w:hAnsi="Arial" w:cs="Arial"/>
          <w:color w:val="000000"/>
          <w:sz w:val="20"/>
          <w:szCs w:val="20"/>
        </w:rPr>
        <w:t xml:space="preserve">thorization. </w:t>
      </w:r>
    </w:p>
    <w:p w14:paraId="64304718" w14:textId="77777777" w:rsidR="009F6D8A" w:rsidRDefault="009F6D8A">
      <w:pPr>
        <w:ind w:firstLine="540"/>
        <w:jc w:val="both"/>
      </w:pPr>
    </w:p>
    <w:p w14:paraId="64304719" w14:textId="77777777" w:rsidR="009F6D8A" w:rsidRDefault="009F6D8A">
      <w:pPr>
        <w:jc w:val="center"/>
      </w:pPr>
    </w:p>
    <w:p w14:paraId="6430471A" w14:textId="77777777" w:rsidR="009F6D8A" w:rsidRDefault="00C50974">
      <w:pPr>
        <w:jc w:val="center"/>
      </w:pPr>
      <w:r>
        <w:rPr>
          <w:rFonts w:ascii="Arial" w:eastAsia="宋体" w:hAnsi="Arial" w:cs="Arial"/>
          <w:color w:val="000000"/>
          <w:sz w:val="20"/>
          <w:szCs w:val="20"/>
        </w:rPr>
        <w:t>33</w:t>
      </w:r>
    </w:p>
    <w:p w14:paraId="6430471B" w14:textId="77777777" w:rsidR="009F6D8A" w:rsidRDefault="00C50974">
      <w:r>
        <w:pict w14:anchorId="64305824">
          <v:rect id="_x0000_i1057" style="width:415.3pt;height:1.5pt" o:hralign="center" o:hrstd="t" o:hr="t" fillcolor="#a0a0a0" stroked="f"/>
        </w:pict>
      </w:r>
    </w:p>
    <w:p w14:paraId="6430471C" w14:textId="77777777" w:rsidR="009F6D8A" w:rsidRDefault="009F6D8A">
      <w:pPr>
        <w:jc w:val="center"/>
      </w:pPr>
    </w:p>
    <w:p w14:paraId="6430471D" w14:textId="77777777" w:rsidR="009F6D8A" w:rsidRDefault="00C50974">
      <w:pPr>
        <w:jc w:val="center"/>
      </w:pPr>
      <w:r>
        <w:rPr>
          <w:rFonts w:ascii="Arial" w:eastAsia="宋体" w:hAnsi="Arial" w:cs="Arial"/>
          <w:b/>
          <w:bCs/>
          <w:color w:val="000000"/>
          <w:sz w:val="20"/>
          <w:szCs w:val="20"/>
        </w:rPr>
        <w:t>eBay Inc.</w:t>
      </w:r>
    </w:p>
    <w:p w14:paraId="6430471E"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p w14:paraId="6430471F" w14:textId="77777777" w:rsidR="009F6D8A" w:rsidRDefault="00C50974">
      <w:pPr>
        <w:spacing w:after="60"/>
        <w:ind w:firstLine="540"/>
        <w:jc w:val="both"/>
      </w:pPr>
      <w:r>
        <w:rPr>
          <w:rFonts w:ascii="Arial" w:eastAsia="宋体" w:hAnsi="Arial" w:cs="Arial"/>
          <w:color w:val="000000"/>
          <w:sz w:val="20"/>
          <w:szCs w:val="20"/>
        </w:rPr>
        <w:t>The stock repurchase activity under our stock repurchase programs during the six months ended June 30, 2021 is summarized as follows (in millions, except per s</w:t>
      </w:r>
      <w:r>
        <w:rPr>
          <w:rFonts w:ascii="Arial" w:eastAsia="宋体" w:hAnsi="Arial" w:cs="Arial"/>
          <w:color w:val="000000"/>
          <w:sz w:val="20"/>
          <w:szCs w:val="20"/>
        </w:rPr>
        <w:t>hare amounts):</w:t>
      </w:r>
    </w:p>
    <w:tbl>
      <w:tblPr>
        <w:tblW w:w="4993" w:type="pct"/>
        <w:jc w:val="center"/>
        <w:tblCellMar>
          <w:top w:w="15" w:type="dxa"/>
          <w:left w:w="15" w:type="dxa"/>
          <w:bottom w:w="15" w:type="dxa"/>
          <w:right w:w="15" w:type="dxa"/>
        </w:tblCellMar>
        <w:tblLook w:val="04A0" w:firstRow="1" w:lastRow="0" w:firstColumn="1" w:lastColumn="0" w:noHBand="0" w:noVBand="1"/>
      </w:tblPr>
      <w:tblGrid>
        <w:gridCol w:w="41"/>
        <w:gridCol w:w="3671"/>
        <w:gridCol w:w="37"/>
        <w:gridCol w:w="80"/>
        <w:gridCol w:w="967"/>
        <w:gridCol w:w="36"/>
        <w:gridCol w:w="36"/>
        <w:gridCol w:w="36"/>
        <w:gridCol w:w="36"/>
        <w:gridCol w:w="122"/>
        <w:gridCol w:w="921"/>
        <w:gridCol w:w="36"/>
        <w:gridCol w:w="36"/>
        <w:gridCol w:w="36"/>
        <w:gridCol w:w="36"/>
        <w:gridCol w:w="122"/>
        <w:gridCol w:w="968"/>
        <w:gridCol w:w="36"/>
        <w:gridCol w:w="36"/>
        <w:gridCol w:w="36"/>
        <w:gridCol w:w="36"/>
        <w:gridCol w:w="122"/>
        <w:gridCol w:w="805"/>
        <w:gridCol w:w="36"/>
      </w:tblGrid>
      <w:tr w:rsidR="009F6D8A" w14:paraId="64304738" w14:textId="77777777">
        <w:trPr>
          <w:jc w:val="center"/>
        </w:trPr>
        <w:tc>
          <w:tcPr>
            <w:tcW w:w="50" w:type="pct"/>
            <w:shd w:val="clear" w:color="auto" w:fill="auto"/>
            <w:vAlign w:val="bottom"/>
          </w:tcPr>
          <w:p w14:paraId="64304720" w14:textId="77777777" w:rsidR="009F6D8A" w:rsidRDefault="009F6D8A">
            <w:pPr>
              <w:rPr>
                <w:rFonts w:ascii="宋体"/>
              </w:rPr>
            </w:pPr>
          </w:p>
        </w:tc>
        <w:tc>
          <w:tcPr>
            <w:tcW w:w="2229" w:type="pct"/>
            <w:shd w:val="clear" w:color="auto" w:fill="auto"/>
            <w:vAlign w:val="bottom"/>
          </w:tcPr>
          <w:p w14:paraId="64304721" w14:textId="77777777" w:rsidR="009F6D8A" w:rsidRDefault="009F6D8A">
            <w:pPr>
              <w:rPr>
                <w:rFonts w:ascii="宋体"/>
              </w:rPr>
            </w:pPr>
          </w:p>
        </w:tc>
        <w:tc>
          <w:tcPr>
            <w:tcW w:w="5" w:type="pct"/>
            <w:shd w:val="clear" w:color="auto" w:fill="auto"/>
            <w:vAlign w:val="bottom"/>
          </w:tcPr>
          <w:p w14:paraId="64304722" w14:textId="77777777" w:rsidR="009F6D8A" w:rsidRDefault="009F6D8A">
            <w:pPr>
              <w:rPr>
                <w:rFonts w:ascii="宋体"/>
              </w:rPr>
            </w:pPr>
          </w:p>
        </w:tc>
        <w:tc>
          <w:tcPr>
            <w:tcW w:w="50" w:type="pct"/>
            <w:shd w:val="clear" w:color="auto" w:fill="auto"/>
            <w:vAlign w:val="bottom"/>
          </w:tcPr>
          <w:p w14:paraId="64304723" w14:textId="77777777" w:rsidR="009F6D8A" w:rsidRDefault="009F6D8A">
            <w:pPr>
              <w:rPr>
                <w:rFonts w:ascii="宋体"/>
              </w:rPr>
            </w:pPr>
          </w:p>
        </w:tc>
        <w:tc>
          <w:tcPr>
            <w:tcW w:w="611" w:type="pct"/>
            <w:shd w:val="clear" w:color="auto" w:fill="auto"/>
            <w:vAlign w:val="bottom"/>
          </w:tcPr>
          <w:p w14:paraId="64304724" w14:textId="77777777" w:rsidR="009F6D8A" w:rsidRDefault="009F6D8A">
            <w:pPr>
              <w:rPr>
                <w:rFonts w:ascii="宋体"/>
              </w:rPr>
            </w:pPr>
          </w:p>
        </w:tc>
        <w:tc>
          <w:tcPr>
            <w:tcW w:w="5" w:type="pct"/>
            <w:shd w:val="clear" w:color="auto" w:fill="auto"/>
            <w:vAlign w:val="bottom"/>
          </w:tcPr>
          <w:p w14:paraId="64304725" w14:textId="77777777" w:rsidR="009F6D8A" w:rsidRDefault="009F6D8A">
            <w:pPr>
              <w:rPr>
                <w:rFonts w:ascii="宋体"/>
              </w:rPr>
            </w:pPr>
          </w:p>
        </w:tc>
        <w:tc>
          <w:tcPr>
            <w:tcW w:w="5" w:type="pct"/>
            <w:shd w:val="clear" w:color="auto" w:fill="auto"/>
            <w:vAlign w:val="bottom"/>
          </w:tcPr>
          <w:p w14:paraId="64304726" w14:textId="77777777" w:rsidR="009F6D8A" w:rsidRDefault="009F6D8A">
            <w:pPr>
              <w:rPr>
                <w:rFonts w:ascii="宋体"/>
              </w:rPr>
            </w:pPr>
          </w:p>
        </w:tc>
        <w:tc>
          <w:tcPr>
            <w:tcW w:w="26" w:type="pct"/>
            <w:shd w:val="clear" w:color="auto" w:fill="auto"/>
            <w:vAlign w:val="bottom"/>
          </w:tcPr>
          <w:p w14:paraId="64304727" w14:textId="77777777" w:rsidR="009F6D8A" w:rsidRDefault="009F6D8A">
            <w:pPr>
              <w:rPr>
                <w:rFonts w:ascii="宋体"/>
              </w:rPr>
            </w:pPr>
          </w:p>
        </w:tc>
        <w:tc>
          <w:tcPr>
            <w:tcW w:w="5" w:type="pct"/>
            <w:shd w:val="clear" w:color="auto" w:fill="auto"/>
            <w:vAlign w:val="bottom"/>
          </w:tcPr>
          <w:p w14:paraId="64304728" w14:textId="77777777" w:rsidR="009F6D8A" w:rsidRDefault="009F6D8A">
            <w:pPr>
              <w:rPr>
                <w:rFonts w:ascii="宋体"/>
              </w:rPr>
            </w:pPr>
          </w:p>
        </w:tc>
        <w:tc>
          <w:tcPr>
            <w:tcW w:w="50" w:type="pct"/>
            <w:shd w:val="clear" w:color="auto" w:fill="auto"/>
            <w:vAlign w:val="bottom"/>
          </w:tcPr>
          <w:p w14:paraId="64304729" w14:textId="77777777" w:rsidR="009F6D8A" w:rsidRDefault="009F6D8A">
            <w:pPr>
              <w:rPr>
                <w:rFonts w:ascii="宋体"/>
              </w:rPr>
            </w:pPr>
          </w:p>
        </w:tc>
        <w:tc>
          <w:tcPr>
            <w:tcW w:w="618" w:type="pct"/>
            <w:shd w:val="clear" w:color="auto" w:fill="auto"/>
            <w:vAlign w:val="bottom"/>
          </w:tcPr>
          <w:p w14:paraId="6430472A" w14:textId="77777777" w:rsidR="009F6D8A" w:rsidRDefault="009F6D8A">
            <w:pPr>
              <w:rPr>
                <w:rFonts w:ascii="宋体"/>
              </w:rPr>
            </w:pPr>
          </w:p>
        </w:tc>
        <w:tc>
          <w:tcPr>
            <w:tcW w:w="5" w:type="pct"/>
            <w:shd w:val="clear" w:color="auto" w:fill="auto"/>
            <w:vAlign w:val="bottom"/>
          </w:tcPr>
          <w:p w14:paraId="6430472B" w14:textId="77777777" w:rsidR="009F6D8A" w:rsidRDefault="009F6D8A">
            <w:pPr>
              <w:rPr>
                <w:rFonts w:ascii="宋体"/>
              </w:rPr>
            </w:pPr>
          </w:p>
        </w:tc>
        <w:tc>
          <w:tcPr>
            <w:tcW w:w="5" w:type="pct"/>
            <w:shd w:val="clear" w:color="auto" w:fill="auto"/>
            <w:vAlign w:val="bottom"/>
          </w:tcPr>
          <w:p w14:paraId="6430472C" w14:textId="77777777" w:rsidR="009F6D8A" w:rsidRDefault="009F6D8A">
            <w:pPr>
              <w:rPr>
                <w:rFonts w:ascii="宋体"/>
              </w:rPr>
            </w:pPr>
          </w:p>
        </w:tc>
        <w:tc>
          <w:tcPr>
            <w:tcW w:w="26" w:type="pct"/>
            <w:shd w:val="clear" w:color="auto" w:fill="auto"/>
            <w:vAlign w:val="bottom"/>
          </w:tcPr>
          <w:p w14:paraId="6430472D" w14:textId="77777777" w:rsidR="009F6D8A" w:rsidRDefault="009F6D8A">
            <w:pPr>
              <w:rPr>
                <w:rFonts w:ascii="宋体"/>
              </w:rPr>
            </w:pPr>
          </w:p>
        </w:tc>
        <w:tc>
          <w:tcPr>
            <w:tcW w:w="5" w:type="pct"/>
            <w:shd w:val="clear" w:color="auto" w:fill="auto"/>
            <w:vAlign w:val="bottom"/>
          </w:tcPr>
          <w:p w14:paraId="6430472E" w14:textId="77777777" w:rsidR="009F6D8A" w:rsidRDefault="009F6D8A">
            <w:pPr>
              <w:rPr>
                <w:rFonts w:ascii="宋体"/>
              </w:rPr>
            </w:pPr>
          </w:p>
        </w:tc>
        <w:tc>
          <w:tcPr>
            <w:tcW w:w="50" w:type="pct"/>
            <w:shd w:val="clear" w:color="auto" w:fill="auto"/>
            <w:vAlign w:val="bottom"/>
          </w:tcPr>
          <w:p w14:paraId="6430472F" w14:textId="77777777" w:rsidR="009F6D8A" w:rsidRDefault="009F6D8A">
            <w:pPr>
              <w:rPr>
                <w:rFonts w:ascii="宋体"/>
              </w:rPr>
            </w:pPr>
          </w:p>
        </w:tc>
        <w:tc>
          <w:tcPr>
            <w:tcW w:w="618" w:type="pct"/>
            <w:shd w:val="clear" w:color="auto" w:fill="auto"/>
            <w:vAlign w:val="bottom"/>
          </w:tcPr>
          <w:p w14:paraId="64304730" w14:textId="77777777" w:rsidR="009F6D8A" w:rsidRDefault="009F6D8A">
            <w:pPr>
              <w:rPr>
                <w:rFonts w:ascii="宋体"/>
              </w:rPr>
            </w:pPr>
          </w:p>
        </w:tc>
        <w:tc>
          <w:tcPr>
            <w:tcW w:w="5" w:type="pct"/>
            <w:shd w:val="clear" w:color="auto" w:fill="auto"/>
            <w:vAlign w:val="bottom"/>
          </w:tcPr>
          <w:p w14:paraId="64304731" w14:textId="77777777" w:rsidR="009F6D8A" w:rsidRDefault="009F6D8A">
            <w:pPr>
              <w:rPr>
                <w:rFonts w:ascii="宋体"/>
              </w:rPr>
            </w:pPr>
          </w:p>
        </w:tc>
        <w:tc>
          <w:tcPr>
            <w:tcW w:w="5" w:type="pct"/>
            <w:shd w:val="clear" w:color="auto" w:fill="auto"/>
            <w:vAlign w:val="bottom"/>
          </w:tcPr>
          <w:p w14:paraId="64304732" w14:textId="77777777" w:rsidR="009F6D8A" w:rsidRDefault="009F6D8A">
            <w:pPr>
              <w:rPr>
                <w:rFonts w:ascii="宋体"/>
              </w:rPr>
            </w:pPr>
          </w:p>
        </w:tc>
        <w:tc>
          <w:tcPr>
            <w:tcW w:w="26" w:type="pct"/>
            <w:shd w:val="clear" w:color="auto" w:fill="auto"/>
            <w:vAlign w:val="bottom"/>
          </w:tcPr>
          <w:p w14:paraId="64304733" w14:textId="77777777" w:rsidR="009F6D8A" w:rsidRDefault="009F6D8A">
            <w:pPr>
              <w:rPr>
                <w:rFonts w:ascii="宋体"/>
              </w:rPr>
            </w:pPr>
          </w:p>
        </w:tc>
        <w:tc>
          <w:tcPr>
            <w:tcW w:w="5" w:type="pct"/>
            <w:shd w:val="clear" w:color="auto" w:fill="auto"/>
            <w:vAlign w:val="bottom"/>
          </w:tcPr>
          <w:p w14:paraId="64304734" w14:textId="77777777" w:rsidR="009F6D8A" w:rsidRDefault="009F6D8A">
            <w:pPr>
              <w:rPr>
                <w:rFonts w:ascii="宋体"/>
              </w:rPr>
            </w:pPr>
          </w:p>
        </w:tc>
        <w:tc>
          <w:tcPr>
            <w:tcW w:w="50" w:type="pct"/>
            <w:shd w:val="clear" w:color="auto" w:fill="auto"/>
            <w:vAlign w:val="bottom"/>
          </w:tcPr>
          <w:p w14:paraId="64304735" w14:textId="77777777" w:rsidR="009F6D8A" w:rsidRDefault="009F6D8A">
            <w:pPr>
              <w:rPr>
                <w:rFonts w:ascii="宋体"/>
              </w:rPr>
            </w:pPr>
          </w:p>
        </w:tc>
        <w:tc>
          <w:tcPr>
            <w:tcW w:w="538" w:type="pct"/>
            <w:shd w:val="clear" w:color="auto" w:fill="auto"/>
            <w:vAlign w:val="bottom"/>
          </w:tcPr>
          <w:p w14:paraId="64304736" w14:textId="77777777" w:rsidR="009F6D8A" w:rsidRDefault="009F6D8A">
            <w:pPr>
              <w:rPr>
                <w:rFonts w:ascii="宋体"/>
              </w:rPr>
            </w:pPr>
          </w:p>
        </w:tc>
        <w:tc>
          <w:tcPr>
            <w:tcW w:w="5" w:type="pct"/>
            <w:shd w:val="clear" w:color="auto" w:fill="auto"/>
            <w:vAlign w:val="bottom"/>
          </w:tcPr>
          <w:p w14:paraId="64304737" w14:textId="77777777" w:rsidR="009F6D8A" w:rsidRDefault="009F6D8A">
            <w:pPr>
              <w:rPr>
                <w:rFonts w:ascii="宋体"/>
              </w:rPr>
            </w:pPr>
          </w:p>
        </w:tc>
      </w:tr>
      <w:tr w:rsidR="009F6D8A" w14:paraId="64304741" w14:textId="77777777">
        <w:trPr>
          <w:jc w:val="center"/>
        </w:trPr>
        <w:tc>
          <w:tcPr>
            <w:tcW w:w="0" w:type="auto"/>
            <w:gridSpan w:val="3"/>
            <w:shd w:val="clear" w:color="auto" w:fill="auto"/>
            <w:tcMar>
              <w:top w:w="0" w:type="dxa"/>
              <w:left w:w="20" w:type="dxa"/>
              <w:bottom w:w="0" w:type="dxa"/>
              <w:right w:w="20" w:type="dxa"/>
            </w:tcMar>
            <w:vAlign w:val="bottom"/>
          </w:tcPr>
          <w:p w14:paraId="64304739"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73A" w14:textId="77777777" w:rsidR="009F6D8A" w:rsidRDefault="00C50974">
            <w:pPr>
              <w:jc w:val="center"/>
              <w:textAlignment w:val="bottom"/>
            </w:pPr>
            <w:r>
              <w:rPr>
                <w:rFonts w:ascii="Arial" w:eastAsia="宋体" w:hAnsi="Arial" w:cs="Arial"/>
                <w:b/>
                <w:bCs/>
                <w:color w:val="000000"/>
                <w:sz w:val="16"/>
                <w:szCs w:val="16"/>
              </w:rPr>
              <w:t xml:space="preserve">Shares Repurchased </w:t>
            </w:r>
            <w:r>
              <w:rPr>
                <w:rFonts w:ascii="Arial" w:eastAsia="宋体" w:hAnsi="Arial" w:cs="Arial"/>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6430473B"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73C" w14:textId="77777777" w:rsidR="009F6D8A" w:rsidRDefault="00C50974">
            <w:pPr>
              <w:jc w:val="center"/>
              <w:textAlignment w:val="bottom"/>
            </w:pPr>
            <w:r>
              <w:rPr>
                <w:rFonts w:ascii="Arial" w:eastAsia="宋体" w:hAnsi="Arial" w:cs="Arial"/>
                <w:b/>
                <w:bCs/>
                <w:color w:val="000000"/>
                <w:sz w:val="16"/>
                <w:szCs w:val="16"/>
              </w:rPr>
              <w:t xml:space="preserve">Average Price per Share </w:t>
            </w:r>
            <w:r>
              <w:rPr>
                <w:rFonts w:ascii="Arial" w:eastAsia="宋体" w:hAnsi="Arial" w:cs="Arial"/>
                <w:b/>
                <w:bCs/>
                <w:color w:val="000000"/>
                <w:sz w:val="10"/>
                <w:szCs w:val="10"/>
              </w:rPr>
              <w:t>(2)</w:t>
            </w:r>
          </w:p>
        </w:tc>
        <w:tc>
          <w:tcPr>
            <w:tcW w:w="0" w:type="auto"/>
            <w:gridSpan w:val="3"/>
            <w:shd w:val="clear" w:color="auto" w:fill="auto"/>
            <w:tcMar>
              <w:top w:w="0" w:type="dxa"/>
              <w:left w:w="20" w:type="dxa"/>
              <w:bottom w:w="0" w:type="dxa"/>
              <w:right w:w="20" w:type="dxa"/>
            </w:tcMar>
            <w:vAlign w:val="bottom"/>
          </w:tcPr>
          <w:p w14:paraId="6430473D"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73E" w14:textId="77777777" w:rsidR="009F6D8A" w:rsidRDefault="00C50974">
            <w:pPr>
              <w:jc w:val="center"/>
              <w:textAlignment w:val="bottom"/>
            </w:pPr>
            <w:r>
              <w:rPr>
                <w:rFonts w:ascii="Arial" w:eastAsia="宋体" w:hAnsi="Arial" w:cs="Arial"/>
                <w:b/>
                <w:bCs/>
                <w:color w:val="000000"/>
                <w:sz w:val="16"/>
                <w:szCs w:val="16"/>
              </w:rPr>
              <w:t xml:space="preserve">Value of Shares Repurchased </w:t>
            </w:r>
            <w:r>
              <w:rPr>
                <w:rFonts w:ascii="Arial" w:eastAsia="宋体" w:hAnsi="Arial" w:cs="Arial"/>
                <w:b/>
                <w:bCs/>
                <w:color w:val="000000"/>
                <w:sz w:val="10"/>
                <w:szCs w:val="10"/>
              </w:rPr>
              <w:t>(2)</w:t>
            </w:r>
          </w:p>
        </w:tc>
        <w:tc>
          <w:tcPr>
            <w:tcW w:w="0" w:type="auto"/>
            <w:gridSpan w:val="3"/>
            <w:shd w:val="clear" w:color="auto" w:fill="auto"/>
            <w:tcMar>
              <w:top w:w="0" w:type="dxa"/>
              <w:left w:w="20" w:type="dxa"/>
              <w:bottom w:w="0" w:type="dxa"/>
              <w:right w:w="20" w:type="dxa"/>
            </w:tcMar>
            <w:vAlign w:val="bottom"/>
          </w:tcPr>
          <w:p w14:paraId="6430473F"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740" w14:textId="77777777" w:rsidR="009F6D8A" w:rsidRDefault="00C50974">
            <w:pPr>
              <w:jc w:val="center"/>
              <w:textAlignment w:val="bottom"/>
            </w:pPr>
            <w:r>
              <w:rPr>
                <w:rFonts w:ascii="Arial" w:eastAsia="宋体" w:hAnsi="Arial" w:cs="Arial"/>
                <w:b/>
                <w:bCs/>
                <w:color w:val="000000"/>
                <w:sz w:val="16"/>
                <w:szCs w:val="16"/>
              </w:rPr>
              <w:t>Remaining Amount Authorized</w:t>
            </w:r>
          </w:p>
        </w:tc>
      </w:tr>
      <w:tr w:rsidR="009F6D8A" w14:paraId="6430474C" w14:textId="77777777">
        <w:trPr>
          <w:jc w:val="center"/>
        </w:trPr>
        <w:tc>
          <w:tcPr>
            <w:tcW w:w="0" w:type="auto"/>
            <w:gridSpan w:val="3"/>
            <w:shd w:val="clear" w:color="auto" w:fill="E1E1E1"/>
            <w:tcMar>
              <w:top w:w="40" w:type="dxa"/>
              <w:left w:w="20" w:type="dxa"/>
              <w:bottom w:w="40" w:type="dxa"/>
              <w:right w:w="20" w:type="dxa"/>
            </w:tcMar>
            <w:vAlign w:val="bottom"/>
          </w:tcPr>
          <w:p w14:paraId="64304742" w14:textId="77777777" w:rsidR="009F6D8A" w:rsidRDefault="00C50974">
            <w:pPr>
              <w:textAlignment w:val="bottom"/>
            </w:pPr>
            <w:r>
              <w:rPr>
                <w:rFonts w:ascii="Arial" w:eastAsia="宋体" w:hAnsi="Arial" w:cs="Arial"/>
                <w:color w:val="000000"/>
                <w:sz w:val="18"/>
                <w:szCs w:val="18"/>
              </w:rPr>
              <w:t>Balance as of January 1, 2021</w:t>
            </w: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4304743"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744" w14:textId="77777777" w:rsidR="009F6D8A" w:rsidRDefault="009F6D8A">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4304745"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746" w14:textId="77777777" w:rsidR="009F6D8A" w:rsidRDefault="009F6D8A">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4304747"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748"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4749"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474A" w14:textId="77777777" w:rsidR="009F6D8A" w:rsidRDefault="00C50974">
            <w:pPr>
              <w:jc w:val="right"/>
              <w:textAlignment w:val="bottom"/>
            </w:pPr>
            <w:r>
              <w:rPr>
                <w:rFonts w:ascii="Arial" w:eastAsia="宋体" w:hAnsi="Arial" w:cs="Arial"/>
                <w:color w:val="000000"/>
                <w:sz w:val="18"/>
                <w:szCs w:val="18"/>
              </w:rPr>
              <w:t>2,033 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474B" w14:textId="77777777" w:rsidR="009F6D8A" w:rsidRDefault="009F6D8A">
            <w:pPr>
              <w:jc w:val="right"/>
              <w:rPr>
                <w:rFonts w:ascii="宋体"/>
              </w:rPr>
            </w:pPr>
          </w:p>
        </w:tc>
      </w:tr>
      <w:tr w:rsidR="009F6D8A" w14:paraId="64304756" w14:textId="77777777">
        <w:trPr>
          <w:jc w:val="center"/>
        </w:trPr>
        <w:tc>
          <w:tcPr>
            <w:tcW w:w="0" w:type="auto"/>
            <w:gridSpan w:val="3"/>
            <w:shd w:val="clear" w:color="auto" w:fill="FFFFFF"/>
            <w:tcMar>
              <w:top w:w="40" w:type="dxa"/>
              <w:left w:w="20" w:type="dxa"/>
              <w:bottom w:w="40" w:type="dxa"/>
              <w:right w:w="20" w:type="dxa"/>
            </w:tcMar>
            <w:vAlign w:val="bottom"/>
          </w:tcPr>
          <w:p w14:paraId="6430474D" w14:textId="77777777" w:rsidR="009F6D8A" w:rsidRDefault="00C50974">
            <w:pPr>
              <w:textAlignment w:val="bottom"/>
            </w:pPr>
            <w:r>
              <w:rPr>
                <w:rFonts w:ascii="Arial" w:eastAsia="宋体" w:hAnsi="Arial" w:cs="Arial"/>
                <w:color w:val="000000"/>
                <w:sz w:val="18"/>
                <w:szCs w:val="18"/>
              </w:rPr>
              <w:t>Authorization of additional plan in February 2021</w:t>
            </w:r>
          </w:p>
        </w:tc>
        <w:tc>
          <w:tcPr>
            <w:tcW w:w="0" w:type="auto"/>
            <w:gridSpan w:val="3"/>
            <w:shd w:val="clear" w:color="auto" w:fill="FFFFFF"/>
            <w:tcMar>
              <w:top w:w="0" w:type="dxa"/>
              <w:left w:w="20" w:type="dxa"/>
              <w:bottom w:w="0" w:type="dxa"/>
              <w:right w:w="20" w:type="dxa"/>
            </w:tcMar>
            <w:vAlign w:val="bottom"/>
          </w:tcPr>
          <w:p w14:paraId="6430474E"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74F"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75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751"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752"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753"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754" w14:textId="77777777" w:rsidR="009F6D8A" w:rsidRDefault="00C50974">
            <w:pPr>
              <w:jc w:val="right"/>
              <w:textAlignment w:val="bottom"/>
            </w:pPr>
            <w:r>
              <w:rPr>
                <w:rFonts w:ascii="Arial" w:eastAsia="宋体" w:hAnsi="Arial" w:cs="Arial"/>
                <w:color w:val="000000"/>
                <w:sz w:val="18"/>
                <w:szCs w:val="18"/>
              </w:rPr>
              <w:t>4,000 </w:t>
            </w:r>
          </w:p>
        </w:tc>
        <w:tc>
          <w:tcPr>
            <w:tcW w:w="0" w:type="auto"/>
            <w:shd w:val="clear" w:color="auto" w:fill="FFFFFF"/>
            <w:tcMar>
              <w:top w:w="40" w:type="dxa"/>
              <w:left w:w="0" w:type="dxa"/>
              <w:bottom w:w="40" w:type="dxa"/>
              <w:right w:w="20" w:type="dxa"/>
            </w:tcMar>
            <w:vAlign w:val="bottom"/>
          </w:tcPr>
          <w:p w14:paraId="64304755" w14:textId="77777777" w:rsidR="009F6D8A" w:rsidRDefault="009F6D8A">
            <w:pPr>
              <w:jc w:val="right"/>
              <w:rPr>
                <w:rFonts w:ascii="宋体"/>
              </w:rPr>
            </w:pPr>
          </w:p>
        </w:tc>
      </w:tr>
      <w:tr w:rsidR="009F6D8A" w14:paraId="64304765" w14:textId="77777777">
        <w:trPr>
          <w:jc w:val="center"/>
        </w:trPr>
        <w:tc>
          <w:tcPr>
            <w:tcW w:w="0" w:type="auto"/>
            <w:gridSpan w:val="3"/>
            <w:shd w:val="clear" w:color="auto" w:fill="E1E1E1"/>
            <w:tcMar>
              <w:top w:w="40" w:type="dxa"/>
              <w:left w:w="20" w:type="dxa"/>
              <w:bottom w:w="40" w:type="dxa"/>
              <w:right w:w="20" w:type="dxa"/>
            </w:tcMar>
            <w:vAlign w:val="bottom"/>
          </w:tcPr>
          <w:p w14:paraId="64304757" w14:textId="77777777" w:rsidR="009F6D8A" w:rsidRDefault="00C50974">
            <w:pPr>
              <w:textAlignment w:val="bottom"/>
            </w:pPr>
            <w:r>
              <w:rPr>
                <w:rFonts w:ascii="Arial" w:eastAsia="宋体" w:hAnsi="Arial" w:cs="Arial"/>
                <w:color w:val="000000"/>
                <w:sz w:val="18"/>
                <w:szCs w:val="18"/>
              </w:rPr>
              <w:t xml:space="preserve">Repurchase of shares of common stock </w:t>
            </w:r>
          </w:p>
        </w:tc>
        <w:tc>
          <w:tcPr>
            <w:tcW w:w="0" w:type="auto"/>
            <w:gridSpan w:val="2"/>
            <w:shd w:val="clear" w:color="auto" w:fill="E1E1E1"/>
            <w:tcMar>
              <w:top w:w="40" w:type="dxa"/>
              <w:left w:w="20" w:type="dxa"/>
              <w:bottom w:w="40" w:type="dxa"/>
              <w:right w:w="0" w:type="dxa"/>
            </w:tcMar>
            <w:vAlign w:val="bottom"/>
          </w:tcPr>
          <w:p w14:paraId="64304758" w14:textId="77777777" w:rsidR="009F6D8A" w:rsidRDefault="00C50974">
            <w:pPr>
              <w:jc w:val="right"/>
              <w:textAlignment w:val="bottom"/>
            </w:pPr>
            <w:r>
              <w:rPr>
                <w:rFonts w:ascii="Arial" w:eastAsia="宋体" w:hAnsi="Arial" w:cs="Arial"/>
                <w:color w:val="000000"/>
                <w:sz w:val="18"/>
                <w:szCs w:val="18"/>
              </w:rPr>
              <w:t>29 </w:t>
            </w:r>
          </w:p>
        </w:tc>
        <w:tc>
          <w:tcPr>
            <w:tcW w:w="0" w:type="auto"/>
            <w:shd w:val="clear" w:color="auto" w:fill="E1E1E1"/>
            <w:tcMar>
              <w:top w:w="40" w:type="dxa"/>
              <w:left w:w="0" w:type="dxa"/>
              <w:bottom w:w="40" w:type="dxa"/>
              <w:right w:w="20" w:type="dxa"/>
            </w:tcMar>
            <w:vAlign w:val="bottom"/>
          </w:tcPr>
          <w:p w14:paraId="64304759"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75A"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475B"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430475C" w14:textId="77777777" w:rsidR="009F6D8A" w:rsidRDefault="00C50974">
            <w:pPr>
              <w:jc w:val="right"/>
              <w:textAlignment w:val="bottom"/>
            </w:pPr>
            <w:r>
              <w:rPr>
                <w:rFonts w:ascii="Arial" w:eastAsia="宋体" w:hAnsi="Arial" w:cs="Arial"/>
                <w:color w:val="000000"/>
                <w:sz w:val="18"/>
                <w:szCs w:val="18"/>
              </w:rPr>
              <w:t>61.36 </w:t>
            </w:r>
          </w:p>
        </w:tc>
        <w:tc>
          <w:tcPr>
            <w:tcW w:w="0" w:type="auto"/>
            <w:shd w:val="clear" w:color="auto" w:fill="E1E1E1"/>
            <w:tcMar>
              <w:top w:w="40" w:type="dxa"/>
              <w:left w:w="0" w:type="dxa"/>
              <w:bottom w:w="40" w:type="dxa"/>
              <w:right w:w="20" w:type="dxa"/>
            </w:tcMar>
            <w:vAlign w:val="bottom"/>
          </w:tcPr>
          <w:p w14:paraId="6430475D"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75E"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475F"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64304760" w14:textId="77777777" w:rsidR="009F6D8A" w:rsidRDefault="00C50974">
            <w:pPr>
              <w:jc w:val="right"/>
              <w:textAlignment w:val="bottom"/>
            </w:pPr>
            <w:r>
              <w:rPr>
                <w:rFonts w:ascii="Arial" w:eastAsia="宋体" w:hAnsi="Arial" w:cs="Arial"/>
                <w:color w:val="000000"/>
                <w:sz w:val="18"/>
                <w:szCs w:val="18"/>
              </w:rPr>
              <w:t>1,792 </w:t>
            </w:r>
          </w:p>
        </w:tc>
        <w:tc>
          <w:tcPr>
            <w:tcW w:w="0" w:type="auto"/>
            <w:shd w:val="clear" w:color="auto" w:fill="E1E1E1"/>
            <w:tcMar>
              <w:top w:w="40" w:type="dxa"/>
              <w:left w:w="0" w:type="dxa"/>
              <w:bottom w:w="40" w:type="dxa"/>
              <w:right w:w="20" w:type="dxa"/>
            </w:tcMar>
            <w:vAlign w:val="bottom"/>
          </w:tcPr>
          <w:p w14:paraId="64304761"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762"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763" w14:textId="77777777" w:rsidR="009F6D8A" w:rsidRDefault="00C50974">
            <w:pPr>
              <w:jc w:val="right"/>
              <w:textAlignment w:val="bottom"/>
            </w:pPr>
            <w:r>
              <w:rPr>
                <w:rFonts w:ascii="Arial" w:eastAsia="宋体" w:hAnsi="Arial" w:cs="Arial"/>
                <w:color w:val="000000"/>
                <w:sz w:val="18"/>
                <w:szCs w:val="18"/>
              </w:rPr>
              <w:t>(1,792)</w:t>
            </w:r>
          </w:p>
        </w:tc>
        <w:tc>
          <w:tcPr>
            <w:tcW w:w="0" w:type="auto"/>
            <w:shd w:val="clear" w:color="auto" w:fill="E1E1E1"/>
            <w:tcMar>
              <w:top w:w="40" w:type="dxa"/>
              <w:left w:w="0" w:type="dxa"/>
              <w:bottom w:w="40" w:type="dxa"/>
              <w:right w:w="20" w:type="dxa"/>
            </w:tcMar>
            <w:vAlign w:val="bottom"/>
          </w:tcPr>
          <w:p w14:paraId="64304764" w14:textId="77777777" w:rsidR="009F6D8A" w:rsidRDefault="009F6D8A">
            <w:pPr>
              <w:jc w:val="right"/>
              <w:rPr>
                <w:rFonts w:ascii="宋体"/>
              </w:rPr>
            </w:pPr>
          </w:p>
        </w:tc>
      </w:tr>
      <w:tr w:rsidR="009F6D8A" w14:paraId="6430476E" w14:textId="77777777">
        <w:trPr>
          <w:jc w:val="center"/>
          <w:hidden/>
        </w:trPr>
        <w:tc>
          <w:tcPr>
            <w:tcW w:w="0" w:type="auto"/>
            <w:gridSpan w:val="3"/>
            <w:shd w:val="clear" w:color="auto" w:fill="auto"/>
            <w:vAlign w:val="bottom"/>
          </w:tcPr>
          <w:p w14:paraId="64304766" w14:textId="77777777" w:rsidR="009F6D8A" w:rsidRDefault="009F6D8A">
            <w:pPr>
              <w:rPr>
                <w:rFonts w:ascii="宋体"/>
                <w:vanish/>
              </w:rPr>
            </w:pPr>
          </w:p>
        </w:tc>
        <w:tc>
          <w:tcPr>
            <w:tcW w:w="0" w:type="auto"/>
            <w:gridSpan w:val="3"/>
            <w:shd w:val="clear" w:color="auto" w:fill="auto"/>
            <w:vAlign w:val="bottom"/>
          </w:tcPr>
          <w:p w14:paraId="64304767" w14:textId="77777777" w:rsidR="009F6D8A" w:rsidRDefault="009F6D8A">
            <w:pPr>
              <w:rPr>
                <w:rFonts w:ascii="宋体"/>
                <w:vanish/>
              </w:rPr>
            </w:pPr>
          </w:p>
        </w:tc>
        <w:tc>
          <w:tcPr>
            <w:tcW w:w="0" w:type="auto"/>
            <w:gridSpan w:val="3"/>
            <w:shd w:val="clear" w:color="auto" w:fill="auto"/>
            <w:vAlign w:val="bottom"/>
          </w:tcPr>
          <w:p w14:paraId="64304768" w14:textId="77777777" w:rsidR="009F6D8A" w:rsidRDefault="009F6D8A">
            <w:pPr>
              <w:rPr>
                <w:rFonts w:ascii="宋体"/>
                <w:vanish/>
              </w:rPr>
            </w:pPr>
          </w:p>
        </w:tc>
        <w:tc>
          <w:tcPr>
            <w:tcW w:w="0" w:type="auto"/>
            <w:gridSpan w:val="3"/>
            <w:shd w:val="clear" w:color="auto" w:fill="auto"/>
            <w:vAlign w:val="bottom"/>
          </w:tcPr>
          <w:p w14:paraId="64304769" w14:textId="77777777" w:rsidR="009F6D8A" w:rsidRDefault="009F6D8A">
            <w:pPr>
              <w:rPr>
                <w:rFonts w:ascii="宋体"/>
                <w:vanish/>
              </w:rPr>
            </w:pPr>
          </w:p>
        </w:tc>
        <w:tc>
          <w:tcPr>
            <w:tcW w:w="0" w:type="auto"/>
            <w:gridSpan w:val="3"/>
            <w:shd w:val="clear" w:color="auto" w:fill="auto"/>
            <w:vAlign w:val="bottom"/>
          </w:tcPr>
          <w:p w14:paraId="6430476A" w14:textId="77777777" w:rsidR="009F6D8A" w:rsidRDefault="009F6D8A">
            <w:pPr>
              <w:rPr>
                <w:rFonts w:ascii="宋体"/>
                <w:vanish/>
              </w:rPr>
            </w:pPr>
          </w:p>
        </w:tc>
        <w:tc>
          <w:tcPr>
            <w:tcW w:w="0" w:type="auto"/>
            <w:gridSpan w:val="3"/>
            <w:shd w:val="clear" w:color="auto" w:fill="auto"/>
            <w:vAlign w:val="bottom"/>
          </w:tcPr>
          <w:p w14:paraId="6430476B" w14:textId="77777777" w:rsidR="009F6D8A" w:rsidRDefault="009F6D8A">
            <w:pPr>
              <w:rPr>
                <w:rFonts w:ascii="宋体"/>
                <w:vanish/>
              </w:rPr>
            </w:pPr>
          </w:p>
        </w:tc>
        <w:tc>
          <w:tcPr>
            <w:tcW w:w="0" w:type="auto"/>
            <w:gridSpan w:val="3"/>
            <w:shd w:val="clear" w:color="auto" w:fill="auto"/>
            <w:vAlign w:val="bottom"/>
          </w:tcPr>
          <w:p w14:paraId="6430476C" w14:textId="77777777" w:rsidR="009F6D8A" w:rsidRDefault="009F6D8A">
            <w:pPr>
              <w:rPr>
                <w:rFonts w:ascii="宋体"/>
                <w:vanish/>
              </w:rPr>
            </w:pPr>
          </w:p>
        </w:tc>
        <w:tc>
          <w:tcPr>
            <w:tcW w:w="0" w:type="auto"/>
            <w:gridSpan w:val="3"/>
            <w:shd w:val="clear" w:color="auto" w:fill="auto"/>
            <w:vAlign w:val="bottom"/>
          </w:tcPr>
          <w:p w14:paraId="6430476D" w14:textId="77777777" w:rsidR="009F6D8A" w:rsidRDefault="009F6D8A">
            <w:pPr>
              <w:rPr>
                <w:rFonts w:ascii="宋体"/>
                <w:vanish/>
              </w:rPr>
            </w:pPr>
          </w:p>
        </w:tc>
      </w:tr>
      <w:tr w:rsidR="009F6D8A" w14:paraId="64304777" w14:textId="77777777">
        <w:trPr>
          <w:jc w:val="center"/>
          <w:hidden/>
        </w:trPr>
        <w:tc>
          <w:tcPr>
            <w:tcW w:w="0" w:type="auto"/>
            <w:gridSpan w:val="3"/>
            <w:shd w:val="clear" w:color="auto" w:fill="auto"/>
            <w:vAlign w:val="bottom"/>
          </w:tcPr>
          <w:p w14:paraId="6430476F" w14:textId="77777777" w:rsidR="009F6D8A" w:rsidRDefault="009F6D8A">
            <w:pPr>
              <w:rPr>
                <w:rFonts w:ascii="宋体"/>
                <w:vanish/>
              </w:rPr>
            </w:pPr>
          </w:p>
        </w:tc>
        <w:tc>
          <w:tcPr>
            <w:tcW w:w="0" w:type="auto"/>
            <w:gridSpan w:val="3"/>
            <w:shd w:val="clear" w:color="auto" w:fill="auto"/>
            <w:vAlign w:val="bottom"/>
          </w:tcPr>
          <w:p w14:paraId="64304770" w14:textId="77777777" w:rsidR="009F6D8A" w:rsidRDefault="009F6D8A">
            <w:pPr>
              <w:rPr>
                <w:rFonts w:ascii="宋体"/>
                <w:vanish/>
              </w:rPr>
            </w:pPr>
          </w:p>
        </w:tc>
        <w:tc>
          <w:tcPr>
            <w:tcW w:w="0" w:type="auto"/>
            <w:gridSpan w:val="3"/>
            <w:shd w:val="clear" w:color="auto" w:fill="auto"/>
            <w:vAlign w:val="bottom"/>
          </w:tcPr>
          <w:p w14:paraId="64304771" w14:textId="77777777" w:rsidR="009F6D8A" w:rsidRDefault="009F6D8A">
            <w:pPr>
              <w:rPr>
                <w:rFonts w:ascii="宋体"/>
                <w:vanish/>
              </w:rPr>
            </w:pPr>
          </w:p>
        </w:tc>
        <w:tc>
          <w:tcPr>
            <w:tcW w:w="0" w:type="auto"/>
            <w:gridSpan w:val="3"/>
            <w:shd w:val="clear" w:color="auto" w:fill="auto"/>
            <w:vAlign w:val="bottom"/>
          </w:tcPr>
          <w:p w14:paraId="64304772" w14:textId="77777777" w:rsidR="009F6D8A" w:rsidRDefault="009F6D8A">
            <w:pPr>
              <w:rPr>
                <w:rFonts w:ascii="宋体"/>
                <w:vanish/>
              </w:rPr>
            </w:pPr>
          </w:p>
        </w:tc>
        <w:tc>
          <w:tcPr>
            <w:tcW w:w="0" w:type="auto"/>
            <w:gridSpan w:val="3"/>
            <w:shd w:val="clear" w:color="auto" w:fill="auto"/>
            <w:vAlign w:val="bottom"/>
          </w:tcPr>
          <w:p w14:paraId="64304773" w14:textId="77777777" w:rsidR="009F6D8A" w:rsidRDefault="009F6D8A">
            <w:pPr>
              <w:rPr>
                <w:rFonts w:ascii="宋体"/>
                <w:vanish/>
              </w:rPr>
            </w:pPr>
          </w:p>
        </w:tc>
        <w:tc>
          <w:tcPr>
            <w:tcW w:w="0" w:type="auto"/>
            <w:gridSpan w:val="3"/>
            <w:shd w:val="clear" w:color="auto" w:fill="auto"/>
            <w:vAlign w:val="bottom"/>
          </w:tcPr>
          <w:p w14:paraId="64304774" w14:textId="77777777" w:rsidR="009F6D8A" w:rsidRDefault="009F6D8A">
            <w:pPr>
              <w:rPr>
                <w:rFonts w:ascii="宋体"/>
                <w:vanish/>
              </w:rPr>
            </w:pPr>
          </w:p>
        </w:tc>
        <w:tc>
          <w:tcPr>
            <w:tcW w:w="0" w:type="auto"/>
            <w:gridSpan w:val="3"/>
            <w:shd w:val="clear" w:color="auto" w:fill="auto"/>
            <w:vAlign w:val="bottom"/>
          </w:tcPr>
          <w:p w14:paraId="64304775" w14:textId="77777777" w:rsidR="009F6D8A" w:rsidRDefault="009F6D8A">
            <w:pPr>
              <w:rPr>
                <w:rFonts w:ascii="宋体"/>
                <w:vanish/>
              </w:rPr>
            </w:pPr>
          </w:p>
        </w:tc>
        <w:tc>
          <w:tcPr>
            <w:tcW w:w="0" w:type="auto"/>
            <w:gridSpan w:val="3"/>
            <w:shd w:val="clear" w:color="auto" w:fill="auto"/>
            <w:vAlign w:val="bottom"/>
          </w:tcPr>
          <w:p w14:paraId="64304776" w14:textId="77777777" w:rsidR="009F6D8A" w:rsidRDefault="009F6D8A">
            <w:pPr>
              <w:rPr>
                <w:rFonts w:ascii="宋体"/>
                <w:vanish/>
              </w:rPr>
            </w:pPr>
          </w:p>
        </w:tc>
      </w:tr>
      <w:tr w:rsidR="009F6D8A" w14:paraId="64304782" w14:textId="77777777">
        <w:trPr>
          <w:jc w:val="center"/>
        </w:trPr>
        <w:tc>
          <w:tcPr>
            <w:tcW w:w="0" w:type="auto"/>
            <w:gridSpan w:val="3"/>
            <w:shd w:val="clear" w:color="auto" w:fill="FFFFFF"/>
            <w:tcMar>
              <w:top w:w="40" w:type="dxa"/>
              <w:left w:w="20" w:type="dxa"/>
              <w:bottom w:w="40" w:type="dxa"/>
              <w:right w:w="20" w:type="dxa"/>
            </w:tcMar>
            <w:vAlign w:val="bottom"/>
          </w:tcPr>
          <w:p w14:paraId="64304778" w14:textId="77777777" w:rsidR="009F6D8A" w:rsidRDefault="00C50974">
            <w:pPr>
              <w:textAlignment w:val="bottom"/>
            </w:pPr>
            <w:r>
              <w:rPr>
                <w:rFonts w:ascii="Arial" w:eastAsia="宋体" w:hAnsi="Arial" w:cs="Arial"/>
                <w:color w:val="000000"/>
                <w:sz w:val="18"/>
                <w:szCs w:val="18"/>
              </w:rPr>
              <w:t>Balance as of June 30, 2021</w:t>
            </w:r>
          </w:p>
        </w:tc>
        <w:tc>
          <w:tcPr>
            <w:tcW w:w="0" w:type="auto"/>
            <w:gridSpan w:val="3"/>
            <w:shd w:val="clear" w:color="auto" w:fill="FFFFFF"/>
            <w:tcMar>
              <w:top w:w="0" w:type="dxa"/>
              <w:left w:w="20" w:type="dxa"/>
              <w:bottom w:w="0" w:type="dxa"/>
              <w:right w:w="20" w:type="dxa"/>
            </w:tcMar>
            <w:vAlign w:val="bottom"/>
          </w:tcPr>
          <w:p w14:paraId="64304779"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77A"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77B"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77C"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77D"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77E"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477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4780" w14:textId="77777777" w:rsidR="009F6D8A" w:rsidRDefault="00C50974">
            <w:pPr>
              <w:jc w:val="right"/>
              <w:textAlignment w:val="bottom"/>
            </w:pPr>
            <w:r>
              <w:rPr>
                <w:rFonts w:ascii="Arial" w:eastAsia="宋体" w:hAnsi="Arial" w:cs="Arial"/>
                <w:color w:val="000000"/>
                <w:sz w:val="18"/>
                <w:szCs w:val="18"/>
              </w:rPr>
              <w:t>4,241 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4781" w14:textId="77777777" w:rsidR="009F6D8A" w:rsidRDefault="009F6D8A">
            <w:pPr>
              <w:jc w:val="right"/>
              <w:rPr>
                <w:rFonts w:ascii="宋体"/>
              </w:rPr>
            </w:pPr>
          </w:p>
        </w:tc>
      </w:tr>
    </w:tbl>
    <w:p w14:paraId="64304783" w14:textId="77777777" w:rsidR="009F6D8A" w:rsidRDefault="009F6D8A">
      <w:pPr>
        <w:rPr>
          <w:vanish/>
        </w:rPr>
      </w:pPr>
    </w:p>
    <w:tbl>
      <w:tblPr>
        <w:tblW w:w="972" w:type="pct"/>
        <w:tblCellMar>
          <w:top w:w="15" w:type="dxa"/>
          <w:left w:w="15" w:type="dxa"/>
          <w:bottom w:w="15" w:type="dxa"/>
          <w:right w:w="15" w:type="dxa"/>
        </w:tblCellMar>
        <w:tblLook w:val="04A0" w:firstRow="1" w:lastRow="0" w:firstColumn="1" w:lastColumn="0" w:noHBand="0" w:noVBand="1"/>
      </w:tblPr>
      <w:tblGrid>
        <w:gridCol w:w="36"/>
        <w:gridCol w:w="1549"/>
        <w:gridCol w:w="36"/>
      </w:tblGrid>
      <w:tr w:rsidR="009F6D8A" w14:paraId="64304787" w14:textId="77777777">
        <w:tc>
          <w:tcPr>
            <w:tcW w:w="50" w:type="pct"/>
            <w:shd w:val="clear" w:color="auto" w:fill="auto"/>
            <w:vAlign w:val="bottom"/>
          </w:tcPr>
          <w:p w14:paraId="64304784" w14:textId="77777777" w:rsidR="009F6D8A" w:rsidRDefault="009F6D8A">
            <w:pPr>
              <w:rPr>
                <w:rFonts w:ascii="宋体"/>
              </w:rPr>
            </w:pPr>
          </w:p>
        </w:tc>
        <w:tc>
          <w:tcPr>
            <w:tcW w:w="4945" w:type="pct"/>
            <w:shd w:val="clear" w:color="auto" w:fill="auto"/>
            <w:vAlign w:val="bottom"/>
          </w:tcPr>
          <w:p w14:paraId="64304785" w14:textId="77777777" w:rsidR="009F6D8A" w:rsidRDefault="009F6D8A">
            <w:pPr>
              <w:rPr>
                <w:rFonts w:ascii="宋体"/>
              </w:rPr>
            </w:pPr>
          </w:p>
        </w:tc>
        <w:tc>
          <w:tcPr>
            <w:tcW w:w="5" w:type="pct"/>
            <w:shd w:val="clear" w:color="auto" w:fill="auto"/>
            <w:vAlign w:val="bottom"/>
          </w:tcPr>
          <w:p w14:paraId="64304786" w14:textId="77777777" w:rsidR="009F6D8A" w:rsidRDefault="009F6D8A">
            <w:pPr>
              <w:rPr>
                <w:rFonts w:ascii="宋体"/>
              </w:rPr>
            </w:pPr>
          </w:p>
        </w:tc>
      </w:tr>
      <w:tr w:rsidR="009F6D8A" w14:paraId="64304789"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788" w14:textId="77777777" w:rsidR="009F6D8A" w:rsidRDefault="009F6D8A">
            <w:pPr>
              <w:rPr>
                <w:rFonts w:ascii="宋体"/>
              </w:rPr>
            </w:pPr>
          </w:p>
        </w:tc>
      </w:tr>
    </w:tbl>
    <w:p w14:paraId="6430478A" w14:textId="77777777" w:rsidR="009F6D8A" w:rsidRDefault="00C50974">
      <w:pPr>
        <w:spacing w:after="60"/>
        <w:ind w:hanging="360"/>
        <w:jc w:val="both"/>
      </w:pPr>
      <w:r>
        <w:rPr>
          <w:rFonts w:ascii="Arial" w:eastAsia="宋体" w:hAnsi="Arial" w:cs="Arial"/>
          <w:color w:val="000000"/>
          <w:sz w:val="10"/>
          <w:szCs w:val="10"/>
        </w:rPr>
        <w:t>(1)</w:t>
      </w:r>
      <w:r>
        <w:rPr>
          <w:rFonts w:ascii="Arial" w:eastAsia="宋体" w:hAnsi="Arial" w:cs="Arial"/>
          <w:color w:val="000000"/>
          <w:sz w:val="16"/>
          <w:szCs w:val="16"/>
        </w:rPr>
        <w:t xml:space="preserve">These repurchased shares of common stock were recorded as treasury stock and were accounted for under the cost method. None of the repurchased shares of common stock have been retired. </w:t>
      </w:r>
    </w:p>
    <w:p w14:paraId="6430478B" w14:textId="77777777" w:rsidR="009F6D8A" w:rsidRDefault="00C50974">
      <w:pPr>
        <w:spacing w:after="60"/>
        <w:ind w:hanging="360"/>
      </w:pPr>
      <w:r>
        <w:rPr>
          <w:rFonts w:ascii="Arial" w:eastAsia="宋体" w:hAnsi="Arial" w:cs="Arial"/>
          <w:color w:val="000000"/>
          <w:sz w:val="10"/>
          <w:szCs w:val="10"/>
        </w:rPr>
        <w:t>(2)</w:t>
      </w:r>
      <w:r>
        <w:rPr>
          <w:rFonts w:ascii="Arial" w:eastAsia="宋体" w:hAnsi="Arial" w:cs="Arial"/>
          <w:color w:val="000000"/>
          <w:sz w:val="16"/>
          <w:szCs w:val="16"/>
        </w:rPr>
        <w:t>Excludes broker commissions.</w:t>
      </w:r>
    </w:p>
    <w:p w14:paraId="6430478C" w14:textId="77777777" w:rsidR="009F6D8A" w:rsidRDefault="009F6D8A">
      <w:pPr>
        <w:ind w:firstLine="540"/>
        <w:jc w:val="both"/>
      </w:pPr>
    </w:p>
    <w:p w14:paraId="6430478D" w14:textId="77777777" w:rsidR="009F6D8A" w:rsidRDefault="00C50974">
      <w:pPr>
        <w:ind w:firstLine="540"/>
        <w:jc w:val="both"/>
      </w:pPr>
      <w:r>
        <w:rPr>
          <w:rFonts w:ascii="Arial" w:eastAsia="宋体" w:hAnsi="Arial" w:cs="Arial"/>
          <w:color w:val="212529"/>
          <w:sz w:val="20"/>
          <w:szCs w:val="20"/>
        </w:rPr>
        <w:t xml:space="preserve">In August 2021, our Board authorized </w:t>
      </w:r>
      <w:r>
        <w:rPr>
          <w:rFonts w:ascii="Arial" w:eastAsia="宋体" w:hAnsi="Arial" w:cs="Arial"/>
          <w:color w:val="212529"/>
          <w:sz w:val="20"/>
          <w:szCs w:val="20"/>
        </w:rPr>
        <w:t>an additional $3.0 billion stock repurchase program, with no expiration from the date of authorization.</w:t>
      </w:r>
    </w:p>
    <w:p w14:paraId="6430478E" w14:textId="77777777" w:rsidR="009F6D8A" w:rsidRDefault="009F6D8A">
      <w:pPr>
        <w:ind w:firstLine="540"/>
        <w:jc w:val="both"/>
      </w:pPr>
    </w:p>
    <w:p w14:paraId="6430478F" w14:textId="77777777" w:rsidR="009F6D8A" w:rsidRDefault="00C50974">
      <w:pPr>
        <w:ind w:firstLine="180"/>
        <w:jc w:val="both"/>
      </w:pPr>
      <w:r>
        <w:rPr>
          <w:rFonts w:ascii="Arial" w:eastAsia="宋体" w:hAnsi="Arial" w:cs="Arial"/>
          <w:b/>
          <w:bCs/>
          <w:i/>
          <w:iCs/>
          <w:color w:val="000000"/>
          <w:sz w:val="20"/>
          <w:szCs w:val="20"/>
        </w:rPr>
        <w:t>Dividends</w:t>
      </w:r>
    </w:p>
    <w:p w14:paraId="64304790" w14:textId="77777777" w:rsidR="009F6D8A" w:rsidRDefault="009F6D8A">
      <w:pPr>
        <w:ind w:firstLine="270"/>
      </w:pPr>
    </w:p>
    <w:p w14:paraId="64304791" w14:textId="77777777" w:rsidR="009F6D8A" w:rsidRDefault="00C50974">
      <w:pPr>
        <w:ind w:firstLine="540"/>
        <w:jc w:val="both"/>
      </w:pPr>
      <w:r>
        <w:rPr>
          <w:rFonts w:ascii="Arial" w:eastAsia="宋体" w:hAnsi="Arial" w:cs="Arial"/>
          <w:color w:val="000000"/>
          <w:sz w:val="20"/>
          <w:szCs w:val="20"/>
        </w:rPr>
        <w:t xml:space="preserve">The Company paid a total of $121 million and $243 million in cash dividends during the three and six months ended June 30, 2021 and $112 </w:t>
      </w:r>
      <w:r>
        <w:rPr>
          <w:rFonts w:ascii="Arial" w:eastAsia="宋体" w:hAnsi="Arial" w:cs="Arial"/>
          <w:color w:val="000000"/>
          <w:sz w:val="20"/>
          <w:szCs w:val="20"/>
        </w:rPr>
        <w:t xml:space="preserve">million and $226 million during the three and six June 30, 2020, respectively. In August 2021, our Board of Directors declared a cash dividend of $0.18 per share of common stock to be paid on September 17, 2021 to stockholders of record as of September 1, </w:t>
      </w:r>
      <w:r>
        <w:rPr>
          <w:rFonts w:ascii="Arial" w:eastAsia="宋体" w:hAnsi="Arial" w:cs="Arial"/>
          <w:color w:val="000000"/>
          <w:sz w:val="20"/>
          <w:szCs w:val="20"/>
        </w:rPr>
        <w:t>2021.</w:t>
      </w:r>
    </w:p>
    <w:p w14:paraId="64304792" w14:textId="77777777" w:rsidR="009F6D8A" w:rsidRDefault="009F6D8A"/>
    <w:p w14:paraId="64304793" w14:textId="77777777" w:rsidR="009F6D8A" w:rsidRDefault="00C50974">
      <w:r>
        <w:rPr>
          <w:rFonts w:ascii="Arial" w:eastAsia="宋体" w:hAnsi="Arial" w:cs="Arial"/>
          <w:b/>
          <w:bCs/>
          <w:color w:val="000000"/>
          <w:sz w:val="20"/>
          <w:szCs w:val="20"/>
        </w:rPr>
        <w:t>Note 13 — Employee Benefit Plans</w:t>
      </w:r>
    </w:p>
    <w:p w14:paraId="64304794" w14:textId="77777777" w:rsidR="009F6D8A" w:rsidRDefault="009F6D8A"/>
    <w:p w14:paraId="64304795" w14:textId="77777777" w:rsidR="009F6D8A" w:rsidRDefault="00C50974">
      <w:r>
        <w:rPr>
          <w:rFonts w:ascii="Arial" w:eastAsia="宋体" w:hAnsi="Arial" w:cs="Arial"/>
          <w:b/>
          <w:bCs/>
          <w:i/>
          <w:iCs/>
          <w:color w:val="000000"/>
          <w:sz w:val="20"/>
          <w:szCs w:val="20"/>
        </w:rPr>
        <w:t>Restricted Stock Unit Activity</w:t>
      </w:r>
    </w:p>
    <w:p w14:paraId="64304796" w14:textId="77777777" w:rsidR="009F6D8A" w:rsidRDefault="009F6D8A"/>
    <w:p w14:paraId="64304797" w14:textId="77777777" w:rsidR="009F6D8A" w:rsidRDefault="00C50974">
      <w:pPr>
        <w:ind w:firstLine="540"/>
        <w:jc w:val="both"/>
      </w:pPr>
      <w:r>
        <w:rPr>
          <w:rFonts w:ascii="Arial" w:eastAsia="宋体" w:hAnsi="Arial" w:cs="Arial"/>
          <w:color w:val="000000"/>
          <w:sz w:val="20"/>
          <w:szCs w:val="20"/>
        </w:rPr>
        <w:t xml:space="preserve">The following table presents restricted stock unit (“RSU”) activity under our equity incentive plans as of and for the six months ended June 30, 2021 (in millions): </w:t>
      </w:r>
    </w:p>
    <w:p w14:paraId="64304798" w14:textId="77777777" w:rsidR="009F6D8A" w:rsidRDefault="00C50974">
      <w:pPr>
        <w:ind w:firstLine="540"/>
        <w:jc w:val="both"/>
      </w:pPr>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7170"/>
        <w:gridCol w:w="36"/>
        <w:gridCol w:w="69"/>
        <w:gridCol w:w="956"/>
        <w:gridCol w:w="36"/>
      </w:tblGrid>
      <w:tr w:rsidR="009F6D8A" w14:paraId="6430479F" w14:textId="77777777">
        <w:tc>
          <w:tcPr>
            <w:tcW w:w="50" w:type="pct"/>
            <w:shd w:val="clear" w:color="auto" w:fill="auto"/>
            <w:vAlign w:val="bottom"/>
          </w:tcPr>
          <w:p w14:paraId="64304799" w14:textId="77777777" w:rsidR="009F6D8A" w:rsidRDefault="009F6D8A">
            <w:pPr>
              <w:rPr>
                <w:rFonts w:ascii="宋体"/>
              </w:rPr>
            </w:pPr>
          </w:p>
        </w:tc>
        <w:tc>
          <w:tcPr>
            <w:tcW w:w="4309" w:type="pct"/>
            <w:shd w:val="clear" w:color="auto" w:fill="auto"/>
            <w:vAlign w:val="bottom"/>
          </w:tcPr>
          <w:p w14:paraId="6430479A" w14:textId="77777777" w:rsidR="009F6D8A" w:rsidRDefault="009F6D8A">
            <w:pPr>
              <w:rPr>
                <w:rFonts w:ascii="宋体"/>
              </w:rPr>
            </w:pPr>
          </w:p>
        </w:tc>
        <w:tc>
          <w:tcPr>
            <w:tcW w:w="5" w:type="pct"/>
            <w:shd w:val="clear" w:color="auto" w:fill="auto"/>
            <w:vAlign w:val="bottom"/>
          </w:tcPr>
          <w:p w14:paraId="6430479B" w14:textId="77777777" w:rsidR="009F6D8A" w:rsidRDefault="009F6D8A">
            <w:pPr>
              <w:rPr>
                <w:rFonts w:ascii="宋体"/>
              </w:rPr>
            </w:pPr>
          </w:p>
        </w:tc>
        <w:tc>
          <w:tcPr>
            <w:tcW w:w="50" w:type="pct"/>
            <w:shd w:val="clear" w:color="auto" w:fill="auto"/>
            <w:vAlign w:val="bottom"/>
          </w:tcPr>
          <w:p w14:paraId="6430479C" w14:textId="77777777" w:rsidR="009F6D8A" w:rsidRDefault="009F6D8A">
            <w:pPr>
              <w:rPr>
                <w:rFonts w:ascii="宋体"/>
              </w:rPr>
            </w:pPr>
          </w:p>
        </w:tc>
        <w:tc>
          <w:tcPr>
            <w:tcW w:w="581" w:type="pct"/>
            <w:shd w:val="clear" w:color="auto" w:fill="auto"/>
            <w:vAlign w:val="bottom"/>
          </w:tcPr>
          <w:p w14:paraId="6430479D" w14:textId="77777777" w:rsidR="009F6D8A" w:rsidRDefault="009F6D8A">
            <w:pPr>
              <w:rPr>
                <w:rFonts w:ascii="宋体"/>
              </w:rPr>
            </w:pPr>
          </w:p>
        </w:tc>
        <w:tc>
          <w:tcPr>
            <w:tcW w:w="5" w:type="pct"/>
            <w:shd w:val="clear" w:color="auto" w:fill="auto"/>
            <w:vAlign w:val="bottom"/>
          </w:tcPr>
          <w:p w14:paraId="6430479E" w14:textId="77777777" w:rsidR="009F6D8A" w:rsidRDefault="009F6D8A">
            <w:pPr>
              <w:rPr>
                <w:rFonts w:ascii="宋体"/>
              </w:rPr>
            </w:pPr>
          </w:p>
        </w:tc>
      </w:tr>
      <w:tr w:rsidR="009F6D8A" w14:paraId="643047A2" w14:textId="77777777">
        <w:tc>
          <w:tcPr>
            <w:tcW w:w="0" w:type="auto"/>
            <w:gridSpan w:val="3"/>
            <w:shd w:val="clear" w:color="auto" w:fill="auto"/>
            <w:tcMar>
              <w:top w:w="40" w:type="dxa"/>
              <w:left w:w="20" w:type="dxa"/>
              <w:bottom w:w="40" w:type="dxa"/>
              <w:right w:w="20" w:type="dxa"/>
            </w:tcMar>
            <w:vAlign w:val="bottom"/>
          </w:tcPr>
          <w:p w14:paraId="643047A0" w14:textId="77777777" w:rsidR="009F6D8A" w:rsidRDefault="00C50974">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643047A1" w14:textId="77777777" w:rsidR="009F6D8A" w:rsidRDefault="00C50974">
            <w:pPr>
              <w:jc w:val="center"/>
              <w:textAlignment w:val="bottom"/>
            </w:pPr>
            <w:r>
              <w:rPr>
                <w:rFonts w:ascii="Arial" w:eastAsia="宋体" w:hAnsi="Arial" w:cs="Arial"/>
                <w:b/>
                <w:bCs/>
                <w:color w:val="000000"/>
                <w:sz w:val="16"/>
                <w:szCs w:val="16"/>
              </w:rPr>
              <w:t>Units</w:t>
            </w:r>
            <w:r>
              <w:rPr>
                <w:rFonts w:ascii="Arial" w:eastAsia="宋体" w:hAnsi="Arial" w:cs="Arial"/>
                <w:color w:val="000000"/>
                <w:sz w:val="16"/>
                <w:szCs w:val="16"/>
              </w:rPr>
              <w:t> </w:t>
            </w:r>
            <w:r>
              <w:rPr>
                <w:rFonts w:ascii="Arial" w:eastAsia="宋体" w:hAnsi="Arial" w:cs="Arial"/>
                <w:color w:val="000000"/>
                <w:sz w:val="10"/>
                <w:szCs w:val="10"/>
              </w:rPr>
              <w:t>(1)</w:t>
            </w:r>
          </w:p>
        </w:tc>
      </w:tr>
      <w:tr w:rsidR="009F6D8A" w14:paraId="643047A6" w14:textId="77777777">
        <w:tc>
          <w:tcPr>
            <w:tcW w:w="0" w:type="auto"/>
            <w:gridSpan w:val="3"/>
            <w:tcBorders>
              <w:top w:val="single" w:sz="8" w:space="0" w:color="D3D3D3"/>
            </w:tcBorders>
            <w:shd w:val="clear" w:color="auto" w:fill="E1E1E1"/>
            <w:tcMar>
              <w:top w:w="40" w:type="dxa"/>
              <w:left w:w="20" w:type="dxa"/>
              <w:bottom w:w="40" w:type="dxa"/>
              <w:right w:w="20" w:type="dxa"/>
            </w:tcMar>
            <w:vAlign w:val="bottom"/>
          </w:tcPr>
          <w:p w14:paraId="643047A3" w14:textId="77777777" w:rsidR="009F6D8A" w:rsidRDefault="00C50974">
            <w:pPr>
              <w:textAlignment w:val="bottom"/>
            </w:pPr>
            <w:r>
              <w:rPr>
                <w:rFonts w:ascii="Arial" w:eastAsia="宋体" w:hAnsi="Arial" w:cs="Arial"/>
                <w:color w:val="000000"/>
                <w:sz w:val="18"/>
                <w:szCs w:val="18"/>
              </w:rPr>
              <w:t>Outstanding as of January 1, 2021</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47A4" w14:textId="77777777" w:rsidR="009F6D8A" w:rsidRDefault="00C50974">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7A5" w14:textId="77777777" w:rsidR="009F6D8A" w:rsidRDefault="009F6D8A">
            <w:pPr>
              <w:jc w:val="right"/>
              <w:rPr>
                <w:rFonts w:ascii="宋体"/>
              </w:rPr>
            </w:pPr>
          </w:p>
        </w:tc>
      </w:tr>
      <w:tr w:rsidR="009F6D8A" w14:paraId="643047AA" w14:textId="77777777">
        <w:tc>
          <w:tcPr>
            <w:tcW w:w="0" w:type="auto"/>
            <w:gridSpan w:val="3"/>
            <w:shd w:val="clear" w:color="auto" w:fill="FFFFFF"/>
            <w:tcMar>
              <w:top w:w="40" w:type="dxa"/>
              <w:left w:w="20" w:type="dxa"/>
              <w:bottom w:w="40" w:type="dxa"/>
              <w:right w:w="20" w:type="dxa"/>
            </w:tcMar>
            <w:vAlign w:val="bottom"/>
          </w:tcPr>
          <w:p w14:paraId="643047A7" w14:textId="77777777" w:rsidR="009F6D8A" w:rsidRDefault="00C50974">
            <w:pPr>
              <w:textAlignment w:val="bottom"/>
            </w:pPr>
            <w:r>
              <w:rPr>
                <w:rFonts w:ascii="Arial" w:eastAsia="宋体" w:hAnsi="Arial" w:cs="Arial"/>
                <w:color w:val="000000"/>
                <w:sz w:val="18"/>
                <w:szCs w:val="18"/>
              </w:rPr>
              <w:t>Awarded</w:t>
            </w:r>
          </w:p>
        </w:tc>
        <w:tc>
          <w:tcPr>
            <w:tcW w:w="0" w:type="auto"/>
            <w:gridSpan w:val="2"/>
            <w:shd w:val="clear" w:color="auto" w:fill="FFFFFF"/>
            <w:tcMar>
              <w:top w:w="40" w:type="dxa"/>
              <w:left w:w="20" w:type="dxa"/>
              <w:bottom w:w="40" w:type="dxa"/>
              <w:right w:w="0" w:type="dxa"/>
            </w:tcMar>
            <w:vAlign w:val="bottom"/>
          </w:tcPr>
          <w:p w14:paraId="643047A8" w14:textId="77777777" w:rsidR="009F6D8A" w:rsidRDefault="00C50974">
            <w:pPr>
              <w:jc w:val="right"/>
              <w:textAlignment w:val="bottom"/>
            </w:pPr>
            <w:r>
              <w:rPr>
                <w:rFonts w:ascii="Arial" w:eastAsia="宋体" w:hAnsi="Arial" w:cs="Arial"/>
                <w:color w:val="000000"/>
                <w:sz w:val="18"/>
                <w:szCs w:val="18"/>
              </w:rPr>
              <w:t>11 </w:t>
            </w:r>
          </w:p>
        </w:tc>
        <w:tc>
          <w:tcPr>
            <w:tcW w:w="0" w:type="auto"/>
            <w:shd w:val="clear" w:color="auto" w:fill="FFFFFF"/>
            <w:tcMar>
              <w:top w:w="40" w:type="dxa"/>
              <w:left w:w="0" w:type="dxa"/>
              <w:bottom w:w="40" w:type="dxa"/>
              <w:right w:w="20" w:type="dxa"/>
            </w:tcMar>
            <w:vAlign w:val="bottom"/>
          </w:tcPr>
          <w:p w14:paraId="643047A9" w14:textId="77777777" w:rsidR="009F6D8A" w:rsidRDefault="009F6D8A">
            <w:pPr>
              <w:jc w:val="right"/>
              <w:rPr>
                <w:rFonts w:ascii="宋体"/>
              </w:rPr>
            </w:pPr>
          </w:p>
        </w:tc>
      </w:tr>
      <w:tr w:rsidR="009F6D8A" w14:paraId="643047AE" w14:textId="77777777">
        <w:tc>
          <w:tcPr>
            <w:tcW w:w="0" w:type="auto"/>
            <w:gridSpan w:val="3"/>
            <w:shd w:val="clear" w:color="auto" w:fill="E1E1E1"/>
            <w:tcMar>
              <w:top w:w="40" w:type="dxa"/>
              <w:left w:w="20" w:type="dxa"/>
              <w:bottom w:w="40" w:type="dxa"/>
              <w:right w:w="20" w:type="dxa"/>
            </w:tcMar>
            <w:vAlign w:val="bottom"/>
          </w:tcPr>
          <w:p w14:paraId="643047AB" w14:textId="77777777" w:rsidR="009F6D8A" w:rsidRDefault="00C50974">
            <w:pPr>
              <w:textAlignment w:val="bottom"/>
            </w:pPr>
            <w:r>
              <w:rPr>
                <w:rFonts w:ascii="Arial" w:eastAsia="宋体" w:hAnsi="Arial" w:cs="Arial"/>
                <w:color w:val="000000"/>
                <w:sz w:val="18"/>
                <w:szCs w:val="18"/>
              </w:rPr>
              <w:t>Vested</w:t>
            </w:r>
          </w:p>
        </w:tc>
        <w:tc>
          <w:tcPr>
            <w:tcW w:w="0" w:type="auto"/>
            <w:gridSpan w:val="2"/>
            <w:shd w:val="clear" w:color="auto" w:fill="E1E1E1"/>
            <w:tcMar>
              <w:top w:w="40" w:type="dxa"/>
              <w:left w:w="20" w:type="dxa"/>
              <w:bottom w:w="40" w:type="dxa"/>
              <w:right w:w="0" w:type="dxa"/>
            </w:tcMar>
            <w:vAlign w:val="bottom"/>
          </w:tcPr>
          <w:p w14:paraId="643047AC" w14:textId="77777777" w:rsidR="009F6D8A" w:rsidRDefault="00C50974">
            <w:pPr>
              <w:jc w:val="right"/>
              <w:textAlignment w:val="bottom"/>
            </w:pPr>
            <w:r>
              <w:rPr>
                <w:rFonts w:ascii="Arial" w:eastAsia="宋体" w:hAnsi="Arial" w:cs="Arial"/>
                <w:color w:val="000000"/>
                <w:sz w:val="18"/>
                <w:szCs w:val="18"/>
              </w:rPr>
              <w:t>(7)</w:t>
            </w:r>
          </w:p>
        </w:tc>
        <w:tc>
          <w:tcPr>
            <w:tcW w:w="0" w:type="auto"/>
            <w:shd w:val="clear" w:color="auto" w:fill="E1E1E1"/>
            <w:tcMar>
              <w:top w:w="40" w:type="dxa"/>
              <w:left w:w="0" w:type="dxa"/>
              <w:bottom w:w="40" w:type="dxa"/>
              <w:right w:w="20" w:type="dxa"/>
            </w:tcMar>
            <w:vAlign w:val="bottom"/>
          </w:tcPr>
          <w:p w14:paraId="643047AD" w14:textId="77777777" w:rsidR="009F6D8A" w:rsidRDefault="009F6D8A">
            <w:pPr>
              <w:jc w:val="right"/>
              <w:rPr>
                <w:rFonts w:ascii="宋体"/>
              </w:rPr>
            </w:pPr>
          </w:p>
        </w:tc>
      </w:tr>
      <w:tr w:rsidR="009F6D8A" w14:paraId="643047B2" w14:textId="77777777">
        <w:tc>
          <w:tcPr>
            <w:tcW w:w="0" w:type="auto"/>
            <w:gridSpan w:val="3"/>
            <w:shd w:val="clear" w:color="auto" w:fill="FFFFFF"/>
            <w:tcMar>
              <w:top w:w="40" w:type="dxa"/>
              <w:left w:w="20" w:type="dxa"/>
              <w:bottom w:w="40" w:type="dxa"/>
              <w:right w:w="20" w:type="dxa"/>
            </w:tcMar>
            <w:vAlign w:val="bottom"/>
          </w:tcPr>
          <w:p w14:paraId="643047AF" w14:textId="77777777" w:rsidR="009F6D8A" w:rsidRDefault="00C50974">
            <w:pPr>
              <w:textAlignment w:val="bottom"/>
            </w:pPr>
            <w:r>
              <w:rPr>
                <w:rFonts w:ascii="Arial" w:eastAsia="宋体" w:hAnsi="Arial" w:cs="Arial"/>
                <w:color w:val="000000"/>
                <w:sz w:val="18"/>
                <w:szCs w:val="18"/>
              </w:rPr>
              <w:t>Forfeited</w:t>
            </w:r>
          </w:p>
        </w:tc>
        <w:tc>
          <w:tcPr>
            <w:tcW w:w="0" w:type="auto"/>
            <w:gridSpan w:val="2"/>
            <w:shd w:val="clear" w:color="auto" w:fill="FFFFFF"/>
            <w:tcMar>
              <w:top w:w="40" w:type="dxa"/>
              <w:left w:w="20" w:type="dxa"/>
              <w:bottom w:w="40" w:type="dxa"/>
              <w:right w:w="0" w:type="dxa"/>
            </w:tcMar>
            <w:vAlign w:val="bottom"/>
          </w:tcPr>
          <w:p w14:paraId="643047B0" w14:textId="77777777" w:rsidR="009F6D8A" w:rsidRDefault="00C50974">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643047B1" w14:textId="77777777" w:rsidR="009F6D8A" w:rsidRDefault="009F6D8A">
            <w:pPr>
              <w:jc w:val="right"/>
              <w:rPr>
                <w:rFonts w:ascii="宋体"/>
              </w:rPr>
            </w:pPr>
          </w:p>
        </w:tc>
      </w:tr>
      <w:tr w:rsidR="009F6D8A" w14:paraId="643047B6" w14:textId="77777777">
        <w:tc>
          <w:tcPr>
            <w:tcW w:w="0" w:type="auto"/>
            <w:gridSpan w:val="3"/>
            <w:shd w:val="clear" w:color="auto" w:fill="E1E1E1"/>
            <w:tcMar>
              <w:top w:w="40" w:type="dxa"/>
              <w:left w:w="20" w:type="dxa"/>
              <w:bottom w:w="40" w:type="dxa"/>
              <w:right w:w="20" w:type="dxa"/>
            </w:tcMar>
            <w:vAlign w:val="bottom"/>
          </w:tcPr>
          <w:p w14:paraId="643047B3" w14:textId="77777777" w:rsidR="009F6D8A" w:rsidRDefault="00C50974">
            <w:pPr>
              <w:textAlignment w:val="bottom"/>
            </w:pPr>
            <w:r>
              <w:rPr>
                <w:rFonts w:ascii="Arial" w:eastAsia="宋体" w:hAnsi="Arial" w:cs="Arial"/>
                <w:color w:val="000000"/>
                <w:sz w:val="18"/>
                <w:szCs w:val="18"/>
              </w:rPr>
              <w:t>Outstanding as of June 30, 2021</w:t>
            </w:r>
          </w:p>
        </w:tc>
        <w:tc>
          <w:tcPr>
            <w:tcW w:w="0" w:type="auto"/>
            <w:gridSpan w:val="2"/>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47B4" w14:textId="77777777" w:rsidR="009F6D8A" w:rsidRDefault="00C50974">
            <w:pPr>
              <w:jc w:val="right"/>
              <w:textAlignment w:val="bottom"/>
            </w:pPr>
            <w:r>
              <w:rPr>
                <w:rFonts w:ascii="Arial" w:eastAsia="宋体" w:hAnsi="Arial" w:cs="Arial"/>
                <w:color w:val="000000"/>
                <w:sz w:val="18"/>
                <w:szCs w:val="18"/>
              </w:rPr>
              <w:t>26 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47B5" w14:textId="77777777" w:rsidR="009F6D8A" w:rsidRDefault="009F6D8A">
            <w:pPr>
              <w:jc w:val="right"/>
              <w:rPr>
                <w:rFonts w:ascii="宋体"/>
              </w:rPr>
            </w:pPr>
          </w:p>
        </w:tc>
      </w:tr>
    </w:tbl>
    <w:p w14:paraId="643047B7" w14:textId="77777777" w:rsidR="009F6D8A" w:rsidRDefault="00C50974">
      <w:r>
        <w:rPr>
          <w:rFonts w:ascii="Arial" w:eastAsia="宋体" w:hAnsi="Arial" w:cs="Arial"/>
          <w:color w:val="000000"/>
          <w:sz w:val="10"/>
          <w:szCs w:val="10"/>
        </w:rPr>
        <w:t>(1)</w:t>
      </w:r>
      <w:r>
        <w:rPr>
          <w:rFonts w:ascii="Arial" w:eastAsia="宋体" w:hAnsi="Arial" w:cs="Arial"/>
          <w:color w:val="000000"/>
          <w:sz w:val="16"/>
          <w:szCs w:val="16"/>
        </w:rPr>
        <w:t xml:space="preserve"> Activity presented is inclusive of units granted to employees of our eBay Korea business</w:t>
      </w:r>
    </w:p>
    <w:p w14:paraId="643047B8" w14:textId="77777777" w:rsidR="009F6D8A" w:rsidRDefault="009F6D8A"/>
    <w:p w14:paraId="643047B9" w14:textId="77777777" w:rsidR="009F6D8A" w:rsidRDefault="00C50974">
      <w:pPr>
        <w:ind w:firstLine="540"/>
        <w:jc w:val="both"/>
      </w:pPr>
      <w:r>
        <w:rPr>
          <w:rFonts w:ascii="Arial" w:eastAsia="宋体" w:hAnsi="Arial" w:cs="Arial"/>
          <w:color w:val="000000"/>
          <w:sz w:val="20"/>
          <w:szCs w:val="20"/>
        </w:rPr>
        <w:t>The weighted average grant date fair value for RSUs awarded during the six months ended June 30, 2021 was $62.95 per share.</w:t>
      </w:r>
    </w:p>
    <w:p w14:paraId="643047BA" w14:textId="77777777" w:rsidR="009F6D8A" w:rsidRDefault="009F6D8A">
      <w:pPr>
        <w:ind w:firstLine="495"/>
      </w:pPr>
    </w:p>
    <w:p w14:paraId="643047BB" w14:textId="77777777" w:rsidR="009F6D8A" w:rsidRDefault="009F6D8A">
      <w:pPr>
        <w:jc w:val="center"/>
      </w:pPr>
    </w:p>
    <w:p w14:paraId="643047BC" w14:textId="77777777" w:rsidR="009F6D8A" w:rsidRDefault="00C50974">
      <w:pPr>
        <w:jc w:val="center"/>
      </w:pPr>
      <w:r>
        <w:rPr>
          <w:rFonts w:ascii="Arial" w:eastAsia="宋体" w:hAnsi="Arial" w:cs="Arial"/>
          <w:color w:val="000000"/>
          <w:sz w:val="20"/>
          <w:szCs w:val="20"/>
        </w:rPr>
        <w:t>34</w:t>
      </w:r>
    </w:p>
    <w:p w14:paraId="643047BD" w14:textId="77777777" w:rsidR="009F6D8A" w:rsidRDefault="00C50974">
      <w:r>
        <w:pict w14:anchorId="64305825">
          <v:rect id="_x0000_i1058" style="width:415.3pt;height:1.5pt" o:hralign="center" o:hrstd="t" o:hr="t" fillcolor="#a0a0a0" stroked="f"/>
        </w:pict>
      </w:r>
    </w:p>
    <w:p w14:paraId="643047BE" w14:textId="77777777" w:rsidR="009F6D8A" w:rsidRDefault="009F6D8A">
      <w:pPr>
        <w:jc w:val="center"/>
      </w:pPr>
    </w:p>
    <w:p w14:paraId="643047BF" w14:textId="77777777" w:rsidR="009F6D8A" w:rsidRDefault="00C50974">
      <w:pPr>
        <w:jc w:val="center"/>
      </w:pPr>
      <w:r>
        <w:rPr>
          <w:rFonts w:ascii="Arial" w:eastAsia="宋体" w:hAnsi="Arial" w:cs="Arial"/>
          <w:b/>
          <w:bCs/>
          <w:color w:val="000000"/>
          <w:sz w:val="20"/>
          <w:szCs w:val="20"/>
        </w:rPr>
        <w:t>eBay Inc.</w:t>
      </w:r>
    </w:p>
    <w:p w14:paraId="643047C0" w14:textId="77777777" w:rsidR="009F6D8A" w:rsidRDefault="00C50974">
      <w:pPr>
        <w:spacing w:after="240"/>
        <w:jc w:val="center"/>
      </w:pPr>
      <w:r>
        <w:rPr>
          <w:rFonts w:ascii="Arial" w:eastAsia="宋体" w:hAnsi="Arial" w:cs="Arial"/>
          <w:b/>
          <w:bCs/>
          <w:color w:val="000000"/>
          <w:sz w:val="20"/>
          <w:szCs w:val="20"/>
        </w:rPr>
        <w:t>NOTES TO CONDENSED CONS</w:t>
      </w:r>
      <w:r>
        <w:rPr>
          <w:rFonts w:ascii="Arial" w:eastAsia="宋体" w:hAnsi="Arial" w:cs="Arial"/>
          <w:b/>
          <w:bCs/>
          <w:color w:val="000000"/>
          <w:sz w:val="20"/>
          <w:szCs w:val="20"/>
        </w:rPr>
        <w:t>OLIDATED FINANCIAL STATEMENTS—(Continued)</w:t>
      </w:r>
    </w:p>
    <w:p w14:paraId="643047C1" w14:textId="77777777" w:rsidR="009F6D8A" w:rsidRDefault="00C50974">
      <w:r>
        <w:rPr>
          <w:rFonts w:ascii="Arial" w:eastAsia="宋体" w:hAnsi="Arial" w:cs="Arial"/>
          <w:b/>
          <w:bCs/>
          <w:i/>
          <w:iCs/>
          <w:color w:val="000000"/>
          <w:sz w:val="20"/>
          <w:szCs w:val="20"/>
        </w:rPr>
        <w:t>Stock-Based Compensation Expense</w:t>
      </w:r>
    </w:p>
    <w:p w14:paraId="643047C2" w14:textId="77777777" w:rsidR="009F6D8A" w:rsidRDefault="009F6D8A"/>
    <w:p w14:paraId="643047C3" w14:textId="77777777" w:rsidR="009F6D8A" w:rsidRDefault="00C50974">
      <w:pPr>
        <w:ind w:firstLine="540"/>
      </w:pPr>
      <w:r>
        <w:rPr>
          <w:rFonts w:ascii="Arial" w:eastAsia="宋体" w:hAnsi="Arial" w:cs="Arial"/>
          <w:color w:val="000000"/>
          <w:sz w:val="20"/>
          <w:szCs w:val="20"/>
        </w:rPr>
        <w:t>The impact on our results of continuing operations of recording stock-based compensation expense was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3765"/>
        <w:gridCol w:w="38"/>
        <w:gridCol w:w="121"/>
        <w:gridCol w:w="918"/>
        <w:gridCol w:w="36"/>
        <w:gridCol w:w="36"/>
        <w:gridCol w:w="36"/>
        <w:gridCol w:w="36"/>
        <w:gridCol w:w="121"/>
        <w:gridCol w:w="874"/>
        <w:gridCol w:w="36"/>
        <w:gridCol w:w="36"/>
        <w:gridCol w:w="36"/>
        <w:gridCol w:w="36"/>
        <w:gridCol w:w="121"/>
        <w:gridCol w:w="874"/>
        <w:gridCol w:w="36"/>
        <w:gridCol w:w="36"/>
        <w:gridCol w:w="36"/>
        <w:gridCol w:w="36"/>
        <w:gridCol w:w="121"/>
        <w:gridCol w:w="876"/>
        <w:gridCol w:w="36"/>
      </w:tblGrid>
      <w:tr w:rsidR="009F6D8A" w14:paraId="643047DC" w14:textId="77777777">
        <w:tc>
          <w:tcPr>
            <w:tcW w:w="50" w:type="pct"/>
            <w:shd w:val="clear" w:color="auto" w:fill="auto"/>
            <w:vAlign w:val="bottom"/>
          </w:tcPr>
          <w:p w14:paraId="643047C4" w14:textId="77777777" w:rsidR="009F6D8A" w:rsidRDefault="009F6D8A">
            <w:pPr>
              <w:rPr>
                <w:rFonts w:ascii="宋体"/>
              </w:rPr>
            </w:pPr>
          </w:p>
        </w:tc>
        <w:tc>
          <w:tcPr>
            <w:tcW w:w="2291" w:type="pct"/>
            <w:shd w:val="clear" w:color="auto" w:fill="auto"/>
            <w:vAlign w:val="bottom"/>
          </w:tcPr>
          <w:p w14:paraId="643047C5" w14:textId="77777777" w:rsidR="009F6D8A" w:rsidRDefault="009F6D8A">
            <w:pPr>
              <w:rPr>
                <w:rFonts w:ascii="宋体"/>
              </w:rPr>
            </w:pPr>
          </w:p>
        </w:tc>
        <w:tc>
          <w:tcPr>
            <w:tcW w:w="5" w:type="pct"/>
            <w:shd w:val="clear" w:color="auto" w:fill="auto"/>
            <w:vAlign w:val="bottom"/>
          </w:tcPr>
          <w:p w14:paraId="643047C6" w14:textId="77777777" w:rsidR="009F6D8A" w:rsidRDefault="009F6D8A">
            <w:pPr>
              <w:rPr>
                <w:rFonts w:ascii="宋体"/>
              </w:rPr>
            </w:pPr>
          </w:p>
        </w:tc>
        <w:tc>
          <w:tcPr>
            <w:tcW w:w="50" w:type="pct"/>
            <w:shd w:val="clear" w:color="auto" w:fill="auto"/>
            <w:vAlign w:val="bottom"/>
          </w:tcPr>
          <w:p w14:paraId="643047C7" w14:textId="77777777" w:rsidR="009F6D8A" w:rsidRDefault="009F6D8A">
            <w:pPr>
              <w:rPr>
                <w:rFonts w:ascii="宋体"/>
              </w:rPr>
            </w:pPr>
          </w:p>
        </w:tc>
        <w:tc>
          <w:tcPr>
            <w:tcW w:w="580" w:type="pct"/>
            <w:shd w:val="clear" w:color="auto" w:fill="auto"/>
            <w:vAlign w:val="bottom"/>
          </w:tcPr>
          <w:p w14:paraId="643047C8" w14:textId="77777777" w:rsidR="009F6D8A" w:rsidRDefault="009F6D8A">
            <w:pPr>
              <w:rPr>
                <w:rFonts w:ascii="宋体"/>
              </w:rPr>
            </w:pPr>
          </w:p>
        </w:tc>
        <w:tc>
          <w:tcPr>
            <w:tcW w:w="5" w:type="pct"/>
            <w:shd w:val="clear" w:color="auto" w:fill="auto"/>
            <w:vAlign w:val="bottom"/>
          </w:tcPr>
          <w:p w14:paraId="643047C9" w14:textId="77777777" w:rsidR="009F6D8A" w:rsidRDefault="009F6D8A">
            <w:pPr>
              <w:rPr>
                <w:rFonts w:ascii="宋体"/>
              </w:rPr>
            </w:pPr>
          </w:p>
        </w:tc>
        <w:tc>
          <w:tcPr>
            <w:tcW w:w="5" w:type="pct"/>
            <w:shd w:val="clear" w:color="auto" w:fill="auto"/>
            <w:vAlign w:val="bottom"/>
          </w:tcPr>
          <w:p w14:paraId="643047CA" w14:textId="77777777" w:rsidR="009F6D8A" w:rsidRDefault="009F6D8A">
            <w:pPr>
              <w:rPr>
                <w:rFonts w:ascii="宋体"/>
              </w:rPr>
            </w:pPr>
          </w:p>
        </w:tc>
        <w:tc>
          <w:tcPr>
            <w:tcW w:w="26" w:type="pct"/>
            <w:shd w:val="clear" w:color="auto" w:fill="auto"/>
            <w:vAlign w:val="bottom"/>
          </w:tcPr>
          <w:p w14:paraId="643047CB" w14:textId="77777777" w:rsidR="009F6D8A" w:rsidRDefault="009F6D8A">
            <w:pPr>
              <w:rPr>
                <w:rFonts w:ascii="宋体"/>
              </w:rPr>
            </w:pPr>
          </w:p>
        </w:tc>
        <w:tc>
          <w:tcPr>
            <w:tcW w:w="5" w:type="pct"/>
            <w:shd w:val="clear" w:color="auto" w:fill="auto"/>
            <w:vAlign w:val="bottom"/>
          </w:tcPr>
          <w:p w14:paraId="643047CC" w14:textId="77777777" w:rsidR="009F6D8A" w:rsidRDefault="009F6D8A">
            <w:pPr>
              <w:rPr>
                <w:rFonts w:ascii="宋体"/>
              </w:rPr>
            </w:pPr>
          </w:p>
        </w:tc>
        <w:tc>
          <w:tcPr>
            <w:tcW w:w="50" w:type="pct"/>
            <w:shd w:val="clear" w:color="auto" w:fill="auto"/>
            <w:vAlign w:val="bottom"/>
          </w:tcPr>
          <w:p w14:paraId="643047CD" w14:textId="77777777" w:rsidR="009F6D8A" w:rsidRDefault="009F6D8A">
            <w:pPr>
              <w:rPr>
                <w:rFonts w:ascii="宋体"/>
              </w:rPr>
            </w:pPr>
          </w:p>
        </w:tc>
        <w:tc>
          <w:tcPr>
            <w:tcW w:w="580" w:type="pct"/>
            <w:shd w:val="clear" w:color="auto" w:fill="auto"/>
            <w:vAlign w:val="bottom"/>
          </w:tcPr>
          <w:p w14:paraId="643047CE" w14:textId="77777777" w:rsidR="009F6D8A" w:rsidRDefault="009F6D8A">
            <w:pPr>
              <w:rPr>
                <w:rFonts w:ascii="宋体"/>
              </w:rPr>
            </w:pPr>
          </w:p>
        </w:tc>
        <w:tc>
          <w:tcPr>
            <w:tcW w:w="5" w:type="pct"/>
            <w:shd w:val="clear" w:color="auto" w:fill="auto"/>
            <w:vAlign w:val="bottom"/>
          </w:tcPr>
          <w:p w14:paraId="643047CF" w14:textId="77777777" w:rsidR="009F6D8A" w:rsidRDefault="009F6D8A">
            <w:pPr>
              <w:rPr>
                <w:rFonts w:ascii="宋体"/>
              </w:rPr>
            </w:pPr>
          </w:p>
        </w:tc>
        <w:tc>
          <w:tcPr>
            <w:tcW w:w="5" w:type="pct"/>
            <w:shd w:val="clear" w:color="auto" w:fill="auto"/>
            <w:vAlign w:val="bottom"/>
          </w:tcPr>
          <w:p w14:paraId="643047D0" w14:textId="77777777" w:rsidR="009F6D8A" w:rsidRDefault="009F6D8A">
            <w:pPr>
              <w:rPr>
                <w:rFonts w:ascii="宋体"/>
              </w:rPr>
            </w:pPr>
          </w:p>
        </w:tc>
        <w:tc>
          <w:tcPr>
            <w:tcW w:w="26" w:type="pct"/>
            <w:shd w:val="clear" w:color="auto" w:fill="auto"/>
            <w:vAlign w:val="bottom"/>
          </w:tcPr>
          <w:p w14:paraId="643047D1" w14:textId="77777777" w:rsidR="009F6D8A" w:rsidRDefault="009F6D8A">
            <w:pPr>
              <w:rPr>
                <w:rFonts w:ascii="宋体"/>
              </w:rPr>
            </w:pPr>
          </w:p>
        </w:tc>
        <w:tc>
          <w:tcPr>
            <w:tcW w:w="5" w:type="pct"/>
            <w:shd w:val="clear" w:color="auto" w:fill="auto"/>
            <w:vAlign w:val="bottom"/>
          </w:tcPr>
          <w:p w14:paraId="643047D2" w14:textId="77777777" w:rsidR="009F6D8A" w:rsidRDefault="009F6D8A">
            <w:pPr>
              <w:rPr>
                <w:rFonts w:ascii="宋体"/>
              </w:rPr>
            </w:pPr>
          </w:p>
        </w:tc>
        <w:tc>
          <w:tcPr>
            <w:tcW w:w="50" w:type="pct"/>
            <w:shd w:val="clear" w:color="auto" w:fill="auto"/>
            <w:vAlign w:val="bottom"/>
          </w:tcPr>
          <w:p w14:paraId="643047D3" w14:textId="77777777" w:rsidR="009F6D8A" w:rsidRDefault="009F6D8A">
            <w:pPr>
              <w:rPr>
                <w:rFonts w:ascii="宋体"/>
              </w:rPr>
            </w:pPr>
          </w:p>
        </w:tc>
        <w:tc>
          <w:tcPr>
            <w:tcW w:w="580" w:type="pct"/>
            <w:shd w:val="clear" w:color="auto" w:fill="auto"/>
            <w:vAlign w:val="bottom"/>
          </w:tcPr>
          <w:p w14:paraId="643047D4" w14:textId="77777777" w:rsidR="009F6D8A" w:rsidRDefault="009F6D8A">
            <w:pPr>
              <w:rPr>
                <w:rFonts w:ascii="宋体"/>
              </w:rPr>
            </w:pPr>
          </w:p>
        </w:tc>
        <w:tc>
          <w:tcPr>
            <w:tcW w:w="5" w:type="pct"/>
            <w:shd w:val="clear" w:color="auto" w:fill="auto"/>
            <w:vAlign w:val="bottom"/>
          </w:tcPr>
          <w:p w14:paraId="643047D5" w14:textId="77777777" w:rsidR="009F6D8A" w:rsidRDefault="009F6D8A">
            <w:pPr>
              <w:rPr>
                <w:rFonts w:ascii="宋体"/>
              </w:rPr>
            </w:pPr>
          </w:p>
        </w:tc>
        <w:tc>
          <w:tcPr>
            <w:tcW w:w="5" w:type="pct"/>
            <w:shd w:val="clear" w:color="auto" w:fill="auto"/>
            <w:vAlign w:val="bottom"/>
          </w:tcPr>
          <w:p w14:paraId="643047D6" w14:textId="77777777" w:rsidR="009F6D8A" w:rsidRDefault="009F6D8A">
            <w:pPr>
              <w:rPr>
                <w:rFonts w:ascii="宋体"/>
              </w:rPr>
            </w:pPr>
          </w:p>
        </w:tc>
        <w:tc>
          <w:tcPr>
            <w:tcW w:w="26" w:type="pct"/>
            <w:shd w:val="clear" w:color="auto" w:fill="auto"/>
            <w:vAlign w:val="bottom"/>
          </w:tcPr>
          <w:p w14:paraId="643047D7" w14:textId="77777777" w:rsidR="009F6D8A" w:rsidRDefault="009F6D8A">
            <w:pPr>
              <w:rPr>
                <w:rFonts w:ascii="宋体"/>
              </w:rPr>
            </w:pPr>
          </w:p>
        </w:tc>
        <w:tc>
          <w:tcPr>
            <w:tcW w:w="5" w:type="pct"/>
            <w:shd w:val="clear" w:color="auto" w:fill="auto"/>
            <w:vAlign w:val="bottom"/>
          </w:tcPr>
          <w:p w14:paraId="643047D8" w14:textId="77777777" w:rsidR="009F6D8A" w:rsidRDefault="009F6D8A">
            <w:pPr>
              <w:rPr>
                <w:rFonts w:ascii="宋体"/>
              </w:rPr>
            </w:pPr>
          </w:p>
        </w:tc>
        <w:tc>
          <w:tcPr>
            <w:tcW w:w="50" w:type="pct"/>
            <w:shd w:val="clear" w:color="auto" w:fill="auto"/>
            <w:vAlign w:val="bottom"/>
          </w:tcPr>
          <w:p w14:paraId="643047D9" w14:textId="77777777" w:rsidR="009F6D8A" w:rsidRDefault="009F6D8A">
            <w:pPr>
              <w:rPr>
                <w:rFonts w:ascii="宋体"/>
              </w:rPr>
            </w:pPr>
          </w:p>
        </w:tc>
        <w:tc>
          <w:tcPr>
            <w:tcW w:w="581" w:type="pct"/>
            <w:shd w:val="clear" w:color="auto" w:fill="auto"/>
            <w:vAlign w:val="bottom"/>
          </w:tcPr>
          <w:p w14:paraId="643047DA" w14:textId="77777777" w:rsidR="009F6D8A" w:rsidRDefault="009F6D8A">
            <w:pPr>
              <w:rPr>
                <w:rFonts w:ascii="宋体"/>
              </w:rPr>
            </w:pPr>
          </w:p>
        </w:tc>
        <w:tc>
          <w:tcPr>
            <w:tcW w:w="5" w:type="pct"/>
            <w:shd w:val="clear" w:color="auto" w:fill="auto"/>
            <w:vAlign w:val="bottom"/>
          </w:tcPr>
          <w:p w14:paraId="643047DB" w14:textId="77777777" w:rsidR="009F6D8A" w:rsidRDefault="009F6D8A">
            <w:pPr>
              <w:rPr>
                <w:rFonts w:ascii="宋体"/>
              </w:rPr>
            </w:pPr>
          </w:p>
        </w:tc>
      </w:tr>
      <w:tr w:rsidR="009F6D8A" w14:paraId="643047E1" w14:textId="77777777">
        <w:tc>
          <w:tcPr>
            <w:tcW w:w="0" w:type="auto"/>
            <w:gridSpan w:val="3"/>
            <w:shd w:val="clear" w:color="auto" w:fill="auto"/>
            <w:tcMar>
              <w:top w:w="0" w:type="dxa"/>
              <w:left w:w="20" w:type="dxa"/>
              <w:bottom w:w="0" w:type="dxa"/>
              <w:right w:w="20" w:type="dxa"/>
            </w:tcMar>
            <w:vAlign w:val="bottom"/>
          </w:tcPr>
          <w:p w14:paraId="643047DD"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47DE" w14:textId="77777777" w:rsidR="009F6D8A" w:rsidRDefault="00C50974">
            <w:pPr>
              <w:jc w:val="center"/>
              <w:textAlignment w:val="bottom"/>
            </w:pPr>
            <w:r>
              <w:rPr>
                <w:rFonts w:ascii="Arial" w:eastAsia="宋体" w:hAnsi="Arial" w:cs="Arial"/>
                <w:b/>
                <w:bCs/>
                <w:color w:val="000000"/>
                <w:sz w:val="16"/>
                <w:szCs w:val="16"/>
              </w:rPr>
              <w:t>Three Months Ended</w:t>
            </w:r>
            <w:r>
              <w:rPr>
                <w:rFonts w:ascii="Arial" w:eastAsia="宋体" w:hAnsi="Arial" w:cs="Arial"/>
                <w:b/>
                <w:bCs/>
                <w:color w:val="000000"/>
                <w:sz w:val="16"/>
                <w:szCs w:val="16"/>
              </w:rPr>
              <w:br/>
              <w:t>June 30,</w:t>
            </w:r>
          </w:p>
        </w:tc>
        <w:tc>
          <w:tcPr>
            <w:tcW w:w="0" w:type="auto"/>
            <w:gridSpan w:val="3"/>
            <w:shd w:val="clear" w:color="auto" w:fill="auto"/>
            <w:tcMar>
              <w:top w:w="0" w:type="dxa"/>
              <w:left w:w="20" w:type="dxa"/>
              <w:bottom w:w="0" w:type="dxa"/>
              <w:right w:w="20" w:type="dxa"/>
            </w:tcMar>
            <w:vAlign w:val="bottom"/>
          </w:tcPr>
          <w:p w14:paraId="643047DF"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47E0" w14:textId="77777777" w:rsidR="009F6D8A" w:rsidRDefault="00C50974">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r>
      <w:tr w:rsidR="009F6D8A" w14:paraId="643047EA" w14:textId="77777777">
        <w:tc>
          <w:tcPr>
            <w:tcW w:w="0" w:type="auto"/>
            <w:gridSpan w:val="3"/>
            <w:shd w:val="clear" w:color="auto" w:fill="auto"/>
            <w:tcMar>
              <w:top w:w="40" w:type="dxa"/>
              <w:left w:w="20" w:type="dxa"/>
              <w:bottom w:w="40" w:type="dxa"/>
              <w:right w:w="20" w:type="dxa"/>
            </w:tcMar>
            <w:vAlign w:val="bottom"/>
          </w:tcPr>
          <w:p w14:paraId="643047E2" w14:textId="77777777" w:rsidR="009F6D8A" w:rsidRDefault="00C50974">
            <w:pPr>
              <w:jc w:val="cente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7E3"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7E4"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7E5" w14:textId="77777777" w:rsidR="009F6D8A" w:rsidRDefault="00C50974">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43047E6"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7E7"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7E8"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7E9" w14:textId="77777777" w:rsidR="009F6D8A" w:rsidRDefault="00C50974">
            <w:pPr>
              <w:jc w:val="center"/>
              <w:textAlignment w:val="bottom"/>
            </w:pPr>
            <w:r>
              <w:rPr>
                <w:rFonts w:ascii="Arial" w:eastAsia="宋体" w:hAnsi="Arial" w:cs="Arial"/>
                <w:b/>
                <w:bCs/>
                <w:color w:val="000000"/>
                <w:sz w:val="16"/>
                <w:szCs w:val="16"/>
              </w:rPr>
              <w:t>2020</w:t>
            </w:r>
          </w:p>
        </w:tc>
      </w:tr>
      <w:tr w:rsidR="009F6D8A" w14:paraId="643047FB" w14:textId="77777777">
        <w:tc>
          <w:tcPr>
            <w:tcW w:w="0" w:type="auto"/>
            <w:gridSpan w:val="3"/>
            <w:shd w:val="clear" w:color="auto" w:fill="E2E2E2"/>
            <w:tcMar>
              <w:top w:w="40" w:type="dxa"/>
              <w:left w:w="20" w:type="dxa"/>
              <w:bottom w:w="40" w:type="dxa"/>
              <w:right w:w="20" w:type="dxa"/>
            </w:tcMar>
            <w:vAlign w:val="bottom"/>
          </w:tcPr>
          <w:p w14:paraId="643047EB" w14:textId="77777777" w:rsidR="009F6D8A" w:rsidRDefault="00C50974">
            <w:pPr>
              <w:textAlignment w:val="bottom"/>
            </w:pPr>
            <w:r>
              <w:rPr>
                <w:rFonts w:ascii="Arial" w:eastAsia="宋体" w:hAnsi="Arial" w:cs="Arial"/>
                <w:color w:val="000000"/>
                <w:sz w:val="18"/>
                <w:szCs w:val="18"/>
              </w:rPr>
              <w:t>Cost of net revenues</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47E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7ED" w14:textId="77777777" w:rsidR="009F6D8A" w:rsidRDefault="00C50974">
            <w:pPr>
              <w:jc w:val="right"/>
              <w:textAlignment w:val="bottom"/>
            </w:pPr>
            <w:r>
              <w:rPr>
                <w:rFonts w:ascii="Arial" w:eastAsia="宋体" w:hAnsi="Arial" w:cs="Arial"/>
                <w:color w:val="000000"/>
                <w:sz w:val="18"/>
                <w:szCs w:val="18"/>
              </w:rPr>
              <w:t>13 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7E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7EF"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7F0"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7F1" w14:textId="77777777" w:rsidR="009F6D8A" w:rsidRDefault="00C50974">
            <w:pPr>
              <w:jc w:val="right"/>
              <w:textAlignment w:val="bottom"/>
            </w:pPr>
            <w:r>
              <w:rPr>
                <w:rFonts w:ascii="Arial" w:eastAsia="宋体" w:hAnsi="Arial" w:cs="Arial"/>
                <w:color w:val="000000"/>
                <w:sz w:val="18"/>
                <w:szCs w:val="18"/>
              </w:rPr>
              <w:t>11 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7F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7F3"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7F4"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7F5" w14:textId="77777777" w:rsidR="009F6D8A" w:rsidRDefault="00C50974">
            <w:pPr>
              <w:jc w:val="right"/>
              <w:textAlignment w:val="bottom"/>
            </w:pPr>
            <w:r>
              <w:rPr>
                <w:rFonts w:ascii="Arial" w:eastAsia="宋体" w:hAnsi="Arial" w:cs="Arial"/>
                <w:color w:val="000000"/>
                <w:sz w:val="18"/>
                <w:szCs w:val="18"/>
              </w:rPr>
              <w:t>23 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7F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7F7"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7F8"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7F9" w14:textId="77777777" w:rsidR="009F6D8A" w:rsidRDefault="00C50974">
            <w:pPr>
              <w:jc w:val="right"/>
              <w:textAlignment w:val="bottom"/>
            </w:pPr>
            <w:r>
              <w:rPr>
                <w:rFonts w:ascii="Arial" w:eastAsia="宋体" w:hAnsi="Arial" w:cs="Arial"/>
                <w:color w:val="000000"/>
                <w:sz w:val="18"/>
                <w:szCs w:val="18"/>
              </w:rPr>
              <w:t>20 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7FA" w14:textId="77777777" w:rsidR="009F6D8A" w:rsidRDefault="009F6D8A">
            <w:pPr>
              <w:jc w:val="right"/>
              <w:rPr>
                <w:rFonts w:ascii="宋体"/>
              </w:rPr>
            </w:pPr>
          </w:p>
        </w:tc>
      </w:tr>
      <w:tr w:rsidR="009F6D8A" w14:paraId="64304808" w14:textId="77777777">
        <w:tc>
          <w:tcPr>
            <w:tcW w:w="0" w:type="auto"/>
            <w:gridSpan w:val="3"/>
            <w:shd w:val="clear" w:color="auto" w:fill="FFFFFF"/>
            <w:tcMar>
              <w:top w:w="40" w:type="dxa"/>
              <w:left w:w="20" w:type="dxa"/>
              <w:bottom w:w="40" w:type="dxa"/>
              <w:right w:w="20" w:type="dxa"/>
            </w:tcMar>
            <w:vAlign w:val="bottom"/>
          </w:tcPr>
          <w:p w14:paraId="643047FC" w14:textId="77777777" w:rsidR="009F6D8A" w:rsidRDefault="00C50974">
            <w:pPr>
              <w:textAlignment w:val="bottom"/>
            </w:pPr>
            <w:r>
              <w:rPr>
                <w:rFonts w:ascii="Arial" w:eastAsia="宋体" w:hAnsi="Arial" w:cs="Arial"/>
                <w:color w:val="000000"/>
                <w:sz w:val="18"/>
                <w:szCs w:val="18"/>
              </w:rPr>
              <w:t>Sales and marketing</w:t>
            </w:r>
          </w:p>
        </w:tc>
        <w:tc>
          <w:tcPr>
            <w:tcW w:w="0" w:type="auto"/>
            <w:gridSpan w:val="2"/>
            <w:shd w:val="clear" w:color="auto" w:fill="FFFFFF"/>
            <w:tcMar>
              <w:top w:w="40" w:type="dxa"/>
              <w:left w:w="20" w:type="dxa"/>
              <w:bottom w:w="40" w:type="dxa"/>
              <w:right w:w="0" w:type="dxa"/>
            </w:tcMar>
            <w:vAlign w:val="bottom"/>
          </w:tcPr>
          <w:p w14:paraId="643047FD" w14:textId="77777777" w:rsidR="009F6D8A" w:rsidRDefault="00C50974">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643047F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7FF"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800" w14:textId="77777777" w:rsidR="009F6D8A" w:rsidRDefault="00C50974">
            <w:pPr>
              <w:jc w:val="right"/>
              <w:textAlignment w:val="bottom"/>
            </w:pPr>
            <w:r>
              <w:rPr>
                <w:rFonts w:ascii="Arial" w:eastAsia="宋体" w:hAnsi="Arial" w:cs="Arial"/>
                <w:color w:val="000000"/>
                <w:sz w:val="18"/>
                <w:szCs w:val="18"/>
              </w:rPr>
              <w:t>19 </w:t>
            </w:r>
          </w:p>
        </w:tc>
        <w:tc>
          <w:tcPr>
            <w:tcW w:w="0" w:type="auto"/>
            <w:shd w:val="clear" w:color="auto" w:fill="FFFFFF"/>
            <w:tcMar>
              <w:top w:w="40" w:type="dxa"/>
              <w:left w:w="0" w:type="dxa"/>
              <w:bottom w:w="40" w:type="dxa"/>
              <w:right w:w="20" w:type="dxa"/>
            </w:tcMar>
            <w:vAlign w:val="bottom"/>
          </w:tcPr>
          <w:p w14:paraId="6430480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80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803" w14:textId="77777777" w:rsidR="009F6D8A" w:rsidRDefault="00C50974">
            <w:pPr>
              <w:jc w:val="right"/>
              <w:textAlignment w:val="bottom"/>
            </w:pPr>
            <w:r>
              <w:rPr>
                <w:rFonts w:ascii="Arial" w:eastAsia="宋体" w:hAnsi="Arial" w:cs="Arial"/>
                <w:color w:val="000000"/>
                <w:sz w:val="18"/>
                <w:szCs w:val="18"/>
              </w:rPr>
              <w:t>45 </w:t>
            </w:r>
          </w:p>
        </w:tc>
        <w:tc>
          <w:tcPr>
            <w:tcW w:w="0" w:type="auto"/>
            <w:shd w:val="clear" w:color="auto" w:fill="FFFFFF"/>
            <w:tcMar>
              <w:top w:w="40" w:type="dxa"/>
              <w:left w:w="0" w:type="dxa"/>
              <w:bottom w:w="40" w:type="dxa"/>
              <w:right w:w="20" w:type="dxa"/>
            </w:tcMar>
            <w:vAlign w:val="bottom"/>
          </w:tcPr>
          <w:p w14:paraId="6430480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80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806" w14:textId="77777777" w:rsidR="009F6D8A" w:rsidRDefault="00C50974">
            <w:pPr>
              <w:jc w:val="right"/>
              <w:textAlignment w:val="bottom"/>
            </w:pPr>
            <w:r>
              <w:rPr>
                <w:rFonts w:ascii="Arial" w:eastAsia="宋体" w:hAnsi="Arial" w:cs="Arial"/>
                <w:color w:val="000000"/>
                <w:sz w:val="18"/>
                <w:szCs w:val="18"/>
              </w:rPr>
              <w:t>34 </w:t>
            </w:r>
          </w:p>
        </w:tc>
        <w:tc>
          <w:tcPr>
            <w:tcW w:w="0" w:type="auto"/>
            <w:shd w:val="clear" w:color="auto" w:fill="FFFFFF"/>
            <w:tcMar>
              <w:top w:w="40" w:type="dxa"/>
              <w:left w:w="0" w:type="dxa"/>
              <w:bottom w:w="40" w:type="dxa"/>
              <w:right w:w="20" w:type="dxa"/>
            </w:tcMar>
            <w:vAlign w:val="bottom"/>
          </w:tcPr>
          <w:p w14:paraId="64304807" w14:textId="77777777" w:rsidR="009F6D8A" w:rsidRDefault="009F6D8A">
            <w:pPr>
              <w:jc w:val="right"/>
              <w:rPr>
                <w:rFonts w:ascii="宋体"/>
              </w:rPr>
            </w:pPr>
          </w:p>
        </w:tc>
      </w:tr>
      <w:tr w:rsidR="009F6D8A" w14:paraId="64304815" w14:textId="77777777">
        <w:tc>
          <w:tcPr>
            <w:tcW w:w="0" w:type="auto"/>
            <w:gridSpan w:val="3"/>
            <w:shd w:val="clear" w:color="auto" w:fill="E2E2E2"/>
            <w:tcMar>
              <w:top w:w="40" w:type="dxa"/>
              <w:left w:w="20" w:type="dxa"/>
              <w:bottom w:w="40" w:type="dxa"/>
              <w:right w:w="20" w:type="dxa"/>
            </w:tcMar>
            <w:vAlign w:val="bottom"/>
          </w:tcPr>
          <w:p w14:paraId="64304809" w14:textId="77777777" w:rsidR="009F6D8A" w:rsidRDefault="00C50974">
            <w:pPr>
              <w:textAlignment w:val="bottom"/>
            </w:pPr>
            <w:r>
              <w:rPr>
                <w:rFonts w:ascii="Arial" w:eastAsia="宋体" w:hAnsi="Arial" w:cs="Arial"/>
                <w:color w:val="000000"/>
                <w:sz w:val="18"/>
                <w:szCs w:val="18"/>
              </w:rPr>
              <w:t>Product development</w:t>
            </w:r>
          </w:p>
        </w:tc>
        <w:tc>
          <w:tcPr>
            <w:tcW w:w="0" w:type="auto"/>
            <w:gridSpan w:val="2"/>
            <w:shd w:val="clear" w:color="auto" w:fill="E2E2E2"/>
            <w:tcMar>
              <w:top w:w="40" w:type="dxa"/>
              <w:left w:w="20" w:type="dxa"/>
              <w:bottom w:w="40" w:type="dxa"/>
              <w:right w:w="0" w:type="dxa"/>
            </w:tcMar>
            <w:vAlign w:val="bottom"/>
          </w:tcPr>
          <w:p w14:paraId="6430480A" w14:textId="77777777" w:rsidR="009F6D8A" w:rsidRDefault="00C50974">
            <w:pPr>
              <w:jc w:val="right"/>
              <w:textAlignment w:val="bottom"/>
            </w:pPr>
            <w:r>
              <w:rPr>
                <w:rFonts w:ascii="Arial" w:eastAsia="宋体" w:hAnsi="Arial" w:cs="Arial"/>
                <w:color w:val="000000"/>
                <w:sz w:val="18"/>
                <w:szCs w:val="18"/>
              </w:rPr>
              <w:t>55 </w:t>
            </w:r>
          </w:p>
        </w:tc>
        <w:tc>
          <w:tcPr>
            <w:tcW w:w="0" w:type="auto"/>
            <w:shd w:val="clear" w:color="auto" w:fill="E2E2E2"/>
            <w:tcMar>
              <w:top w:w="40" w:type="dxa"/>
              <w:left w:w="0" w:type="dxa"/>
              <w:bottom w:w="40" w:type="dxa"/>
              <w:right w:w="20" w:type="dxa"/>
            </w:tcMar>
            <w:vAlign w:val="bottom"/>
          </w:tcPr>
          <w:p w14:paraId="6430480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80C"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80D" w14:textId="77777777" w:rsidR="009F6D8A" w:rsidRDefault="00C50974">
            <w:pPr>
              <w:jc w:val="right"/>
              <w:textAlignment w:val="bottom"/>
            </w:pPr>
            <w:r>
              <w:rPr>
                <w:rFonts w:ascii="Arial" w:eastAsia="宋体" w:hAnsi="Arial" w:cs="Arial"/>
                <w:color w:val="000000"/>
                <w:sz w:val="18"/>
                <w:szCs w:val="18"/>
              </w:rPr>
              <w:t>41 </w:t>
            </w:r>
          </w:p>
        </w:tc>
        <w:tc>
          <w:tcPr>
            <w:tcW w:w="0" w:type="auto"/>
            <w:shd w:val="clear" w:color="auto" w:fill="E2E2E2"/>
            <w:tcMar>
              <w:top w:w="40" w:type="dxa"/>
              <w:left w:w="0" w:type="dxa"/>
              <w:bottom w:w="40" w:type="dxa"/>
              <w:right w:w="20" w:type="dxa"/>
            </w:tcMar>
            <w:vAlign w:val="bottom"/>
          </w:tcPr>
          <w:p w14:paraId="6430480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80F"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810" w14:textId="77777777" w:rsidR="009F6D8A" w:rsidRDefault="00C50974">
            <w:pPr>
              <w:jc w:val="right"/>
              <w:textAlignment w:val="bottom"/>
            </w:pPr>
            <w:r>
              <w:rPr>
                <w:rFonts w:ascii="Arial" w:eastAsia="宋体" w:hAnsi="Arial" w:cs="Arial"/>
                <w:color w:val="000000"/>
                <w:sz w:val="18"/>
                <w:szCs w:val="18"/>
              </w:rPr>
              <w:t>97 </w:t>
            </w:r>
          </w:p>
        </w:tc>
        <w:tc>
          <w:tcPr>
            <w:tcW w:w="0" w:type="auto"/>
            <w:shd w:val="clear" w:color="auto" w:fill="E2E2E2"/>
            <w:tcMar>
              <w:top w:w="40" w:type="dxa"/>
              <w:left w:w="0" w:type="dxa"/>
              <w:bottom w:w="40" w:type="dxa"/>
              <w:right w:w="20" w:type="dxa"/>
            </w:tcMar>
            <w:vAlign w:val="bottom"/>
          </w:tcPr>
          <w:p w14:paraId="6430481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812"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813" w14:textId="77777777" w:rsidR="009F6D8A" w:rsidRDefault="00C50974">
            <w:pPr>
              <w:jc w:val="right"/>
              <w:textAlignment w:val="bottom"/>
            </w:pPr>
            <w:r>
              <w:rPr>
                <w:rFonts w:ascii="Arial" w:eastAsia="宋体" w:hAnsi="Arial" w:cs="Arial"/>
                <w:color w:val="000000"/>
                <w:sz w:val="18"/>
                <w:szCs w:val="18"/>
              </w:rPr>
              <w:t>76 </w:t>
            </w:r>
          </w:p>
        </w:tc>
        <w:tc>
          <w:tcPr>
            <w:tcW w:w="0" w:type="auto"/>
            <w:shd w:val="clear" w:color="auto" w:fill="E2E2E2"/>
            <w:tcMar>
              <w:top w:w="40" w:type="dxa"/>
              <w:left w:w="0" w:type="dxa"/>
              <w:bottom w:w="40" w:type="dxa"/>
              <w:right w:w="20" w:type="dxa"/>
            </w:tcMar>
            <w:vAlign w:val="bottom"/>
          </w:tcPr>
          <w:p w14:paraId="64304814" w14:textId="77777777" w:rsidR="009F6D8A" w:rsidRDefault="009F6D8A">
            <w:pPr>
              <w:jc w:val="right"/>
              <w:rPr>
                <w:rFonts w:ascii="宋体"/>
              </w:rPr>
            </w:pPr>
          </w:p>
        </w:tc>
      </w:tr>
      <w:tr w:rsidR="009F6D8A" w14:paraId="64304822" w14:textId="77777777">
        <w:tc>
          <w:tcPr>
            <w:tcW w:w="0" w:type="auto"/>
            <w:gridSpan w:val="3"/>
            <w:shd w:val="clear" w:color="auto" w:fill="FFFFFF"/>
            <w:tcMar>
              <w:top w:w="40" w:type="dxa"/>
              <w:left w:w="20" w:type="dxa"/>
              <w:bottom w:w="40" w:type="dxa"/>
              <w:right w:w="20" w:type="dxa"/>
            </w:tcMar>
            <w:vAlign w:val="bottom"/>
          </w:tcPr>
          <w:p w14:paraId="64304816" w14:textId="77777777" w:rsidR="009F6D8A" w:rsidRDefault="00C50974">
            <w:pPr>
              <w:textAlignment w:val="bottom"/>
            </w:pPr>
            <w:r>
              <w:rPr>
                <w:rFonts w:ascii="Arial" w:eastAsia="宋体" w:hAnsi="Arial" w:cs="Arial"/>
                <w:color w:val="000000"/>
                <w:sz w:val="18"/>
                <w:szCs w:val="18"/>
              </w:rPr>
              <w:t>General and administrative</w:t>
            </w:r>
          </w:p>
        </w:tc>
        <w:tc>
          <w:tcPr>
            <w:tcW w:w="0" w:type="auto"/>
            <w:gridSpan w:val="2"/>
            <w:shd w:val="clear" w:color="auto" w:fill="FFFFFF"/>
            <w:tcMar>
              <w:top w:w="40" w:type="dxa"/>
              <w:left w:w="20" w:type="dxa"/>
              <w:bottom w:w="40" w:type="dxa"/>
              <w:right w:w="0" w:type="dxa"/>
            </w:tcMar>
            <w:vAlign w:val="bottom"/>
          </w:tcPr>
          <w:p w14:paraId="64304817" w14:textId="77777777" w:rsidR="009F6D8A" w:rsidRDefault="00C50974">
            <w:pPr>
              <w:jc w:val="right"/>
              <w:textAlignment w:val="bottom"/>
            </w:pPr>
            <w:r>
              <w:rPr>
                <w:rFonts w:ascii="Arial" w:eastAsia="宋体" w:hAnsi="Arial" w:cs="Arial"/>
                <w:color w:val="000000"/>
                <w:sz w:val="18"/>
                <w:szCs w:val="18"/>
              </w:rPr>
              <w:t>42 </w:t>
            </w:r>
          </w:p>
        </w:tc>
        <w:tc>
          <w:tcPr>
            <w:tcW w:w="0" w:type="auto"/>
            <w:shd w:val="clear" w:color="auto" w:fill="FFFFFF"/>
            <w:tcMar>
              <w:top w:w="40" w:type="dxa"/>
              <w:left w:w="0" w:type="dxa"/>
              <w:bottom w:w="40" w:type="dxa"/>
              <w:right w:w="20" w:type="dxa"/>
            </w:tcMar>
            <w:vAlign w:val="bottom"/>
          </w:tcPr>
          <w:p w14:paraId="6430481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81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81A" w14:textId="77777777" w:rsidR="009F6D8A" w:rsidRDefault="00C50974">
            <w:pPr>
              <w:jc w:val="right"/>
              <w:textAlignment w:val="bottom"/>
            </w:pPr>
            <w:r>
              <w:rPr>
                <w:rFonts w:ascii="Arial" w:eastAsia="宋体" w:hAnsi="Arial" w:cs="Arial"/>
                <w:color w:val="000000"/>
                <w:sz w:val="18"/>
                <w:szCs w:val="18"/>
              </w:rPr>
              <w:t>32 </w:t>
            </w:r>
          </w:p>
        </w:tc>
        <w:tc>
          <w:tcPr>
            <w:tcW w:w="0" w:type="auto"/>
            <w:shd w:val="clear" w:color="auto" w:fill="FFFFFF"/>
            <w:tcMar>
              <w:top w:w="40" w:type="dxa"/>
              <w:left w:w="0" w:type="dxa"/>
              <w:bottom w:w="40" w:type="dxa"/>
              <w:right w:w="20" w:type="dxa"/>
            </w:tcMar>
            <w:vAlign w:val="bottom"/>
          </w:tcPr>
          <w:p w14:paraId="6430481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81C"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81D" w14:textId="77777777" w:rsidR="009F6D8A" w:rsidRDefault="00C50974">
            <w:pPr>
              <w:jc w:val="right"/>
              <w:textAlignment w:val="bottom"/>
            </w:pPr>
            <w:r>
              <w:rPr>
                <w:rFonts w:ascii="Arial" w:eastAsia="宋体" w:hAnsi="Arial" w:cs="Arial"/>
                <w:color w:val="000000"/>
                <w:sz w:val="18"/>
                <w:szCs w:val="18"/>
              </w:rPr>
              <w:t>73 </w:t>
            </w:r>
          </w:p>
        </w:tc>
        <w:tc>
          <w:tcPr>
            <w:tcW w:w="0" w:type="auto"/>
            <w:shd w:val="clear" w:color="auto" w:fill="FFFFFF"/>
            <w:tcMar>
              <w:top w:w="40" w:type="dxa"/>
              <w:left w:w="0" w:type="dxa"/>
              <w:bottom w:w="40" w:type="dxa"/>
              <w:right w:w="20" w:type="dxa"/>
            </w:tcMar>
            <w:vAlign w:val="bottom"/>
          </w:tcPr>
          <w:p w14:paraId="6430481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81F"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820" w14:textId="77777777" w:rsidR="009F6D8A" w:rsidRDefault="00C50974">
            <w:pPr>
              <w:jc w:val="right"/>
              <w:textAlignment w:val="bottom"/>
            </w:pPr>
            <w:r>
              <w:rPr>
                <w:rFonts w:ascii="Arial" w:eastAsia="宋体" w:hAnsi="Arial" w:cs="Arial"/>
                <w:color w:val="000000"/>
                <w:sz w:val="18"/>
                <w:szCs w:val="18"/>
              </w:rPr>
              <w:t>61 </w:t>
            </w:r>
          </w:p>
        </w:tc>
        <w:tc>
          <w:tcPr>
            <w:tcW w:w="0" w:type="auto"/>
            <w:shd w:val="clear" w:color="auto" w:fill="FFFFFF"/>
            <w:tcMar>
              <w:top w:w="40" w:type="dxa"/>
              <w:left w:w="0" w:type="dxa"/>
              <w:bottom w:w="40" w:type="dxa"/>
              <w:right w:w="20" w:type="dxa"/>
            </w:tcMar>
            <w:vAlign w:val="bottom"/>
          </w:tcPr>
          <w:p w14:paraId="64304821" w14:textId="77777777" w:rsidR="009F6D8A" w:rsidRDefault="009F6D8A">
            <w:pPr>
              <w:jc w:val="right"/>
              <w:rPr>
                <w:rFonts w:ascii="宋体"/>
              </w:rPr>
            </w:pPr>
          </w:p>
        </w:tc>
      </w:tr>
      <w:tr w:rsidR="009F6D8A" w14:paraId="64304833" w14:textId="77777777">
        <w:tc>
          <w:tcPr>
            <w:tcW w:w="0" w:type="auto"/>
            <w:gridSpan w:val="3"/>
            <w:shd w:val="clear" w:color="auto" w:fill="E2E2E2"/>
            <w:tcMar>
              <w:top w:w="40" w:type="dxa"/>
              <w:left w:w="20" w:type="dxa"/>
              <w:bottom w:w="40" w:type="dxa"/>
              <w:right w:w="20" w:type="dxa"/>
            </w:tcMar>
            <w:vAlign w:val="bottom"/>
          </w:tcPr>
          <w:p w14:paraId="64304823" w14:textId="77777777" w:rsidR="009F6D8A" w:rsidRDefault="00C50974">
            <w:pPr>
              <w:textAlignment w:val="bottom"/>
            </w:pPr>
            <w:r>
              <w:rPr>
                <w:rFonts w:ascii="Arial" w:eastAsia="宋体" w:hAnsi="Arial" w:cs="Arial"/>
                <w:color w:val="000000"/>
                <w:sz w:val="18"/>
                <w:szCs w:val="18"/>
              </w:rPr>
              <w:t>Total stock-based compensation expense</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4824"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825" w14:textId="77777777" w:rsidR="009F6D8A" w:rsidRDefault="00C50974">
            <w:pPr>
              <w:jc w:val="right"/>
              <w:textAlignment w:val="bottom"/>
            </w:pPr>
            <w:r>
              <w:rPr>
                <w:rFonts w:ascii="Arial" w:eastAsia="宋体" w:hAnsi="Arial" w:cs="Arial"/>
                <w:color w:val="000000"/>
                <w:sz w:val="18"/>
                <w:szCs w:val="18"/>
              </w:rPr>
              <w:t>135 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82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827"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828"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829" w14:textId="77777777" w:rsidR="009F6D8A" w:rsidRDefault="00C50974">
            <w:pPr>
              <w:jc w:val="right"/>
              <w:textAlignment w:val="bottom"/>
            </w:pPr>
            <w:r>
              <w:rPr>
                <w:rFonts w:ascii="Arial" w:eastAsia="宋体" w:hAnsi="Arial" w:cs="Arial"/>
                <w:color w:val="000000"/>
                <w:sz w:val="18"/>
                <w:szCs w:val="18"/>
              </w:rPr>
              <w:t>103 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82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82B"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82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82D" w14:textId="77777777" w:rsidR="009F6D8A" w:rsidRDefault="00C50974">
            <w:pPr>
              <w:jc w:val="right"/>
              <w:textAlignment w:val="bottom"/>
            </w:pPr>
            <w:r>
              <w:rPr>
                <w:rFonts w:ascii="Arial" w:eastAsia="宋体" w:hAnsi="Arial" w:cs="Arial"/>
                <w:color w:val="000000"/>
                <w:sz w:val="18"/>
                <w:szCs w:val="18"/>
              </w:rPr>
              <w:t>238 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82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82F"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830"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831" w14:textId="77777777" w:rsidR="009F6D8A" w:rsidRDefault="00C50974">
            <w:pPr>
              <w:jc w:val="right"/>
              <w:textAlignment w:val="bottom"/>
            </w:pPr>
            <w:r>
              <w:rPr>
                <w:rFonts w:ascii="Arial" w:eastAsia="宋体" w:hAnsi="Arial" w:cs="Arial"/>
                <w:color w:val="000000"/>
                <w:sz w:val="18"/>
                <w:szCs w:val="18"/>
              </w:rPr>
              <w:t>191 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832" w14:textId="77777777" w:rsidR="009F6D8A" w:rsidRDefault="009F6D8A">
            <w:pPr>
              <w:jc w:val="right"/>
              <w:rPr>
                <w:rFonts w:ascii="宋体"/>
              </w:rPr>
            </w:pPr>
          </w:p>
        </w:tc>
      </w:tr>
      <w:tr w:rsidR="009F6D8A" w14:paraId="64304844" w14:textId="77777777">
        <w:tc>
          <w:tcPr>
            <w:tcW w:w="0" w:type="auto"/>
            <w:gridSpan w:val="3"/>
            <w:shd w:val="clear" w:color="auto" w:fill="FFFFFF"/>
            <w:tcMar>
              <w:top w:w="40" w:type="dxa"/>
              <w:left w:w="20" w:type="dxa"/>
              <w:bottom w:w="40" w:type="dxa"/>
              <w:right w:w="20" w:type="dxa"/>
            </w:tcMar>
            <w:vAlign w:val="bottom"/>
          </w:tcPr>
          <w:p w14:paraId="64304834" w14:textId="77777777" w:rsidR="009F6D8A" w:rsidRDefault="00C50974">
            <w:pPr>
              <w:textAlignment w:val="bottom"/>
            </w:pPr>
            <w:r>
              <w:rPr>
                <w:rFonts w:ascii="Arial" w:eastAsia="宋体" w:hAnsi="Arial" w:cs="Arial"/>
                <w:color w:val="000000"/>
                <w:sz w:val="18"/>
                <w:szCs w:val="18"/>
              </w:rPr>
              <w:t>Capitalized in product development</w:t>
            </w: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64304835" w14:textId="77777777" w:rsidR="009F6D8A" w:rsidRDefault="00C50974">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64304836" w14:textId="77777777" w:rsidR="009F6D8A" w:rsidRDefault="00C50974">
            <w:pPr>
              <w:jc w:val="right"/>
              <w:textAlignment w:val="bottom"/>
            </w:pPr>
            <w:r>
              <w:rPr>
                <w:rFonts w:ascii="Arial" w:eastAsia="宋体" w:hAnsi="Arial" w:cs="Arial"/>
                <w:color w:val="000000"/>
                <w:sz w:val="18"/>
                <w:szCs w:val="18"/>
              </w:rPr>
              <w:t>3 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6430483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838" w14:textId="77777777" w:rsidR="009F6D8A" w:rsidRDefault="009F6D8A">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64304839" w14:textId="77777777" w:rsidR="009F6D8A" w:rsidRDefault="00C50974">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6430483A" w14:textId="77777777" w:rsidR="009F6D8A" w:rsidRDefault="00C50974">
            <w:pPr>
              <w:jc w:val="right"/>
              <w:textAlignment w:val="bottom"/>
            </w:pPr>
            <w:r>
              <w:rPr>
                <w:rFonts w:ascii="Arial" w:eastAsia="宋体" w:hAnsi="Arial" w:cs="Arial"/>
                <w:color w:val="000000"/>
                <w:sz w:val="18"/>
                <w:szCs w:val="18"/>
              </w:rPr>
              <w:t>4 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6430483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83C" w14:textId="77777777" w:rsidR="009F6D8A" w:rsidRDefault="009F6D8A">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6430483D" w14:textId="77777777" w:rsidR="009F6D8A" w:rsidRDefault="00C50974">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6430483E" w14:textId="77777777" w:rsidR="009F6D8A" w:rsidRDefault="00C50974">
            <w:pPr>
              <w:jc w:val="right"/>
              <w:textAlignment w:val="bottom"/>
            </w:pPr>
            <w:r>
              <w:rPr>
                <w:rFonts w:ascii="Arial" w:eastAsia="宋体" w:hAnsi="Arial" w:cs="Arial"/>
                <w:color w:val="000000"/>
                <w:sz w:val="18"/>
                <w:szCs w:val="18"/>
              </w:rPr>
              <w:t>6 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6430483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840" w14:textId="77777777" w:rsidR="009F6D8A" w:rsidRDefault="009F6D8A">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64304841" w14:textId="77777777" w:rsidR="009F6D8A" w:rsidRDefault="00C50974">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64304842" w14:textId="77777777" w:rsidR="009F6D8A" w:rsidRDefault="00C50974">
            <w:pPr>
              <w:jc w:val="right"/>
              <w:textAlignment w:val="bottom"/>
            </w:pPr>
            <w:r>
              <w:rPr>
                <w:rFonts w:ascii="Arial" w:eastAsia="宋体" w:hAnsi="Arial" w:cs="Arial"/>
                <w:color w:val="000000"/>
                <w:sz w:val="18"/>
                <w:szCs w:val="18"/>
              </w:rPr>
              <w:t>8 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64304843" w14:textId="77777777" w:rsidR="009F6D8A" w:rsidRDefault="009F6D8A">
            <w:pPr>
              <w:jc w:val="right"/>
              <w:rPr>
                <w:rFonts w:ascii="宋体"/>
              </w:rPr>
            </w:pPr>
          </w:p>
        </w:tc>
      </w:tr>
    </w:tbl>
    <w:p w14:paraId="64304845" w14:textId="77777777" w:rsidR="009F6D8A" w:rsidRDefault="009F6D8A">
      <w:pPr>
        <w:jc w:val="center"/>
      </w:pPr>
    </w:p>
    <w:p w14:paraId="64304846" w14:textId="77777777" w:rsidR="009F6D8A" w:rsidRDefault="00C50974">
      <w:pPr>
        <w:jc w:val="both"/>
      </w:pPr>
      <w:r>
        <w:rPr>
          <w:rFonts w:ascii="Arial" w:eastAsia="宋体" w:hAnsi="Arial" w:cs="Arial"/>
          <w:b/>
          <w:bCs/>
          <w:color w:val="000000"/>
          <w:sz w:val="20"/>
          <w:szCs w:val="20"/>
        </w:rPr>
        <w:t xml:space="preserve">Note 14 — Income Taxes </w:t>
      </w:r>
    </w:p>
    <w:p w14:paraId="64304847" w14:textId="77777777" w:rsidR="009F6D8A" w:rsidRDefault="009F6D8A">
      <w:pPr>
        <w:jc w:val="both"/>
      </w:pPr>
    </w:p>
    <w:p w14:paraId="64304848" w14:textId="77777777" w:rsidR="009F6D8A" w:rsidRDefault="00C50974">
      <w:pPr>
        <w:ind w:firstLine="540"/>
        <w:jc w:val="both"/>
      </w:pPr>
      <w:r>
        <w:rPr>
          <w:rFonts w:ascii="Arial" w:eastAsia="宋体" w:hAnsi="Arial" w:cs="Arial"/>
          <w:color w:val="000000"/>
          <w:sz w:val="20"/>
          <w:szCs w:val="20"/>
        </w:rPr>
        <w:t>We are subject to both direct and indirect taxation in the U.S. and various states and foreign jurisdictions. We are under examination by certain tax authorities for the 2010 to 2019 tax years. We believe that adequate amounts have been reserved for any ad</w:t>
      </w:r>
      <w:r>
        <w:rPr>
          <w:rFonts w:ascii="Arial" w:eastAsia="宋体" w:hAnsi="Arial" w:cs="Arial"/>
          <w:color w:val="000000"/>
          <w:sz w:val="20"/>
          <w:szCs w:val="20"/>
        </w:rPr>
        <w:t>justments that may ultimately result from these or other examinations. The material jurisdictions where we are subject to potential examination by tax authorities for tax years after 2009 include, among others, the U.S. (Federal and California), Germany, I</w:t>
      </w:r>
      <w:r>
        <w:rPr>
          <w:rFonts w:ascii="Arial" w:eastAsia="宋体" w:hAnsi="Arial" w:cs="Arial"/>
          <w:color w:val="000000"/>
          <w:sz w:val="20"/>
          <w:szCs w:val="20"/>
        </w:rPr>
        <w:t xml:space="preserve">srael, Switzerland and the United Kingdom. </w:t>
      </w:r>
    </w:p>
    <w:p w14:paraId="64304849" w14:textId="77777777" w:rsidR="009F6D8A" w:rsidRDefault="00C50974">
      <w:pPr>
        <w:ind w:firstLine="540"/>
        <w:jc w:val="both"/>
      </w:pPr>
      <w:r>
        <w:rPr>
          <w:rFonts w:ascii="Arial" w:eastAsia="宋体" w:hAnsi="Arial" w:cs="Arial"/>
          <w:color w:val="000000"/>
          <w:sz w:val="20"/>
          <w:szCs w:val="20"/>
        </w:rPr>
        <w:t> </w:t>
      </w:r>
    </w:p>
    <w:p w14:paraId="6430484A" w14:textId="77777777" w:rsidR="009F6D8A" w:rsidRDefault="00C50974">
      <w:pPr>
        <w:ind w:firstLine="540"/>
        <w:jc w:val="both"/>
      </w:pPr>
      <w:r>
        <w:rPr>
          <w:rFonts w:ascii="Arial" w:eastAsia="宋体" w:hAnsi="Arial" w:cs="Arial"/>
          <w:color w:val="000000"/>
          <w:sz w:val="20"/>
          <w:szCs w:val="20"/>
        </w:rPr>
        <w:t>Although the timing of the resolution and/or closure of audits is highly uncertain, it is reasonably possible that the balance of gross unrecognized tax benefits could significantly change in the next 12 months</w:t>
      </w:r>
      <w:r>
        <w:rPr>
          <w:rFonts w:ascii="Arial" w:eastAsia="宋体" w:hAnsi="Arial" w:cs="Arial"/>
          <w:color w:val="000000"/>
          <w:sz w:val="20"/>
          <w:szCs w:val="20"/>
        </w:rPr>
        <w:t xml:space="preserve">. However, given the number of years remaining subject to examination and the number of matters being examined, we are unable to estimate the full range of possible adjustments to the balance of gross unrecognized tax benefits. </w:t>
      </w:r>
    </w:p>
    <w:p w14:paraId="6430484B" w14:textId="77777777" w:rsidR="009F6D8A" w:rsidRDefault="009F6D8A">
      <w:pPr>
        <w:ind w:firstLine="540"/>
        <w:jc w:val="both"/>
      </w:pPr>
    </w:p>
    <w:p w14:paraId="6430484C" w14:textId="77777777" w:rsidR="009F6D8A" w:rsidRDefault="00C50974">
      <w:pPr>
        <w:ind w:firstLine="540"/>
        <w:jc w:val="both"/>
      </w:pPr>
      <w:r>
        <w:rPr>
          <w:rFonts w:ascii="Arial" w:eastAsia="宋体" w:hAnsi="Arial" w:cs="Arial"/>
          <w:color w:val="000000"/>
          <w:sz w:val="20"/>
          <w:szCs w:val="20"/>
        </w:rPr>
        <w:t>We have recognized the tax</w:t>
      </w:r>
      <w:r>
        <w:rPr>
          <w:rFonts w:ascii="Arial" w:eastAsia="宋体" w:hAnsi="Arial" w:cs="Arial"/>
          <w:color w:val="000000"/>
          <w:sz w:val="20"/>
          <w:szCs w:val="20"/>
        </w:rPr>
        <w:t xml:space="preserve"> consequences of all foreign unremitted earnings and management has no specific plans to indefinitely reinvest the unremitted earnings of our foreign subsidiaries as of the balance sheet date. We have not provided for deferred taxes on outside basis differ</w:t>
      </w:r>
      <w:r>
        <w:rPr>
          <w:rFonts w:ascii="Arial" w:eastAsia="宋体" w:hAnsi="Arial" w:cs="Arial"/>
          <w:color w:val="000000"/>
          <w:sz w:val="20"/>
          <w:szCs w:val="20"/>
        </w:rPr>
        <w:t>ences in our investments in our foreign subsidiaries that are unrelated to unremitted earnings. With the exception of eBay Korea recognized in discontinued operations, these basis differences will be indefinitely reinvested. A determination of the unrecogn</w:t>
      </w:r>
      <w:r>
        <w:rPr>
          <w:rFonts w:ascii="Arial" w:eastAsia="宋体" w:hAnsi="Arial" w:cs="Arial"/>
          <w:color w:val="000000"/>
          <w:sz w:val="20"/>
          <w:szCs w:val="20"/>
        </w:rPr>
        <w:t>ized deferred taxes related to these other components of our outside basis difference is not practicable. In connection with the intent to sell the eBay Korea business as discussed in “Note 1 – The Company and Summary of Significant Accounting Policies”, w</w:t>
      </w:r>
      <w:r>
        <w:rPr>
          <w:rFonts w:ascii="Arial" w:eastAsia="宋体" w:hAnsi="Arial" w:cs="Arial"/>
          <w:color w:val="000000"/>
          <w:sz w:val="20"/>
          <w:szCs w:val="20"/>
        </w:rPr>
        <w:t>e assessed the outside basis differences relating to eBay Korea and determined that no material deferred taxes need to be provided on the difference as of June 30, 2021.</w:t>
      </w:r>
    </w:p>
    <w:p w14:paraId="6430484D" w14:textId="77777777" w:rsidR="009F6D8A" w:rsidRDefault="009F6D8A">
      <w:pPr>
        <w:jc w:val="both"/>
      </w:pPr>
    </w:p>
    <w:p w14:paraId="6430484E" w14:textId="77777777" w:rsidR="009F6D8A" w:rsidRDefault="00C50974">
      <w:r>
        <w:rPr>
          <w:rFonts w:ascii="Arial" w:eastAsia="宋体" w:hAnsi="Arial" w:cs="Arial"/>
          <w:b/>
          <w:bCs/>
          <w:color w:val="000000"/>
          <w:sz w:val="20"/>
          <w:szCs w:val="20"/>
        </w:rPr>
        <w:t xml:space="preserve">Note 15 — Accumulated Other Comprehensive Income </w:t>
      </w:r>
    </w:p>
    <w:p w14:paraId="6430484F" w14:textId="77777777" w:rsidR="009F6D8A" w:rsidRDefault="009F6D8A">
      <w:pPr>
        <w:ind w:firstLine="540"/>
      </w:pPr>
    </w:p>
    <w:p w14:paraId="64304850" w14:textId="77777777" w:rsidR="009F6D8A" w:rsidRDefault="00C50974">
      <w:pPr>
        <w:ind w:firstLine="540"/>
      </w:pPr>
      <w:r>
        <w:rPr>
          <w:rFonts w:ascii="Arial" w:eastAsia="宋体" w:hAnsi="Arial" w:cs="Arial"/>
          <w:color w:val="000000"/>
          <w:sz w:val="20"/>
          <w:szCs w:val="20"/>
        </w:rPr>
        <w:t>The following tables summarize the</w:t>
      </w:r>
      <w:r>
        <w:rPr>
          <w:rFonts w:ascii="Arial" w:eastAsia="宋体" w:hAnsi="Arial" w:cs="Arial"/>
          <w:color w:val="000000"/>
          <w:sz w:val="20"/>
          <w:szCs w:val="20"/>
        </w:rPr>
        <w:t xml:space="preserve"> changes in AOCI for the three and six months ended June 30, 2021 and 2020 (in millions): </w:t>
      </w:r>
    </w:p>
    <w:tbl>
      <w:tblPr>
        <w:tblW w:w="4985" w:type="pct"/>
        <w:tblCellMar>
          <w:top w:w="15" w:type="dxa"/>
          <w:left w:w="15" w:type="dxa"/>
          <w:bottom w:w="15" w:type="dxa"/>
          <w:right w:w="15" w:type="dxa"/>
        </w:tblCellMar>
        <w:tblLook w:val="04A0" w:firstRow="1" w:lastRow="0" w:firstColumn="1" w:lastColumn="0" w:noHBand="0" w:noVBand="1"/>
      </w:tblPr>
      <w:tblGrid>
        <w:gridCol w:w="43"/>
        <w:gridCol w:w="2879"/>
        <w:gridCol w:w="37"/>
        <w:gridCol w:w="122"/>
        <w:gridCol w:w="941"/>
        <w:gridCol w:w="36"/>
        <w:gridCol w:w="36"/>
        <w:gridCol w:w="36"/>
        <w:gridCol w:w="36"/>
        <w:gridCol w:w="122"/>
        <w:gridCol w:w="890"/>
        <w:gridCol w:w="36"/>
        <w:gridCol w:w="36"/>
        <w:gridCol w:w="36"/>
        <w:gridCol w:w="36"/>
        <w:gridCol w:w="122"/>
        <w:gridCol w:w="814"/>
        <w:gridCol w:w="36"/>
        <w:gridCol w:w="36"/>
        <w:gridCol w:w="36"/>
        <w:gridCol w:w="36"/>
        <w:gridCol w:w="122"/>
        <w:gridCol w:w="737"/>
        <w:gridCol w:w="36"/>
        <w:gridCol w:w="36"/>
        <w:gridCol w:w="36"/>
        <w:gridCol w:w="36"/>
        <w:gridCol w:w="121"/>
        <w:gridCol w:w="749"/>
        <w:gridCol w:w="36"/>
      </w:tblGrid>
      <w:tr w:rsidR="009F6D8A" w14:paraId="6430486F" w14:textId="77777777">
        <w:tc>
          <w:tcPr>
            <w:tcW w:w="50" w:type="pct"/>
            <w:shd w:val="clear" w:color="auto" w:fill="auto"/>
            <w:vAlign w:val="bottom"/>
          </w:tcPr>
          <w:p w14:paraId="64304851" w14:textId="77777777" w:rsidR="009F6D8A" w:rsidRDefault="009F6D8A">
            <w:pPr>
              <w:rPr>
                <w:rFonts w:ascii="宋体"/>
              </w:rPr>
            </w:pPr>
          </w:p>
        </w:tc>
        <w:tc>
          <w:tcPr>
            <w:tcW w:w="1770" w:type="pct"/>
            <w:shd w:val="clear" w:color="auto" w:fill="auto"/>
            <w:vAlign w:val="bottom"/>
          </w:tcPr>
          <w:p w14:paraId="64304852" w14:textId="77777777" w:rsidR="009F6D8A" w:rsidRDefault="009F6D8A">
            <w:pPr>
              <w:rPr>
                <w:rFonts w:ascii="宋体"/>
              </w:rPr>
            </w:pPr>
          </w:p>
        </w:tc>
        <w:tc>
          <w:tcPr>
            <w:tcW w:w="5" w:type="pct"/>
            <w:shd w:val="clear" w:color="auto" w:fill="auto"/>
            <w:vAlign w:val="bottom"/>
          </w:tcPr>
          <w:p w14:paraId="64304853" w14:textId="77777777" w:rsidR="009F6D8A" w:rsidRDefault="009F6D8A">
            <w:pPr>
              <w:rPr>
                <w:rFonts w:ascii="宋体"/>
              </w:rPr>
            </w:pPr>
          </w:p>
        </w:tc>
        <w:tc>
          <w:tcPr>
            <w:tcW w:w="50" w:type="pct"/>
            <w:shd w:val="clear" w:color="auto" w:fill="auto"/>
            <w:vAlign w:val="bottom"/>
          </w:tcPr>
          <w:p w14:paraId="64304854" w14:textId="77777777" w:rsidR="009F6D8A" w:rsidRDefault="009F6D8A">
            <w:pPr>
              <w:rPr>
                <w:rFonts w:ascii="宋体"/>
              </w:rPr>
            </w:pPr>
          </w:p>
        </w:tc>
        <w:tc>
          <w:tcPr>
            <w:tcW w:w="597" w:type="pct"/>
            <w:shd w:val="clear" w:color="auto" w:fill="auto"/>
            <w:vAlign w:val="bottom"/>
          </w:tcPr>
          <w:p w14:paraId="64304855" w14:textId="77777777" w:rsidR="009F6D8A" w:rsidRDefault="009F6D8A">
            <w:pPr>
              <w:rPr>
                <w:rFonts w:ascii="宋体"/>
              </w:rPr>
            </w:pPr>
          </w:p>
        </w:tc>
        <w:tc>
          <w:tcPr>
            <w:tcW w:w="5" w:type="pct"/>
            <w:shd w:val="clear" w:color="auto" w:fill="auto"/>
            <w:vAlign w:val="bottom"/>
          </w:tcPr>
          <w:p w14:paraId="64304856" w14:textId="77777777" w:rsidR="009F6D8A" w:rsidRDefault="009F6D8A">
            <w:pPr>
              <w:rPr>
                <w:rFonts w:ascii="宋体"/>
              </w:rPr>
            </w:pPr>
          </w:p>
        </w:tc>
        <w:tc>
          <w:tcPr>
            <w:tcW w:w="5" w:type="pct"/>
            <w:shd w:val="clear" w:color="auto" w:fill="auto"/>
            <w:vAlign w:val="bottom"/>
          </w:tcPr>
          <w:p w14:paraId="64304857" w14:textId="77777777" w:rsidR="009F6D8A" w:rsidRDefault="009F6D8A">
            <w:pPr>
              <w:rPr>
                <w:rFonts w:ascii="宋体"/>
              </w:rPr>
            </w:pPr>
          </w:p>
        </w:tc>
        <w:tc>
          <w:tcPr>
            <w:tcW w:w="26" w:type="pct"/>
            <w:shd w:val="clear" w:color="auto" w:fill="auto"/>
            <w:vAlign w:val="bottom"/>
          </w:tcPr>
          <w:p w14:paraId="64304858" w14:textId="77777777" w:rsidR="009F6D8A" w:rsidRDefault="009F6D8A">
            <w:pPr>
              <w:rPr>
                <w:rFonts w:ascii="宋体"/>
              </w:rPr>
            </w:pPr>
          </w:p>
        </w:tc>
        <w:tc>
          <w:tcPr>
            <w:tcW w:w="5" w:type="pct"/>
            <w:shd w:val="clear" w:color="auto" w:fill="auto"/>
            <w:vAlign w:val="bottom"/>
          </w:tcPr>
          <w:p w14:paraId="64304859" w14:textId="77777777" w:rsidR="009F6D8A" w:rsidRDefault="009F6D8A">
            <w:pPr>
              <w:rPr>
                <w:rFonts w:ascii="宋体"/>
              </w:rPr>
            </w:pPr>
          </w:p>
        </w:tc>
        <w:tc>
          <w:tcPr>
            <w:tcW w:w="50" w:type="pct"/>
            <w:shd w:val="clear" w:color="auto" w:fill="auto"/>
            <w:vAlign w:val="bottom"/>
          </w:tcPr>
          <w:p w14:paraId="6430485A" w14:textId="77777777" w:rsidR="009F6D8A" w:rsidRDefault="009F6D8A">
            <w:pPr>
              <w:rPr>
                <w:rFonts w:ascii="宋体"/>
              </w:rPr>
            </w:pPr>
          </w:p>
        </w:tc>
        <w:tc>
          <w:tcPr>
            <w:tcW w:w="582" w:type="pct"/>
            <w:shd w:val="clear" w:color="auto" w:fill="auto"/>
            <w:vAlign w:val="bottom"/>
          </w:tcPr>
          <w:p w14:paraId="6430485B" w14:textId="77777777" w:rsidR="009F6D8A" w:rsidRDefault="009F6D8A">
            <w:pPr>
              <w:rPr>
                <w:rFonts w:ascii="宋体"/>
              </w:rPr>
            </w:pPr>
          </w:p>
        </w:tc>
        <w:tc>
          <w:tcPr>
            <w:tcW w:w="5" w:type="pct"/>
            <w:shd w:val="clear" w:color="auto" w:fill="auto"/>
            <w:vAlign w:val="bottom"/>
          </w:tcPr>
          <w:p w14:paraId="6430485C" w14:textId="77777777" w:rsidR="009F6D8A" w:rsidRDefault="009F6D8A">
            <w:pPr>
              <w:rPr>
                <w:rFonts w:ascii="宋体"/>
              </w:rPr>
            </w:pPr>
          </w:p>
        </w:tc>
        <w:tc>
          <w:tcPr>
            <w:tcW w:w="5" w:type="pct"/>
            <w:shd w:val="clear" w:color="auto" w:fill="auto"/>
            <w:vAlign w:val="bottom"/>
          </w:tcPr>
          <w:p w14:paraId="6430485D" w14:textId="77777777" w:rsidR="009F6D8A" w:rsidRDefault="009F6D8A">
            <w:pPr>
              <w:rPr>
                <w:rFonts w:ascii="宋体"/>
              </w:rPr>
            </w:pPr>
          </w:p>
        </w:tc>
        <w:tc>
          <w:tcPr>
            <w:tcW w:w="26" w:type="pct"/>
            <w:shd w:val="clear" w:color="auto" w:fill="auto"/>
            <w:vAlign w:val="bottom"/>
          </w:tcPr>
          <w:p w14:paraId="6430485E" w14:textId="77777777" w:rsidR="009F6D8A" w:rsidRDefault="009F6D8A">
            <w:pPr>
              <w:rPr>
                <w:rFonts w:ascii="宋体"/>
              </w:rPr>
            </w:pPr>
          </w:p>
        </w:tc>
        <w:tc>
          <w:tcPr>
            <w:tcW w:w="5" w:type="pct"/>
            <w:shd w:val="clear" w:color="auto" w:fill="auto"/>
            <w:vAlign w:val="bottom"/>
          </w:tcPr>
          <w:p w14:paraId="6430485F" w14:textId="77777777" w:rsidR="009F6D8A" w:rsidRDefault="009F6D8A">
            <w:pPr>
              <w:rPr>
                <w:rFonts w:ascii="宋体"/>
              </w:rPr>
            </w:pPr>
          </w:p>
        </w:tc>
        <w:tc>
          <w:tcPr>
            <w:tcW w:w="50" w:type="pct"/>
            <w:shd w:val="clear" w:color="auto" w:fill="auto"/>
            <w:vAlign w:val="bottom"/>
          </w:tcPr>
          <w:p w14:paraId="64304860" w14:textId="77777777" w:rsidR="009F6D8A" w:rsidRDefault="009F6D8A">
            <w:pPr>
              <w:rPr>
                <w:rFonts w:ascii="宋体"/>
              </w:rPr>
            </w:pPr>
          </w:p>
        </w:tc>
        <w:tc>
          <w:tcPr>
            <w:tcW w:w="509" w:type="pct"/>
            <w:shd w:val="clear" w:color="auto" w:fill="auto"/>
            <w:vAlign w:val="bottom"/>
          </w:tcPr>
          <w:p w14:paraId="64304861" w14:textId="77777777" w:rsidR="009F6D8A" w:rsidRDefault="009F6D8A">
            <w:pPr>
              <w:rPr>
                <w:rFonts w:ascii="宋体"/>
              </w:rPr>
            </w:pPr>
          </w:p>
        </w:tc>
        <w:tc>
          <w:tcPr>
            <w:tcW w:w="5" w:type="pct"/>
            <w:shd w:val="clear" w:color="auto" w:fill="auto"/>
            <w:vAlign w:val="bottom"/>
          </w:tcPr>
          <w:p w14:paraId="64304862" w14:textId="77777777" w:rsidR="009F6D8A" w:rsidRDefault="009F6D8A">
            <w:pPr>
              <w:rPr>
                <w:rFonts w:ascii="宋体"/>
              </w:rPr>
            </w:pPr>
          </w:p>
        </w:tc>
        <w:tc>
          <w:tcPr>
            <w:tcW w:w="5" w:type="pct"/>
            <w:shd w:val="clear" w:color="auto" w:fill="auto"/>
            <w:vAlign w:val="bottom"/>
          </w:tcPr>
          <w:p w14:paraId="64304863" w14:textId="77777777" w:rsidR="009F6D8A" w:rsidRDefault="009F6D8A">
            <w:pPr>
              <w:rPr>
                <w:rFonts w:ascii="宋体"/>
              </w:rPr>
            </w:pPr>
          </w:p>
        </w:tc>
        <w:tc>
          <w:tcPr>
            <w:tcW w:w="26" w:type="pct"/>
            <w:shd w:val="clear" w:color="auto" w:fill="auto"/>
            <w:vAlign w:val="bottom"/>
          </w:tcPr>
          <w:p w14:paraId="64304864" w14:textId="77777777" w:rsidR="009F6D8A" w:rsidRDefault="009F6D8A">
            <w:pPr>
              <w:rPr>
                <w:rFonts w:ascii="宋体"/>
              </w:rPr>
            </w:pPr>
          </w:p>
        </w:tc>
        <w:tc>
          <w:tcPr>
            <w:tcW w:w="5" w:type="pct"/>
            <w:shd w:val="clear" w:color="auto" w:fill="auto"/>
            <w:vAlign w:val="bottom"/>
          </w:tcPr>
          <w:p w14:paraId="64304865" w14:textId="77777777" w:rsidR="009F6D8A" w:rsidRDefault="009F6D8A">
            <w:pPr>
              <w:rPr>
                <w:rFonts w:ascii="宋体"/>
              </w:rPr>
            </w:pPr>
          </w:p>
        </w:tc>
        <w:tc>
          <w:tcPr>
            <w:tcW w:w="50" w:type="pct"/>
            <w:shd w:val="clear" w:color="auto" w:fill="auto"/>
            <w:vAlign w:val="bottom"/>
          </w:tcPr>
          <w:p w14:paraId="64304866" w14:textId="77777777" w:rsidR="009F6D8A" w:rsidRDefault="009F6D8A">
            <w:pPr>
              <w:rPr>
                <w:rFonts w:ascii="宋体"/>
              </w:rPr>
            </w:pPr>
          </w:p>
        </w:tc>
        <w:tc>
          <w:tcPr>
            <w:tcW w:w="553" w:type="pct"/>
            <w:shd w:val="clear" w:color="auto" w:fill="auto"/>
            <w:vAlign w:val="bottom"/>
          </w:tcPr>
          <w:p w14:paraId="64304867" w14:textId="77777777" w:rsidR="009F6D8A" w:rsidRDefault="009F6D8A">
            <w:pPr>
              <w:rPr>
                <w:rFonts w:ascii="宋体"/>
              </w:rPr>
            </w:pPr>
          </w:p>
        </w:tc>
        <w:tc>
          <w:tcPr>
            <w:tcW w:w="5" w:type="pct"/>
            <w:shd w:val="clear" w:color="auto" w:fill="auto"/>
            <w:vAlign w:val="bottom"/>
          </w:tcPr>
          <w:p w14:paraId="64304868" w14:textId="77777777" w:rsidR="009F6D8A" w:rsidRDefault="009F6D8A">
            <w:pPr>
              <w:rPr>
                <w:rFonts w:ascii="宋体"/>
              </w:rPr>
            </w:pPr>
          </w:p>
        </w:tc>
        <w:tc>
          <w:tcPr>
            <w:tcW w:w="5" w:type="pct"/>
            <w:shd w:val="clear" w:color="auto" w:fill="auto"/>
            <w:vAlign w:val="bottom"/>
          </w:tcPr>
          <w:p w14:paraId="64304869" w14:textId="77777777" w:rsidR="009F6D8A" w:rsidRDefault="009F6D8A">
            <w:pPr>
              <w:rPr>
                <w:rFonts w:ascii="宋体"/>
              </w:rPr>
            </w:pPr>
          </w:p>
        </w:tc>
        <w:tc>
          <w:tcPr>
            <w:tcW w:w="26" w:type="pct"/>
            <w:shd w:val="clear" w:color="auto" w:fill="auto"/>
            <w:vAlign w:val="bottom"/>
          </w:tcPr>
          <w:p w14:paraId="6430486A" w14:textId="77777777" w:rsidR="009F6D8A" w:rsidRDefault="009F6D8A">
            <w:pPr>
              <w:rPr>
                <w:rFonts w:ascii="宋体"/>
              </w:rPr>
            </w:pPr>
          </w:p>
        </w:tc>
        <w:tc>
          <w:tcPr>
            <w:tcW w:w="5" w:type="pct"/>
            <w:shd w:val="clear" w:color="auto" w:fill="auto"/>
            <w:vAlign w:val="bottom"/>
          </w:tcPr>
          <w:p w14:paraId="6430486B" w14:textId="77777777" w:rsidR="009F6D8A" w:rsidRDefault="009F6D8A">
            <w:pPr>
              <w:rPr>
                <w:rFonts w:ascii="宋体"/>
              </w:rPr>
            </w:pPr>
          </w:p>
        </w:tc>
        <w:tc>
          <w:tcPr>
            <w:tcW w:w="50" w:type="pct"/>
            <w:shd w:val="clear" w:color="auto" w:fill="auto"/>
            <w:vAlign w:val="bottom"/>
          </w:tcPr>
          <w:p w14:paraId="6430486C" w14:textId="77777777" w:rsidR="009F6D8A" w:rsidRDefault="009F6D8A">
            <w:pPr>
              <w:rPr>
                <w:rFonts w:ascii="宋体"/>
              </w:rPr>
            </w:pPr>
          </w:p>
        </w:tc>
        <w:tc>
          <w:tcPr>
            <w:tcW w:w="509" w:type="pct"/>
            <w:shd w:val="clear" w:color="auto" w:fill="auto"/>
            <w:vAlign w:val="bottom"/>
          </w:tcPr>
          <w:p w14:paraId="6430486D" w14:textId="77777777" w:rsidR="009F6D8A" w:rsidRDefault="009F6D8A">
            <w:pPr>
              <w:rPr>
                <w:rFonts w:ascii="宋体"/>
              </w:rPr>
            </w:pPr>
          </w:p>
        </w:tc>
        <w:tc>
          <w:tcPr>
            <w:tcW w:w="5" w:type="pct"/>
            <w:shd w:val="clear" w:color="auto" w:fill="auto"/>
            <w:vAlign w:val="bottom"/>
          </w:tcPr>
          <w:p w14:paraId="6430486E" w14:textId="77777777" w:rsidR="009F6D8A" w:rsidRDefault="009F6D8A">
            <w:pPr>
              <w:rPr>
                <w:rFonts w:ascii="宋体"/>
              </w:rPr>
            </w:pPr>
          </w:p>
        </w:tc>
      </w:tr>
      <w:tr w:rsidR="009F6D8A" w14:paraId="6430487A" w14:textId="77777777">
        <w:tc>
          <w:tcPr>
            <w:tcW w:w="0" w:type="auto"/>
            <w:gridSpan w:val="3"/>
            <w:shd w:val="clear" w:color="auto" w:fill="auto"/>
            <w:tcMar>
              <w:top w:w="0" w:type="dxa"/>
              <w:left w:w="20" w:type="dxa"/>
              <w:bottom w:w="0" w:type="dxa"/>
              <w:right w:w="20" w:type="dxa"/>
            </w:tcMar>
            <w:vAlign w:val="bottom"/>
          </w:tcPr>
          <w:p w14:paraId="64304870"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871" w14:textId="77777777" w:rsidR="009F6D8A" w:rsidRDefault="00C50974">
            <w:pPr>
              <w:jc w:val="center"/>
              <w:textAlignment w:val="bottom"/>
            </w:pPr>
            <w:r>
              <w:rPr>
                <w:rFonts w:ascii="Arial" w:eastAsia="宋体" w:hAnsi="Arial" w:cs="Arial"/>
                <w:b/>
                <w:bCs/>
                <w:color w:val="000000"/>
                <w:sz w:val="16"/>
                <w:szCs w:val="16"/>
              </w:rPr>
              <w:t>Unrealized Gains (Losses) on Derivative Instruments</w:t>
            </w:r>
          </w:p>
        </w:tc>
        <w:tc>
          <w:tcPr>
            <w:tcW w:w="0" w:type="auto"/>
            <w:gridSpan w:val="3"/>
            <w:shd w:val="clear" w:color="auto" w:fill="auto"/>
            <w:tcMar>
              <w:top w:w="0" w:type="dxa"/>
              <w:left w:w="20" w:type="dxa"/>
              <w:bottom w:w="0" w:type="dxa"/>
              <w:right w:w="20" w:type="dxa"/>
            </w:tcMar>
            <w:vAlign w:val="bottom"/>
          </w:tcPr>
          <w:p w14:paraId="64304872"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873" w14:textId="77777777" w:rsidR="009F6D8A" w:rsidRDefault="00C50974">
            <w:pPr>
              <w:jc w:val="center"/>
              <w:textAlignment w:val="bottom"/>
            </w:pPr>
            <w:r>
              <w:rPr>
                <w:rFonts w:ascii="Arial" w:eastAsia="宋体" w:hAnsi="Arial" w:cs="Arial"/>
                <w:b/>
                <w:bCs/>
                <w:color w:val="000000"/>
                <w:sz w:val="16"/>
                <w:szCs w:val="16"/>
              </w:rPr>
              <w:t>Unrealized</w:t>
            </w:r>
            <w:r>
              <w:rPr>
                <w:rFonts w:ascii="Arial" w:eastAsia="宋体" w:hAnsi="Arial" w:cs="Arial"/>
                <w:b/>
                <w:bCs/>
                <w:color w:val="000000"/>
                <w:sz w:val="16"/>
                <w:szCs w:val="16"/>
              </w:rPr>
              <w:br/>
              <w:t>Gains (Losses) on</w:t>
            </w:r>
            <w:r>
              <w:rPr>
                <w:rFonts w:ascii="Arial" w:eastAsia="宋体" w:hAnsi="Arial" w:cs="Arial"/>
                <w:b/>
                <w:bCs/>
                <w:color w:val="000000"/>
                <w:sz w:val="16"/>
                <w:szCs w:val="16"/>
              </w:rPr>
              <w:br/>
              <w:t>Investments</w:t>
            </w:r>
          </w:p>
        </w:tc>
        <w:tc>
          <w:tcPr>
            <w:tcW w:w="0" w:type="auto"/>
            <w:gridSpan w:val="3"/>
            <w:shd w:val="clear" w:color="auto" w:fill="auto"/>
            <w:tcMar>
              <w:top w:w="0" w:type="dxa"/>
              <w:left w:w="20" w:type="dxa"/>
              <w:bottom w:w="0" w:type="dxa"/>
              <w:right w:w="20" w:type="dxa"/>
            </w:tcMar>
            <w:vAlign w:val="bottom"/>
          </w:tcPr>
          <w:p w14:paraId="64304874"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875" w14:textId="77777777" w:rsidR="009F6D8A" w:rsidRDefault="00C50974">
            <w:pPr>
              <w:jc w:val="center"/>
              <w:textAlignment w:val="bottom"/>
            </w:pPr>
            <w:r>
              <w:rPr>
                <w:rFonts w:ascii="Arial" w:eastAsia="宋体" w:hAnsi="Arial" w:cs="Arial"/>
                <w:b/>
                <w:bCs/>
                <w:color w:val="000000"/>
                <w:sz w:val="16"/>
                <w:szCs w:val="16"/>
              </w:rPr>
              <w:t>Foreign</w:t>
            </w:r>
            <w:r>
              <w:rPr>
                <w:rFonts w:ascii="Arial" w:eastAsia="宋体" w:hAnsi="Arial" w:cs="Arial"/>
                <w:b/>
                <w:bCs/>
                <w:color w:val="000000"/>
                <w:sz w:val="16"/>
                <w:szCs w:val="16"/>
              </w:rPr>
              <w:br/>
              <w:t>Currency</w:t>
            </w:r>
            <w:r>
              <w:rPr>
                <w:rFonts w:ascii="Arial" w:eastAsia="宋体" w:hAnsi="Arial" w:cs="Arial"/>
                <w:b/>
                <w:bCs/>
                <w:color w:val="000000"/>
                <w:sz w:val="16"/>
                <w:szCs w:val="16"/>
              </w:rPr>
              <w:br/>
              <w:t>Translation</w:t>
            </w:r>
          </w:p>
        </w:tc>
        <w:tc>
          <w:tcPr>
            <w:tcW w:w="0" w:type="auto"/>
            <w:gridSpan w:val="3"/>
            <w:shd w:val="clear" w:color="auto" w:fill="auto"/>
            <w:tcMar>
              <w:top w:w="0" w:type="dxa"/>
              <w:left w:w="20" w:type="dxa"/>
              <w:bottom w:w="0" w:type="dxa"/>
              <w:right w:w="20" w:type="dxa"/>
            </w:tcMar>
            <w:vAlign w:val="bottom"/>
          </w:tcPr>
          <w:p w14:paraId="64304876"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877" w14:textId="77777777" w:rsidR="009F6D8A" w:rsidRDefault="00C50974">
            <w:pPr>
              <w:jc w:val="center"/>
              <w:textAlignment w:val="bottom"/>
            </w:pPr>
            <w:r>
              <w:rPr>
                <w:rFonts w:ascii="Arial" w:eastAsia="宋体" w:hAnsi="Arial" w:cs="Arial"/>
                <w:b/>
                <w:bCs/>
                <w:color w:val="000000"/>
                <w:sz w:val="16"/>
                <w:szCs w:val="16"/>
              </w:rPr>
              <w:t>Estimated Tax (Expense) Benefit</w:t>
            </w:r>
          </w:p>
        </w:tc>
        <w:tc>
          <w:tcPr>
            <w:tcW w:w="0" w:type="auto"/>
            <w:gridSpan w:val="3"/>
            <w:shd w:val="clear" w:color="auto" w:fill="auto"/>
            <w:tcMar>
              <w:top w:w="0" w:type="dxa"/>
              <w:left w:w="20" w:type="dxa"/>
              <w:bottom w:w="0" w:type="dxa"/>
              <w:right w:w="20" w:type="dxa"/>
            </w:tcMar>
            <w:vAlign w:val="bottom"/>
          </w:tcPr>
          <w:p w14:paraId="64304878"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879" w14:textId="77777777" w:rsidR="009F6D8A" w:rsidRDefault="00C50974">
            <w:pPr>
              <w:jc w:val="center"/>
              <w:textAlignment w:val="bottom"/>
            </w:pPr>
            <w:r>
              <w:rPr>
                <w:rFonts w:ascii="Arial" w:eastAsia="宋体" w:hAnsi="Arial" w:cs="Arial"/>
                <w:b/>
                <w:bCs/>
                <w:color w:val="000000"/>
                <w:sz w:val="16"/>
                <w:szCs w:val="16"/>
              </w:rPr>
              <w:t>Total</w:t>
            </w:r>
          </w:p>
        </w:tc>
      </w:tr>
      <w:tr w:rsidR="009F6D8A" w14:paraId="6430488F" w14:textId="77777777">
        <w:tc>
          <w:tcPr>
            <w:tcW w:w="0" w:type="auto"/>
            <w:gridSpan w:val="3"/>
            <w:shd w:val="clear" w:color="auto" w:fill="E2E2E2"/>
            <w:tcMar>
              <w:top w:w="40" w:type="dxa"/>
              <w:left w:w="20" w:type="dxa"/>
              <w:bottom w:w="40" w:type="dxa"/>
              <w:right w:w="20" w:type="dxa"/>
            </w:tcMar>
            <w:vAlign w:val="bottom"/>
          </w:tcPr>
          <w:p w14:paraId="6430487B" w14:textId="77777777" w:rsidR="009F6D8A" w:rsidRDefault="00C50974">
            <w:pPr>
              <w:textAlignment w:val="bottom"/>
            </w:pPr>
            <w:r>
              <w:rPr>
                <w:rFonts w:ascii="Arial" w:eastAsia="宋体" w:hAnsi="Arial" w:cs="Arial"/>
                <w:color w:val="000000"/>
                <w:sz w:val="18"/>
                <w:szCs w:val="18"/>
              </w:rPr>
              <w:t>Balance as of March 31, 2021</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487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87D" w14:textId="77777777" w:rsidR="009F6D8A" w:rsidRDefault="00C50974">
            <w:pPr>
              <w:jc w:val="right"/>
              <w:textAlignment w:val="bottom"/>
            </w:pPr>
            <w:r>
              <w:rPr>
                <w:rFonts w:ascii="Arial" w:eastAsia="宋体" w:hAnsi="Arial" w:cs="Arial"/>
                <w:color w:val="000000"/>
                <w:sz w:val="18"/>
                <w:szCs w:val="18"/>
              </w:rPr>
              <w:t>(11)</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87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87F"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880"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881" w14:textId="77777777" w:rsidR="009F6D8A" w:rsidRDefault="00C50974">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88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883"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884"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885" w14:textId="77777777" w:rsidR="009F6D8A" w:rsidRDefault="00C50974">
            <w:pPr>
              <w:jc w:val="right"/>
              <w:textAlignment w:val="bottom"/>
            </w:pPr>
            <w:r>
              <w:rPr>
                <w:rFonts w:ascii="Arial" w:eastAsia="宋体" w:hAnsi="Arial" w:cs="Arial"/>
                <w:color w:val="000000"/>
                <w:sz w:val="18"/>
                <w:szCs w:val="18"/>
              </w:rPr>
              <w:t>537 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88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887"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888"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889" w14:textId="77777777" w:rsidR="009F6D8A" w:rsidRDefault="00C50974">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88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88B"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88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88D" w14:textId="77777777" w:rsidR="009F6D8A" w:rsidRDefault="00C50974">
            <w:pPr>
              <w:jc w:val="right"/>
              <w:textAlignment w:val="bottom"/>
            </w:pPr>
            <w:r>
              <w:rPr>
                <w:rFonts w:ascii="Arial" w:eastAsia="宋体" w:hAnsi="Arial" w:cs="Arial"/>
                <w:color w:val="000000"/>
                <w:sz w:val="18"/>
                <w:szCs w:val="18"/>
              </w:rPr>
              <w:t>553 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88E" w14:textId="77777777" w:rsidR="009F6D8A" w:rsidRDefault="009F6D8A">
            <w:pPr>
              <w:jc w:val="right"/>
              <w:rPr>
                <w:rFonts w:ascii="宋体"/>
              </w:rPr>
            </w:pPr>
          </w:p>
        </w:tc>
      </w:tr>
      <w:tr w:rsidR="009F6D8A" w14:paraId="6430489F" w14:textId="77777777">
        <w:tc>
          <w:tcPr>
            <w:tcW w:w="0" w:type="auto"/>
            <w:gridSpan w:val="3"/>
            <w:shd w:val="clear" w:color="auto" w:fill="FFFFFF"/>
            <w:tcMar>
              <w:top w:w="40" w:type="dxa"/>
              <w:left w:w="245" w:type="dxa"/>
              <w:bottom w:w="40" w:type="dxa"/>
              <w:right w:w="20" w:type="dxa"/>
            </w:tcMar>
            <w:vAlign w:val="bottom"/>
          </w:tcPr>
          <w:p w14:paraId="64304890" w14:textId="77777777" w:rsidR="009F6D8A" w:rsidRDefault="00C50974">
            <w:pPr>
              <w:textAlignment w:val="bottom"/>
            </w:pPr>
            <w:r>
              <w:rPr>
                <w:rFonts w:ascii="Arial" w:eastAsia="宋体" w:hAnsi="Arial" w:cs="Arial"/>
                <w:color w:val="000000"/>
                <w:sz w:val="18"/>
                <w:szCs w:val="18"/>
              </w:rPr>
              <w:t>Other comprehensive income (loss) before reclassificati</w:t>
            </w:r>
            <w:r>
              <w:rPr>
                <w:rFonts w:ascii="Arial" w:eastAsia="宋体" w:hAnsi="Arial" w:cs="Arial"/>
                <w:color w:val="000000"/>
                <w:sz w:val="18"/>
                <w:szCs w:val="18"/>
              </w:rPr>
              <w:t>ons</w:t>
            </w:r>
          </w:p>
        </w:tc>
        <w:tc>
          <w:tcPr>
            <w:tcW w:w="0" w:type="auto"/>
            <w:gridSpan w:val="2"/>
            <w:shd w:val="clear" w:color="auto" w:fill="FFFFFF"/>
            <w:tcMar>
              <w:top w:w="40" w:type="dxa"/>
              <w:left w:w="20" w:type="dxa"/>
              <w:bottom w:w="40" w:type="dxa"/>
              <w:right w:w="0" w:type="dxa"/>
            </w:tcMar>
            <w:vAlign w:val="bottom"/>
          </w:tcPr>
          <w:p w14:paraId="64304891" w14:textId="77777777" w:rsidR="009F6D8A" w:rsidRDefault="00C50974">
            <w:pPr>
              <w:jc w:val="right"/>
              <w:textAlignment w:val="bottom"/>
            </w:pPr>
            <w:r>
              <w:rPr>
                <w:rFonts w:ascii="Arial" w:eastAsia="宋体" w:hAnsi="Arial" w:cs="Arial"/>
                <w:color w:val="000000"/>
                <w:sz w:val="18"/>
                <w:szCs w:val="18"/>
              </w:rPr>
              <w:t>(20)</w:t>
            </w:r>
          </w:p>
        </w:tc>
        <w:tc>
          <w:tcPr>
            <w:tcW w:w="0" w:type="auto"/>
            <w:shd w:val="clear" w:color="auto" w:fill="FFFFFF"/>
            <w:tcMar>
              <w:top w:w="40" w:type="dxa"/>
              <w:left w:w="0" w:type="dxa"/>
              <w:bottom w:w="40" w:type="dxa"/>
              <w:right w:w="20" w:type="dxa"/>
            </w:tcMar>
            <w:vAlign w:val="bottom"/>
          </w:tcPr>
          <w:p w14:paraId="6430489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893"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894" w14:textId="77777777" w:rsidR="009F6D8A" w:rsidRDefault="00C50974">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6430489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89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897" w14:textId="77777777" w:rsidR="009F6D8A" w:rsidRDefault="00C50974">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6430489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89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89A" w14:textId="77777777" w:rsidR="009F6D8A" w:rsidRDefault="00C50974">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6430489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89C"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89D" w14:textId="77777777" w:rsidR="009F6D8A" w:rsidRDefault="00C50974">
            <w:pPr>
              <w:jc w:val="right"/>
              <w:textAlignment w:val="bottom"/>
            </w:pPr>
            <w:r>
              <w:rPr>
                <w:rFonts w:ascii="Arial" w:eastAsia="宋体" w:hAnsi="Arial" w:cs="Arial"/>
                <w:color w:val="000000"/>
                <w:sz w:val="18"/>
                <w:szCs w:val="18"/>
              </w:rPr>
              <w:t>(5)</w:t>
            </w:r>
          </w:p>
        </w:tc>
        <w:tc>
          <w:tcPr>
            <w:tcW w:w="0" w:type="auto"/>
            <w:shd w:val="clear" w:color="auto" w:fill="FFFFFF"/>
            <w:tcMar>
              <w:top w:w="40" w:type="dxa"/>
              <w:left w:w="0" w:type="dxa"/>
              <w:bottom w:w="40" w:type="dxa"/>
              <w:right w:w="20" w:type="dxa"/>
            </w:tcMar>
            <w:vAlign w:val="bottom"/>
          </w:tcPr>
          <w:p w14:paraId="6430489E" w14:textId="77777777" w:rsidR="009F6D8A" w:rsidRDefault="009F6D8A">
            <w:pPr>
              <w:jc w:val="right"/>
              <w:rPr>
                <w:rFonts w:ascii="宋体"/>
              </w:rPr>
            </w:pPr>
          </w:p>
        </w:tc>
      </w:tr>
      <w:tr w:rsidR="009F6D8A" w14:paraId="643048AF" w14:textId="77777777">
        <w:tc>
          <w:tcPr>
            <w:tcW w:w="0" w:type="auto"/>
            <w:gridSpan w:val="3"/>
            <w:shd w:val="clear" w:color="auto" w:fill="E2E2E2"/>
            <w:tcMar>
              <w:top w:w="40" w:type="dxa"/>
              <w:left w:w="245" w:type="dxa"/>
              <w:bottom w:w="40" w:type="dxa"/>
              <w:right w:w="20" w:type="dxa"/>
            </w:tcMar>
            <w:vAlign w:val="bottom"/>
          </w:tcPr>
          <w:p w14:paraId="643048A0" w14:textId="77777777" w:rsidR="009F6D8A" w:rsidRDefault="00C50974">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643048A1" w14:textId="77777777" w:rsidR="009F6D8A" w:rsidRDefault="00C50974">
            <w:pPr>
              <w:jc w:val="right"/>
              <w:textAlignment w:val="bottom"/>
            </w:pPr>
            <w:r>
              <w:rPr>
                <w:rFonts w:ascii="Arial" w:eastAsia="宋体" w:hAnsi="Arial" w:cs="Arial"/>
                <w:color w:val="000000"/>
                <w:sz w:val="18"/>
                <w:szCs w:val="18"/>
              </w:rPr>
              <w:t>(16)</w:t>
            </w:r>
          </w:p>
        </w:tc>
        <w:tc>
          <w:tcPr>
            <w:tcW w:w="0" w:type="auto"/>
            <w:shd w:val="clear" w:color="auto" w:fill="E2E2E2"/>
            <w:tcMar>
              <w:top w:w="40" w:type="dxa"/>
              <w:left w:w="0" w:type="dxa"/>
              <w:bottom w:w="40" w:type="dxa"/>
              <w:right w:w="20" w:type="dxa"/>
            </w:tcMar>
            <w:vAlign w:val="bottom"/>
          </w:tcPr>
          <w:p w14:paraId="643048A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8A3"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8A4"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48A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8A6"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8A7"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48A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8A9"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8AA" w14:textId="77777777" w:rsidR="009F6D8A" w:rsidRDefault="00C50974">
            <w:pPr>
              <w:jc w:val="right"/>
              <w:textAlignment w:val="bottom"/>
            </w:pPr>
            <w:r>
              <w:rPr>
                <w:rFonts w:ascii="Arial" w:eastAsia="宋体" w:hAnsi="Arial" w:cs="Arial"/>
                <w:color w:val="000000"/>
                <w:sz w:val="18"/>
                <w:szCs w:val="18"/>
              </w:rPr>
              <w:t>4 </w:t>
            </w:r>
          </w:p>
        </w:tc>
        <w:tc>
          <w:tcPr>
            <w:tcW w:w="0" w:type="auto"/>
            <w:shd w:val="clear" w:color="auto" w:fill="E2E2E2"/>
            <w:tcMar>
              <w:top w:w="40" w:type="dxa"/>
              <w:left w:w="0" w:type="dxa"/>
              <w:bottom w:w="40" w:type="dxa"/>
              <w:right w:w="20" w:type="dxa"/>
            </w:tcMar>
            <w:vAlign w:val="bottom"/>
          </w:tcPr>
          <w:p w14:paraId="643048A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8AC"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8AD" w14:textId="77777777" w:rsidR="009F6D8A" w:rsidRDefault="00C50974">
            <w:pPr>
              <w:jc w:val="right"/>
              <w:textAlignment w:val="bottom"/>
            </w:pPr>
            <w:r>
              <w:rPr>
                <w:rFonts w:ascii="Arial" w:eastAsia="宋体" w:hAnsi="Arial" w:cs="Arial"/>
                <w:color w:val="000000"/>
                <w:sz w:val="18"/>
                <w:szCs w:val="18"/>
              </w:rPr>
              <w:t>(12)</w:t>
            </w:r>
          </w:p>
        </w:tc>
        <w:tc>
          <w:tcPr>
            <w:tcW w:w="0" w:type="auto"/>
            <w:shd w:val="clear" w:color="auto" w:fill="E2E2E2"/>
            <w:tcMar>
              <w:top w:w="40" w:type="dxa"/>
              <w:left w:w="0" w:type="dxa"/>
              <w:bottom w:w="40" w:type="dxa"/>
              <w:right w:w="20" w:type="dxa"/>
            </w:tcMar>
            <w:vAlign w:val="bottom"/>
          </w:tcPr>
          <w:p w14:paraId="643048AE" w14:textId="77777777" w:rsidR="009F6D8A" w:rsidRDefault="009F6D8A">
            <w:pPr>
              <w:jc w:val="right"/>
              <w:rPr>
                <w:rFonts w:ascii="宋体"/>
              </w:rPr>
            </w:pPr>
          </w:p>
        </w:tc>
      </w:tr>
      <w:tr w:rsidR="009F6D8A" w14:paraId="643048BF" w14:textId="77777777">
        <w:tc>
          <w:tcPr>
            <w:tcW w:w="0" w:type="auto"/>
            <w:gridSpan w:val="3"/>
            <w:shd w:val="clear" w:color="auto" w:fill="FFFFFF"/>
            <w:tcMar>
              <w:top w:w="40" w:type="dxa"/>
              <w:left w:w="20" w:type="dxa"/>
              <w:bottom w:w="40" w:type="dxa"/>
              <w:right w:w="20" w:type="dxa"/>
            </w:tcMar>
            <w:vAlign w:val="bottom"/>
          </w:tcPr>
          <w:p w14:paraId="643048B0" w14:textId="77777777" w:rsidR="009F6D8A" w:rsidRDefault="00C50974">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8B1" w14:textId="77777777" w:rsidR="009F6D8A" w:rsidRDefault="00C50974">
            <w:pPr>
              <w:jc w:val="right"/>
              <w:textAlignment w:val="bottom"/>
            </w:pPr>
            <w:r>
              <w:rPr>
                <w:rFonts w:ascii="Arial" w:eastAsia="宋体" w:hAnsi="Arial" w:cs="Arial"/>
                <w:color w:val="000000"/>
                <w:sz w:val="18"/>
                <w:szCs w:val="18"/>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8B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8B3"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8B4" w14:textId="77777777" w:rsidR="009F6D8A" w:rsidRDefault="00C50974">
            <w:pPr>
              <w:jc w:val="right"/>
              <w:textAlignment w:val="bottom"/>
            </w:pPr>
            <w:r>
              <w:rPr>
                <w:rFonts w:ascii="Arial" w:eastAsia="宋体" w:hAnsi="Arial" w:cs="Arial"/>
                <w:color w:val="000000"/>
                <w:sz w:val="18"/>
                <w:szCs w:val="18"/>
              </w:rPr>
              <w:t>(1)</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8B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8B6"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8B7" w14:textId="77777777" w:rsidR="009F6D8A" w:rsidRDefault="00C50974">
            <w:pPr>
              <w:jc w:val="right"/>
              <w:textAlignment w:val="bottom"/>
            </w:pPr>
            <w:r>
              <w:rPr>
                <w:rFonts w:ascii="Arial" w:eastAsia="宋体" w:hAnsi="Arial" w:cs="Arial"/>
                <w:color w:val="000000"/>
                <w:sz w:val="18"/>
                <w:szCs w:val="18"/>
              </w:rPr>
              <w:t>10 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8B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8B9"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8BA" w14:textId="77777777" w:rsidR="009F6D8A" w:rsidRDefault="00C50974">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8B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8BC"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8BD" w14:textId="77777777" w:rsidR="009F6D8A" w:rsidRDefault="00C50974">
            <w:pPr>
              <w:jc w:val="right"/>
              <w:textAlignment w:val="bottom"/>
            </w:pPr>
            <w:r>
              <w:rPr>
                <w:rFonts w:ascii="Arial" w:eastAsia="宋体" w:hAnsi="Arial" w:cs="Arial"/>
                <w:color w:val="000000"/>
                <w:sz w:val="18"/>
                <w:szCs w:val="18"/>
              </w:rPr>
              <w:t>7 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8BE" w14:textId="77777777" w:rsidR="009F6D8A" w:rsidRDefault="009F6D8A">
            <w:pPr>
              <w:jc w:val="right"/>
              <w:rPr>
                <w:rFonts w:ascii="宋体"/>
              </w:rPr>
            </w:pPr>
          </w:p>
        </w:tc>
      </w:tr>
      <w:tr w:rsidR="009F6D8A" w14:paraId="643048D4" w14:textId="77777777">
        <w:tc>
          <w:tcPr>
            <w:tcW w:w="0" w:type="auto"/>
            <w:gridSpan w:val="3"/>
            <w:shd w:val="clear" w:color="auto" w:fill="E2E2E2"/>
            <w:tcMar>
              <w:top w:w="40" w:type="dxa"/>
              <w:left w:w="20" w:type="dxa"/>
              <w:bottom w:w="40" w:type="dxa"/>
              <w:right w:w="20" w:type="dxa"/>
            </w:tcMar>
            <w:vAlign w:val="bottom"/>
          </w:tcPr>
          <w:p w14:paraId="643048C0" w14:textId="77777777" w:rsidR="009F6D8A" w:rsidRDefault="00C50974">
            <w:pPr>
              <w:textAlignment w:val="bottom"/>
            </w:pPr>
            <w:r>
              <w:rPr>
                <w:rFonts w:ascii="Arial" w:eastAsia="宋体" w:hAnsi="Arial" w:cs="Arial"/>
                <w:color w:val="000000"/>
                <w:sz w:val="18"/>
                <w:szCs w:val="18"/>
              </w:rPr>
              <w:t>Balance as of June 30, 2021</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8C1"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8C2" w14:textId="77777777" w:rsidR="009F6D8A" w:rsidRDefault="00C50974">
            <w:pPr>
              <w:jc w:val="right"/>
              <w:textAlignment w:val="bottom"/>
            </w:pPr>
            <w:r>
              <w:rPr>
                <w:rFonts w:ascii="Arial" w:eastAsia="宋体" w:hAnsi="Arial" w:cs="Arial"/>
                <w:color w:val="000000"/>
                <w:sz w:val="18"/>
                <w:szCs w:val="18"/>
              </w:rPr>
              <w:t>(15)</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8C3"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8C4"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8C5"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8C6" w14:textId="77777777" w:rsidR="009F6D8A" w:rsidRDefault="00C50974">
            <w:pPr>
              <w:jc w:val="right"/>
              <w:textAlignment w:val="bottom"/>
            </w:pPr>
            <w:r>
              <w:rPr>
                <w:rFonts w:ascii="Arial" w:eastAsia="宋体" w:hAnsi="Arial" w:cs="Arial"/>
                <w:color w:val="000000"/>
                <w:sz w:val="18"/>
                <w:szCs w:val="18"/>
              </w:rPr>
              <w:t>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8C7"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8C8"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8C9"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8CA" w14:textId="77777777" w:rsidR="009F6D8A" w:rsidRDefault="00C50974">
            <w:pPr>
              <w:jc w:val="right"/>
              <w:textAlignment w:val="bottom"/>
            </w:pPr>
            <w:r>
              <w:rPr>
                <w:rFonts w:ascii="Arial" w:eastAsia="宋体" w:hAnsi="Arial" w:cs="Arial"/>
                <w:color w:val="000000"/>
                <w:sz w:val="18"/>
                <w:szCs w:val="18"/>
              </w:rPr>
              <w:t>547 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8C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8CC"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8CD"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8CE" w14:textId="77777777" w:rsidR="009F6D8A" w:rsidRDefault="00C50974">
            <w:pPr>
              <w:jc w:val="right"/>
              <w:textAlignment w:val="bottom"/>
            </w:pPr>
            <w:r>
              <w:rPr>
                <w:rFonts w:ascii="Arial" w:eastAsia="宋体" w:hAnsi="Arial" w:cs="Arial"/>
                <w:color w:val="000000"/>
                <w:sz w:val="18"/>
                <w:szCs w:val="18"/>
              </w:rPr>
              <w:t>27 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8C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8D0"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8D1"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8D2" w14:textId="77777777" w:rsidR="009F6D8A" w:rsidRDefault="00C50974">
            <w:pPr>
              <w:jc w:val="right"/>
              <w:textAlignment w:val="bottom"/>
            </w:pPr>
            <w:r>
              <w:rPr>
                <w:rFonts w:ascii="Arial" w:eastAsia="宋体" w:hAnsi="Arial" w:cs="Arial"/>
                <w:color w:val="000000"/>
                <w:sz w:val="18"/>
                <w:szCs w:val="18"/>
              </w:rPr>
              <w:t>560 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8D3" w14:textId="77777777" w:rsidR="009F6D8A" w:rsidRDefault="009F6D8A">
            <w:pPr>
              <w:jc w:val="right"/>
              <w:rPr>
                <w:rFonts w:ascii="宋体"/>
              </w:rPr>
            </w:pPr>
          </w:p>
        </w:tc>
      </w:tr>
    </w:tbl>
    <w:p w14:paraId="643048D5" w14:textId="77777777" w:rsidR="009F6D8A" w:rsidRDefault="009F6D8A"/>
    <w:p w14:paraId="643048D6" w14:textId="77777777" w:rsidR="009F6D8A" w:rsidRDefault="009F6D8A">
      <w:pPr>
        <w:jc w:val="center"/>
      </w:pPr>
    </w:p>
    <w:p w14:paraId="643048D7" w14:textId="77777777" w:rsidR="009F6D8A" w:rsidRDefault="00C50974">
      <w:pPr>
        <w:jc w:val="center"/>
      </w:pPr>
      <w:r>
        <w:rPr>
          <w:rFonts w:ascii="Arial" w:eastAsia="宋体" w:hAnsi="Arial" w:cs="Arial"/>
          <w:color w:val="000000"/>
          <w:sz w:val="20"/>
          <w:szCs w:val="20"/>
        </w:rPr>
        <w:t>35</w:t>
      </w:r>
    </w:p>
    <w:p w14:paraId="643048D8" w14:textId="77777777" w:rsidR="009F6D8A" w:rsidRDefault="00C50974">
      <w:r>
        <w:pict w14:anchorId="64305826">
          <v:rect id="_x0000_i1059" style="width:415.3pt;height:1.5pt" o:hralign="center" o:hrstd="t" o:hr="t" fillcolor="#a0a0a0" stroked="f"/>
        </w:pict>
      </w:r>
    </w:p>
    <w:p w14:paraId="643048D9" w14:textId="77777777" w:rsidR="009F6D8A" w:rsidRDefault="009F6D8A">
      <w:pPr>
        <w:jc w:val="center"/>
      </w:pPr>
    </w:p>
    <w:p w14:paraId="643048DA" w14:textId="77777777" w:rsidR="009F6D8A" w:rsidRDefault="00C50974">
      <w:pPr>
        <w:jc w:val="center"/>
      </w:pPr>
      <w:r>
        <w:rPr>
          <w:rFonts w:ascii="Arial" w:eastAsia="宋体" w:hAnsi="Arial" w:cs="Arial"/>
          <w:b/>
          <w:bCs/>
          <w:color w:val="000000"/>
          <w:sz w:val="20"/>
          <w:szCs w:val="20"/>
        </w:rPr>
        <w:t xml:space="preserve">eBay </w:t>
      </w:r>
      <w:r>
        <w:rPr>
          <w:rFonts w:ascii="Arial" w:eastAsia="宋体" w:hAnsi="Arial" w:cs="Arial"/>
          <w:b/>
          <w:bCs/>
          <w:color w:val="000000"/>
          <w:sz w:val="20"/>
          <w:szCs w:val="20"/>
        </w:rPr>
        <w:t>Inc.</w:t>
      </w:r>
    </w:p>
    <w:p w14:paraId="643048DB" w14:textId="77777777" w:rsidR="009F6D8A" w:rsidRDefault="00C50974">
      <w:pPr>
        <w:spacing w:after="240"/>
        <w:jc w:val="center"/>
      </w:pPr>
      <w:r>
        <w:rPr>
          <w:rFonts w:ascii="Arial" w:eastAsia="宋体" w:hAnsi="Arial" w:cs="Arial"/>
          <w:b/>
          <w:bCs/>
          <w:color w:val="000000"/>
          <w:sz w:val="20"/>
          <w:szCs w:val="20"/>
        </w:rPr>
        <w:t>NOTES TO CONDENSED CONSOLIDATED FINANCIAL STATEMENTS—(Continued)</w:t>
      </w:r>
    </w:p>
    <w:tbl>
      <w:tblPr>
        <w:tblW w:w="4985" w:type="pct"/>
        <w:jc w:val="center"/>
        <w:tblCellMar>
          <w:top w:w="15" w:type="dxa"/>
          <w:left w:w="15" w:type="dxa"/>
          <w:bottom w:w="15" w:type="dxa"/>
          <w:right w:w="15" w:type="dxa"/>
        </w:tblCellMar>
        <w:tblLook w:val="04A0" w:firstRow="1" w:lastRow="0" w:firstColumn="1" w:lastColumn="0" w:noHBand="0" w:noVBand="1"/>
      </w:tblPr>
      <w:tblGrid>
        <w:gridCol w:w="43"/>
        <w:gridCol w:w="2879"/>
        <w:gridCol w:w="37"/>
        <w:gridCol w:w="122"/>
        <w:gridCol w:w="941"/>
        <w:gridCol w:w="36"/>
        <w:gridCol w:w="36"/>
        <w:gridCol w:w="36"/>
        <w:gridCol w:w="36"/>
        <w:gridCol w:w="122"/>
        <w:gridCol w:w="890"/>
        <w:gridCol w:w="36"/>
        <w:gridCol w:w="36"/>
        <w:gridCol w:w="36"/>
        <w:gridCol w:w="36"/>
        <w:gridCol w:w="122"/>
        <w:gridCol w:w="814"/>
        <w:gridCol w:w="36"/>
        <w:gridCol w:w="36"/>
        <w:gridCol w:w="36"/>
        <w:gridCol w:w="36"/>
        <w:gridCol w:w="122"/>
        <w:gridCol w:w="737"/>
        <w:gridCol w:w="36"/>
        <w:gridCol w:w="36"/>
        <w:gridCol w:w="36"/>
        <w:gridCol w:w="36"/>
        <w:gridCol w:w="121"/>
        <w:gridCol w:w="749"/>
        <w:gridCol w:w="36"/>
      </w:tblGrid>
      <w:tr w:rsidR="009F6D8A" w14:paraId="643048FA" w14:textId="77777777">
        <w:trPr>
          <w:jc w:val="center"/>
        </w:trPr>
        <w:tc>
          <w:tcPr>
            <w:tcW w:w="50" w:type="pct"/>
            <w:shd w:val="clear" w:color="auto" w:fill="auto"/>
            <w:vAlign w:val="bottom"/>
          </w:tcPr>
          <w:p w14:paraId="643048DC" w14:textId="77777777" w:rsidR="009F6D8A" w:rsidRDefault="009F6D8A">
            <w:pPr>
              <w:rPr>
                <w:rFonts w:ascii="宋体"/>
              </w:rPr>
            </w:pPr>
          </w:p>
        </w:tc>
        <w:tc>
          <w:tcPr>
            <w:tcW w:w="1770" w:type="pct"/>
            <w:shd w:val="clear" w:color="auto" w:fill="auto"/>
            <w:vAlign w:val="bottom"/>
          </w:tcPr>
          <w:p w14:paraId="643048DD" w14:textId="77777777" w:rsidR="009F6D8A" w:rsidRDefault="009F6D8A">
            <w:pPr>
              <w:rPr>
                <w:rFonts w:ascii="宋体"/>
              </w:rPr>
            </w:pPr>
          </w:p>
        </w:tc>
        <w:tc>
          <w:tcPr>
            <w:tcW w:w="5" w:type="pct"/>
            <w:shd w:val="clear" w:color="auto" w:fill="auto"/>
            <w:vAlign w:val="bottom"/>
          </w:tcPr>
          <w:p w14:paraId="643048DE" w14:textId="77777777" w:rsidR="009F6D8A" w:rsidRDefault="009F6D8A">
            <w:pPr>
              <w:rPr>
                <w:rFonts w:ascii="宋体"/>
              </w:rPr>
            </w:pPr>
          </w:p>
        </w:tc>
        <w:tc>
          <w:tcPr>
            <w:tcW w:w="50" w:type="pct"/>
            <w:shd w:val="clear" w:color="auto" w:fill="auto"/>
            <w:vAlign w:val="bottom"/>
          </w:tcPr>
          <w:p w14:paraId="643048DF" w14:textId="77777777" w:rsidR="009F6D8A" w:rsidRDefault="009F6D8A">
            <w:pPr>
              <w:rPr>
                <w:rFonts w:ascii="宋体"/>
              </w:rPr>
            </w:pPr>
          </w:p>
        </w:tc>
        <w:tc>
          <w:tcPr>
            <w:tcW w:w="597" w:type="pct"/>
            <w:shd w:val="clear" w:color="auto" w:fill="auto"/>
            <w:vAlign w:val="bottom"/>
          </w:tcPr>
          <w:p w14:paraId="643048E0" w14:textId="77777777" w:rsidR="009F6D8A" w:rsidRDefault="009F6D8A">
            <w:pPr>
              <w:rPr>
                <w:rFonts w:ascii="宋体"/>
              </w:rPr>
            </w:pPr>
          </w:p>
        </w:tc>
        <w:tc>
          <w:tcPr>
            <w:tcW w:w="5" w:type="pct"/>
            <w:shd w:val="clear" w:color="auto" w:fill="auto"/>
            <w:vAlign w:val="bottom"/>
          </w:tcPr>
          <w:p w14:paraId="643048E1" w14:textId="77777777" w:rsidR="009F6D8A" w:rsidRDefault="009F6D8A">
            <w:pPr>
              <w:rPr>
                <w:rFonts w:ascii="宋体"/>
              </w:rPr>
            </w:pPr>
          </w:p>
        </w:tc>
        <w:tc>
          <w:tcPr>
            <w:tcW w:w="5" w:type="pct"/>
            <w:shd w:val="clear" w:color="auto" w:fill="auto"/>
            <w:vAlign w:val="bottom"/>
          </w:tcPr>
          <w:p w14:paraId="643048E2" w14:textId="77777777" w:rsidR="009F6D8A" w:rsidRDefault="009F6D8A">
            <w:pPr>
              <w:rPr>
                <w:rFonts w:ascii="宋体"/>
              </w:rPr>
            </w:pPr>
          </w:p>
        </w:tc>
        <w:tc>
          <w:tcPr>
            <w:tcW w:w="26" w:type="pct"/>
            <w:shd w:val="clear" w:color="auto" w:fill="auto"/>
            <w:vAlign w:val="bottom"/>
          </w:tcPr>
          <w:p w14:paraId="643048E3" w14:textId="77777777" w:rsidR="009F6D8A" w:rsidRDefault="009F6D8A">
            <w:pPr>
              <w:rPr>
                <w:rFonts w:ascii="宋体"/>
              </w:rPr>
            </w:pPr>
          </w:p>
        </w:tc>
        <w:tc>
          <w:tcPr>
            <w:tcW w:w="5" w:type="pct"/>
            <w:shd w:val="clear" w:color="auto" w:fill="auto"/>
            <w:vAlign w:val="bottom"/>
          </w:tcPr>
          <w:p w14:paraId="643048E4" w14:textId="77777777" w:rsidR="009F6D8A" w:rsidRDefault="009F6D8A">
            <w:pPr>
              <w:rPr>
                <w:rFonts w:ascii="宋体"/>
              </w:rPr>
            </w:pPr>
          </w:p>
        </w:tc>
        <w:tc>
          <w:tcPr>
            <w:tcW w:w="50" w:type="pct"/>
            <w:shd w:val="clear" w:color="auto" w:fill="auto"/>
            <w:vAlign w:val="bottom"/>
          </w:tcPr>
          <w:p w14:paraId="643048E5" w14:textId="77777777" w:rsidR="009F6D8A" w:rsidRDefault="009F6D8A">
            <w:pPr>
              <w:rPr>
                <w:rFonts w:ascii="宋体"/>
              </w:rPr>
            </w:pPr>
          </w:p>
        </w:tc>
        <w:tc>
          <w:tcPr>
            <w:tcW w:w="582" w:type="pct"/>
            <w:shd w:val="clear" w:color="auto" w:fill="auto"/>
            <w:vAlign w:val="bottom"/>
          </w:tcPr>
          <w:p w14:paraId="643048E6" w14:textId="77777777" w:rsidR="009F6D8A" w:rsidRDefault="009F6D8A">
            <w:pPr>
              <w:rPr>
                <w:rFonts w:ascii="宋体"/>
              </w:rPr>
            </w:pPr>
          </w:p>
        </w:tc>
        <w:tc>
          <w:tcPr>
            <w:tcW w:w="5" w:type="pct"/>
            <w:shd w:val="clear" w:color="auto" w:fill="auto"/>
            <w:vAlign w:val="bottom"/>
          </w:tcPr>
          <w:p w14:paraId="643048E7" w14:textId="77777777" w:rsidR="009F6D8A" w:rsidRDefault="009F6D8A">
            <w:pPr>
              <w:rPr>
                <w:rFonts w:ascii="宋体"/>
              </w:rPr>
            </w:pPr>
          </w:p>
        </w:tc>
        <w:tc>
          <w:tcPr>
            <w:tcW w:w="5" w:type="pct"/>
            <w:shd w:val="clear" w:color="auto" w:fill="auto"/>
            <w:vAlign w:val="bottom"/>
          </w:tcPr>
          <w:p w14:paraId="643048E8" w14:textId="77777777" w:rsidR="009F6D8A" w:rsidRDefault="009F6D8A">
            <w:pPr>
              <w:rPr>
                <w:rFonts w:ascii="宋体"/>
              </w:rPr>
            </w:pPr>
          </w:p>
        </w:tc>
        <w:tc>
          <w:tcPr>
            <w:tcW w:w="26" w:type="pct"/>
            <w:shd w:val="clear" w:color="auto" w:fill="auto"/>
            <w:vAlign w:val="bottom"/>
          </w:tcPr>
          <w:p w14:paraId="643048E9" w14:textId="77777777" w:rsidR="009F6D8A" w:rsidRDefault="009F6D8A">
            <w:pPr>
              <w:rPr>
                <w:rFonts w:ascii="宋体"/>
              </w:rPr>
            </w:pPr>
          </w:p>
        </w:tc>
        <w:tc>
          <w:tcPr>
            <w:tcW w:w="5" w:type="pct"/>
            <w:shd w:val="clear" w:color="auto" w:fill="auto"/>
            <w:vAlign w:val="bottom"/>
          </w:tcPr>
          <w:p w14:paraId="643048EA" w14:textId="77777777" w:rsidR="009F6D8A" w:rsidRDefault="009F6D8A">
            <w:pPr>
              <w:rPr>
                <w:rFonts w:ascii="宋体"/>
              </w:rPr>
            </w:pPr>
          </w:p>
        </w:tc>
        <w:tc>
          <w:tcPr>
            <w:tcW w:w="50" w:type="pct"/>
            <w:shd w:val="clear" w:color="auto" w:fill="auto"/>
            <w:vAlign w:val="bottom"/>
          </w:tcPr>
          <w:p w14:paraId="643048EB" w14:textId="77777777" w:rsidR="009F6D8A" w:rsidRDefault="009F6D8A">
            <w:pPr>
              <w:rPr>
                <w:rFonts w:ascii="宋体"/>
              </w:rPr>
            </w:pPr>
          </w:p>
        </w:tc>
        <w:tc>
          <w:tcPr>
            <w:tcW w:w="509" w:type="pct"/>
            <w:shd w:val="clear" w:color="auto" w:fill="auto"/>
            <w:vAlign w:val="bottom"/>
          </w:tcPr>
          <w:p w14:paraId="643048EC" w14:textId="77777777" w:rsidR="009F6D8A" w:rsidRDefault="009F6D8A">
            <w:pPr>
              <w:rPr>
                <w:rFonts w:ascii="宋体"/>
              </w:rPr>
            </w:pPr>
          </w:p>
        </w:tc>
        <w:tc>
          <w:tcPr>
            <w:tcW w:w="5" w:type="pct"/>
            <w:shd w:val="clear" w:color="auto" w:fill="auto"/>
            <w:vAlign w:val="bottom"/>
          </w:tcPr>
          <w:p w14:paraId="643048ED" w14:textId="77777777" w:rsidR="009F6D8A" w:rsidRDefault="009F6D8A">
            <w:pPr>
              <w:rPr>
                <w:rFonts w:ascii="宋体"/>
              </w:rPr>
            </w:pPr>
          </w:p>
        </w:tc>
        <w:tc>
          <w:tcPr>
            <w:tcW w:w="5" w:type="pct"/>
            <w:shd w:val="clear" w:color="auto" w:fill="auto"/>
            <w:vAlign w:val="bottom"/>
          </w:tcPr>
          <w:p w14:paraId="643048EE" w14:textId="77777777" w:rsidR="009F6D8A" w:rsidRDefault="009F6D8A">
            <w:pPr>
              <w:rPr>
                <w:rFonts w:ascii="宋体"/>
              </w:rPr>
            </w:pPr>
          </w:p>
        </w:tc>
        <w:tc>
          <w:tcPr>
            <w:tcW w:w="26" w:type="pct"/>
            <w:shd w:val="clear" w:color="auto" w:fill="auto"/>
            <w:vAlign w:val="bottom"/>
          </w:tcPr>
          <w:p w14:paraId="643048EF" w14:textId="77777777" w:rsidR="009F6D8A" w:rsidRDefault="009F6D8A">
            <w:pPr>
              <w:rPr>
                <w:rFonts w:ascii="宋体"/>
              </w:rPr>
            </w:pPr>
          </w:p>
        </w:tc>
        <w:tc>
          <w:tcPr>
            <w:tcW w:w="5" w:type="pct"/>
            <w:shd w:val="clear" w:color="auto" w:fill="auto"/>
            <w:vAlign w:val="bottom"/>
          </w:tcPr>
          <w:p w14:paraId="643048F0" w14:textId="77777777" w:rsidR="009F6D8A" w:rsidRDefault="009F6D8A">
            <w:pPr>
              <w:rPr>
                <w:rFonts w:ascii="宋体"/>
              </w:rPr>
            </w:pPr>
          </w:p>
        </w:tc>
        <w:tc>
          <w:tcPr>
            <w:tcW w:w="50" w:type="pct"/>
            <w:shd w:val="clear" w:color="auto" w:fill="auto"/>
            <w:vAlign w:val="bottom"/>
          </w:tcPr>
          <w:p w14:paraId="643048F1" w14:textId="77777777" w:rsidR="009F6D8A" w:rsidRDefault="009F6D8A">
            <w:pPr>
              <w:rPr>
                <w:rFonts w:ascii="宋体"/>
              </w:rPr>
            </w:pPr>
          </w:p>
        </w:tc>
        <w:tc>
          <w:tcPr>
            <w:tcW w:w="553" w:type="pct"/>
            <w:shd w:val="clear" w:color="auto" w:fill="auto"/>
            <w:vAlign w:val="bottom"/>
          </w:tcPr>
          <w:p w14:paraId="643048F2" w14:textId="77777777" w:rsidR="009F6D8A" w:rsidRDefault="009F6D8A">
            <w:pPr>
              <w:rPr>
                <w:rFonts w:ascii="宋体"/>
              </w:rPr>
            </w:pPr>
          </w:p>
        </w:tc>
        <w:tc>
          <w:tcPr>
            <w:tcW w:w="5" w:type="pct"/>
            <w:shd w:val="clear" w:color="auto" w:fill="auto"/>
            <w:vAlign w:val="bottom"/>
          </w:tcPr>
          <w:p w14:paraId="643048F3" w14:textId="77777777" w:rsidR="009F6D8A" w:rsidRDefault="009F6D8A">
            <w:pPr>
              <w:rPr>
                <w:rFonts w:ascii="宋体"/>
              </w:rPr>
            </w:pPr>
          </w:p>
        </w:tc>
        <w:tc>
          <w:tcPr>
            <w:tcW w:w="5" w:type="pct"/>
            <w:shd w:val="clear" w:color="auto" w:fill="auto"/>
            <w:vAlign w:val="bottom"/>
          </w:tcPr>
          <w:p w14:paraId="643048F4" w14:textId="77777777" w:rsidR="009F6D8A" w:rsidRDefault="009F6D8A">
            <w:pPr>
              <w:rPr>
                <w:rFonts w:ascii="宋体"/>
              </w:rPr>
            </w:pPr>
          </w:p>
        </w:tc>
        <w:tc>
          <w:tcPr>
            <w:tcW w:w="26" w:type="pct"/>
            <w:shd w:val="clear" w:color="auto" w:fill="auto"/>
            <w:vAlign w:val="bottom"/>
          </w:tcPr>
          <w:p w14:paraId="643048F5" w14:textId="77777777" w:rsidR="009F6D8A" w:rsidRDefault="009F6D8A">
            <w:pPr>
              <w:rPr>
                <w:rFonts w:ascii="宋体"/>
              </w:rPr>
            </w:pPr>
          </w:p>
        </w:tc>
        <w:tc>
          <w:tcPr>
            <w:tcW w:w="5" w:type="pct"/>
            <w:shd w:val="clear" w:color="auto" w:fill="auto"/>
            <w:vAlign w:val="bottom"/>
          </w:tcPr>
          <w:p w14:paraId="643048F6" w14:textId="77777777" w:rsidR="009F6D8A" w:rsidRDefault="009F6D8A">
            <w:pPr>
              <w:rPr>
                <w:rFonts w:ascii="宋体"/>
              </w:rPr>
            </w:pPr>
          </w:p>
        </w:tc>
        <w:tc>
          <w:tcPr>
            <w:tcW w:w="50" w:type="pct"/>
            <w:shd w:val="clear" w:color="auto" w:fill="auto"/>
            <w:vAlign w:val="bottom"/>
          </w:tcPr>
          <w:p w14:paraId="643048F7" w14:textId="77777777" w:rsidR="009F6D8A" w:rsidRDefault="009F6D8A">
            <w:pPr>
              <w:rPr>
                <w:rFonts w:ascii="宋体"/>
              </w:rPr>
            </w:pPr>
          </w:p>
        </w:tc>
        <w:tc>
          <w:tcPr>
            <w:tcW w:w="509" w:type="pct"/>
            <w:shd w:val="clear" w:color="auto" w:fill="auto"/>
            <w:vAlign w:val="bottom"/>
          </w:tcPr>
          <w:p w14:paraId="643048F8" w14:textId="77777777" w:rsidR="009F6D8A" w:rsidRDefault="009F6D8A">
            <w:pPr>
              <w:rPr>
                <w:rFonts w:ascii="宋体"/>
              </w:rPr>
            </w:pPr>
          </w:p>
        </w:tc>
        <w:tc>
          <w:tcPr>
            <w:tcW w:w="5" w:type="pct"/>
            <w:shd w:val="clear" w:color="auto" w:fill="auto"/>
            <w:vAlign w:val="bottom"/>
          </w:tcPr>
          <w:p w14:paraId="643048F9" w14:textId="77777777" w:rsidR="009F6D8A" w:rsidRDefault="009F6D8A">
            <w:pPr>
              <w:rPr>
                <w:rFonts w:ascii="宋体"/>
              </w:rPr>
            </w:pPr>
          </w:p>
        </w:tc>
      </w:tr>
      <w:tr w:rsidR="009F6D8A" w14:paraId="64304905" w14:textId="77777777">
        <w:trPr>
          <w:jc w:val="center"/>
        </w:trPr>
        <w:tc>
          <w:tcPr>
            <w:tcW w:w="0" w:type="auto"/>
            <w:gridSpan w:val="3"/>
            <w:shd w:val="clear" w:color="auto" w:fill="auto"/>
            <w:tcMar>
              <w:top w:w="0" w:type="dxa"/>
              <w:left w:w="20" w:type="dxa"/>
              <w:bottom w:w="0" w:type="dxa"/>
              <w:right w:w="20" w:type="dxa"/>
            </w:tcMar>
            <w:vAlign w:val="bottom"/>
          </w:tcPr>
          <w:p w14:paraId="643048FB"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8FC" w14:textId="77777777" w:rsidR="009F6D8A" w:rsidRDefault="00C50974">
            <w:pPr>
              <w:jc w:val="center"/>
              <w:textAlignment w:val="bottom"/>
            </w:pPr>
            <w:r>
              <w:rPr>
                <w:rFonts w:ascii="Arial" w:eastAsia="宋体" w:hAnsi="Arial" w:cs="Arial"/>
                <w:b/>
                <w:bCs/>
                <w:color w:val="000000"/>
                <w:sz w:val="16"/>
                <w:szCs w:val="16"/>
              </w:rPr>
              <w:t>Unrealized Gains (Losses) on Derivative Instruments</w:t>
            </w:r>
          </w:p>
        </w:tc>
        <w:tc>
          <w:tcPr>
            <w:tcW w:w="0" w:type="auto"/>
            <w:gridSpan w:val="3"/>
            <w:shd w:val="clear" w:color="auto" w:fill="auto"/>
            <w:tcMar>
              <w:top w:w="0" w:type="dxa"/>
              <w:left w:w="20" w:type="dxa"/>
              <w:bottom w:w="0" w:type="dxa"/>
              <w:right w:w="20" w:type="dxa"/>
            </w:tcMar>
            <w:vAlign w:val="bottom"/>
          </w:tcPr>
          <w:p w14:paraId="643048FD"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8FE" w14:textId="77777777" w:rsidR="009F6D8A" w:rsidRDefault="00C50974">
            <w:pPr>
              <w:jc w:val="center"/>
              <w:textAlignment w:val="bottom"/>
            </w:pPr>
            <w:r>
              <w:rPr>
                <w:rFonts w:ascii="Arial" w:eastAsia="宋体" w:hAnsi="Arial" w:cs="Arial"/>
                <w:b/>
                <w:bCs/>
                <w:color w:val="000000"/>
                <w:sz w:val="16"/>
                <w:szCs w:val="16"/>
              </w:rPr>
              <w:t>Unrealized</w:t>
            </w:r>
            <w:r>
              <w:rPr>
                <w:rFonts w:ascii="Arial" w:eastAsia="宋体" w:hAnsi="Arial" w:cs="Arial"/>
                <w:b/>
                <w:bCs/>
                <w:color w:val="000000"/>
                <w:sz w:val="16"/>
                <w:szCs w:val="16"/>
              </w:rPr>
              <w:br/>
              <w:t>Gains (Losses) on</w:t>
            </w:r>
            <w:r>
              <w:rPr>
                <w:rFonts w:ascii="Arial" w:eastAsia="宋体" w:hAnsi="Arial" w:cs="Arial"/>
                <w:b/>
                <w:bCs/>
                <w:color w:val="000000"/>
                <w:sz w:val="16"/>
                <w:szCs w:val="16"/>
              </w:rPr>
              <w:br/>
              <w:t>Investments</w:t>
            </w:r>
          </w:p>
        </w:tc>
        <w:tc>
          <w:tcPr>
            <w:tcW w:w="0" w:type="auto"/>
            <w:gridSpan w:val="3"/>
            <w:shd w:val="clear" w:color="auto" w:fill="auto"/>
            <w:tcMar>
              <w:top w:w="0" w:type="dxa"/>
              <w:left w:w="20" w:type="dxa"/>
              <w:bottom w:w="0" w:type="dxa"/>
              <w:right w:w="20" w:type="dxa"/>
            </w:tcMar>
            <w:vAlign w:val="bottom"/>
          </w:tcPr>
          <w:p w14:paraId="643048FF"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900" w14:textId="77777777" w:rsidR="009F6D8A" w:rsidRDefault="00C50974">
            <w:pPr>
              <w:jc w:val="center"/>
              <w:textAlignment w:val="bottom"/>
            </w:pPr>
            <w:r>
              <w:rPr>
                <w:rFonts w:ascii="Arial" w:eastAsia="宋体" w:hAnsi="Arial" w:cs="Arial"/>
                <w:b/>
                <w:bCs/>
                <w:color w:val="000000"/>
                <w:sz w:val="16"/>
                <w:szCs w:val="16"/>
              </w:rPr>
              <w:t>Foreign</w:t>
            </w:r>
            <w:r>
              <w:rPr>
                <w:rFonts w:ascii="Arial" w:eastAsia="宋体" w:hAnsi="Arial" w:cs="Arial"/>
                <w:b/>
                <w:bCs/>
                <w:color w:val="000000"/>
                <w:sz w:val="16"/>
                <w:szCs w:val="16"/>
              </w:rPr>
              <w:br/>
              <w:t>Currency</w:t>
            </w:r>
            <w:r>
              <w:rPr>
                <w:rFonts w:ascii="Arial" w:eastAsia="宋体" w:hAnsi="Arial" w:cs="Arial"/>
                <w:b/>
                <w:bCs/>
                <w:color w:val="000000"/>
                <w:sz w:val="16"/>
                <w:szCs w:val="16"/>
              </w:rPr>
              <w:br/>
              <w:t>Translation</w:t>
            </w:r>
          </w:p>
        </w:tc>
        <w:tc>
          <w:tcPr>
            <w:tcW w:w="0" w:type="auto"/>
            <w:gridSpan w:val="3"/>
            <w:shd w:val="clear" w:color="auto" w:fill="auto"/>
            <w:tcMar>
              <w:top w:w="0" w:type="dxa"/>
              <w:left w:w="20" w:type="dxa"/>
              <w:bottom w:w="0" w:type="dxa"/>
              <w:right w:w="20" w:type="dxa"/>
            </w:tcMar>
            <w:vAlign w:val="bottom"/>
          </w:tcPr>
          <w:p w14:paraId="64304901"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902" w14:textId="77777777" w:rsidR="009F6D8A" w:rsidRDefault="00C50974">
            <w:pPr>
              <w:jc w:val="center"/>
              <w:textAlignment w:val="bottom"/>
            </w:pPr>
            <w:r>
              <w:rPr>
                <w:rFonts w:ascii="Arial" w:eastAsia="宋体" w:hAnsi="Arial" w:cs="Arial"/>
                <w:b/>
                <w:bCs/>
                <w:color w:val="000000"/>
                <w:sz w:val="16"/>
                <w:szCs w:val="16"/>
              </w:rPr>
              <w:t>Estimated Tax (Expense) Benefit</w:t>
            </w:r>
          </w:p>
        </w:tc>
        <w:tc>
          <w:tcPr>
            <w:tcW w:w="0" w:type="auto"/>
            <w:gridSpan w:val="3"/>
            <w:shd w:val="clear" w:color="auto" w:fill="auto"/>
            <w:tcMar>
              <w:top w:w="0" w:type="dxa"/>
              <w:left w:w="20" w:type="dxa"/>
              <w:bottom w:w="0" w:type="dxa"/>
              <w:right w:w="20" w:type="dxa"/>
            </w:tcMar>
            <w:vAlign w:val="bottom"/>
          </w:tcPr>
          <w:p w14:paraId="64304903"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904" w14:textId="77777777" w:rsidR="009F6D8A" w:rsidRDefault="00C50974">
            <w:pPr>
              <w:jc w:val="center"/>
              <w:textAlignment w:val="bottom"/>
            </w:pPr>
            <w:r>
              <w:rPr>
                <w:rFonts w:ascii="Arial" w:eastAsia="宋体" w:hAnsi="Arial" w:cs="Arial"/>
                <w:b/>
                <w:bCs/>
                <w:color w:val="000000"/>
                <w:sz w:val="16"/>
                <w:szCs w:val="16"/>
              </w:rPr>
              <w:t>Total</w:t>
            </w:r>
          </w:p>
        </w:tc>
      </w:tr>
      <w:tr w:rsidR="009F6D8A" w14:paraId="6430491A" w14:textId="77777777">
        <w:trPr>
          <w:jc w:val="center"/>
        </w:trPr>
        <w:tc>
          <w:tcPr>
            <w:tcW w:w="0" w:type="auto"/>
            <w:gridSpan w:val="3"/>
            <w:shd w:val="clear" w:color="auto" w:fill="E2E2E2"/>
            <w:tcMar>
              <w:top w:w="40" w:type="dxa"/>
              <w:left w:w="20" w:type="dxa"/>
              <w:bottom w:w="40" w:type="dxa"/>
              <w:right w:w="20" w:type="dxa"/>
            </w:tcMar>
            <w:vAlign w:val="bottom"/>
          </w:tcPr>
          <w:p w14:paraId="64304906" w14:textId="77777777" w:rsidR="009F6D8A" w:rsidRDefault="00C50974">
            <w:pPr>
              <w:textAlignment w:val="bottom"/>
            </w:pPr>
            <w:r>
              <w:rPr>
                <w:rFonts w:ascii="Arial" w:eastAsia="宋体" w:hAnsi="Arial" w:cs="Arial"/>
                <w:color w:val="000000"/>
                <w:sz w:val="18"/>
                <w:szCs w:val="18"/>
              </w:rPr>
              <w:t>Balance as of March 31, 2020</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4907"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908" w14:textId="77777777" w:rsidR="009F6D8A" w:rsidRDefault="00C50974">
            <w:pPr>
              <w:jc w:val="right"/>
              <w:textAlignment w:val="bottom"/>
            </w:pPr>
            <w:r>
              <w:rPr>
                <w:rFonts w:ascii="Arial" w:eastAsia="宋体" w:hAnsi="Arial" w:cs="Arial"/>
                <w:color w:val="000000"/>
                <w:sz w:val="18"/>
                <w:szCs w:val="18"/>
              </w:rPr>
              <w:t>38 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909"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0A"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90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90C" w14:textId="77777777" w:rsidR="009F6D8A" w:rsidRDefault="00C50974">
            <w:pPr>
              <w:jc w:val="right"/>
              <w:textAlignment w:val="bottom"/>
            </w:pPr>
            <w:r>
              <w:rPr>
                <w:rFonts w:ascii="Arial" w:eastAsia="宋体" w:hAnsi="Arial" w:cs="Arial"/>
                <w:color w:val="000000"/>
                <w:sz w:val="18"/>
                <w:szCs w:val="18"/>
              </w:rPr>
              <w:t>(26)</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90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0E"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90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910" w14:textId="77777777" w:rsidR="009F6D8A" w:rsidRDefault="00C50974">
            <w:pPr>
              <w:jc w:val="right"/>
              <w:textAlignment w:val="bottom"/>
            </w:pPr>
            <w:r>
              <w:rPr>
                <w:rFonts w:ascii="Arial" w:eastAsia="宋体" w:hAnsi="Arial" w:cs="Arial"/>
                <w:color w:val="000000"/>
                <w:sz w:val="18"/>
                <w:szCs w:val="18"/>
              </w:rPr>
              <w:t>250 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91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12"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913"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914" w14:textId="77777777" w:rsidR="009F6D8A" w:rsidRDefault="00C50974">
            <w:pPr>
              <w:jc w:val="right"/>
              <w:textAlignment w:val="bottom"/>
            </w:pPr>
            <w:r>
              <w:rPr>
                <w:rFonts w:ascii="Arial" w:eastAsia="宋体" w:hAnsi="Arial" w:cs="Arial"/>
                <w:color w:val="000000"/>
                <w:sz w:val="18"/>
                <w:szCs w:val="18"/>
              </w:rPr>
              <w:t>23 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91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16"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917"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918" w14:textId="77777777" w:rsidR="009F6D8A" w:rsidRDefault="00C50974">
            <w:pPr>
              <w:jc w:val="right"/>
              <w:textAlignment w:val="bottom"/>
            </w:pPr>
            <w:r>
              <w:rPr>
                <w:rFonts w:ascii="Arial" w:eastAsia="宋体" w:hAnsi="Arial" w:cs="Arial"/>
                <w:color w:val="000000"/>
                <w:sz w:val="18"/>
                <w:szCs w:val="18"/>
              </w:rPr>
              <w:t>285 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919" w14:textId="77777777" w:rsidR="009F6D8A" w:rsidRDefault="009F6D8A">
            <w:pPr>
              <w:jc w:val="right"/>
              <w:rPr>
                <w:rFonts w:ascii="宋体"/>
              </w:rPr>
            </w:pPr>
          </w:p>
        </w:tc>
      </w:tr>
      <w:tr w:rsidR="009F6D8A" w14:paraId="6430492A" w14:textId="77777777">
        <w:trPr>
          <w:jc w:val="center"/>
        </w:trPr>
        <w:tc>
          <w:tcPr>
            <w:tcW w:w="0" w:type="auto"/>
            <w:gridSpan w:val="3"/>
            <w:shd w:val="clear" w:color="auto" w:fill="FFFFFF"/>
            <w:tcMar>
              <w:top w:w="40" w:type="dxa"/>
              <w:left w:w="245" w:type="dxa"/>
              <w:bottom w:w="40" w:type="dxa"/>
              <w:right w:w="20" w:type="dxa"/>
            </w:tcMar>
            <w:vAlign w:val="bottom"/>
          </w:tcPr>
          <w:p w14:paraId="6430491B" w14:textId="77777777" w:rsidR="009F6D8A" w:rsidRDefault="00C50974">
            <w:pPr>
              <w:textAlignment w:val="bottom"/>
            </w:pPr>
            <w:r>
              <w:rPr>
                <w:rFonts w:ascii="Arial" w:eastAsia="宋体" w:hAnsi="Arial" w:cs="Arial"/>
                <w:color w:val="000000"/>
                <w:sz w:val="18"/>
                <w:szCs w:val="18"/>
              </w:rPr>
              <w:t>Other comprehensive income (loss) before reclassifica</w:t>
            </w:r>
            <w:r>
              <w:rPr>
                <w:rFonts w:ascii="Arial" w:eastAsia="宋体" w:hAnsi="Arial" w:cs="Arial"/>
                <w:color w:val="000000"/>
                <w:sz w:val="18"/>
                <w:szCs w:val="18"/>
              </w:rPr>
              <w:t>tions</w:t>
            </w:r>
          </w:p>
        </w:tc>
        <w:tc>
          <w:tcPr>
            <w:tcW w:w="0" w:type="auto"/>
            <w:gridSpan w:val="2"/>
            <w:shd w:val="clear" w:color="auto" w:fill="FFFFFF"/>
            <w:tcMar>
              <w:top w:w="40" w:type="dxa"/>
              <w:left w:w="20" w:type="dxa"/>
              <w:bottom w:w="40" w:type="dxa"/>
              <w:right w:w="0" w:type="dxa"/>
            </w:tcMar>
            <w:vAlign w:val="bottom"/>
          </w:tcPr>
          <w:p w14:paraId="6430491C" w14:textId="77777777" w:rsidR="009F6D8A" w:rsidRDefault="00C50974">
            <w:pPr>
              <w:jc w:val="right"/>
              <w:textAlignment w:val="bottom"/>
            </w:pPr>
            <w:r>
              <w:rPr>
                <w:rFonts w:ascii="Arial" w:eastAsia="宋体" w:hAnsi="Arial" w:cs="Arial"/>
                <w:color w:val="000000"/>
                <w:sz w:val="18"/>
                <w:szCs w:val="18"/>
              </w:rPr>
              <w:t>(30)</w:t>
            </w:r>
          </w:p>
        </w:tc>
        <w:tc>
          <w:tcPr>
            <w:tcW w:w="0" w:type="auto"/>
            <w:shd w:val="clear" w:color="auto" w:fill="FFFFFF"/>
            <w:tcMar>
              <w:top w:w="40" w:type="dxa"/>
              <w:left w:w="0" w:type="dxa"/>
              <w:bottom w:w="40" w:type="dxa"/>
              <w:right w:w="20" w:type="dxa"/>
            </w:tcMar>
            <w:vAlign w:val="bottom"/>
          </w:tcPr>
          <w:p w14:paraId="6430491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91E"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91F" w14:textId="77777777" w:rsidR="009F6D8A" w:rsidRDefault="00C50974">
            <w:pPr>
              <w:jc w:val="right"/>
              <w:textAlignment w:val="bottom"/>
            </w:pPr>
            <w:r>
              <w:rPr>
                <w:rFonts w:ascii="Arial" w:eastAsia="宋体" w:hAnsi="Arial" w:cs="Arial"/>
                <w:color w:val="000000"/>
                <w:sz w:val="18"/>
                <w:szCs w:val="18"/>
              </w:rPr>
              <w:t>32 </w:t>
            </w:r>
          </w:p>
        </w:tc>
        <w:tc>
          <w:tcPr>
            <w:tcW w:w="0" w:type="auto"/>
            <w:shd w:val="clear" w:color="auto" w:fill="FFFFFF"/>
            <w:tcMar>
              <w:top w:w="40" w:type="dxa"/>
              <w:left w:w="0" w:type="dxa"/>
              <w:bottom w:w="40" w:type="dxa"/>
              <w:right w:w="20" w:type="dxa"/>
            </w:tcMar>
            <w:vAlign w:val="bottom"/>
          </w:tcPr>
          <w:p w14:paraId="6430492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921"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922" w14:textId="77777777" w:rsidR="009F6D8A" w:rsidRDefault="00C50974">
            <w:pPr>
              <w:jc w:val="right"/>
              <w:textAlignment w:val="bottom"/>
            </w:pPr>
            <w:r>
              <w:rPr>
                <w:rFonts w:ascii="Arial" w:eastAsia="宋体" w:hAnsi="Arial" w:cs="Arial"/>
                <w:color w:val="000000"/>
                <w:sz w:val="18"/>
                <w:szCs w:val="18"/>
              </w:rPr>
              <w:t>49 </w:t>
            </w:r>
          </w:p>
        </w:tc>
        <w:tc>
          <w:tcPr>
            <w:tcW w:w="0" w:type="auto"/>
            <w:shd w:val="clear" w:color="auto" w:fill="FFFFFF"/>
            <w:tcMar>
              <w:top w:w="40" w:type="dxa"/>
              <w:left w:w="0" w:type="dxa"/>
              <w:bottom w:w="40" w:type="dxa"/>
              <w:right w:w="20" w:type="dxa"/>
            </w:tcMar>
            <w:vAlign w:val="bottom"/>
          </w:tcPr>
          <w:p w14:paraId="6430492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92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925" w14:textId="77777777" w:rsidR="009F6D8A" w:rsidRDefault="00C50974">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6430492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92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928" w14:textId="77777777" w:rsidR="009F6D8A" w:rsidRDefault="00C50974">
            <w:pPr>
              <w:jc w:val="right"/>
              <w:textAlignment w:val="bottom"/>
            </w:pPr>
            <w:r>
              <w:rPr>
                <w:rFonts w:ascii="Arial" w:eastAsia="宋体" w:hAnsi="Arial" w:cs="Arial"/>
                <w:color w:val="000000"/>
                <w:sz w:val="18"/>
                <w:szCs w:val="18"/>
              </w:rPr>
              <w:t>49 </w:t>
            </w:r>
          </w:p>
        </w:tc>
        <w:tc>
          <w:tcPr>
            <w:tcW w:w="0" w:type="auto"/>
            <w:shd w:val="clear" w:color="auto" w:fill="FFFFFF"/>
            <w:tcMar>
              <w:top w:w="40" w:type="dxa"/>
              <w:left w:w="0" w:type="dxa"/>
              <w:bottom w:w="40" w:type="dxa"/>
              <w:right w:w="20" w:type="dxa"/>
            </w:tcMar>
            <w:vAlign w:val="bottom"/>
          </w:tcPr>
          <w:p w14:paraId="64304929" w14:textId="77777777" w:rsidR="009F6D8A" w:rsidRDefault="009F6D8A">
            <w:pPr>
              <w:jc w:val="right"/>
              <w:rPr>
                <w:rFonts w:ascii="宋体"/>
              </w:rPr>
            </w:pPr>
          </w:p>
        </w:tc>
      </w:tr>
      <w:tr w:rsidR="009F6D8A" w14:paraId="6430493A" w14:textId="77777777">
        <w:trPr>
          <w:jc w:val="center"/>
        </w:trPr>
        <w:tc>
          <w:tcPr>
            <w:tcW w:w="0" w:type="auto"/>
            <w:gridSpan w:val="3"/>
            <w:shd w:val="clear" w:color="auto" w:fill="E2E2E2"/>
            <w:tcMar>
              <w:top w:w="40" w:type="dxa"/>
              <w:left w:w="245" w:type="dxa"/>
              <w:bottom w:w="40" w:type="dxa"/>
              <w:right w:w="20" w:type="dxa"/>
            </w:tcMar>
            <w:vAlign w:val="bottom"/>
          </w:tcPr>
          <w:p w14:paraId="6430492B" w14:textId="77777777" w:rsidR="009F6D8A" w:rsidRDefault="00C50974">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6430492C" w14:textId="77777777" w:rsidR="009F6D8A" w:rsidRDefault="00C50974">
            <w:pPr>
              <w:jc w:val="right"/>
              <w:textAlignment w:val="bottom"/>
            </w:pPr>
            <w:r>
              <w:rPr>
                <w:rFonts w:ascii="Arial" w:eastAsia="宋体" w:hAnsi="Arial" w:cs="Arial"/>
                <w:color w:val="000000"/>
                <w:sz w:val="18"/>
                <w:szCs w:val="18"/>
              </w:rPr>
              <w:t>17 </w:t>
            </w:r>
          </w:p>
        </w:tc>
        <w:tc>
          <w:tcPr>
            <w:tcW w:w="0" w:type="auto"/>
            <w:shd w:val="clear" w:color="auto" w:fill="E2E2E2"/>
            <w:tcMar>
              <w:top w:w="40" w:type="dxa"/>
              <w:left w:w="0" w:type="dxa"/>
              <w:bottom w:w="40" w:type="dxa"/>
              <w:right w:w="20" w:type="dxa"/>
            </w:tcMar>
            <w:vAlign w:val="bottom"/>
          </w:tcPr>
          <w:p w14:paraId="6430492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2E"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92F"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4930"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31"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932"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4933"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34"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935" w14:textId="77777777" w:rsidR="009F6D8A" w:rsidRDefault="00C50974">
            <w:pPr>
              <w:jc w:val="right"/>
              <w:textAlignment w:val="bottom"/>
            </w:pPr>
            <w:r>
              <w:rPr>
                <w:rFonts w:ascii="Arial" w:eastAsia="宋体" w:hAnsi="Arial" w:cs="Arial"/>
                <w:color w:val="000000"/>
                <w:sz w:val="18"/>
                <w:szCs w:val="18"/>
              </w:rPr>
              <w:t>(4)</w:t>
            </w:r>
          </w:p>
        </w:tc>
        <w:tc>
          <w:tcPr>
            <w:tcW w:w="0" w:type="auto"/>
            <w:shd w:val="clear" w:color="auto" w:fill="E2E2E2"/>
            <w:tcMar>
              <w:top w:w="40" w:type="dxa"/>
              <w:left w:w="0" w:type="dxa"/>
              <w:bottom w:w="40" w:type="dxa"/>
              <w:right w:w="20" w:type="dxa"/>
            </w:tcMar>
            <w:vAlign w:val="bottom"/>
          </w:tcPr>
          <w:p w14:paraId="6430493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37"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938" w14:textId="77777777" w:rsidR="009F6D8A" w:rsidRDefault="00C50974">
            <w:pPr>
              <w:jc w:val="right"/>
              <w:textAlignment w:val="bottom"/>
            </w:pPr>
            <w:r>
              <w:rPr>
                <w:rFonts w:ascii="Arial" w:eastAsia="宋体" w:hAnsi="Arial" w:cs="Arial"/>
                <w:color w:val="000000"/>
                <w:sz w:val="18"/>
                <w:szCs w:val="18"/>
              </w:rPr>
              <w:t>13 </w:t>
            </w:r>
          </w:p>
        </w:tc>
        <w:tc>
          <w:tcPr>
            <w:tcW w:w="0" w:type="auto"/>
            <w:shd w:val="clear" w:color="auto" w:fill="E2E2E2"/>
            <w:tcMar>
              <w:top w:w="40" w:type="dxa"/>
              <w:left w:w="0" w:type="dxa"/>
              <w:bottom w:w="40" w:type="dxa"/>
              <w:right w:w="20" w:type="dxa"/>
            </w:tcMar>
            <w:vAlign w:val="bottom"/>
          </w:tcPr>
          <w:p w14:paraId="64304939" w14:textId="77777777" w:rsidR="009F6D8A" w:rsidRDefault="009F6D8A">
            <w:pPr>
              <w:jc w:val="right"/>
              <w:rPr>
                <w:rFonts w:ascii="宋体"/>
              </w:rPr>
            </w:pPr>
          </w:p>
        </w:tc>
      </w:tr>
      <w:tr w:rsidR="009F6D8A" w14:paraId="6430494A" w14:textId="77777777">
        <w:trPr>
          <w:jc w:val="center"/>
        </w:trPr>
        <w:tc>
          <w:tcPr>
            <w:tcW w:w="0" w:type="auto"/>
            <w:gridSpan w:val="3"/>
            <w:shd w:val="clear" w:color="auto" w:fill="FFFFFF"/>
            <w:tcMar>
              <w:top w:w="40" w:type="dxa"/>
              <w:left w:w="20" w:type="dxa"/>
              <w:bottom w:w="40" w:type="dxa"/>
              <w:right w:w="20" w:type="dxa"/>
            </w:tcMar>
            <w:vAlign w:val="bottom"/>
          </w:tcPr>
          <w:p w14:paraId="6430493B" w14:textId="77777777" w:rsidR="009F6D8A" w:rsidRDefault="00C50974">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93C" w14:textId="77777777" w:rsidR="009F6D8A" w:rsidRDefault="00C50974">
            <w:pPr>
              <w:jc w:val="right"/>
              <w:textAlignment w:val="bottom"/>
            </w:pPr>
            <w:r>
              <w:rPr>
                <w:rFonts w:ascii="Arial" w:eastAsia="宋体" w:hAnsi="Arial" w:cs="Arial"/>
                <w:color w:val="000000"/>
                <w:sz w:val="18"/>
                <w:szCs w:val="18"/>
              </w:rPr>
              <w:t>(47)</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93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93E"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93F" w14:textId="77777777" w:rsidR="009F6D8A" w:rsidRDefault="00C50974">
            <w:pPr>
              <w:jc w:val="right"/>
              <w:textAlignment w:val="bottom"/>
            </w:pPr>
            <w:r>
              <w:rPr>
                <w:rFonts w:ascii="Arial" w:eastAsia="宋体" w:hAnsi="Arial" w:cs="Arial"/>
                <w:color w:val="000000"/>
                <w:sz w:val="18"/>
                <w:szCs w:val="18"/>
              </w:rPr>
              <w:t>32 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94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941"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942" w14:textId="77777777" w:rsidR="009F6D8A" w:rsidRDefault="00C50974">
            <w:pPr>
              <w:jc w:val="right"/>
              <w:textAlignment w:val="bottom"/>
            </w:pPr>
            <w:r>
              <w:rPr>
                <w:rFonts w:ascii="Arial" w:eastAsia="宋体" w:hAnsi="Arial" w:cs="Arial"/>
                <w:color w:val="000000"/>
                <w:sz w:val="18"/>
                <w:szCs w:val="18"/>
              </w:rPr>
              <w:t>49 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94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944"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945" w14:textId="77777777" w:rsidR="009F6D8A" w:rsidRDefault="00C50974">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94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947"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948" w14:textId="77777777" w:rsidR="009F6D8A" w:rsidRDefault="00C50974">
            <w:pPr>
              <w:jc w:val="right"/>
              <w:textAlignment w:val="bottom"/>
            </w:pPr>
            <w:r>
              <w:rPr>
                <w:rFonts w:ascii="Arial" w:eastAsia="宋体" w:hAnsi="Arial" w:cs="Arial"/>
                <w:color w:val="000000"/>
                <w:sz w:val="18"/>
                <w:szCs w:val="18"/>
              </w:rPr>
              <w:t>36 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949" w14:textId="77777777" w:rsidR="009F6D8A" w:rsidRDefault="009F6D8A">
            <w:pPr>
              <w:jc w:val="right"/>
              <w:rPr>
                <w:rFonts w:ascii="宋体"/>
              </w:rPr>
            </w:pPr>
          </w:p>
        </w:tc>
      </w:tr>
      <w:tr w:rsidR="009F6D8A" w14:paraId="6430495F" w14:textId="77777777">
        <w:trPr>
          <w:jc w:val="center"/>
        </w:trPr>
        <w:tc>
          <w:tcPr>
            <w:tcW w:w="0" w:type="auto"/>
            <w:gridSpan w:val="3"/>
            <w:shd w:val="clear" w:color="auto" w:fill="E2E2E2"/>
            <w:tcMar>
              <w:top w:w="40" w:type="dxa"/>
              <w:left w:w="20" w:type="dxa"/>
              <w:bottom w:w="40" w:type="dxa"/>
              <w:right w:w="20" w:type="dxa"/>
            </w:tcMar>
            <w:vAlign w:val="bottom"/>
          </w:tcPr>
          <w:p w14:paraId="6430494B" w14:textId="77777777" w:rsidR="009F6D8A" w:rsidRDefault="00C50974">
            <w:pPr>
              <w:textAlignment w:val="bottom"/>
            </w:pPr>
            <w:r>
              <w:rPr>
                <w:rFonts w:ascii="Arial" w:eastAsia="宋体" w:hAnsi="Arial" w:cs="Arial"/>
                <w:color w:val="000000"/>
                <w:sz w:val="18"/>
                <w:szCs w:val="18"/>
              </w:rPr>
              <w:t>Balance as of June 30, 2020</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94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94D" w14:textId="77777777" w:rsidR="009F6D8A" w:rsidRDefault="00C50974">
            <w:pPr>
              <w:jc w:val="right"/>
              <w:textAlignment w:val="bottom"/>
            </w:pPr>
            <w:r>
              <w:rPr>
                <w:rFonts w:ascii="Arial" w:eastAsia="宋体" w:hAnsi="Arial" w:cs="Arial"/>
                <w:color w:val="000000"/>
                <w:sz w:val="18"/>
                <w:szCs w:val="18"/>
              </w:rPr>
              <w:t>(9)</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94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4F"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950"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951" w14:textId="77777777" w:rsidR="009F6D8A" w:rsidRDefault="00C50974">
            <w:pPr>
              <w:jc w:val="right"/>
              <w:textAlignment w:val="bottom"/>
            </w:pPr>
            <w:r>
              <w:rPr>
                <w:rFonts w:ascii="Arial" w:eastAsia="宋体" w:hAnsi="Arial" w:cs="Arial"/>
                <w:color w:val="000000"/>
                <w:sz w:val="18"/>
                <w:szCs w:val="18"/>
              </w:rPr>
              <w:t>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95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53"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954"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955" w14:textId="77777777" w:rsidR="009F6D8A" w:rsidRDefault="00C50974">
            <w:pPr>
              <w:jc w:val="right"/>
              <w:textAlignment w:val="bottom"/>
            </w:pPr>
            <w:r>
              <w:rPr>
                <w:rFonts w:ascii="Arial" w:eastAsia="宋体" w:hAnsi="Arial" w:cs="Arial"/>
                <w:color w:val="000000"/>
                <w:sz w:val="18"/>
                <w:szCs w:val="18"/>
              </w:rPr>
              <w:t>299 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95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57"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958"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959" w14:textId="77777777" w:rsidR="009F6D8A" w:rsidRDefault="00C50974">
            <w:pPr>
              <w:jc w:val="right"/>
              <w:textAlignment w:val="bottom"/>
            </w:pPr>
            <w:r>
              <w:rPr>
                <w:rFonts w:ascii="Arial" w:eastAsia="宋体" w:hAnsi="Arial" w:cs="Arial"/>
                <w:color w:val="000000"/>
                <w:sz w:val="18"/>
                <w:szCs w:val="18"/>
              </w:rPr>
              <w:t>25 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95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5B"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95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95D" w14:textId="77777777" w:rsidR="009F6D8A" w:rsidRDefault="00C50974">
            <w:pPr>
              <w:jc w:val="right"/>
              <w:textAlignment w:val="bottom"/>
            </w:pPr>
            <w:r>
              <w:rPr>
                <w:rFonts w:ascii="Arial" w:eastAsia="宋体" w:hAnsi="Arial" w:cs="Arial"/>
                <w:color w:val="000000"/>
                <w:sz w:val="18"/>
                <w:szCs w:val="18"/>
              </w:rPr>
              <w:t>321 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95E" w14:textId="77777777" w:rsidR="009F6D8A" w:rsidRDefault="009F6D8A">
            <w:pPr>
              <w:jc w:val="right"/>
              <w:rPr>
                <w:rFonts w:ascii="宋体"/>
              </w:rPr>
            </w:pPr>
          </w:p>
        </w:tc>
      </w:tr>
    </w:tbl>
    <w:p w14:paraId="64304960" w14:textId="77777777" w:rsidR="009F6D8A" w:rsidRDefault="009F6D8A">
      <w:pPr>
        <w:jc w:val="center"/>
      </w:pPr>
    </w:p>
    <w:tbl>
      <w:tblPr>
        <w:tblW w:w="4985" w:type="pct"/>
        <w:tblCellMar>
          <w:top w:w="15" w:type="dxa"/>
          <w:left w:w="15" w:type="dxa"/>
          <w:bottom w:w="15" w:type="dxa"/>
          <w:right w:w="15" w:type="dxa"/>
        </w:tblCellMar>
        <w:tblLook w:val="04A0" w:firstRow="1" w:lastRow="0" w:firstColumn="1" w:lastColumn="0" w:noHBand="0" w:noVBand="1"/>
      </w:tblPr>
      <w:tblGrid>
        <w:gridCol w:w="43"/>
        <w:gridCol w:w="2879"/>
        <w:gridCol w:w="37"/>
        <w:gridCol w:w="122"/>
        <w:gridCol w:w="941"/>
        <w:gridCol w:w="36"/>
        <w:gridCol w:w="36"/>
        <w:gridCol w:w="36"/>
        <w:gridCol w:w="36"/>
        <w:gridCol w:w="122"/>
        <w:gridCol w:w="890"/>
        <w:gridCol w:w="36"/>
        <w:gridCol w:w="36"/>
        <w:gridCol w:w="36"/>
        <w:gridCol w:w="36"/>
        <w:gridCol w:w="122"/>
        <w:gridCol w:w="814"/>
        <w:gridCol w:w="36"/>
        <w:gridCol w:w="36"/>
        <w:gridCol w:w="36"/>
        <w:gridCol w:w="36"/>
        <w:gridCol w:w="122"/>
        <w:gridCol w:w="737"/>
        <w:gridCol w:w="36"/>
        <w:gridCol w:w="36"/>
        <w:gridCol w:w="36"/>
        <w:gridCol w:w="36"/>
        <w:gridCol w:w="121"/>
        <w:gridCol w:w="749"/>
        <w:gridCol w:w="36"/>
      </w:tblGrid>
      <w:tr w:rsidR="009F6D8A" w14:paraId="6430497F" w14:textId="77777777">
        <w:tc>
          <w:tcPr>
            <w:tcW w:w="50" w:type="pct"/>
            <w:shd w:val="clear" w:color="auto" w:fill="auto"/>
            <w:vAlign w:val="bottom"/>
          </w:tcPr>
          <w:p w14:paraId="64304961" w14:textId="77777777" w:rsidR="009F6D8A" w:rsidRDefault="009F6D8A">
            <w:pPr>
              <w:rPr>
                <w:rFonts w:ascii="宋体"/>
              </w:rPr>
            </w:pPr>
          </w:p>
        </w:tc>
        <w:tc>
          <w:tcPr>
            <w:tcW w:w="1770" w:type="pct"/>
            <w:shd w:val="clear" w:color="auto" w:fill="auto"/>
            <w:vAlign w:val="bottom"/>
          </w:tcPr>
          <w:p w14:paraId="64304962" w14:textId="77777777" w:rsidR="009F6D8A" w:rsidRDefault="009F6D8A">
            <w:pPr>
              <w:rPr>
                <w:rFonts w:ascii="宋体"/>
              </w:rPr>
            </w:pPr>
          </w:p>
        </w:tc>
        <w:tc>
          <w:tcPr>
            <w:tcW w:w="5" w:type="pct"/>
            <w:shd w:val="clear" w:color="auto" w:fill="auto"/>
            <w:vAlign w:val="bottom"/>
          </w:tcPr>
          <w:p w14:paraId="64304963" w14:textId="77777777" w:rsidR="009F6D8A" w:rsidRDefault="009F6D8A">
            <w:pPr>
              <w:rPr>
                <w:rFonts w:ascii="宋体"/>
              </w:rPr>
            </w:pPr>
          </w:p>
        </w:tc>
        <w:tc>
          <w:tcPr>
            <w:tcW w:w="50" w:type="pct"/>
            <w:shd w:val="clear" w:color="auto" w:fill="auto"/>
            <w:vAlign w:val="bottom"/>
          </w:tcPr>
          <w:p w14:paraId="64304964" w14:textId="77777777" w:rsidR="009F6D8A" w:rsidRDefault="009F6D8A">
            <w:pPr>
              <w:rPr>
                <w:rFonts w:ascii="宋体"/>
              </w:rPr>
            </w:pPr>
          </w:p>
        </w:tc>
        <w:tc>
          <w:tcPr>
            <w:tcW w:w="597" w:type="pct"/>
            <w:shd w:val="clear" w:color="auto" w:fill="auto"/>
            <w:vAlign w:val="bottom"/>
          </w:tcPr>
          <w:p w14:paraId="64304965" w14:textId="77777777" w:rsidR="009F6D8A" w:rsidRDefault="009F6D8A">
            <w:pPr>
              <w:rPr>
                <w:rFonts w:ascii="宋体"/>
              </w:rPr>
            </w:pPr>
          </w:p>
        </w:tc>
        <w:tc>
          <w:tcPr>
            <w:tcW w:w="5" w:type="pct"/>
            <w:shd w:val="clear" w:color="auto" w:fill="auto"/>
            <w:vAlign w:val="bottom"/>
          </w:tcPr>
          <w:p w14:paraId="64304966" w14:textId="77777777" w:rsidR="009F6D8A" w:rsidRDefault="009F6D8A">
            <w:pPr>
              <w:rPr>
                <w:rFonts w:ascii="宋体"/>
              </w:rPr>
            </w:pPr>
          </w:p>
        </w:tc>
        <w:tc>
          <w:tcPr>
            <w:tcW w:w="5" w:type="pct"/>
            <w:shd w:val="clear" w:color="auto" w:fill="auto"/>
            <w:vAlign w:val="bottom"/>
          </w:tcPr>
          <w:p w14:paraId="64304967" w14:textId="77777777" w:rsidR="009F6D8A" w:rsidRDefault="009F6D8A">
            <w:pPr>
              <w:rPr>
                <w:rFonts w:ascii="宋体"/>
              </w:rPr>
            </w:pPr>
          </w:p>
        </w:tc>
        <w:tc>
          <w:tcPr>
            <w:tcW w:w="26" w:type="pct"/>
            <w:shd w:val="clear" w:color="auto" w:fill="auto"/>
            <w:vAlign w:val="bottom"/>
          </w:tcPr>
          <w:p w14:paraId="64304968" w14:textId="77777777" w:rsidR="009F6D8A" w:rsidRDefault="009F6D8A">
            <w:pPr>
              <w:rPr>
                <w:rFonts w:ascii="宋体"/>
              </w:rPr>
            </w:pPr>
          </w:p>
        </w:tc>
        <w:tc>
          <w:tcPr>
            <w:tcW w:w="5" w:type="pct"/>
            <w:shd w:val="clear" w:color="auto" w:fill="auto"/>
            <w:vAlign w:val="bottom"/>
          </w:tcPr>
          <w:p w14:paraId="64304969" w14:textId="77777777" w:rsidR="009F6D8A" w:rsidRDefault="009F6D8A">
            <w:pPr>
              <w:rPr>
                <w:rFonts w:ascii="宋体"/>
              </w:rPr>
            </w:pPr>
          </w:p>
        </w:tc>
        <w:tc>
          <w:tcPr>
            <w:tcW w:w="50" w:type="pct"/>
            <w:shd w:val="clear" w:color="auto" w:fill="auto"/>
            <w:vAlign w:val="bottom"/>
          </w:tcPr>
          <w:p w14:paraId="6430496A" w14:textId="77777777" w:rsidR="009F6D8A" w:rsidRDefault="009F6D8A">
            <w:pPr>
              <w:rPr>
                <w:rFonts w:ascii="宋体"/>
              </w:rPr>
            </w:pPr>
          </w:p>
        </w:tc>
        <w:tc>
          <w:tcPr>
            <w:tcW w:w="582" w:type="pct"/>
            <w:shd w:val="clear" w:color="auto" w:fill="auto"/>
            <w:vAlign w:val="bottom"/>
          </w:tcPr>
          <w:p w14:paraId="6430496B" w14:textId="77777777" w:rsidR="009F6D8A" w:rsidRDefault="009F6D8A">
            <w:pPr>
              <w:rPr>
                <w:rFonts w:ascii="宋体"/>
              </w:rPr>
            </w:pPr>
          </w:p>
        </w:tc>
        <w:tc>
          <w:tcPr>
            <w:tcW w:w="5" w:type="pct"/>
            <w:shd w:val="clear" w:color="auto" w:fill="auto"/>
            <w:vAlign w:val="bottom"/>
          </w:tcPr>
          <w:p w14:paraId="6430496C" w14:textId="77777777" w:rsidR="009F6D8A" w:rsidRDefault="009F6D8A">
            <w:pPr>
              <w:rPr>
                <w:rFonts w:ascii="宋体"/>
              </w:rPr>
            </w:pPr>
          </w:p>
        </w:tc>
        <w:tc>
          <w:tcPr>
            <w:tcW w:w="5" w:type="pct"/>
            <w:shd w:val="clear" w:color="auto" w:fill="auto"/>
            <w:vAlign w:val="bottom"/>
          </w:tcPr>
          <w:p w14:paraId="6430496D" w14:textId="77777777" w:rsidR="009F6D8A" w:rsidRDefault="009F6D8A">
            <w:pPr>
              <w:rPr>
                <w:rFonts w:ascii="宋体"/>
              </w:rPr>
            </w:pPr>
          </w:p>
        </w:tc>
        <w:tc>
          <w:tcPr>
            <w:tcW w:w="26" w:type="pct"/>
            <w:shd w:val="clear" w:color="auto" w:fill="auto"/>
            <w:vAlign w:val="bottom"/>
          </w:tcPr>
          <w:p w14:paraId="6430496E" w14:textId="77777777" w:rsidR="009F6D8A" w:rsidRDefault="009F6D8A">
            <w:pPr>
              <w:rPr>
                <w:rFonts w:ascii="宋体"/>
              </w:rPr>
            </w:pPr>
          </w:p>
        </w:tc>
        <w:tc>
          <w:tcPr>
            <w:tcW w:w="5" w:type="pct"/>
            <w:shd w:val="clear" w:color="auto" w:fill="auto"/>
            <w:vAlign w:val="bottom"/>
          </w:tcPr>
          <w:p w14:paraId="6430496F" w14:textId="77777777" w:rsidR="009F6D8A" w:rsidRDefault="009F6D8A">
            <w:pPr>
              <w:rPr>
                <w:rFonts w:ascii="宋体"/>
              </w:rPr>
            </w:pPr>
          </w:p>
        </w:tc>
        <w:tc>
          <w:tcPr>
            <w:tcW w:w="50" w:type="pct"/>
            <w:shd w:val="clear" w:color="auto" w:fill="auto"/>
            <w:vAlign w:val="bottom"/>
          </w:tcPr>
          <w:p w14:paraId="64304970" w14:textId="77777777" w:rsidR="009F6D8A" w:rsidRDefault="009F6D8A">
            <w:pPr>
              <w:rPr>
                <w:rFonts w:ascii="宋体"/>
              </w:rPr>
            </w:pPr>
          </w:p>
        </w:tc>
        <w:tc>
          <w:tcPr>
            <w:tcW w:w="509" w:type="pct"/>
            <w:shd w:val="clear" w:color="auto" w:fill="auto"/>
            <w:vAlign w:val="bottom"/>
          </w:tcPr>
          <w:p w14:paraId="64304971" w14:textId="77777777" w:rsidR="009F6D8A" w:rsidRDefault="009F6D8A">
            <w:pPr>
              <w:rPr>
                <w:rFonts w:ascii="宋体"/>
              </w:rPr>
            </w:pPr>
          </w:p>
        </w:tc>
        <w:tc>
          <w:tcPr>
            <w:tcW w:w="5" w:type="pct"/>
            <w:shd w:val="clear" w:color="auto" w:fill="auto"/>
            <w:vAlign w:val="bottom"/>
          </w:tcPr>
          <w:p w14:paraId="64304972" w14:textId="77777777" w:rsidR="009F6D8A" w:rsidRDefault="009F6D8A">
            <w:pPr>
              <w:rPr>
                <w:rFonts w:ascii="宋体"/>
              </w:rPr>
            </w:pPr>
          </w:p>
        </w:tc>
        <w:tc>
          <w:tcPr>
            <w:tcW w:w="5" w:type="pct"/>
            <w:shd w:val="clear" w:color="auto" w:fill="auto"/>
            <w:vAlign w:val="bottom"/>
          </w:tcPr>
          <w:p w14:paraId="64304973" w14:textId="77777777" w:rsidR="009F6D8A" w:rsidRDefault="009F6D8A">
            <w:pPr>
              <w:rPr>
                <w:rFonts w:ascii="宋体"/>
              </w:rPr>
            </w:pPr>
          </w:p>
        </w:tc>
        <w:tc>
          <w:tcPr>
            <w:tcW w:w="26" w:type="pct"/>
            <w:shd w:val="clear" w:color="auto" w:fill="auto"/>
            <w:vAlign w:val="bottom"/>
          </w:tcPr>
          <w:p w14:paraId="64304974" w14:textId="77777777" w:rsidR="009F6D8A" w:rsidRDefault="009F6D8A">
            <w:pPr>
              <w:rPr>
                <w:rFonts w:ascii="宋体"/>
              </w:rPr>
            </w:pPr>
          </w:p>
        </w:tc>
        <w:tc>
          <w:tcPr>
            <w:tcW w:w="5" w:type="pct"/>
            <w:shd w:val="clear" w:color="auto" w:fill="auto"/>
            <w:vAlign w:val="bottom"/>
          </w:tcPr>
          <w:p w14:paraId="64304975" w14:textId="77777777" w:rsidR="009F6D8A" w:rsidRDefault="009F6D8A">
            <w:pPr>
              <w:rPr>
                <w:rFonts w:ascii="宋体"/>
              </w:rPr>
            </w:pPr>
          </w:p>
        </w:tc>
        <w:tc>
          <w:tcPr>
            <w:tcW w:w="50" w:type="pct"/>
            <w:shd w:val="clear" w:color="auto" w:fill="auto"/>
            <w:vAlign w:val="bottom"/>
          </w:tcPr>
          <w:p w14:paraId="64304976" w14:textId="77777777" w:rsidR="009F6D8A" w:rsidRDefault="009F6D8A">
            <w:pPr>
              <w:rPr>
                <w:rFonts w:ascii="宋体"/>
              </w:rPr>
            </w:pPr>
          </w:p>
        </w:tc>
        <w:tc>
          <w:tcPr>
            <w:tcW w:w="553" w:type="pct"/>
            <w:shd w:val="clear" w:color="auto" w:fill="auto"/>
            <w:vAlign w:val="bottom"/>
          </w:tcPr>
          <w:p w14:paraId="64304977" w14:textId="77777777" w:rsidR="009F6D8A" w:rsidRDefault="009F6D8A">
            <w:pPr>
              <w:rPr>
                <w:rFonts w:ascii="宋体"/>
              </w:rPr>
            </w:pPr>
          </w:p>
        </w:tc>
        <w:tc>
          <w:tcPr>
            <w:tcW w:w="5" w:type="pct"/>
            <w:shd w:val="clear" w:color="auto" w:fill="auto"/>
            <w:vAlign w:val="bottom"/>
          </w:tcPr>
          <w:p w14:paraId="64304978" w14:textId="77777777" w:rsidR="009F6D8A" w:rsidRDefault="009F6D8A">
            <w:pPr>
              <w:rPr>
                <w:rFonts w:ascii="宋体"/>
              </w:rPr>
            </w:pPr>
          </w:p>
        </w:tc>
        <w:tc>
          <w:tcPr>
            <w:tcW w:w="5" w:type="pct"/>
            <w:shd w:val="clear" w:color="auto" w:fill="auto"/>
            <w:vAlign w:val="bottom"/>
          </w:tcPr>
          <w:p w14:paraId="64304979" w14:textId="77777777" w:rsidR="009F6D8A" w:rsidRDefault="009F6D8A">
            <w:pPr>
              <w:rPr>
                <w:rFonts w:ascii="宋体"/>
              </w:rPr>
            </w:pPr>
          </w:p>
        </w:tc>
        <w:tc>
          <w:tcPr>
            <w:tcW w:w="26" w:type="pct"/>
            <w:shd w:val="clear" w:color="auto" w:fill="auto"/>
            <w:vAlign w:val="bottom"/>
          </w:tcPr>
          <w:p w14:paraId="6430497A" w14:textId="77777777" w:rsidR="009F6D8A" w:rsidRDefault="009F6D8A">
            <w:pPr>
              <w:rPr>
                <w:rFonts w:ascii="宋体"/>
              </w:rPr>
            </w:pPr>
          </w:p>
        </w:tc>
        <w:tc>
          <w:tcPr>
            <w:tcW w:w="5" w:type="pct"/>
            <w:shd w:val="clear" w:color="auto" w:fill="auto"/>
            <w:vAlign w:val="bottom"/>
          </w:tcPr>
          <w:p w14:paraId="6430497B" w14:textId="77777777" w:rsidR="009F6D8A" w:rsidRDefault="009F6D8A">
            <w:pPr>
              <w:rPr>
                <w:rFonts w:ascii="宋体"/>
              </w:rPr>
            </w:pPr>
          </w:p>
        </w:tc>
        <w:tc>
          <w:tcPr>
            <w:tcW w:w="50" w:type="pct"/>
            <w:shd w:val="clear" w:color="auto" w:fill="auto"/>
            <w:vAlign w:val="bottom"/>
          </w:tcPr>
          <w:p w14:paraId="6430497C" w14:textId="77777777" w:rsidR="009F6D8A" w:rsidRDefault="009F6D8A">
            <w:pPr>
              <w:rPr>
                <w:rFonts w:ascii="宋体"/>
              </w:rPr>
            </w:pPr>
          </w:p>
        </w:tc>
        <w:tc>
          <w:tcPr>
            <w:tcW w:w="509" w:type="pct"/>
            <w:shd w:val="clear" w:color="auto" w:fill="auto"/>
            <w:vAlign w:val="bottom"/>
          </w:tcPr>
          <w:p w14:paraId="6430497D" w14:textId="77777777" w:rsidR="009F6D8A" w:rsidRDefault="009F6D8A">
            <w:pPr>
              <w:rPr>
                <w:rFonts w:ascii="宋体"/>
              </w:rPr>
            </w:pPr>
          </w:p>
        </w:tc>
        <w:tc>
          <w:tcPr>
            <w:tcW w:w="5" w:type="pct"/>
            <w:shd w:val="clear" w:color="auto" w:fill="auto"/>
            <w:vAlign w:val="bottom"/>
          </w:tcPr>
          <w:p w14:paraId="6430497E" w14:textId="77777777" w:rsidR="009F6D8A" w:rsidRDefault="009F6D8A">
            <w:pPr>
              <w:rPr>
                <w:rFonts w:ascii="宋体"/>
              </w:rPr>
            </w:pPr>
          </w:p>
        </w:tc>
      </w:tr>
      <w:tr w:rsidR="009F6D8A" w14:paraId="6430498A" w14:textId="77777777">
        <w:tc>
          <w:tcPr>
            <w:tcW w:w="0" w:type="auto"/>
            <w:gridSpan w:val="3"/>
            <w:shd w:val="clear" w:color="auto" w:fill="auto"/>
            <w:tcMar>
              <w:top w:w="0" w:type="dxa"/>
              <w:left w:w="20" w:type="dxa"/>
              <w:bottom w:w="0" w:type="dxa"/>
              <w:right w:w="20" w:type="dxa"/>
            </w:tcMar>
            <w:vAlign w:val="bottom"/>
          </w:tcPr>
          <w:p w14:paraId="64304980"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981" w14:textId="77777777" w:rsidR="009F6D8A" w:rsidRDefault="00C50974">
            <w:pPr>
              <w:jc w:val="center"/>
              <w:textAlignment w:val="bottom"/>
            </w:pPr>
            <w:r>
              <w:rPr>
                <w:rFonts w:ascii="Arial" w:eastAsia="宋体" w:hAnsi="Arial" w:cs="Arial"/>
                <w:b/>
                <w:bCs/>
                <w:color w:val="000000"/>
                <w:sz w:val="16"/>
                <w:szCs w:val="16"/>
              </w:rPr>
              <w:t>Unrealized Gains (Losses) on Derivative Instruments</w:t>
            </w:r>
          </w:p>
        </w:tc>
        <w:tc>
          <w:tcPr>
            <w:tcW w:w="0" w:type="auto"/>
            <w:gridSpan w:val="3"/>
            <w:shd w:val="clear" w:color="auto" w:fill="auto"/>
            <w:tcMar>
              <w:top w:w="0" w:type="dxa"/>
              <w:left w:w="20" w:type="dxa"/>
              <w:bottom w:w="0" w:type="dxa"/>
              <w:right w:w="20" w:type="dxa"/>
            </w:tcMar>
            <w:vAlign w:val="bottom"/>
          </w:tcPr>
          <w:p w14:paraId="64304982"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983" w14:textId="77777777" w:rsidR="009F6D8A" w:rsidRDefault="00C50974">
            <w:pPr>
              <w:jc w:val="center"/>
              <w:textAlignment w:val="bottom"/>
            </w:pPr>
            <w:r>
              <w:rPr>
                <w:rFonts w:ascii="Arial" w:eastAsia="宋体" w:hAnsi="Arial" w:cs="Arial"/>
                <w:b/>
                <w:bCs/>
                <w:color w:val="000000"/>
                <w:sz w:val="16"/>
                <w:szCs w:val="16"/>
              </w:rPr>
              <w:t>Unrealized</w:t>
            </w:r>
            <w:r>
              <w:rPr>
                <w:rFonts w:ascii="Arial" w:eastAsia="宋体" w:hAnsi="Arial" w:cs="Arial"/>
                <w:b/>
                <w:bCs/>
                <w:color w:val="000000"/>
                <w:sz w:val="16"/>
                <w:szCs w:val="16"/>
              </w:rPr>
              <w:br/>
              <w:t>Gains (Losses) on</w:t>
            </w:r>
            <w:r>
              <w:rPr>
                <w:rFonts w:ascii="Arial" w:eastAsia="宋体" w:hAnsi="Arial" w:cs="Arial"/>
                <w:b/>
                <w:bCs/>
                <w:color w:val="000000"/>
                <w:sz w:val="16"/>
                <w:szCs w:val="16"/>
              </w:rPr>
              <w:br/>
              <w:t>Investments</w:t>
            </w:r>
          </w:p>
        </w:tc>
        <w:tc>
          <w:tcPr>
            <w:tcW w:w="0" w:type="auto"/>
            <w:gridSpan w:val="3"/>
            <w:shd w:val="clear" w:color="auto" w:fill="auto"/>
            <w:tcMar>
              <w:top w:w="0" w:type="dxa"/>
              <w:left w:w="20" w:type="dxa"/>
              <w:bottom w:w="0" w:type="dxa"/>
              <w:right w:w="20" w:type="dxa"/>
            </w:tcMar>
            <w:vAlign w:val="bottom"/>
          </w:tcPr>
          <w:p w14:paraId="64304984"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985" w14:textId="77777777" w:rsidR="009F6D8A" w:rsidRDefault="00C50974">
            <w:pPr>
              <w:jc w:val="center"/>
              <w:textAlignment w:val="bottom"/>
            </w:pPr>
            <w:r>
              <w:rPr>
                <w:rFonts w:ascii="Arial" w:eastAsia="宋体" w:hAnsi="Arial" w:cs="Arial"/>
                <w:b/>
                <w:bCs/>
                <w:color w:val="000000"/>
                <w:sz w:val="16"/>
                <w:szCs w:val="16"/>
              </w:rPr>
              <w:t>Foreign</w:t>
            </w:r>
            <w:r>
              <w:rPr>
                <w:rFonts w:ascii="Arial" w:eastAsia="宋体" w:hAnsi="Arial" w:cs="Arial"/>
                <w:b/>
                <w:bCs/>
                <w:color w:val="000000"/>
                <w:sz w:val="16"/>
                <w:szCs w:val="16"/>
              </w:rPr>
              <w:br/>
              <w:t>Currency</w:t>
            </w:r>
            <w:r>
              <w:rPr>
                <w:rFonts w:ascii="Arial" w:eastAsia="宋体" w:hAnsi="Arial" w:cs="Arial"/>
                <w:b/>
                <w:bCs/>
                <w:color w:val="000000"/>
                <w:sz w:val="16"/>
                <w:szCs w:val="16"/>
              </w:rPr>
              <w:br/>
              <w:t>Translation</w:t>
            </w:r>
          </w:p>
        </w:tc>
        <w:tc>
          <w:tcPr>
            <w:tcW w:w="0" w:type="auto"/>
            <w:gridSpan w:val="3"/>
            <w:shd w:val="clear" w:color="auto" w:fill="auto"/>
            <w:tcMar>
              <w:top w:w="0" w:type="dxa"/>
              <w:left w:w="20" w:type="dxa"/>
              <w:bottom w:w="0" w:type="dxa"/>
              <w:right w:w="20" w:type="dxa"/>
            </w:tcMar>
            <w:vAlign w:val="bottom"/>
          </w:tcPr>
          <w:p w14:paraId="64304986"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987" w14:textId="77777777" w:rsidR="009F6D8A" w:rsidRDefault="00C50974">
            <w:pPr>
              <w:jc w:val="center"/>
              <w:textAlignment w:val="bottom"/>
            </w:pPr>
            <w:r>
              <w:rPr>
                <w:rFonts w:ascii="Arial" w:eastAsia="宋体" w:hAnsi="Arial" w:cs="Arial"/>
                <w:b/>
                <w:bCs/>
                <w:color w:val="000000"/>
                <w:sz w:val="16"/>
                <w:szCs w:val="16"/>
              </w:rPr>
              <w:t>Estimated Tax (Expense) Benefit</w:t>
            </w:r>
          </w:p>
        </w:tc>
        <w:tc>
          <w:tcPr>
            <w:tcW w:w="0" w:type="auto"/>
            <w:gridSpan w:val="3"/>
            <w:shd w:val="clear" w:color="auto" w:fill="auto"/>
            <w:tcMar>
              <w:top w:w="0" w:type="dxa"/>
              <w:left w:w="20" w:type="dxa"/>
              <w:bottom w:w="0" w:type="dxa"/>
              <w:right w:w="20" w:type="dxa"/>
            </w:tcMar>
            <w:vAlign w:val="bottom"/>
          </w:tcPr>
          <w:p w14:paraId="64304988"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989" w14:textId="77777777" w:rsidR="009F6D8A" w:rsidRDefault="00C50974">
            <w:pPr>
              <w:jc w:val="center"/>
              <w:textAlignment w:val="bottom"/>
            </w:pPr>
            <w:r>
              <w:rPr>
                <w:rFonts w:ascii="Arial" w:eastAsia="宋体" w:hAnsi="Arial" w:cs="Arial"/>
                <w:b/>
                <w:bCs/>
                <w:color w:val="000000"/>
                <w:sz w:val="16"/>
                <w:szCs w:val="16"/>
              </w:rPr>
              <w:t>Total</w:t>
            </w:r>
          </w:p>
        </w:tc>
      </w:tr>
      <w:tr w:rsidR="009F6D8A" w14:paraId="6430499F" w14:textId="77777777">
        <w:tc>
          <w:tcPr>
            <w:tcW w:w="0" w:type="auto"/>
            <w:gridSpan w:val="3"/>
            <w:shd w:val="clear" w:color="auto" w:fill="E2E2E2"/>
            <w:tcMar>
              <w:top w:w="40" w:type="dxa"/>
              <w:left w:w="20" w:type="dxa"/>
              <w:bottom w:w="40" w:type="dxa"/>
              <w:right w:w="20" w:type="dxa"/>
            </w:tcMar>
            <w:vAlign w:val="bottom"/>
          </w:tcPr>
          <w:p w14:paraId="6430498B" w14:textId="77777777" w:rsidR="009F6D8A" w:rsidRDefault="00C50974">
            <w:pPr>
              <w:textAlignment w:val="bottom"/>
            </w:pPr>
            <w:r>
              <w:rPr>
                <w:rFonts w:ascii="Arial" w:eastAsia="宋体" w:hAnsi="Arial" w:cs="Arial"/>
                <w:color w:val="000000"/>
                <w:sz w:val="18"/>
                <w:szCs w:val="18"/>
              </w:rPr>
              <w:t>Balance as of December 31, 2020</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498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98D" w14:textId="77777777" w:rsidR="009F6D8A" w:rsidRDefault="00C50974">
            <w:pPr>
              <w:jc w:val="right"/>
              <w:textAlignment w:val="bottom"/>
            </w:pPr>
            <w:r>
              <w:rPr>
                <w:rFonts w:ascii="Arial" w:eastAsia="宋体" w:hAnsi="Arial" w:cs="Arial"/>
                <w:color w:val="000000"/>
                <w:sz w:val="18"/>
                <w:szCs w:val="18"/>
              </w:rPr>
              <w:t>(85)</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98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8F"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990"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991" w14:textId="77777777" w:rsidR="009F6D8A" w:rsidRDefault="00C50974">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99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93"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994"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995" w14:textId="77777777" w:rsidR="009F6D8A" w:rsidRDefault="00C50974">
            <w:pPr>
              <w:jc w:val="right"/>
              <w:textAlignment w:val="bottom"/>
            </w:pPr>
            <w:r>
              <w:rPr>
                <w:rFonts w:ascii="Arial" w:eastAsia="宋体" w:hAnsi="Arial" w:cs="Arial"/>
                <w:color w:val="000000"/>
                <w:sz w:val="18"/>
                <w:szCs w:val="18"/>
              </w:rPr>
              <w:t>654 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99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97"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998"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999" w14:textId="77777777" w:rsidR="009F6D8A" w:rsidRDefault="00C50974">
            <w:pPr>
              <w:jc w:val="right"/>
              <w:textAlignment w:val="bottom"/>
            </w:pPr>
            <w:r>
              <w:rPr>
                <w:rFonts w:ascii="Arial" w:eastAsia="宋体" w:hAnsi="Arial" w:cs="Arial"/>
                <w:color w:val="000000"/>
                <w:sz w:val="18"/>
                <w:szCs w:val="18"/>
              </w:rPr>
              <w:t>42 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99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9B"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99C"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99D" w14:textId="77777777" w:rsidR="009F6D8A" w:rsidRDefault="00C50974">
            <w:pPr>
              <w:jc w:val="right"/>
              <w:textAlignment w:val="bottom"/>
            </w:pPr>
            <w:r>
              <w:rPr>
                <w:rFonts w:ascii="Arial" w:eastAsia="宋体" w:hAnsi="Arial" w:cs="Arial"/>
                <w:color w:val="000000"/>
                <w:sz w:val="18"/>
                <w:szCs w:val="18"/>
              </w:rPr>
              <w:t>616 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99E" w14:textId="77777777" w:rsidR="009F6D8A" w:rsidRDefault="009F6D8A">
            <w:pPr>
              <w:jc w:val="right"/>
              <w:rPr>
                <w:rFonts w:ascii="宋体"/>
              </w:rPr>
            </w:pPr>
          </w:p>
        </w:tc>
      </w:tr>
      <w:tr w:rsidR="009F6D8A" w14:paraId="643049AF" w14:textId="77777777">
        <w:tc>
          <w:tcPr>
            <w:tcW w:w="0" w:type="auto"/>
            <w:gridSpan w:val="3"/>
            <w:shd w:val="clear" w:color="auto" w:fill="FFFFFF"/>
            <w:tcMar>
              <w:top w:w="40" w:type="dxa"/>
              <w:left w:w="245" w:type="dxa"/>
              <w:bottom w:w="40" w:type="dxa"/>
              <w:right w:w="20" w:type="dxa"/>
            </w:tcMar>
            <w:vAlign w:val="bottom"/>
          </w:tcPr>
          <w:p w14:paraId="643049A0" w14:textId="77777777" w:rsidR="009F6D8A" w:rsidRDefault="00C50974">
            <w:pPr>
              <w:textAlignment w:val="bottom"/>
            </w:pPr>
            <w:r>
              <w:rPr>
                <w:rFonts w:ascii="Arial" w:eastAsia="宋体" w:hAnsi="Arial" w:cs="Arial"/>
                <w:color w:val="000000"/>
                <w:sz w:val="18"/>
                <w:szCs w:val="18"/>
              </w:rPr>
              <w:t>Other comprehensive income (loss) before reclassificati</w:t>
            </w:r>
            <w:r>
              <w:rPr>
                <w:rFonts w:ascii="Arial" w:eastAsia="宋体" w:hAnsi="Arial" w:cs="Arial"/>
                <w:color w:val="000000"/>
                <w:sz w:val="18"/>
                <w:szCs w:val="18"/>
              </w:rPr>
              <w:t>ons</w:t>
            </w:r>
          </w:p>
        </w:tc>
        <w:tc>
          <w:tcPr>
            <w:tcW w:w="0" w:type="auto"/>
            <w:gridSpan w:val="2"/>
            <w:shd w:val="clear" w:color="auto" w:fill="FFFFFF"/>
            <w:tcMar>
              <w:top w:w="40" w:type="dxa"/>
              <w:left w:w="20" w:type="dxa"/>
              <w:bottom w:w="40" w:type="dxa"/>
              <w:right w:w="0" w:type="dxa"/>
            </w:tcMar>
            <w:vAlign w:val="bottom"/>
          </w:tcPr>
          <w:p w14:paraId="643049A1" w14:textId="77777777" w:rsidR="009F6D8A" w:rsidRDefault="00C50974">
            <w:pPr>
              <w:jc w:val="right"/>
              <w:textAlignment w:val="bottom"/>
            </w:pPr>
            <w:r>
              <w:rPr>
                <w:rFonts w:ascii="Arial" w:eastAsia="宋体" w:hAnsi="Arial" w:cs="Arial"/>
                <w:color w:val="000000"/>
                <w:sz w:val="18"/>
                <w:szCs w:val="18"/>
              </w:rPr>
              <w:t>26 </w:t>
            </w:r>
          </w:p>
        </w:tc>
        <w:tc>
          <w:tcPr>
            <w:tcW w:w="0" w:type="auto"/>
            <w:shd w:val="clear" w:color="auto" w:fill="FFFFFF"/>
            <w:tcMar>
              <w:top w:w="40" w:type="dxa"/>
              <w:left w:w="0" w:type="dxa"/>
              <w:bottom w:w="40" w:type="dxa"/>
              <w:right w:w="20" w:type="dxa"/>
            </w:tcMar>
            <w:vAlign w:val="bottom"/>
          </w:tcPr>
          <w:p w14:paraId="643049A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9A3"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9A4" w14:textId="77777777" w:rsidR="009F6D8A" w:rsidRDefault="00C50974">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643049A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9A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9A7" w14:textId="77777777" w:rsidR="009F6D8A" w:rsidRDefault="00C50974">
            <w:pPr>
              <w:jc w:val="right"/>
              <w:textAlignment w:val="bottom"/>
            </w:pPr>
            <w:r>
              <w:rPr>
                <w:rFonts w:ascii="Arial" w:eastAsia="宋体" w:hAnsi="Arial" w:cs="Arial"/>
                <w:color w:val="000000"/>
                <w:sz w:val="18"/>
                <w:szCs w:val="18"/>
              </w:rPr>
              <w:t>(107)</w:t>
            </w:r>
          </w:p>
        </w:tc>
        <w:tc>
          <w:tcPr>
            <w:tcW w:w="0" w:type="auto"/>
            <w:shd w:val="clear" w:color="auto" w:fill="FFFFFF"/>
            <w:tcMar>
              <w:top w:w="40" w:type="dxa"/>
              <w:left w:w="0" w:type="dxa"/>
              <w:bottom w:w="40" w:type="dxa"/>
              <w:right w:w="20" w:type="dxa"/>
            </w:tcMar>
            <w:vAlign w:val="bottom"/>
          </w:tcPr>
          <w:p w14:paraId="643049A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9A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9AA" w14:textId="77777777" w:rsidR="009F6D8A" w:rsidRDefault="00C50974">
            <w:pPr>
              <w:jc w:val="right"/>
              <w:textAlignment w:val="bottom"/>
            </w:pPr>
            <w:r>
              <w:rPr>
                <w:rFonts w:ascii="Arial" w:eastAsia="宋体" w:hAnsi="Arial" w:cs="Arial"/>
                <w:color w:val="000000"/>
                <w:sz w:val="18"/>
                <w:szCs w:val="18"/>
              </w:rPr>
              <w:t>(5)</w:t>
            </w:r>
          </w:p>
        </w:tc>
        <w:tc>
          <w:tcPr>
            <w:tcW w:w="0" w:type="auto"/>
            <w:shd w:val="clear" w:color="auto" w:fill="FFFFFF"/>
            <w:tcMar>
              <w:top w:w="40" w:type="dxa"/>
              <w:left w:w="0" w:type="dxa"/>
              <w:bottom w:w="40" w:type="dxa"/>
              <w:right w:w="20" w:type="dxa"/>
            </w:tcMar>
            <w:vAlign w:val="bottom"/>
          </w:tcPr>
          <w:p w14:paraId="643049A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9AC"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9AD" w14:textId="77777777" w:rsidR="009F6D8A" w:rsidRDefault="00C50974">
            <w:pPr>
              <w:jc w:val="right"/>
              <w:textAlignment w:val="bottom"/>
            </w:pPr>
            <w:r>
              <w:rPr>
                <w:rFonts w:ascii="Arial" w:eastAsia="宋体" w:hAnsi="Arial" w:cs="Arial"/>
                <w:color w:val="000000"/>
                <w:sz w:val="18"/>
                <w:szCs w:val="18"/>
              </w:rPr>
              <w:t>(90)</w:t>
            </w:r>
          </w:p>
        </w:tc>
        <w:tc>
          <w:tcPr>
            <w:tcW w:w="0" w:type="auto"/>
            <w:shd w:val="clear" w:color="auto" w:fill="FFFFFF"/>
            <w:tcMar>
              <w:top w:w="40" w:type="dxa"/>
              <w:left w:w="0" w:type="dxa"/>
              <w:bottom w:w="40" w:type="dxa"/>
              <w:right w:w="20" w:type="dxa"/>
            </w:tcMar>
            <w:vAlign w:val="bottom"/>
          </w:tcPr>
          <w:p w14:paraId="643049AE" w14:textId="77777777" w:rsidR="009F6D8A" w:rsidRDefault="009F6D8A">
            <w:pPr>
              <w:jc w:val="right"/>
              <w:rPr>
                <w:rFonts w:ascii="宋体"/>
              </w:rPr>
            </w:pPr>
          </w:p>
        </w:tc>
      </w:tr>
      <w:tr w:rsidR="009F6D8A" w14:paraId="643049BF" w14:textId="77777777">
        <w:tc>
          <w:tcPr>
            <w:tcW w:w="0" w:type="auto"/>
            <w:gridSpan w:val="3"/>
            <w:shd w:val="clear" w:color="auto" w:fill="E2E2E2"/>
            <w:tcMar>
              <w:top w:w="40" w:type="dxa"/>
              <w:left w:w="245" w:type="dxa"/>
              <w:bottom w:w="40" w:type="dxa"/>
              <w:right w:w="20" w:type="dxa"/>
            </w:tcMar>
            <w:vAlign w:val="bottom"/>
          </w:tcPr>
          <w:p w14:paraId="643049B0" w14:textId="77777777" w:rsidR="009F6D8A" w:rsidRDefault="00C50974">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643049B1" w14:textId="77777777" w:rsidR="009F6D8A" w:rsidRDefault="00C50974">
            <w:pPr>
              <w:jc w:val="right"/>
              <w:textAlignment w:val="bottom"/>
            </w:pPr>
            <w:r>
              <w:rPr>
                <w:rFonts w:ascii="Arial" w:eastAsia="宋体" w:hAnsi="Arial" w:cs="Arial"/>
                <w:color w:val="000000"/>
                <w:sz w:val="18"/>
                <w:szCs w:val="18"/>
              </w:rPr>
              <w:t>(44)</w:t>
            </w:r>
          </w:p>
        </w:tc>
        <w:tc>
          <w:tcPr>
            <w:tcW w:w="0" w:type="auto"/>
            <w:shd w:val="clear" w:color="auto" w:fill="E2E2E2"/>
            <w:tcMar>
              <w:top w:w="40" w:type="dxa"/>
              <w:left w:w="0" w:type="dxa"/>
              <w:bottom w:w="40" w:type="dxa"/>
              <w:right w:w="20" w:type="dxa"/>
            </w:tcMar>
            <w:vAlign w:val="bottom"/>
          </w:tcPr>
          <w:p w14:paraId="643049B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B3"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9B4"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49B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B6"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9B7"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49B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B9"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9BA" w14:textId="77777777" w:rsidR="009F6D8A" w:rsidRDefault="00C50974">
            <w:pPr>
              <w:jc w:val="right"/>
              <w:textAlignment w:val="bottom"/>
            </w:pPr>
            <w:r>
              <w:rPr>
                <w:rFonts w:ascii="Arial" w:eastAsia="宋体" w:hAnsi="Arial" w:cs="Arial"/>
                <w:color w:val="000000"/>
                <w:sz w:val="18"/>
                <w:szCs w:val="18"/>
              </w:rPr>
              <w:t>10 </w:t>
            </w:r>
          </w:p>
        </w:tc>
        <w:tc>
          <w:tcPr>
            <w:tcW w:w="0" w:type="auto"/>
            <w:shd w:val="clear" w:color="auto" w:fill="E2E2E2"/>
            <w:tcMar>
              <w:top w:w="40" w:type="dxa"/>
              <w:left w:w="0" w:type="dxa"/>
              <w:bottom w:w="40" w:type="dxa"/>
              <w:right w:w="20" w:type="dxa"/>
            </w:tcMar>
            <w:vAlign w:val="bottom"/>
          </w:tcPr>
          <w:p w14:paraId="643049B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BC"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9BD" w14:textId="77777777" w:rsidR="009F6D8A" w:rsidRDefault="00C50974">
            <w:pPr>
              <w:jc w:val="right"/>
              <w:textAlignment w:val="bottom"/>
            </w:pPr>
            <w:r>
              <w:rPr>
                <w:rFonts w:ascii="Arial" w:eastAsia="宋体" w:hAnsi="Arial" w:cs="Arial"/>
                <w:color w:val="000000"/>
                <w:sz w:val="18"/>
                <w:szCs w:val="18"/>
              </w:rPr>
              <w:t>(34)</w:t>
            </w:r>
          </w:p>
        </w:tc>
        <w:tc>
          <w:tcPr>
            <w:tcW w:w="0" w:type="auto"/>
            <w:shd w:val="clear" w:color="auto" w:fill="E2E2E2"/>
            <w:tcMar>
              <w:top w:w="40" w:type="dxa"/>
              <w:left w:w="0" w:type="dxa"/>
              <w:bottom w:w="40" w:type="dxa"/>
              <w:right w:w="20" w:type="dxa"/>
            </w:tcMar>
            <w:vAlign w:val="bottom"/>
          </w:tcPr>
          <w:p w14:paraId="643049BE" w14:textId="77777777" w:rsidR="009F6D8A" w:rsidRDefault="009F6D8A">
            <w:pPr>
              <w:jc w:val="right"/>
              <w:rPr>
                <w:rFonts w:ascii="宋体"/>
              </w:rPr>
            </w:pPr>
          </w:p>
        </w:tc>
      </w:tr>
      <w:tr w:rsidR="009F6D8A" w14:paraId="643049CF" w14:textId="77777777">
        <w:tc>
          <w:tcPr>
            <w:tcW w:w="0" w:type="auto"/>
            <w:gridSpan w:val="3"/>
            <w:shd w:val="clear" w:color="auto" w:fill="FFFFFF"/>
            <w:tcMar>
              <w:top w:w="40" w:type="dxa"/>
              <w:left w:w="20" w:type="dxa"/>
              <w:bottom w:w="40" w:type="dxa"/>
              <w:right w:w="20" w:type="dxa"/>
            </w:tcMar>
            <w:vAlign w:val="bottom"/>
          </w:tcPr>
          <w:p w14:paraId="643049C0" w14:textId="77777777" w:rsidR="009F6D8A" w:rsidRDefault="00C50974">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9C1" w14:textId="77777777" w:rsidR="009F6D8A" w:rsidRDefault="00C50974">
            <w:pPr>
              <w:jc w:val="right"/>
              <w:textAlignment w:val="bottom"/>
            </w:pPr>
            <w:r>
              <w:rPr>
                <w:rFonts w:ascii="Arial" w:eastAsia="宋体" w:hAnsi="Arial" w:cs="Arial"/>
                <w:color w:val="000000"/>
                <w:sz w:val="18"/>
                <w:szCs w:val="18"/>
              </w:rPr>
              <w:t>70 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9C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9C3"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9C4" w14:textId="77777777" w:rsidR="009F6D8A" w:rsidRDefault="00C50974">
            <w:pPr>
              <w:jc w:val="right"/>
              <w:textAlignment w:val="bottom"/>
            </w:pPr>
            <w:r>
              <w:rPr>
                <w:rFonts w:ascii="Arial" w:eastAsia="宋体" w:hAnsi="Arial" w:cs="Arial"/>
                <w:color w:val="000000"/>
                <w:sz w:val="18"/>
                <w:szCs w:val="18"/>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9C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9C6"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9C7" w14:textId="77777777" w:rsidR="009F6D8A" w:rsidRDefault="00C50974">
            <w:pPr>
              <w:jc w:val="right"/>
              <w:textAlignment w:val="bottom"/>
            </w:pPr>
            <w:r>
              <w:rPr>
                <w:rFonts w:ascii="Arial" w:eastAsia="宋体" w:hAnsi="Arial" w:cs="Arial"/>
                <w:color w:val="000000"/>
                <w:sz w:val="18"/>
                <w:szCs w:val="18"/>
              </w:rPr>
              <w:t>(107)</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9C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9C9"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9CA" w14:textId="77777777" w:rsidR="009F6D8A" w:rsidRDefault="00C50974">
            <w:pPr>
              <w:jc w:val="right"/>
              <w:textAlignment w:val="bottom"/>
            </w:pPr>
            <w:r>
              <w:rPr>
                <w:rFonts w:ascii="Arial" w:eastAsia="宋体" w:hAnsi="Arial" w:cs="Arial"/>
                <w:color w:val="000000"/>
                <w:sz w:val="18"/>
                <w:szCs w:val="18"/>
              </w:rPr>
              <w:t>(15)</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9C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9CC"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9CD" w14:textId="77777777" w:rsidR="009F6D8A" w:rsidRDefault="00C50974">
            <w:pPr>
              <w:jc w:val="right"/>
              <w:textAlignment w:val="bottom"/>
            </w:pPr>
            <w:r>
              <w:rPr>
                <w:rFonts w:ascii="Arial" w:eastAsia="宋体" w:hAnsi="Arial" w:cs="Arial"/>
                <w:color w:val="000000"/>
                <w:sz w:val="18"/>
                <w:szCs w:val="18"/>
              </w:rPr>
              <w:t>(56)</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9CE" w14:textId="77777777" w:rsidR="009F6D8A" w:rsidRDefault="009F6D8A">
            <w:pPr>
              <w:jc w:val="right"/>
              <w:rPr>
                <w:rFonts w:ascii="宋体"/>
              </w:rPr>
            </w:pPr>
          </w:p>
        </w:tc>
      </w:tr>
      <w:tr w:rsidR="009F6D8A" w14:paraId="643049E4" w14:textId="77777777">
        <w:tc>
          <w:tcPr>
            <w:tcW w:w="0" w:type="auto"/>
            <w:gridSpan w:val="3"/>
            <w:shd w:val="clear" w:color="auto" w:fill="E2E2E2"/>
            <w:tcMar>
              <w:top w:w="40" w:type="dxa"/>
              <w:left w:w="20" w:type="dxa"/>
              <w:bottom w:w="40" w:type="dxa"/>
              <w:right w:w="20" w:type="dxa"/>
            </w:tcMar>
            <w:vAlign w:val="bottom"/>
          </w:tcPr>
          <w:p w14:paraId="643049D0" w14:textId="77777777" w:rsidR="009F6D8A" w:rsidRDefault="00C50974">
            <w:pPr>
              <w:textAlignment w:val="bottom"/>
            </w:pPr>
            <w:r>
              <w:rPr>
                <w:rFonts w:ascii="Arial" w:eastAsia="宋体" w:hAnsi="Arial" w:cs="Arial"/>
                <w:color w:val="000000"/>
                <w:sz w:val="18"/>
                <w:szCs w:val="18"/>
              </w:rPr>
              <w:t>Balance as of June 30, 2021</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9D1"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9D2" w14:textId="77777777" w:rsidR="009F6D8A" w:rsidRDefault="00C50974">
            <w:pPr>
              <w:jc w:val="right"/>
              <w:textAlignment w:val="bottom"/>
            </w:pPr>
            <w:r>
              <w:rPr>
                <w:rFonts w:ascii="Arial" w:eastAsia="宋体" w:hAnsi="Arial" w:cs="Arial"/>
                <w:color w:val="000000"/>
                <w:sz w:val="18"/>
                <w:szCs w:val="18"/>
              </w:rPr>
              <w:t>(15)</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9D3"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D4"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9D5"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9D6" w14:textId="77777777" w:rsidR="009F6D8A" w:rsidRDefault="00C50974">
            <w:pPr>
              <w:jc w:val="right"/>
              <w:textAlignment w:val="bottom"/>
            </w:pPr>
            <w:r>
              <w:rPr>
                <w:rFonts w:ascii="Arial" w:eastAsia="宋体" w:hAnsi="Arial" w:cs="Arial"/>
                <w:color w:val="000000"/>
                <w:sz w:val="18"/>
                <w:szCs w:val="18"/>
              </w:rPr>
              <w:t>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9D7"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D8"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9D9"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9DA" w14:textId="77777777" w:rsidR="009F6D8A" w:rsidRDefault="00C50974">
            <w:pPr>
              <w:jc w:val="right"/>
              <w:textAlignment w:val="bottom"/>
            </w:pPr>
            <w:r>
              <w:rPr>
                <w:rFonts w:ascii="Arial" w:eastAsia="宋体" w:hAnsi="Arial" w:cs="Arial"/>
                <w:color w:val="000000"/>
                <w:sz w:val="18"/>
                <w:szCs w:val="18"/>
              </w:rPr>
              <w:t>547 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9D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DC"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9DD"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9DE" w14:textId="77777777" w:rsidR="009F6D8A" w:rsidRDefault="00C50974">
            <w:pPr>
              <w:jc w:val="right"/>
              <w:textAlignment w:val="bottom"/>
            </w:pPr>
            <w:r>
              <w:rPr>
                <w:rFonts w:ascii="Arial" w:eastAsia="宋体" w:hAnsi="Arial" w:cs="Arial"/>
                <w:color w:val="000000"/>
                <w:sz w:val="18"/>
                <w:szCs w:val="18"/>
              </w:rPr>
              <w:t>27 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9D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9E0"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9E1"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9E2" w14:textId="77777777" w:rsidR="009F6D8A" w:rsidRDefault="00C50974">
            <w:pPr>
              <w:jc w:val="right"/>
              <w:textAlignment w:val="bottom"/>
            </w:pPr>
            <w:r>
              <w:rPr>
                <w:rFonts w:ascii="Arial" w:eastAsia="宋体" w:hAnsi="Arial" w:cs="Arial"/>
                <w:color w:val="000000"/>
                <w:sz w:val="18"/>
                <w:szCs w:val="18"/>
              </w:rPr>
              <w:t>560 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9E3" w14:textId="77777777" w:rsidR="009F6D8A" w:rsidRDefault="009F6D8A">
            <w:pPr>
              <w:jc w:val="right"/>
              <w:rPr>
                <w:rFonts w:ascii="宋体"/>
              </w:rPr>
            </w:pPr>
          </w:p>
        </w:tc>
      </w:tr>
    </w:tbl>
    <w:p w14:paraId="643049E5" w14:textId="77777777" w:rsidR="009F6D8A" w:rsidRDefault="009F6D8A"/>
    <w:tbl>
      <w:tblPr>
        <w:tblW w:w="4985" w:type="pct"/>
        <w:jc w:val="center"/>
        <w:tblCellMar>
          <w:top w:w="15" w:type="dxa"/>
          <w:left w:w="15" w:type="dxa"/>
          <w:bottom w:w="15" w:type="dxa"/>
          <w:right w:w="15" w:type="dxa"/>
        </w:tblCellMar>
        <w:tblLook w:val="04A0" w:firstRow="1" w:lastRow="0" w:firstColumn="1" w:lastColumn="0" w:noHBand="0" w:noVBand="1"/>
      </w:tblPr>
      <w:tblGrid>
        <w:gridCol w:w="43"/>
        <w:gridCol w:w="2879"/>
        <w:gridCol w:w="37"/>
        <w:gridCol w:w="122"/>
        <w:gridCol w:w="941"/>
        <w:gridCol w:w="36"/>
        <w:gridCol w:w="36"/>
        <w:gridCol w:w="36"/>
        <w:gridCol w:w="36"/>
        <w:gridCol w:w="122"/>
        <w:gridCol w:w="890"/>
        <w:gridCol w:w="36"/>
        <w:gridCol w:w="36"/>
        <w:gridCol w:w="36"/>
        <w:gridCol w:w="36"/>
        <w:gridCol w:w="122"/>
        <w:gridCol w:w="814"/>
        <w:gridCol w:w="36"/>
        <w:gridCol w:w="36"/>
        <w:gridCol w:w="36"/>
        <w:gridCol w:w="36"/>
        <w:gridCol w:w="122"/>
        <w:gridCol w:w="737"/>
        <w:gridCol w:w="36"/>
        <w:gridCol w:w="36"/>
        <w:gridCol w:w="36"/>
        <w:gridCol w:w="36"/>
        <w:gridCol w:w="121"/>
        <w:gridCol w:w="749"/>
        <w:gridCol w:w="36"/>
      </w:tblGrid>
      <w:tr w:rsidR="009F6D8A" w14:paraId="64304A04" w14:textId="77777777">
        <w:trPr>
          <w:jc w:val="center"/>
        </w:trPr>
        <w:tc>
          <w:tcPr>
            <w:tcW w:w="50" w:type="pct"/>
            <w:shd w:val="clear" w:color="auto" w:fill="auto"/>
            <w:vAlign w:val="bottom"/>
          </w:tcPr>
          <w:p w14:paraId="643049E6" w14:textId="77777777" w:rsidR="009F6D8A" w:rsidRDefault="009F6D8A">
            <w:pPr>
              <w:rPr>
                <w:rFonts w:ascii="宋体"/>
              </w:rPr>
            </w:pPr>
          </w:p>
        </w:tc>
        <w:tc>
          <w:tcPr>
            <w:tcW w:w="1770" w:type="pct"/>
            <w:shd w:val="clear" w:color="auto" w:fill="auto"/>
            <w:vAlign w:val="bottom"/>
          </w:tcPr>
          <w:p w14:paraId="643049E7" w14:textId="77777777" w:rsidR="009F6D8A" w:rsidRDefault="009F6D8A">
            <w:pPr>
              <w:rPr>
                <w:rFonts w:ascii="宋体"/>
              </w:rPr>
            </w:pPr>
          </w:p>
        </w:tc>
        <w:tc>
          <w:tcPr>
            <w:tcW w:w="5" w:type="pct"/>
            <w:shd w:val="clear" w:color="auto" w:fill="auto"/>
            <w:vAlign w:val="bottom"/>
          </w:tcPr>
          <w:p w14:paraId="643049E8" w14:textId="77777777" w:rsidR="009F6D8A" w:rsidRDefault="009F6D8A">
            <w:pPr>
              <w:rPr>
                <w:rFonts w:ascii="宋体"/>
              </w:rPr>
            </w:pPr>
          </w:p>
        </w:tc>
        <w:tc>
          <w:tcPr>
            <w:tcW w:w="50" w:type="pct"/>
            <w:shd w:val="clear" w:color="auto" w:fill="auto"/>
            <w:vAlign w:val="bottom"/>
          </w:tcPr>
          <w:p w14:paraId="643049E9" w14:textId="77777777" w:rsidR="009F6D8A" w:rsidRDefault="009F6D8A">
            <w:pPr>
              <w:rPr>
                <w:rFonts w:ascii="宋体"/>
              </w:rPr>
            </w:pPr>
          </w:p>
        </w:tc>
        <w:tc>
          <w:tcPr>
            <w:tcW w:w="597" w:type="pct"/>
            <w:shd w:val="clear" w:color="auto" w:fill="auto"/>
            <w:vAlign w:val="bottom"/>
          </w:tcPr>
          <w:p w14:paraId="643049EA" w14:textId="77777777" w:rsidR="009F6D8A" w:rsidRDefault="009F6D8A">
            <w:pPr>
              <w:rPr>
                <w:rFonts w:ascii="宋体"/>
              </w:rPr>
            </w:pPr>
          </w:p>
        </w:tc>
        <w:tc>
          <w:tcPr>
            <w:tcW w:w="5" w:type="pct"/>
            <w:shd w:val="clear" w:color="auto" w:fill="auto"/>
            <w:vAlign w:val="bottom"/>
          </w:tcPr>
          <w:p w14:paraId="643049EB" w14:textId="77777777" w:rsidR="009F6D8A" w:rsidRDefault="009F6D8A">
            <w:pPr>
              <w:rPr>
                <w:rFonts w:ascii="宋体"/>
              </w:rPr>
            </w:pPr>
          </w:p>
        </w:tc>
        <w:tc>
          <w:tcPr>
            <w:tcW w:w="5" w:type="pct"/>
            <w:shd w:val="clear" w:color="auto" w:fill="auto"/>
            <w:vAlign w:val="bottom"/>
          </w:tcPr>
          <w:p w14:paraId="643049EC" w14:textId="77777777" w:rsidR="009F6D8A" w:rsidRDefault="009F6D8A">
            <w:pPr>
              <w:rPr>
                <w:rFonts w:ascii="宋体"/>
              </w:rPr>
            </w:pPr>
          </w:p>
        </w:tc>
        <w:tc>
          <w:tcPr>
            <w:tcW w:w="26" w:type="pct"/>
            <w:shd w:val="clear" w:color="auto" w:fill="auto"/>
            <w:vAlign w:val="bottom"/>
          </w:tcPr>
          <w:p w14:paraId="643049ED" w14:textId="77777777" w:rsidR="009F6D8A" w:rsidRDefault="009F6D8A">
            <w:pPr>
              <w:rPr>
                <w:rFonts w:ascii="宋体"/>
              </w:rPr>
            </w:pPr>
          </w:p>
        </w:tc>
        <w:tc>
          <w:tcPr>
            <w:tcW w:w="5" w:type="pct"/>
            <w:shd w:val="clear" w:color="auto" w:fill="auto"/>
            <w:vAlign w:val="bottom"/>
          </w:tcPr>
          <w:p w14:paraId="643049EE" w14:textId="77777777" w:rsidR="009F6D8A" w:rsidRDefault="009F6D8A">
            <w:pPr>
              <w:rPr>
                <w:rFonts w:ascii="宋体"/>
              </w:rPr>
            </w:pPr>
          </w:p>
        </w:tc>
        <w:tc>
          <w:tcPr>
            <w:tcW w:w="50" w:type="pct"/>
            <w:shd w:val="clear" w:color="auto" w:fill="auto"/>
            <w:vAlign w:val="bottom"/>
          </w:tcPr>
          <w:p w14:paraId="643049EF" w14:textId="77777777" w:rsidR="009F6D8A" w:rsidRDefault="009F6D8A">
            <w:pPr>
              <w:rPr>
                <w:rFonts w:ascii="宋体"/>
              </w:rPr>
            </w:pPr>
          </w:p>
        </w:tc>
        <w:tc>
          <w:tcPr>
            <w:tcW w:w="582" w:type="pct"/>
            <w:shd w:val="clear" w:color="auto" w:fill="auto"/>
            <w:vAlign w:val="bottom"/>
          </w:tcPr>
          <w:p w14:paraId="643049F0" w14:textId="77777777" w:rsidR="009F6D8A" w:rsidRDefault="009F6D8A">
            <w:pPr>
              <w:rPr>
                <w:rFonts w:ascii="宋体"/>
              </w:rPr>
            </w:pPr>
          </w:p>
        </w:tc>
        <w:tc>
          <w:tcPr>
            <w:tcW w:w="5" w:type="pct"/>
            <w:shd w:val="clear" w:color="auto" w:fill="auto"/>
            <w:vAlign w:val="bottom"/>
          </w:tcPr>
          <w:p w14:paraId="643049F1" w14:textId="77777777" w:rsidR="009F6D8A" w:rsidRDefault="009F6D8A">
            <w:pPr>
              <w:rPr>
                <w:rFonts w:ascii="宋体"/>
              </w:rPr>
            </w:pPr>
          </w:p>
        </w:tc>
        <w:tc>
          <w:tcPr>
            <w:tcW w:w="5" w:type="pct"/>
            <w:shd w:val="clear" w:color="auto" w:fill="auto"/>
            <w:vAlign w:val="bottom"/>
          </w:tcPr>
          <w:p w14:paraId="643049F2" w14:textId="77777777" w:rsidR="009F6D8A" w:rsidRDefault="009F6D8A">
            <w:pPr>
              <w:rPr>
                <w:rFonts w:ascii="宋体"/>
              </w:rPr>
            </w:pPr>
          </w:p>
        </w:tc>
        <w:tc>
          <w:tcPr>
            <w:tcW w:w="26" w:type="pct"/>
            <w:shd w:val="clear" w:color="auto" w:fill="auto"/>
            <w:vAlign w:val="bottom"/>
          </w:tcPr>
          <w:p w14:paraId="643049F3" w14:textId="77777777" w:rsidR="009F6D8A" w:rsidRDefault="009F6D8A">
            <w:pPr>
              <w:rPr>
                <w:rFonts w:ascii="宋体"/>
              </w:rPr>
            </w:pPr>
          </w:p>
        </w:tc>
        <w:tc>
          <w:tcPr>
            <w:tcW w:w="5" w:type="pct"/>
            <w:shd w:val="clear" w:color="auto" w:fill="auto"/>
            <w:vAlign w:val="bottom"/>
          </w:tcPr>
          <w:p w14:paraId="643049F4" w14:textId="77777777" w:rsidR="009F6D8A" w:rsidRDefault="009F6D8A">
            <w:pPr>
              <w:rPr>
                <w:rFonts w:ascii="宋体"/>
              </w:rPr>
            </w:pPr>
          </w:p>
        </w:tc>
        <w:tc>
          <w:tcPr>
            <w:tcW w:w="50" w:type="pct"/>
            <w:shd w:val="clear" w:color="auto" w:fill="auto"/>
            <w:vAlign w:val="bottom"/>
          </w:tcPr>
          <w:p w14:paraId="643049F5" w14:textId="77777777" w:rsidR="009F6D8A" w:rsidRDefault="009F6D8A">
            <w:pPr>
              <w:rPr>
                <w:rFonts w:ascii="宋体"/>
              </w:rPr>
            </w:pPr>
          </w:p>
        </w:tc>
        <w:tc>
          <w:tcPr>
            <w:tcW w:w="509" w:type="pct"/>
            <w:shd w:val="clear" w:color="auto" w:fill="auto"/>
            <w:vAlign w:val="bottom"/>
          </w:tcPr>
          <w:p w14:paraId="643049F6" w14:textId="77777777" w:rsidR="009F6D8A" w:rsidRDefault="009F6D8A">
            <w:pPr>
              <w:rPr>
                <w:rFonts w:ascii="宋体"/>
              </w:rPr>
            </w:pPr>
          </w:p>
        </w:tc>
        <w:tc>
          <w:tcPr>
            <w:tcW w:w="5" w:type="pct"/>
            <w:shd w:val="clear" w:color="auto" w:fill="auto"/>
            <w:vAlign w:val="bottom"/>
          </w:tcPr>
          <w:p w14:paraId="643049F7" w14:textId="77777777" w:rsidR="009F6D8A" w:rsidRDefault="009F6D8A">
            <w:pPr>
              <w:rPr>
                <w:rFonts w:ascii="宋体"/>
              </w:rPr>
            </w:pPr>
          </w:p>
        </w:tc>
        <w:tc>
          <w:tcPr>
            <w:tcW w:w="5" w:type="pct"/>
            <w:shd w:val="clear" w:color="auto" w:fill="auto"/>
            <w:vAlign w:val="bottom"/>
          </w:tcPr>
          <w:p w14:paraId="643049F8" w14:textId="77777777" w:rsidR="009F6D8A" w:rsidRDefault="009F6D8A">
            <w:pPr>
              <w:rPr>
                <w:rFonts w:ascii="宋体"/>
              </w:rPr>
            </w:pPr>
          </w:p>
        </w:tc>
        <w:tc>
          <w:tcPr>
            <w:tcW w:w="26" w:type="pct"/>
            <w:shd w:val="clear" w:color="auto" w:fill="auto"/>
            <w:vAlign w:val="bottom"/>
          </w:tcPr>
          <w:p w14:paraId="643049F9" w14:textId="77777777" w:rsidR="009F6D8A" w:rsidRDefault="009F6D8A">
            <w:pPr>
              <w:rPr>
                <w:rFonts w:ascii="宋体"/>
              </w:rPr>
            </w:pPr>
          </w:p>
        </w:tc>
        <w:tc>
          <w:tcPr>
            <w:tcW w:w="5" w:type="pct"/>
            <w:shd w:val="clear" w:color="auto" w:fill="auto"/>
            <w:vAlign w:val="bottom"/>
          </w:tcPr>
          <w:p w14:paraId="643049FA" w14:textId="77777777" w:rsidR="009F6D8A" w:rsidRDefault="009F6D8A">
            <w:pPr>
              <w:rPr>
                <w:rFonts w:ascii="宋体"/>
              </w:rPr>
            </w:pPr>
          </w:p>
        </w:tc>
        <w:tc>
          <w:tcPr>
            <w:tcW w:w="50" w:type="pct"/>
            <w:shd w:val="clear" w:color="auto" w:fill="auto"/>
            <w:vAlign w:val="bottom"/>
          </w:tcPr>
          <w:p w14:paraId="643049FB" w14:textId="77777777" w:rsidR="009F6D8A" w:rsidRDefault="009F6D8A">
            <w:pPr>
              <w:rPr>
                <w:rFonts w:ascii="宋体"/>
              </w:rPr>
            </w:pPr>
          </w:p>
        </w:tc>
        <w:tc>
          <w:tcPr>
            <w:tcW w:w="553" w:type="pct"/>
            <w:shd w:val="clear" w:color="auto" w:fill="auto"/>
            <w:vAlign w:val="bottom"/>
          </w:tcPr>
          <w:p w14:paraId="643049FC" w14:textId="77777777" w:rsidR="009F6D8A" w:rsidRDefault="009F6D8A">
            <w:pPr>
              <w:rPr>
                <w:rFonts w:ascii="宋体"/>
              </w:rPr>
            </w:pPr>
          </w:p>
        </w:tc>
        <w:tc>
          <w:tcPr>
            <w:tcW w:w="5" w:type="pct"/>
            <w:shd w:val="clear" w:color="auto" w:fill="auto"/>
            <w:vAlign w:val="bottom"/>
          </w:tcPr>
          <w:p w14:paraId="643049FD" w14:textId="77777777" w:rsidR="009F6D8A" w:rsidRDefault="009F6D8A">
            <w:pPr>
              <w:rPr>
                <w:rFonts w:ascii="宋体"/>
              </w:rPr>
            </w:pPr>
          </w:p>
        </w:tc>
        <w:tc>
          <w:tcPr>
            <w:tcW w:w="5" w:type="pct"/>
            <w:shd w:val="clear" w:color="auto" w:fill="auto"/>
            <w:vAlign w:val="bottom"/>
          </w:tcPr>
          <w:p w14:paraId="643049FE" w14:textId="77777777" w:rsidR="009F6D8A" w:rsidRDefault="009F6D8A">
            <w:pPr>
              <w:rPr>
                <w:rFonts w:ascii="宋体"/>
              </w:rPr>
            </w:pPr>
          </w:p>
        </w:tc>
        <w:tc>
          <w:tcPr>
            <w:tcW w:w="26" w:type="pct"/>
            <w:shd w:val="clear" w:color="auto" w:fill="auto"/>
            <w:vAlign w:val="bottom"/>
          </w:tcPr>
          <w:p w14:paraId="643049FF" w14:textId="77777777" w:rsidR="009F6D8A" w:rsidRDefault="009F6D8A">
            <w:pPr>
              <w:rPr>
                <w:rFonts w:ascii="宋体"/>
              </w:rPr>
            </w:pPr>
          </w:p>
        </w:tc>
        <w:tc>
          <w:tcPr>
            <w:tcW w:w="5" w:type="pct"/>
            <w:shd w:val="clear" w:color="auto" w:fill="auto"/>
            <w:vAlign w:val="bottom"/>
          </w:tcPr>
          <w:p w14:paraId="64304A00" w14:textId="77777777" w:rsidR="009F6D8A" w:rsidRDefault="009F6D8A">
            <w:pPr>
              <w:rPr>
                <w:rFonts w:ascii="宋体"/>
              </w:rPr>
            </w:pPr>
          </w:p>
        </w:tc>
        <w:tc>
          <w:tcPr>
            <w:tcW w:w="50" w:type="pct"/>
            <w:shd w:val="clear" w:color="auto" w:fill="auto"/>
            <w:vAlign w:val="bottom"/>
          </w:tcPr>
          <w:p w14:paraId="64304A01" w14:textId="77777777" w:rsidR="009F6D8A" w:rsidRDefault="009F6D8A">
            <w:pPr>
              <w:rPr>
                <w:rFonts w:ascii="宋体"/>
              </w:rPr>
            </w:pPr>
          </w:p>
        </w:tc>
        <w:tc>
          <w:tcPr>
            <w:tcW w:w="509" w:type="pct"/>
            <w:shd w:val="clear" w:color="auto" w:fill="auto"/>
            <w:vAlign w:val="bottom"/>
          </w:tcPr>
          <w:p w14:paraId="64304A02" w14:textId="77777777" w:rsidR="009F6D8A" w:rsidRDefault="009F6D8A">
            <w:pPr>
              <w:rPr>
                <w:rFonts w:ascii="宋体"/>
              </w:rPr>
            </w:pPr>
          </w:p>
        </w:tc>
        <w:tc>
          <w:tcPr>
            <w:tcW w:w="5" w:type="pct"/>
            <w:shd w:val="clear" w:color="auto" w:fill="auto"/>
            <w:vAlign w:val="bottom"/>
          </w:tcPr>
          <w:p w14:paraId="64304A03" w14:textId="77777777" w:rsidR="009F6D8A" w:rsidRDefault="009F6D8A">
            <w:pPr>
              <w:rPr>
                <w:rFonts w:ascii="宋体"/>
              </w:rPr>
            </w:pPr>
          </w:p>
        </w:tc>
      </w:tr>
      <w:tr w:rsidR="009F6D8A" w14:paraId="64304A0F" w14:textId="77777777">
        <w:trPr>
          <w:jc w:val="center"/>
        </w:trPr>
        <w:tc>
          <w:tcPr>
            <w:tcW w:w="0" w:type="auto"/>
            <w:gridSpan w:val="3"/>
            <w:shd w:val="clear" w:color="auto" w:fill="auto"/>
            <w:tcMar>
              <w:top w:w="0" w:type="dxa"/>
              <w:left w:w="20" w:type="dxa"/>
              <w:bottom w:w="0" w:type="dxa"/>
              <w:right w:w="20" w:type="dxa"/>
            </w:tcMar>
            <w:vAlign w:val="bottom"/>
          </w:tcPr>
          <w:p w14:paraId="64304A05"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A06" w14:textId="77777777" w:rsidR="009F6D8A" w:rsidRDefault="00C50974">
            <w:pPr>
              <w:jc w:val="center"/>
              <w:textAlignment w:val="bottom"/>
            </w:pPr>
            <w:r>
              <w:rPr>
                <w:rFonts w:ascii="Arial" w:eastAsia="宋体" w:hAnsi="Arial" w:cs="Arial"/>
                <w:b/>
                <w:bCs/>
                <w:color w:val="000000"/>
                <w:sz w:val="16"/>
                <w:szCs w:val="16"/>
              </w:rPr>
              <w:t>Unrealized Gains (Losses) on Derivative Instruments</w:t>
            </w:r>
          </w:p>
        </w:tc>
        <w:tc>
          <w:tcPr>
            <w:tcW w:w="0" w:type="auto"/>
            <w:gridSpan w:val="3"/>
            <w:shd w:val="clear" w:color="auto" w:fill="auto"/>
            <w:tcMar>
              <w:top w:w="0" w:type="dxa"/>
              <w:left w:w="20" w:type="dxa"/>
              <w:bottom w:w="0" w:type="dxa"/>
              <w:right w:w="20" w:type="dxa"/>
            </w:tcMar>
            <w:vAlign w:val="bottom"/>
          </w:tcPr>
          <w:p w14:paraId="64304A07"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A08" w14:textId="77777777" w:rsidR="009F6D8A" w:rsidRDefault="00C50974">
            <w:pPr>
              <w:jc w:val="center"/>
              <w:textAlignment w:val="bottom"/>
            </w:pPr>
            <w:r>
              <w:rPr>
                <w:rFonts w:ascii="Arial" w:eastAsia="宋体" w:hAnsi="Arial" w:cs="Arial"/>
                <w:b/>
                <w:bCs/>
                <w:color w:val="000000"/>
                <w:sz w:val="16"/>
                <w:szCs w:val="16"/>
              </w:rPr>
              <w:t>Unrealized</w:t>
            </w:r>
            <w:r>
              <w:rPr>
                <w:rFonts w:ascii="Arial" w:eastAsia="宋体" w:hAnsi="Arial" w:cs="Arial"/>
                <w:b/>
                <w:bCs/>
                <w:color w:val="000000"/>
                <w:sz w:val="16"/>
                <w:szCs w:val="16"/>
              </w:rPr>
              <w:br/>
              <w:t>Gains (Losses) on</w:t>
            </w:r>
            <w:r>
              <w:rPr>
                <w:rFonts w:ascii="Arial" w:eastAsia="宋体" w:hAnsi="Arial" w:cs="Arial"/>
                <w:b/>
                <w:bCs/>
                <w:color w:val="000000"/>
                <w:sz w:val="16"/>
                <w:szCs w:val="16"/>
              </w:rPr>
              <w:br/>
              <w:t>Investments</w:t>
            </w:r>
          </w:p>
        </w:tc>
        <w:tc>
          <w:tcPr>
            <w:tcW w:w="0" w:type="auto"/>
            <w:gridSpan w:val="3"/>
            <w:shd w:val="clear" w:color="auto" w:fill="auto"/>
            <w:tcMar>
              <w:top w:w="0" w:type="dxa"/>
              <w:left w:w="20" w:type="dxa"/>
              <w:bottom w:w="0" w:type="dxa"/>
              <w:right w:w="20" w:type="dxa"/>
            </w:tcMar>
            <w:vAlign w:val="bottom"/>
          </w:tcPr>
          <w:p w14:paraId="64304A09"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A0A" w14:textId="77777777" w:rsidR="009F6D8A" w:rsidRDefault="00C50974">
            <w:pPr>
              <w:jc w:val="center"/>
              <w:textAlignment w:val="bottom"/>
            </w:pPr>
            <w:r>
              <w:rPr>
                <w:rFonts w:ascii="Arial" w:eastAsia="宋体" w:hAnsi="Arial" w:cs="Arial"/>
                <w:b/>
                <w:bCs/>
                <w:color w:val="000000"/>
                <w:sz w:val="16"/>
                <w:szCs w:val="16"/>
              </w:rPr>
              <w:t>Foreign</w:t>
            </w:r>
            <w:r>
              <w:rPr>
                <w:rFonts w:ascii="Arial" w:eastAsia="宋体" w:hAnsi="Arial" w:cs="Arial"/>
                <w:b/>
                <w:bCs/>
                <w:color w:val="000000"/>
                <w:sz w:val="16"/>
                <w:szCs w:val="16"/>
              </w:rPr>
              <w:br/>
              <w:t>Currency</w:t>
            </w:r>
            <w:r>
              <w:rPr>
                <w:rFonts w:ascii="Arial" w:eastAsia="宋体" w:hAnsi="Arial" w:cs="Arial"/>
                <w:b/>
                <w:bCs/>
                <w:color w:val="000000"/>
                <w:sz w:val="16"/>
                <w:szCs w:val="16"/>
              </w:rPr>
              <w:br/>
              <w:t>Translation</w:t>
            </w:r>
          </w:p>
        </w:tc>
        <w:tc>
          <w:tcPr>
            <w:tcW w:w="0" w:type="auto"/>
            <w:gridSpan w:val="3"/>
            <w:shd w:val="clear" w:color="auto" w:fill="auto"/>
            <w:tcMar>
              <w:top w:w="0" w:type="dxa"/>
              <w:left w:w="20" w:type="dxa"/>
              <w:bottom w:w="0" w:type="dxa"/>
              <w:right w:w="20" w:type="dxa"/>
            </w:tcMar>
            <w:vAlign w:val="bottom"/>
          </w:tcPr>
          <w:p w14:paraId="64304A0B"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A0C" w14:textId="77777777" w:rsidR="009F6D8A" w:rsidRDefault="00C50974">
            <w:pPr>
              <w:jc w:val="center"/>
              <w:textAlignment w:val="bottom"/>
            </w:pPr>
            <w:r>
              <w:rPr>
                <w:rFonts w:ascii="Arial" w:eastAsia="宋体" w:hAnsi="Arial" w:cs="Arial"/>
                <w:b/>
                <w:bCs/>
                <w:color w:val="000000"/>
                <w:sz w:val="16"/>
                <w:szCs w:val="16"/>
              </w:rPr>
              <w:t>Estimated Tax (Expense) Benefit</w:t>
            </w:r>
          </w:p>
        </w:tc>
        <w:tc>
          <w:tcPr>
            <w:tcW w:w="0" w:type="auto"/>
            <w:gridSpan w:val="3"/>
            <w:shd w:val="clear" w:color="auto" w:fill="auto"/>
            <w:tcMar>
              <w:top w:w="0" w:type="dxa"/>
              <w:left w:w="20" w:type="dxa"/>
              <w:bottom w:w="0" w:type="dxa"/>
              <w:right w:w="20" w:type="dxa"/>
            </w:tcMar>
            <w:vAlign w:val="bottom"/>
          </w:tcPr>
          <w:p w14:paraId="64304A0D"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A0E" w14:textId="77777777" w:rsidR="009F6D8A" w:rsidRDefault="00C50974">
            <w:pPr>
              <w:jc w:val="center"/>
              <w:textAlignment w:val="bottom"/>
            </w:pPr>
            <w:r>
              <w:rPr>
                <w:rFonts w:ascii="Arial" w:eastAsia="宋体" w:hAnsi="Arial" w:cs="Arial"/>
                <w:b/>
                <w:bCs/>
                <w:color w:val="000000"/>
                <w:sz w:val="16"/>
                <w:szCs w:val="16"/>
              </w:rPr>
              <w:t>Total</w:t>
            </w:r>
          </w:p>
        </w:tc>
      </w:tr>
      <w:tr w:rsidR="009F6D8A" w14:paraId="64304A24" w14:textId="77777777">
        <w:trPr>
          <w:jc w:val="center"/>
        </w:trPr>
        <w:tc>
          <w:tcPr>
            <w:tcW w:w="0" w:type="auto"/>
            <w:gridSpan w:val="3"/>
            <w:shd w:val="clear" w:color="auto" w:fill="E2E2E2"/>
            <w:tcMar>
              <w:top w:w="40" w:type="dxa"/>
              <w:left w:w="20" w:type="dxa"/>
              <w:bottom w:w="40" w:type="dxa"/>
              <w:right w:w="20" w:type="dxa"/>
            </w:tcMar>
            <w:vAlign w:val="bottom"/>
          </w:tcPr>
          <w:p w14:paraId="64304A10" w14:textId="77777777" w:rsidR="009F6D8A" w:rsidRDefault="00C50974">
            <w:pPr>
              <w:textAlignment w:val="bottom"/>
            </w:pPr>
            <w:r>
              <w:rPr>
                <w:rFonts w:ascii="Arial" w:eastAsia="宋体" w:hAnsi="Arial" w:cs="Arial"/>
                <w:color w:val="000000"/>
                <w:sz w:val="18"/>
                <w:szCs w:val="18"/>
              </w:rPr>
              <w:t>Balance as of December 31, 2019</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4A11"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A12" w14:textId="77777777" w:rsidR="009F6D8A" w:rsidRDefault="00C50974">
            <w:pPr>
              <w:jc w:val="right"/>
              <w:textAlignment w:val="bottom"/>
            </w:pPr>
            <w:r>
              <w:rPr>
                <w:rFonts w:ascii="Arial" w:eastAsia="宋体" w:hAnsi="Arial" w:cs="Arial"/>
                <w:color w:val="000000"/>
                <w:sz w:val="18"/>
                <w:szCs w:val="18"/>
              </w:rPr>
              <w:t>(9)</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A13"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A14"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A15"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A16" w14:textId="77777777" w:rsidR="009F6D8A" w:rsidRDefault="00C50974">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A17"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A18"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A19"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A1A" w14:textId="77777777" w:rsidR="009F6D8A" w:rsidRDefault="00C50974">
            <w:pPr>
              <w:jc w:val="right"/>
              <w:textAlignment w:val="bottom"/>
            </w:pPr>
            <w:r>
              <w:rPr>
                <w:rFonts w:ascii="Arial" w:eastAsia="宋体" w:hAnsi="Arial" w:cs="Arial"/>
                <w:color w:val="000000"/>
                <w:sz w:val="18"/>
                <w:szCs w:val="18"/>
              </w:rPr>
              <w:t>363 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A1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A1C"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A1D"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A1E" w14:textId="77777777" w:rsidR="009F6D8A" w:rsidRDefault="00C50974">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A1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A20"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4A21"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4A22" w14:textId="77777777" w:rsidR="009F6D8A" w:rsidRDefault="00C50974">
            <w:pPr>
              <w:jc w:val="right"/>
              <w:textAlignment w:val="bottom"/>
            </w:pPr>
            <w:r>
              <w:rPr>
                <w:rFonts w:ascii="Arial" w:eastAsia="宋体" w:hAnsi="Arial" w:cs="Arial"/>
                <w:color w:val="000000"/>
                <w:sz w:val="18"/>
                <w:szCs w:val="18"/>
              </w:rPr>
              <w:t>384 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4A23" w14:textId="77777777" w:rsidR="009F6D8A" w:rsidRDefault="009F6D8A">
            <w:pPr>
              <w:jc w:val="right"/>
              <w:rPr>
                <w:rFonts w:ascii="宋体"/>
              </w:rPr>
            </w:pPr>
          </w:p>
        </w:tc>
      </w:tr>
      <w:tr w:rsidR="009F6D8A" w14:paraId="64304A34" w14:textId="77777777">
        <w:trPr>
          <w:jc w:val="center"/>
        </w:trPr>
        <w:tc>
          <w:tcPr>
            <w:tcW w:w="0" w:type="auto"/>
            <w:gridSpan w:val="3"/>
            <w:shd w:val="clear" w:color="auto" w:fill="FFFFFF"/>
            <w:tcMar>
              <w:top w:w="40" w:type="dxa"/>
              <w:left w:w="245" w:type="dxa"/>
              <w:bottom w:w="40" w:type="dxa"/>
              <w:right w:w="20" w:type="dxa"/>
            </w:tcMar>
            <w:vAlign w:val="bottom"/>
          </w:tcPr>
          <w:p w14:paraId="64304A25" w14:textId="77777777" w:rsidR="009F6D8A" w:rsidRDefault="00C50974">
            <w:pPr>
              <w:textAlignment w:val="bottom"/>
            </w:pPr>
            <w:r>
              <w:rPr>
                <w:rFonts w:ascii="Arial" w:eastAsia="宋体" w:hAnsi="Arial" w:cs="Arial"/>
                <w:color w:val="000000"/>
                <w:sz w:val="18"/>
                <w:szCs w:val="18"/>
              </w:rPr>
              <w:t>Other comprehensive income (loss) before reclassifica</w:t>
            </w:r>
            <w:r>
              <w:rPr>
                <w:rFonts w:ascii="Arial" w:eastAsia="宋体" w:hAnsi="Arial" w:cs="Arial"/>
                <w:color w:val="000000"/>
                <w:sz w:val="18"/>
                <w:szCs w:val="18"/>
              </w:rPr>
              <w:t>tions</w:t>
            </w:r>
          </w:p>
        </w:tc>
        <w:tc>
          <w:tcPr>
            <w:tcW w:w="0" w:type="auto"/>
            <w:gridSpan w:val="2"/>
            <w:shd w:val="clear" w:color="auto" w:fill="FFFFFF"/>
            <w:tcMar>
              <w:top w:w="40" w:type="dxa"/>
              <w:left w:w="20" w:type="dxa"/>
              <w:bottom w:w="40" w:type="dxa"/>
              <w:right w:w="0" w:type="dxa"/>
            </w:tcMar>
            <w:vAlign w:val="bottom"/>
          </w:tcPr>
          <w:p w14:paraId="64304A26" w14:textId="77777777" w:rsidR="009F6D8A" w:rsidRDefault="00C50974">
            <w:pPr>
              <w:jc w:val="right"/>
              <w:textAlignment w:val="bottom"/>
            </w:pPr>
            <w:r>
              <w:rPr>
                <w:rFonts w:ascii="Arial" w:eastAsia="宋体" w:hAnsi="Arial" w:cs="Arial"/>
                <w:color w:val="000000"/>
                <w:sz w:val="18"/>
                <w:szCs w:val="18"/>
              </w:rPr>
              <w:t>17 </w:t>
            </w:r>
          </w:p>
        </w:tc>
        <w:tc>
          <w:tcPr>
            <w:tcW w:w="0" w:type="auto"/>
            <w:shd w:val="clear" w:color="auto" w:fill="FFFFFF"/>
            <w:tcMar>
              <w:top w:w="40" w:type="dxa"/>
              <w:left w:w="0" w:type="dxa"/>
              <w:bottom w:w="40" w:type="dxa"/>
              <w:right w:w="20" w:type="dxa"/>
            </w:tcMar>
            <w:vAlign w:val="bottom"/>
          </w:tcPr>
          <w:p w14:paraId="64304A2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A2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A29" w14:textId="77777777" w:rsidR="009F6D8A" w:rsidRDefault="00C50974">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4304A2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A2B"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A2C" w14:textId="77777777" w:rsidR="009F6D8A" w:rsidRDefault="00C50974">
            <w:pPr>
              <w:jc w:val="right"/>
              <w:textAlignment w:val="bottom"/>
            </w:pPr>
            <w:r>
              <w:rPr>
                <w:rFonts w:ascii="Arial" w:eastAsia="宋体" w:hAnsi="Arial" w:cs="Arial"/>
                <w:color w:val="000000"/>
                <w:sz w:val="18"/>
                <w:szCs w:val="18"/>
              </w:rPr>
              <w:t>(64)</w:t>
            </w:r>
          </w:p>
        </w:tc>
        <w:tc>
          <w:tcPr>
            <w:tcW w:w="0" w:type="auto"/>
            <w:shd w:val="clear" w:color="auto" w:fill="FFFFFF"/>
            <w:tcMar>
              <w:top w:w="40" w:type="dxa"/>
              <w:left w:w="0" w:type="dxa"/>
              <w:bottom w:w="40" w:type="dxa"/>
              <w:right w:w="20" w:type="dxa"/>
            </w:tcMar>
            <w:vAlign w:val="bottom"/>
          </w:tcPr>
          <w:p w14:paraId="64304A2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A2E"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A2F" w14:textId="77777777" w:rsidR="009F6D8A" w:rsidRDefault="00C50974">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64304A3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A31"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A32" w14:textId="77777777" w:rsidR="009F6D8A" w:rsidRDefault="00C50974">
            <w:pPr>
              <w:jc w:val="right"/>
              <w:textAlignment w:val="bottom"/>
            </w:pPr>
            <w:r>
              <w:rPr>
                <w:rFonts w:ascii="Arial" w:eastAsia="宋体" w:hAnsi="Arial" w:cs="Arial"/>
                <w:color w:val="000000"/>
                <w:sz w:val="18"/>
                <w:szCs w:val="18"/>
              </w:rPr>
              <w:t>(50)</w:t>
            </w:r>
          </w:p>
        </w:tc>
        <w:tc>
          <w:tcPr>
            <w:tcW w:w="0" w:type="auto"/>
            <w:shd w:val="clear" w:color="auto" w:fill="FFFFFF"/>
            <w:tcMar>
              <w:top w:w="40" w:type="dxa"/>
              <w:left w:w="0" w:type="dxa"/>
              <w:bottom w:w="40" w:type="dxa"/>
              <w:right w:w="20" w:type="dxa"/>
            </w:tcMar>
            <w:vAlign w:val="bottom"/>
          </w:tcPr>
          <w:p w14:paraId="64304A33" w14:textId="77777777" w:rsidR="009F6D8A" w:rsidRDefault="009F6D8A">
            <w:pPr>
              <w:jc w:val="right"/>
              <w:rPr>
                <w:rFonts w:ascii="宋体"/>
              </w:rPr>
            </w:pPr>
          </w:p>
        </w:tc>
      </w:tr>
      <w:tr w:rsidR="009F6D8A" w14:paraId="64304A44" w14:textId="77777777">
        <w:trPr>
          <w:jc w:val="center"/>
        </w:trPr>
        <w:tc>
          <w:tcPr>
            <w:tcW w:w="0" w:type="auto"/>
            <w:gridSpan w:val="3"/>
            <w:shd w:val="clear" w:color="auto" w:fill="E2E2E2"/>
            <w:tcMar>
              <w:top w:w="40" w:type="dxa"/>
              <w:left w:w="245" w:type="dxa"/>
              <w:bottom w:w="40" w:type="dxa"/>
              <w:right w:w="20" w:type="dxa"/>
            </w:tcMar>
            <w:vAlign w:val="bottom"/>
          </w:tcPr>
          <w:p w14:paraId="64304A35" w14:textId="77777777" w:rsidR="009F6D8A" w:rsidRDefault="00C50974">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64304A36" w14:textId="77777777" w:rsidR="009F6D8A" w:rsidRDefault="00C50974">
            <w:pPr>
              <w:jc w:val="right"/>
              <w:textAlignment w:val="bottom"/>
            </w:pPr>
            <w:r>
              <w:rPr>
                <w:rFonts w:ascii="Arial" w:eastAsia="宋体" w:hAnsi="Arial" w:cs="Arial"/>
                <w:color w:val="000000"/>
                <w:sz w:val="18"/>
                <w:szCs w:val="18"/>
              </w:rPr>
              <w:t>17 </w:t>
            </w:r>
          </w:p>
        </w:tc>
        <w:tc>
          <w:tcPr>
            <w:tcW w:w="0" w:type="auto"/>
            <w:shd w:val="clear" w:color="auto" w:fill="E2E2E2"/>
            <w:tcMar>
              <w:top w:w="40" w:type="dxa"/>
              <w:left w:w="0" w:type="dxa"/>
              <w:bottom w:w="40" w:type="dxa"/>
              <w:right w:w="20" w:type="dxa"/>
            </w:tcMar>
            <w:vAlign w:val="bottom"/>
          </w:tcPr>
          <w:p w14:paraId="64304A37"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A38"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A39"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4A3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A3B"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A3C" w14:textId="77777777" w:rsidR="009F6D8A" w:rsidRDefault="00C50974">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64304A3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A3E"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A3F" w14:textId="77777777" w:rsidR="009F6D8A" w:rsidRDefault="00C50974">
            <w:pPr>
              <w:jc w:val="right"/>
              <w:textAlignment w:val="bottom"/>
            </w:pPr>
            <w:r>
              <w:rPr>
                <w:rFonts w:ascii="Arial" w:eastAsia="宋体" w:hAnsi="Arial" w:cs="Arial"/>
                <w:color w:val="000000"/>
                <w:sz w:val="18"/>
                <w:szCs w:val="18"/>
              </w:rPr>
              <w:t>(4)</w:t>
            </w:r>
          </w:p>
        </w:tc>
        <w:tc>
          <w:tcPr>
            <w:tcW w:w="0" w:type="auto"/>
            <w:shd w:val="clear" w:color="auto" w:fill="E2E2E2"/>
            <w:tcMar>
              <w:top w:w="40" w:type="dxa"/>
              <w:left w:w="0" w:type="dxa"/>
              <w:bottom w:w="40" w:type="dxa"/>
              <w:right w:w="20" w:type="dxa"/>
            </w:tcMar>
            <w:vAlign w:val="bottom"/>
          </w:tcPr>
          <w:p w14:paraId="64304A40"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A41"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A42" w14:textId="77777777" w:rsidR="009F6D8A" w:rsidRDefault="00C50974">
            <w:pPr>
              <w:jc w:val="right"/>
              <w:textAlignment w:val="bottom"/>
            </w:pPr>
            <w:r>
              <w:rPr>
                <w:rFonts w:ascii="Arial" w:eastAsia="宋体" w:hAnsi="Arial" w:cs="Arial"/>
                <w:color w:val="000000"/>
                <w:sz w:val="18"/>
                <w:szCs w:val="18"/>
              </w:rPr>
              <w:t>13 </w:t>
            </w:r>
          </w:p>
        </w:tc>
        <w:tc>
          <w:tcPr>
            <w:tcW w:w="0" w:type="auto"/>
            <w:shd w:val="clear" w:color="auto" w:fill="E2E2E2"/>
            <w:tcMar>
              <w:top w:w="40" w:type="dxa"/>
              <w:left w:w="0" w:type="dxa"/>
              <w:bottom w:w="40" w:type="dxa"/>
              <w:right w:w="20" w:type="dxa"/>
            </w:tcMar>
            <w:vAlign w:val="bottom"/>
          </w:tcPr>
          <w:p w14:paraId="64304A43" w14:textId="77777777" w:rsidR="009F6D8A" w:rsidRDefault="009F6D8A">
            <w:pPr>
              <w:jc w:val="right"/>
              <w:rPr>
                <w:rFonts w:ascii="宋体"/>
              </w:rPr>
            </w:pPr>
          </w:p>
        </w:tc>
      </w:tr>
      <w:tr w:rsidR="009F6D8A" w14:paraId="64304A54" w14:textId="77777777">
        <w:trPr>
          <w:jc w:val="center"/>
        </w:trPr>
        <w:tc>
          <w:tcPr>
            <w:tcW w:w="0" w:type="auto"/>
            <w:gridSpan w:val="3"/>
            <w:shd w:val="clear" w:color="auto" w:fill="FFFFFF"/>
            <w:tcMar>
              <w:top w:w="40" w:type="dxa"/>
              <w:left w:w="20" w:type="dxa"/>
              <w:bottom w:w="40" w:type="dxa"/>
              <w:right w:w="20" w:type="dxa"/>
            </w:tcMar>
            <w:vAlign w:val="bottom"/>
          </w:tcPr>
          <w:p w14:paraId="64304A45" w14:textId="77777777" w:rsidR="009F6D8A" w:rsidRDefault="00C50974">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A46"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A4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A48"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A49" w14:textId="77777777" w:rsidR="009F6D8A" w:rsidRDefault="00C50974">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A4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A4B"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A4C" w14:textId="77777777" w:rsidR="009F6D8A" w:rsidRDefault="00C50974">
            <w:pPr>
              <w:jc w:val="right"/>
              <w:textAlignment w:val="bottom"/>
            </w:pPr>
            <w:r>
              <w:rPr>
                <w:rFonts w:ascii="Arial" w:eastAsia="宋体" w:hAnsi="Arial" w:cs="Arial"/>
                <w:color w:val="000000"/>
                <w:sz w:val="18"/>
                <w:szCs w:val="18"/>
              </w:rPr>
              <w:t>(64)</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A4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A4E"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A4F"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A5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A51" w14:textId="77777777" w:rsidR="009F6D8A" w:rsidRDefault="009F6D8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4304A52" w14:textId="77777777" w:rsidR="009F6D8A" w:rsidRDefault="00C50974">
            <w:pPr>
              <w:jc w:val="right"/>
              <w:textAlignment w:val="bottom"/>
            </w:pPr>
            <w:r>
              <w:rPr>
                <w:rFonts w:ascii="Arial" w:eastAsia="宋体" w:hAnsi="Arial" w:cs="Arial"/>
                <w:color w:val="000000"/>
                <w:sz w:val="18"/>
                <w:szCs w:val="18"/>
              </w:rPr>
              <w:t>(63)</w:t>
            </w:r>
          </w:p>
        </w:tc>
        <w:tc>
          <w:tcPr>
            <w:tcW w:w="0" w:type="auto"/>
            <w:tcBorders>
              <w:top w:val="single" w:sz="8" w:space="0" w:color="000000"/>
            </w:tcBorders>
            <w:shd w:val="clear" w:color="auto" w:fill="FFFFFF"/>
            <w:tcMar>
              <w:top w:w="40" w:type="dxa"/>
              <w:left w:w="0" w:type="dxa"/>
              <w:bottom w:w="40" w:type="dxa"/>
              <w:right w:w="20" w:type="dxa"/>
            </w:tcMar>
            <w:vAlign w:val="bottom"/>
          </w:tcPr>
          <w:p w14:paraId="64304A53" w14:textId="77777777" w:rsidR="009F6D8A" w:rsidRDefault="009F6D8A">
            <w:pPr>
              <w:jc w:val="right"/>
              <w:rPr>
                <w:rFonts w:ascii="宋体"/>
              </w:rPr>
            </w:pPr>
          </w:p>
        </w:tc>
      </w:tr>
      <w:tr w:rsidR="009F6D8A" w14:paraId="64304A69" w14:textId="77777777">
        <w:trPr>
          <w:jc w:val="center"/>
        </w:trPr>
        <w:tc>
          <w:tcPr>
            <w:tcW w:w="0" w:type="auto"/>
            <w:gridSpan w:val="3"/>
            <w:shd w:val="clear" w:color="auto" w:fill="E2E2E2"/>
            <w:tcMar>
              <w:top w:w="40" w:type="dxa"/>
              <w:left w:w="20" w:type="dxa"/>
              <w:bottom w:w="40" w:type="dxa"/>
              <w:right w:w="20" w:type="dxa"/>
            </w:tcMar>
            <w:vAlign w:val="bottom"/>
          </w:tcPr>
          <w:p w14:paraId="64304A55" w14:textId="77777777" w:rsidR="009F6D8A" w:rsidRDefault="00C50974">
            <w:pPr>
              <w:textAlignment w:val="bottom"/>
            </w:pPr>
            <w:r>
              <w:rPr>
                <w:rFonts w:ascii="Arial" w:eastAsia="宋体" w:hAnsi="Arial" w:cs="Arial"/>
                <w:color w:val="000000"/>
                <w:sz w:val="18"/>
                <w:szCs w:val="18"/>
              </w:rPr>
              <w:t>Balance as of June 30, 2020</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A56"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A57" w14:textId="77777777" w:rsidR="009F6D8A" w:rsidRDefault="00C50974">
            <w:pPr>
              <w:jc w:val="right"/>
              <w:textAlignment w:val="bottom"/>
            </w:pPr>
            <w:r>
              <w:rPr>
                <w:rFonts w:ascii="Arial" w:eastAsia="宋体" w:hAnsi="Arial" w:cs="Arial"/>
                <w:color w:val="000000"/>
                <w:sz w:val="18"/>
                <w:szCs w:val="18"/>
              </w:rPr>
              <w:t>(9)</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A5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A59"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A5A"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A5B" w14:textId="77777777" w:rsidR="009F6D8A" w:rsidRDefault="00C50974">
            <w:pPr>
              <w:jc w:val="right"/>
              <w:textAlignment w:val="bottom"/>
            </w:pPr>
            <w:r>
              <w:rPr>
                <w:rFonts w:ascii="Arial" w:eastAsia="宋体" w:hAnsi="Arial" w:cs="Arial"/>
                <w:color w:val="000000"/>
                <w:sz w:val="18"/>
                <w:szCs w:val="18"/>
              </w:rPr>
              <w:t>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A5C"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A5D"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A5E"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A5F" w14:textId="77777777" w:rsidR="009F6D8A" w:rsidRDefault="00C50974">
            <w:pPr>
              <w:jc w:val="right"/>
              <w:textAlignment w:val="bottom"/>
            </w:pPr>
            <w:r>
              <w:rPr>
                <w:rFonts w:ascii="Arial" w:eastAsia="宋体" w:hAnsi="Arial" w:cs="Arial"/>
                <w:color w:val="000000"/>
                <w:sz w:val="18"/>
                <w:szCs w:val="18"/>
              </w:rPr>
              <w:t>299 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A60"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A61"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A62"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A63" w14:textId="77777777" w:rsidR="009F6D8A" w:rsidRDefault="00C50974">
            <w:pPr>
              <w:jc w:val="right"/>
              <w:textAlignment w:val="bottom"/>
            </w:pPr>
            <w:r>
              <w:rPr>
                <w:rFonts w:ascii="Arial" w:eastAsia="宋体" w:hAnsi="Arial" w:cs="Arial"/>
                <w:color w:val="000000"/>
                <w:sz w:val="18"/>
                <w:szCs w:val="18"/>
              </w:rPr>
              <w:t>25 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A64"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A65"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A66"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A67" w14:textId="77777777" w:rsidR="009F6D8A" w:rsidRDefault="00C50974">
            <w:pPr>
              <w:jc w:val="right"/>
              <w:textAlignment w:val="bottom"/>
            </w:pPr>
            <w:r>
              <w:rPr>
                <w:rFonts w:ascii="Arial" w:eastAsia="宋体" w:hAnsi="Arial" w:cs="Arial"/>
                <w:color w:val="000000"/>
                <w:sz w:val="18"/>
                <w:szCs w:val="18"/>
              </w:rPr>
              <w:t>321 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A68" w14:textId="77777777" w:rsidR="009F6D8A" w:rsidRDefault="009F6D8A">
            <w:pPr>
              <w:jc w:val="right"/>
              <w:rPr>
                <w:rFonts w:ascii="宋体"/>
              </w:rPr>
            </w:pPr>
          </w:p>
        </w:tc>
      </w:tr>
    </w:tbl>
    <w:p w14:paraId="64304A6A" w14:textId="77777777" w:rsidR="009F6D8A" w:rsidRDefault="009F6D8A">
      <w:pPr>
        <w:jc w:val="center"/>
      </w:pPr>
    </w:p>
    <w:p w14:paraId="64304A6B" w14:textId="77777777" w:rsidR="009F6D8A" w:rsidRDefault="009F6D8A"/>
    <w:p w14:paraId="64304A6C" w14:textId="77777777" w:rsidR="009F6D8A" w:rsidRDefault="00C50974">
      <w:pPr>
        <w:ind w:firstLine="540"/>
        <w:jc w:val="both"/>
      </w:pPr>
      <w:r>
        <w:rPr>
          <w:rFonts w:ascii="Arial" w:eastAsia="宋体" w:hAnsi="Arial" w:cs="Arial"/>
          <w:color w:val="000000"/>
          <w:sz w:val="20"/>
          <w:szCs w:val="20"/>
        </w:rPr>
        <w:t xml:space="preserve">The following table provides a summary of reclassifications out of AOCI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2056"/>
        <w:gridCol w:w="37"/>
        <w:gridCol w:w="36"/>
        <w:gridCol w:w="36"/>
        <w:gridCol w:w="36"/>
        <w:gridCol w:w="37"/>
        <w:gridCol w:w="2065"/>
        <w:gridCol w:w="36"/>
        <w:gridCol w:w="36"/>
        <w:gridCol w:w="36"/>
        <w:gridCol w:w="36"/>
        <w:gridCol w:w="109"/>
        <w:gridCol w:w="697"/>
        <w:gridCol w:w="36"/>
        <w:gridCol w:w="36"/>
        <w:gridCol w:w="36"/>
        <w:gridCol w:w="36"/>
        <w:gridCol w:w="110"/>
        <w:gridCol w:w="697"/>
        <w:gridCol w:w="37"/>
        <w:gridCol w:w="36"/>
        <w:gridCol w:w="36"/>
        <w:gridCol w:w="36"/>
        <w:gridCol w:w="109"/>
        <w:gridCol w:w="770"/>
        <w:gridCol w:w="36"/>
        <w:gridCol w:w="36"/>
        <w:gridCol w:w="36"/>
        <w:gridCol w:w="36"/>
        <w:gridCol w:w="110"/>
        <w:gridCol w:w="772"/>
        <w:gridCol w:w="37"/>
      </w:tblGrid>
      <w:tr w:rsidR="009F6D8A" w14:paraId="64304A8E" w14:textId="77777777">
        <w:trPr>
          <w:jc w:val="center"/>
        </w:trPr>
        <w:tc>
          <w:tcPr>
            <w:tcW w:w="50" w:type="pct"/>
            <w:shd w:val="clear" w:color="auto" w:fill="auto"/>
            <w:vAlign w:val="bottom"/>
          </w:tcPr>
          <w:p w14:paraId="64304A6D" w14:textId="77777777" w:rsidR="009F6D8A" w:rsidRDefault="009F6D8A">
            <w:pPr>
              <w:rPr>
                <w:rFonts w:ascii="宋体"/>
              </w:rPr>
            </w:pPr>
          </w:p>
        </w:tc>
        <w:tc>
          <w:tcPr>
            <w:tcW w:w="1260" w:type="pct"/>
            <w:shd w:val="clear" w:color="auto" w:fill="auto"/>
            <w:vAlign w:val="bottom"/>
          </w:tcPr>
          <w:p w14:paraId="64304A6E" w14:textId="77777777" w:rsidR="009F6D8A" w:rsidRDefault="009F6D8A">
            <w:pPr>
              <w:rPr>
                <w:rFonts w:ascii="宋体"/>
              </w:rPr>
            </w:pPr>
          </w:p>
        </w:tc>
        <w:tc>
          <w:tcPr>
            <w:tcW w:w="5" w:type="pct"/>
            <w:shd w:val="clear" w:color="auto" w:fill="auto"/>
            <w:vAlign w:val="bottom"/>
          </w:tcPr>
          <w:p w14:paraId="64304A6F" w14:textId="77777777" w:rsidR="009F6D8A" w:rsidRDefault="009F6D8A">
            <w:pPr>
              <w:rPr>
                <w:rFonts w:ascii="宋体"/>
              </w:rPr>
            </w:pPr>
          </w:p>
        </w:tc>
        <w:tc>
          <w:tcPr>
            <w:tcW w:w="5" w:type="pct"/>
            <w:shd w:val="clear" w:color="auto" w:fill="auto"/>
            <w:vAlign w:val="bottom"/>
          </w:tcPr>
          <w:p w14:paraId="64304A70" w14:textId="77777777" w:rsidR="009F6D8A" w:rsidRDefault="009F6D8A">
            <w:pPr>
              <w:rPr>
                <w:rFonts w:ascii="宋体"/>
              </w:rPr>
            </w:pPr>
          </w:p>
        </w:tc>
        <w:tc>
          <w:tcPr>
            <w:tcW w:w="26" w:type="pct"/>
            <w:shd w:val="clear" w:color="auto" w:fill="auto"/>
            <w:vAlign w:val="bottom"/>
          </w:tcPr>
          <w:p w14:paraId="64304A71" w14:textId="77777777" w:rsidR="009F6D8A" w:rsidRDefault="009F6D8A">
            <w:pPr>
              <w:rPr>
                <w:rFonts w:ascii="宋体"/>
              </w:rPr>
            </w:pPr>
          </w:p>
        </w:tc>
        <w:tc>
          <w:tcPr>
            <w:tcW w:w="5" w:type="pct"/>
            <w:shd w:val="clear" w:color="auto" w:fill="auto"/>
            <w:vAlign w:val="bottom"/>
          </w:tcPr>
          <w:p w14:paraId="64304A72" w14:textId="77777777" w:rsidR="009F6D8A" w:rsidRDefault="009F6D8A">
            <w:pPr>
              <w:rPr>
                <w:rFonts w:ascii="宋体"/>
              </w:rPr>
            </w:pPr>
          </w:p>
        </w:tc>
        <w:tc>
          <w:tcPr>
            <w:tcW w:w="50" w:type="pct"/>
            <w:shd w:val="clear" w:color="auto" w:fill="auto"/>
            <w:vAlign w:val="bottom"/>
          </w:tcPr>
          <w:p w14:paraId="64304A73" w14:textId="77777777" w:rsidR="009F6D8A" w:rsidRDefault="009F6D8A">
            <w:pPr>
              <w:rPr>
                <w:rFonts w:ascii="宋体"/>
              </w:rPr>
            </w:pPr>
          </w:p>
        </w:tc>
        <w:tc>
          <w:tcPr>
            <w:tcW w:w="1282" w:type="pct"/>
            <w:shd w:val="clear" w:color="auto" w:fill="auto"/>
            <w:vAlign w:val="bottom"/>
          </w:tcPr>
          <w:p w14:paraId="64304A74" w14:textId="77777777" w:rsidR="009F6D8A" w:rsidRDefault="009F6D8A">
            <w:pPr>
              <w:rPr>
                <w:rFonts w:ascii="宋体"/>
              </w:rPr>
            </w:pPr>
          </w:p>
        </w:tc>
        <w:tc>
          <w:tcPr>
            <w:tcW w:w="5" w:type="pct"/>
            <w:shd w:val="clear" w:color="auto" w:fill="auto"/>
            <w:vAlign w:val="bottom"/>
          </w:tcPr>
          <w:p w14:paraId="64304A75" w14:textId="77777777" w:rsidR="009F6D8A" w:rsidRDefault="009F6D8A">
            <w:pPr>
              <w:rPr>
                <w:rFonts w:ascii="宋体"/>
              </w:rPr>
            </w:pPr>
          </w:p>
        </w:tc>
        <w:tc>
          <w:tcPr>
            <w:tcW w:w="5" w:type="pct"/>
            <w:shd w:val="clear" w:color="auto" w:fill="auto"/>
            <w:vAlign w:val="bottom"/>
          </w:tcPr>
          <w:p w14:paraId="64304A76" w14:textId="77777777" w:rsidR="009F6D8A" w:rsidRDefault="009F6D8A">
            <w:pPr>
              <w:rPr>
                <w:rFonts w:ascii="宋体"/>
              </w:rPr>
            </w:pPr>
          </w:p>
        </w:tc>
        <w:tc>
          <w:tcPr>
            <w:tcW w:w="26" w:type="pct"/>
            <w:shd w:val="clear" w:color="auto" w:fill="auto"/>
            <w:vAlign w:val="bottom"/>
          </w:tcPr>
          <w:p w14:paraId="64304A77" w14:textId="77777777" w:rsidR="009F6D8A" w:rsidRDefault="009F6D8A">
            <w:pPr>
              <w:rPr>
                <w:rFonts w:ascii="宋体"/>
              </w:rPr>
            </w:pPr>
          </w:p>
        </w:tc>
        <w:tc>
          <w:tcPr>
            <w:tcW w:w="5" w:type="pct"/>
            <w:shd w:val="clear" w:color="auto" w:fill="auto"/>
            <w:vAlign w:val="bottom"/>
          </w:tcPr>
          <w:p w14:paraId="64304A78" w14:textId="77777777" w:rsidR="009F6D8A" w:rsidRDefault="009F6D8A">
            <w:pPr>
              <w:rPr>
                <w:rFonts w:ascii="宋体"/>
              </w:rPr>
            </w:pPr>
          </w:p>
        </w:tc>
        <w:tc>
          <w:tcPr>
            <w:tcW w:w="50" w:type="pct"/>
            <w:shd w:val="clear" w:color="auto" w:fill="auto"/>
            <w:vAlign w:val="bottom"/>
          </w:tcPr>
          <w:p w14:paraId="64304A79" w14:textId="77777777" w:rsidR="009F6D8A" w:rsidRDefault="009F6D8A">
            <w:pPr>
              <w:rPr>
                <w:rFonts w:ascii="宋体"/>
              </w:rPr>
            </w:pPr>
          </w:p>
        </w:tc>
        <w:tc>
          <w:tcPr>
            <w:tcW w:w="463" w:type="pct"/>
            <w:shd w:val="clear" w:color="auto" w:fill="auto"/>
            <w:vAlign w:val="bottom"/>
          </w:tcPr>
          <w:p w14:paraId="64304A7A" w14:textId="77777777" w:rsidR="009F6D8A" w:rsidRDefault="009F6D8A">
            <w:pPr>
              <w:rPr>
                <w:rFonts w:ascii="宋体"/>
              </w:rPr>
            </w:pPr>
          </w:p>
        </w:tc>
        <w:tc>
          <w:tcPr>
            <w:tcW w:w="5" w:type="pct"/>
            <w:shd w:val="clear" w:color="auto" w:fill="auto"/>
            <w:vAlign w:val="bottom"/>
          </w:tcPr>
          <w:p w14:paraId="64304A7B" w14:textId="77777777" w:rsidR="009F6D8A" w:rsidRDefault="009F6D8A">
            <w:pPr>
              <w:rPr>
                <w:rFonts w:ascii="宋体"/>
              </w:rPr>
            </w:pPr>
          </w:p>
        </w:tc>
        <w:tc>
          <w:tcPr>
            <w:tcW w:w="5" w:type="pct"/>
            <w:shd w:val="clear" w:color="auto" w:fill="auto"/>
            <w:vAlign w:val="bottom"/>
          </w:tcPr>
          <w:p w14:paraId="64304A7C" w14:textId="77777777" w:rsidR="009F6D8A" w:rsidRDefault="009F6D8A">
            <w:pPr>
              <w:rPr>
                <w:rFonts w:ascii="宋体"/>
              </w:rPr>
            </w:pPr>
          </w:p>
        </w:tc>
        <w:tc>
          <w:tcPr>
            <w:tcW w:w="26" w:type="pct"/>
            <w:shd w:val="clear" w:color="auto" w:fill="auto"/>
            <w:vAlign w:val="bottom"/>
          </w:tcPr>
          <w:p w14:paraId="64304A7D" w14:textId="77777777" w:rsidR="009F6D8A" w:rsidRDefault="009F6D8A">
            <w:pPr>
              <w:rPr>
                <w:rFonts w:ascii="宋体"/>
              </w:rPr>
            </w:pPr>
          </w:p>
        </w:tc>
        <w:tc>
          <w:tcPr>
            <w:tcW w:w="5" w:type="pct"/>
            <w:shd w:val="clear" w:color="auto" w:fill="auto"/>
            <w:vAlign w:val="bottom"/>
          </w:tcPr>
          <w:p w14:paraId="64304A7E" w14:textId="77777777" w:rsidR="009F6D8A" w:rsidRDefault="009F6D8A">
            <w:pPr>
              <w:rPr>
                <w:rFonts w:ascii="宋体"/>
              </w:rPr>
            </w:pPr>
          </w:p>
        </w:tc>
        <w:tc>
          <w:tcPr>
            <w:tcW w:w="50" w:type="pct"/>
            <w:shd w:val="clear" w:color="auto" w:fill="auto"/>
            <w:vAlign w:val="bottom"/>
          </w:tcPr>
          <w:p w14:paraId="64304A7F" w14:textId="77777777" w:rsidR="009F6D8A" w:rsidRDefault="009F6D8A">
            <w:pPr>
              <w:rPr>
                <w:rFonts w:ascii="宋体"/>
              </w:rPr>
            </w:pPr>
          </w:p>
        </w:tc>
        <w:tc>
          <w:tcPr>
            <w:tcW w:w="463" w:type="pct"/>
            <w:shd w:val="clear" w:color="auto" w:fill="auto"/>
            <w:vAlign w:val="bottom"/>
          </w:tcPr>
          <w:p w14:paraId="64304A80" w14:textId="77777777" w:rsidR="009F6D8A" w:rsidRDefault="009F6D8A">
            <w:pPr>
              <w:rPr>
                <w:rFonts w:ascii="宋体"/>
              </w:rPr>
            </w:pPr>
          </w:p>
        </w:tc>
        <w:tc>
          <w:tcPr>
            <w:tcW w:w="5" w:type="pct"/>
            <w:shd w:val="clear" w:color="auto" w:fill="auto"/>
            <w:vAlign w:val="bottom"/>
          </w:tcPr>
          <w:p w14:paraId="64304A81" w14:textId="77777777" w:rsidR="009F6D8A" w:rsidRDefault="009F6D8A">
            <w:pPr>
              <w:rPr>
                <w:rFonts w:ascii="宋体"/>
              </w:rPr>
            </w:pPr>
          </w:p>
        </w:tc>
        <w:tc>
          <w:tcPr>
            <w:tcW w:w="5" w:type="pct"/>
            <w:shd w:val="clear" w:color="auto" w:fill="auto"/>
            <w:vAlign w:val="bottom"/>
          </w:tcPr>
          <w:p w14:paraId="64304A82" w14:textId="77777777" w:rsidR="009F6D8A" w:rsidRDefault="009F6D8A">
            <w:pPr>
              <w:rPr>
                <w:rFonts w:ascii="宋体"/>
              </w:rPr>
            </w:pPr>
          </w:p>
        </w:tc>
        <w:tc>
          <w:tcPr>
            <w:tcW w:w="26" w:type="pct"/>
            <w:shd w:val="clear" w:color="auto" w:fill="auto"/>
            <w:vAlign w:val="bottom"/>
          </w:tcPr>
          <w:p w14:paraId="64304A83" w14:textId="77777777" w:rsidR="009F6D8A" w:rsidRDefault="009F6D8A">
            <w:pPr>
              <w:rPr>
                <w:rFonts w:ascii="宋体"/>
              </w:rPr>
            </w:pPr>
          </w:p>
        </w:tc>
        <w:tc>
          <w:tcPr>
            <w:tcW w:w="5" w:type="pct"/>
            <w:shd w:val="clear" w:color="auto" w:fill="auto"/>
            <w:vAlign w:val="bottom"/>
          </w:tcPr>
          <w:p w14:paraId="64304A84" w14:textId="77777777" w:rsidR="009F6D8A" w:rsidRDefault="009F6D8A">
            <w:pPr>
              <w:rPr>
                <w:rFonts w:ascii="宋体"/>
              </w:rPr>
            </w:pPr>
          </w:p>
        </w:tc>
        <w:tc>
          <w:tcPr>
            <w:tcW w:w="50" w:type="pct"/>
            <w:shd w:val="clear" w:color="auto" w:fill="auto"/>
            <w:vAlign w:val="bottom"/>
          </w:tcPr>
          <w:p w14:paraId="64304A85" w14:textId="77777777" w:rsidR="009F6D8A" w:rsidRDefault="009F6D8A">
            <w:pPr>
              <w:rPr>
                <w:rFonts w:ascii="宋体"/>
              </w:rPr>
            </w:pPr>
          </w:p>
        </w:tc>
        <w:tc>
          <w:tcPr>
            <w:tcW w:w="507" w:type="pct"/>
            <w:shd w:val="clear" w:color="auto" w:fill="auto"/>
            <w:vAlign w:val="bottom"/>
          </w:tcPr>
          <w:p w14:paraId="64304A86" w14:textId="77777777" w:rsidR="009F6D8A" w:rsidRDefault="009F6D8A">
            <w:pPr>
              <w:rPr>
                <w:rFonts w:ascii="宋体"/>
              </w:rPr>
            </w:pPr>
          </w:p>
        </w:tc>
        <w:tc>
          <w:tcPr>
            <w:tcW w:w="5" w:type="pct"/>
            <w:shd w:val="clear" w:color="auto" w:fill="auto"/>
            <w:vAlign w:val="bottom"/>
          </w:tcPr>
          <w:p w14:paraId="64304A87" w14:textId="77777777" w:rsidR="009F6D8A" w:rsidRDefault="009F6D8A">
            <w:pPr>
              <w:rPr>
                <w:rFonts w:ascii="宋体"/>
              </w:rPr>
            </w:pPr>
          </w:p>
        </w:tc>
        <w:tc>
          <w:tcPr>
            <w:tcW w:w="5" w:type="pct"/>
            <w:shd w:val="clear" w:color="auto" w:fill="auto"/>
            <w:vAlign w:val="bottom"/>
          </w:tcPr>
          <w:p w14:paraId="64304A88" w14:textId="77777777" w:rsidR="009F6D8A" w:rsidRDefault="009F6D8A">
            <w:pPr>
              <w:rPr>
                <w:rFonts w:ascii="宋体"/>
              </w:rPr>
            </w:pPr>
          </w:p>
        </w:tc>
        <w:tc>
          <w:tcPr>
            <w:tcW w:w="26" w:type="pct"/>
            <w:shd w:val="clear" w:color="auto" w:fill="auto"/>
            <w:vAlign w:val="bottom"/>
          </w:tcPr>
          <w:p w14:paraId="64304A89" w14:textId="77777777" w:rsidR="009F6D8A" w:rsidRDefault="009F6D8A">
            <w:pPr>
              <w:rPr>
                <w:rFonts w:ascii="宋体"/>
              </w:rPr>
            </w:pPr>
          </w:p>
        </w:tc>
        <w:tc>
          <w:tcPr>
            <w:tcW w:w="5" w:type="pct"/>
            <w:shd w:val="clear" w:color="auto" w:fill="auto"/>
            <w:vAlign w:val="bottom"/>
          </w:tcPr>
          <w:p w14:paraId="64304A8A" w14:textId="77777777" w:rsidR="009F6D8A" w:rsidRDefault="009F6D8A">
            <w:pPr>
              <w:rPr>
                <w:rFonts w:ascii="宋体"/>
              </w:rPr>
            </w:pPr>
          </w:p>
        </w:tc>
        <w:tc>
          <w:tcPr>
            <w:tcW w:w="50" w:type="pct"/>
            <w:shd w:val="clear" w:color="auto" w:fill="auto"/>
            <w:vAlign w:val="bottom"/>
          </w:tcPr>
          <w:p w14:paraId="64304A8B" w14:textId="77777777" w:rsidR="009F6D8A" w:rsidRDefault="009F6D8A">
            <w:pPr>
              <w:rPr>
                <w:rFonts w:ascii="宋体"/>
              </w:rPr>
            </w:pPr>
          </w:p>
        </w:tc>
        <w:tc>
          <w:tcPr>
            <w:tcW w:w="508" w:type="pct"/>
            <w:shd w:val="clear" w:color="auto" w:fill="auto"/>
            <w:vAlign w:val="bottom"/>
          </w:tcPr>
          <w:p w14:paraId="64304A8C" w14:textId="77777777" w:rsidR="009F6D8A" w:rsidRDefault="009F6D8A">
            <w:pPr>
              <w:rPr>
                <w:rFonts w:ascii="宋体"/>
              </w:rPr>
            </w:pPr>
          </w:p>
        </w:tc>
        <w:tc>
          <w:tcPr>
            <w:tcW w:w="5" w:type="pct"/>
            <w:shd w:val="clear" w:color="auto" w:fill="auto"/>
            <w:vAlign w:val="bottom"/>
          </w:tcPr>
          <w:p w14:paraId="64304A8D" w14:textId="77777777" w:rsidR="009F6D8A" w:rsidRDefault="009F6D8A">
            <w:pPr>
              <w:rPr>
                <w:rFonts w:ascii="宋体"/>
              </w:rPr>
            </w:pPr>
          </w:p>
        </w:tc>
      </w:tr>
      <w:tr w:rsidR="009F6D8A" w14:paraId="64304A94" w14:textId="77777777">
        <w:trPr>
          <w:jc w:val="center"/>
        </w:trPr>
        <w:tc>
          <w:tcPr>
            <w:tcW w:w="0" w:type="auto"/>
            <w:gridSpan w:val="3"/>
            <w:shd w:val="clear" w:color="auto" w:fill="auto"/>
            <w:tcMar>
              <w:top w:w="40" w:type="dxa"/>
              <w:left w:w="20" w:type="dxa"/>
              <w:bottom w:w="40" w:type="dxa"/>
              <w:right w:w="20" w:type="dxa"/>
            </w:tcMar>
            <w:vAlign w:val="bottom"/>
          </w:tcPr>
          <w:p w14:paraId="64304A8F" w14:textId="77777777" w:rsidR="009F6D8A" w:rsidRDefault="00C50974">
            <w:pPr>
              <w:jc w:val="center"/>
              <w:textAlignment w:val="bottom"/>
            </w:pPr>
            <w:r>
              <w:rPr>
                <w:rFonts w:ascii="Arial" w:eastAsia="宋体" w:hAnsi="Arial" w:cs="Arial"/>
                <w:b/>
                <w:bCs/>
                <w:color w:val="000000"/>
                <w:sz w:val="16"/>
                <w:szCs w:val="16"/>
              </w:rPr>
              <w:t>Details about AOCI Components</w:t>
            </w:r>
          </w:p>
        </w:tc>
        <w:tc>
          <w:tcPr>
            <w:tcW w:w="0" w:type="auto"/>
            <w:gridSpan w:val="3"/>
            <w:shd w:val="clear" w:color="auto" w:fill="auto"/>
            <w:tcMar>
              <w:top w:w="40" w:type="dxa"/>
              <w:left w:w="20" w:type="dxa"/>
              <w:bottom w:w="40" w:type="dxa"/>
              <w:right w:w="20" w:type="dxa"/>
            </w:tcMar>
            <w:vAlign w:val="bottom"/>
          </w:tcPr>
          <w:p w14:paraId="64304A90" w14:textId="77777777" w:rsidR="009F6D8A" w:rsidRDefault="00C50974">
            <w:pPr>
              <w:jc w:val="center"/>
              <w:textAlignment w:val="bottom"/>
            </w:pPr>
            <w:r>
              <w:rPr>
                <w:rFonts w:ascii="Arial" w:eastAsia="宋体" w:hAnsi="Arial" w:cs="Arial"/>
                <w:b/>
                <w:bCs/>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304A91" w14:textId="77777777" w:rsidR="009F6D8A" w:rsidRDefault="00C50974">
            <w:pPr>
              <w:jc w:val="center"/>
              <w:textAlignment w:val="bottom"/>
            </w:pPr>
            <w:r>
              <w:rPr>
                <w:rFonts w:ascii="Arial" w:eastAsia="宋体" w:hAnsi="Arial" w:cs="Arial"/>
                <w:b/>
                <w:bCs/>
                <w:color w:val="000000"/>
                <w:sz w:val="16"/>
                <w:szCs w:val="16"/>
              </w:rPr>
              <w:t>Affected Line Item in the Statement of Income</w:t>
            </w:r>
          </w:p>
        </w:tc>
        <w:tc>
          <w:tcPr>
            <w:tcW w:w="0" w:type="auto"/>
            <w:gridSpan w:val="3"/>
            <w:shd w:val="clear" w:color="auto" w:fill="auto"/>
            <w:tcMar>
              <w:top w:w="0" w:type="dxa"/>
              <w:left w:w="20" w:type="dxa"/>
              <w:bottom w:w="0" w:type="dxa"/>
              <w:right w:w="20" w:type="dxa"/>
            </w:tcMar>
            <w:vAlign w:val="bottom"/>
          </w:tcPr>
          <w:p w14:paraId="64304A92" w14:textId="77777777" w:rsidR="009F6D8A" w:rsidRDefault="009F6D8A">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64304A93" w14:textId="77777777" w:rsidR="009F6D8A" w:rsidRDefault="00C50974">
            <w:pPr>
              <w:jc w:val="center"/>
              <w:textAlignment w:val="bottom"/>
            </w:pPr>
            <w:r>
              <w:rPr>
                <w:rFonts w:ascii="Arial" w:eastAsia="宋体" w:hAnsi="Arial" w:cs="Arial"/>
                <w:b/>
                <w:bCs/>
                <w:color w:val="000000"/>
                <w:sz w:val="16"/>
                <w:szCs w:val="16"/>
              </w:rPr>
              <w:t>Amount of Gain (Loss) Reclassified From AOCI</w:t>
            </w:r>
          </w:p>
        </w:tc>
      </w:tr>
      <w:tr w:rsidR="009F6D8A" w14:paraId="64304A9C" w14:textId="77777777">
        <w:trPr>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A95"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4A96" w14:textId="77777777" w:rsidR="009F6D8A" w:rsidRDefault="009F6D8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A97"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4A98" w14:textId="77777777" w:rsidR="009F6D8A" w:rsidRDefault="009F6D8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304A99" w14:textId="77777777" w:rsidR="009F6D8A" w:rsidRDefault="00C50974">
            <w:pPr>
              <w:jc w:val="center"/>
              <w:textAlignment w:val="bottom"/>
            </w:pPr>
            <w:r>
              <w:rPr>
                <w:rFonts w:ascii="Arial" w:eastAsia="宋体" w:hAnsi="Arial" w:cs="Arial"/>
                <w:b/>
                <w:bCs/>
                <w:color w:val="000000"/>
                <w:sz w:val="16"/>
                <w:szCs w:val="16"/>
              </w:rPr>
              <w:t xml:space="preserve">Three </w:t>
            </w:r>
            <w:r>
              <w:rPr>
                <w:rFonts w:ascii="Arial" w:eastAsia="宋体" w:hAnsi="Arial" w:cs="Arial"/>
                <w:b/>
                <w:bCs/>
                <w:color w:val="000000"/>
                <w:sz w:val="16"/>
                <w:szCs w:val="16"/>
              </w:rPr>
              <w:t>Months Ended</w:t>
            </w:r>
            <w:r>
              <w:rPr>
                <w:rFonts w:ascii="Arial" w:eastAsia="宋体" w:hAnsi="Arial" w:cs="Arial"/>
                <w:b/>
                <w:bCs/>
                <w:color w:val="000000"/>
                <w:sz w:val="16"/>
                <w:szCs w:val="16"/>
              </w:rPr>
              <w:br/>
              <w:t>June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A9A" w14:textId="77777777" w:rsidR="009F6D8A" w:rsidRDefault="009F6D8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304A9B" w14:textId="77777777" w:rsidR="009F6D8A" w:rsidRDefault="00C50974">
            <w:pPr>
              <w:jc w:val="center"/>
              <w:textAlignment w:val="bottom"/>
            </w:pPr>
            <w:r>
              <w:rPr>
                <w:rFonts w:ascii="Arial" w:eastAsia="宋体" w:hAnsi="Arial" w:cs="Arial"/>
                <w:b/>
                <w:bCs/>
                <w:color w:val="000000"/>
                <w:sz w:val="16"/>
                <w:szCs w:val="16"/>
              </w:rPr>
              <w:t>Six Months Ended</w:t>
            </w:r>
            <w:r>
              <w:rPr>
                <w:rFonts w:ascii="Arial" w:eastAsia="宋体" w:hAnsi="Arial" w:cs="Arial"/>
                <w:b/>
                <w:bCs/>
                <w:color w:val="000000"/>
                <w:sz w:val="16"/>
                <w:szCs w:val="16"/>
              </w:rPr>
              <w:br/>
              <w:t>June 30,</w:t>
            </w:r>
          </w:p>
        </w:tc>
      </w:tr>
      <w:tr w:rsidR="009F6D8A" w14:paraId="64304AA8" w14:textId="77777777">
        <w:trPr>
          <w:jc w:val="center"/>
        </w:trPr>
        <w:tc>
          <w:tcPr>
            <w:tcW w:w="0" w:type="auto"/>
            <w:gridSpan w:val="3"/>
            <w:shd w:val="clear" w:color="auto" w:fill="auto"/>
            <w:tcMar>
              <w:top w:w="0" w:type="dxa"/>
              <w:left w:w="20" w:type="dxa"/>
              <w:bottom w:w="0" w:type="dxa"/>
              <w:right w:w="20" w:type="dxa"/>
            </w:tcMar>
            <w:vAlign w:val="bottom"/>
          </w:tcPr>
          <w:p w14:paraId="64304A9D"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4A9E"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4A9F"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4AA0"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AA1"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AA2"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AA3" w14:textId="77777777" w:rsidR="009F6D8A" w:rsidRDefault="00C50974">
            <w:pPr>
              <w:jc w:val="center"/>
              <w:textAlignment w:val="bottom"/>
            </w:pPr>
            <w:r>
              <w:rPr>
                <w:rFonts w:ascii="Arial" w:eastAsia="宋体" w:hAnsi="Arial" w:cs="Arial"/>
                <w:b/>
                <w:bCs/>
                <w:color w:val="000000"/>
                <w:sz w:val="16"/>
                <w:szCs w:val="16"/>
              </w:rPr>
              <w:t>2020</w:t>
            </w:r>
          </w:p>
        </w:tc>
        <w:tc>
          <w:tcPr>
            <w:tcW w:w="0" w:type="auto"/>
            <w:gridSpan w:val="3"/>
            <w:shd w:val="clear" w:color="auto" w:fill="auto"/>
            <w:tcMar>
              <w:top w:w="0" w:type="dxa"/>
              <w:left w:w="20" w:type="dxa"/>
              <w:bottom w:w="0" w:type="dxa"/>
              <w:right w:w="20" w:type="dxa"/>
            </w:tcMar>
            <w:vAlign w:val="bottom"/>
          </w:tcPr>
          <w:p w14:paraId="64304AA4"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AA5"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AA6"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AA7" w14:textId="77777777" w:rsidR="009F6D8A" w:rsidRDefault="00C50974">
            <w:pPr>
              <w:jc w:val="center"/>
              <w:textAlignment w:val="bottom"/>
            </w:pPr>
            <w:r>
              <w:rPr>
                <w:rFonts w:ascii="Arial" w:eastAsia="宋体" w:hAnsi="Arial" w:cs="Arial"/>
                <w:b/>
                <w:bCs/>
                <w:color w:val="000000"/>
                <w:sz w:val="16"/>
                <w:szCs w:val="16"/>
              </w:rPr>
              <w:t>2020</w:t>
            </w:r>
          </w:p>
        </w:tc>
      </w:tr>
      <w:tr w:rsidR="009F6D8A" w14:paraId="64304AB4" w14:textId="77777777">
        <w:trPr>
          <w:jc w:val="center"/>
        </w:trPr>
        <w:tc>
          <w:tcPr>
            <w:tcW w:w="0" w:type="auto"/>
            <w:gridSpan w:val="3"/>
            <w:shd w:val="clear" w:color="auto" w:fill="E1E1E1"/>
            <w:tcMar>
              <w:top w:w="40" w:type="dxa"/>
              <w:left w:w="20" w:type="dxa"/>
              <w:bottom w:w="40" w:type="dxa"/>
              <w:right w:w="20" w:type="dxa"/>
            </w:tcMar>
            <w:vAlign w:val="bottom"/>
          </w:tcPr>
          <w:p w14:paraId="64304AA9" w14:textId="77777777" w:rsidR="009F6D8A" w:rsidRDefault="00C50974">
            <w:pPr>
              <w:textAlignment w:val="bottom"/>
            </w:pPr>
            <w:r>
              <w:rPr>
                <w:rFonts w:ascii="Arial" w:eastAsia="宋体" w:hAnsi="Arial" w:cs="Arial"/>
                <w:color w:val="000000"/>
                <w:sz w:val="16"/>
                <w:szCs w:val="16"/>
              </w:rPr>
              <w:t xml:space="preserve">Gains (losses) on cash flow hedges </w:t>
            </w:r>
          </w:p>
        </w:tc>
        <w:tc>
          <w:tcPr>
            <w:tcW w:w="0" w:type="auto"/>
            <w:gridSpan w:val="3"/>
            <w:shd w:val="clear" w:color="auto" w:fill="E1E1E1"/>
            <w:tcMar>
              <w:top w:w="0" w:type="dxa"/>
              <w:left w:w="20" w:type="dxa"/>
              <w:bottom w:w="0" w:type="dxa"/>
              <w:right w:w="20" w:type="dxa"/>
            </w:tcMar>
            <w:vAlign w:val="bottom"/>
          </w:tcPr>
          <w:p w14:paraId="64304AAA"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AAB"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AAC" w14:textId="77777777" w:rsidR="009F6D8A" w:rsidRDefault="009F6D8A">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4304AAD"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AAE" w14:textId="77777777" w:rsidR="009F6D8A" w:rsidRDefault="009F6D8A">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4304AAF"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AB0" w14:textId="77777777" w:rsidR="009F6D8A" w:rsidRDefault="009F6D8A">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4304AB1"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AB2" w14:textId="77777777" w:rsidR="009F6D8A" w:rsidRDefault="009F6D8A">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4304AB3" w14:textId="77777777" w:rsidR="009F6D8A" w:rsidRDefault="009F6D8A">
            <w:pPr>
              <w:rPr>
                <w:rFonts w:ascii="宋体"/>
              </w:rPr>
            </w:pPr>
          </w:p>
        </w:tc>
      </w:tr>
      <w:tr w:rsidR="009F6D8A" w14:paraId="64304AC8" w14:textId="77777777">
        <w:trPr>
          <w:jc w:val="center"/>
        </w:trPr>
        <w:tc>
          <w:tcPr>
            <w:tcW w:w="0" w:type="auto"/>
            <w:gridSpan w:val="3"/>
            <w:shd w:val="clear" w:color="auto" w:fill="FFFFFF"/>
            <w:tcMar>
              <w:top w:w="40" w:type="dxa"/>
              <w:left w:w="20" w:type="dxa"/>
              <w:bottom w:w="40" w:type="dxa"/>
              <w:right w:w="20" w:type="dxa"/>
            </w:tcMar>
            <w:vAlign w:val="bottom"/>
          </w:tcPr>
          <w:p w14:paraId="64304AB5" w14:textId="77777777" w:rsidR="009F6D8A" w:rsidRDefault="00C50974">
            <w:pPr>
              <w:textAlignment w:val="bottom"/>
            </w:pPr>
            <w:r>
              <w:rPr>
                <w:rFonts w:ascii="Arial" w:eastAsia="宋体" w:hAnsi="Arial" w:cs="Arial"/>
                <w:color w:val="000000"/>
                <w:sz w:val="16"/>
                <w:szCs w:val="16"/>
              </w:rPr>
              <w:t>Foreign exchange contracts</w:t>
            </w:r>
          </w:p>
        </w:tc>
        <w:tc>
          <w:tcPr>
            <w:tcW w:w="0" w:type="auto"/>
            <w:gridSpan w:val="3"/>
            <w:shd w:val="clear" w:color="auto" w:fill="FFFFFF"/>
            <w:tcMar>
              <w:top w:w="0" w:type="dxa"/>
              <w:left w:w="20" w:type="dxa"/>
              <w:bottom w:w="0" w:type="dxa"/>
              <w:right w:w="20" w:type="dxa"/>
            </w:tcMar>
            <w:vAlign w:val="bottom"/>
          </w:tcPr>
          <w:p w14:paraId="64304AB6" w14:textId="77777777" w:rsidR="009F6D8A" w:rsidRDefault="009F6D8A">
            <w:pPr>
              <w:rPr>
                <w:rFonts w:ascii="宋体"/>
              </w:rPr>
            </w:pPr>
          </w:p>
        </w:tc>
        <w:tc>
          <w:tcPr>
            <w:tcW w:w="0" w:type="auto"/>
            <w:gridSpan w:val="3"/>
            <w:shd w:val="clear" w:color="auto" w:fill="FFFFFF"/>
            <w:tcMar>
              <w:top w:w="40" w:type="dxa"/>
              <w:left w:w="20" w:type="dxa"/>
              <w:bottom w:w="40" w:type="dxa"/>
              <w:right w:w="20" w:type="dxa"/>
            </w:tcMar>
            <w:vAlign w:val="bottom"/>
          </w:tcPr>
          <w:p w14:paraId="64304AB7" w14:textId="77777777" w:rsidR="009F6D8A" w:rsidRDefault="00C50974">
            <w:pPr>
              <w:textAlignment w:val="bottom"/>
            </w:pPr>
            <w:r>
              <w:rPr>
                <w:rFonts w:ascii="Arial" w:eastAsia="宋体" w:hAnsi="Arial" w:cs="Arial"/>
                <w:color w:val="000000"/>
                <w:sz w:val="16"/>
                <w:szCs w:val="16"/>
              </w:rPr>
              <w:t>Net Revenues</w:t>
            </w:r>
          </w:p>
        </w:tc>
        <w:tc>
          <w:tcPr>
            <w:tcW w:w="0" w:type="auto"/>
            <w:gridSpan w:val="3"/>
            <w:shd w:val="clear" w:color="auto" w:fill="FFFFFF"/>
            <w:tcMar>
              <w:top w:w="0" w:type="dxa"/>
              <w:left w:w="20" w:type="dxa"/>
              <w:bottom w:w="0" w:type="dxa"/>
              <w:right w:w="20" w:type="dxa"/>
            </w:tcMar>
            <w:vAlign w:val="bottom"/>
          </w:tcPr>
          <w:p w14:paraId="64304AB8"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4AB9" w14:textId="77777777" w:rsidR="009F6D8A" w:rsidRDefault="00C50974">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64304ABA" w14:textId="77777777" w:rsidR="009F6D8A" w:rsidRDefault="00C50974">
            <w:pPr>
              <w:jc w:val="right"/>
              <w:textAlignment w:val="bottom"/>
            </w:pPr>
            <w:r>
              <w:rPr>
                <w:rFonts w:ascii="Arial" w:eastAsia="宋体" w:hAnsi="Arial" w:cs="Arial"/>
                <w:color w:val="000000"/>
                <w:sz w:val="16"/>
                <w:szCs w:val="16"/>
              </w:rPr>
              <w:t>(18)</w:t>
            </w:r>
          </w:p>
        </w:tc>
        <w:tc>
          <w:tcPr>
            <w:tcW w:w="0" w:type="auto"/>
            <w:shd w:val="clear" w:color="auto" w:fill="FFFFFF"/>
            <w:tcMar>
              <w:top w:w="40" w:type="dxa"/>
              <w:left w:w="0" w:type="dxa"/>
              <w:bottom w:w="40" w:type="dxa"/>
              <w:right w:w="20" w:type="dxa"/>
            </w:tcMar>
            <w:vAlign w:val="bottom"/>
          </w:tcPr>
          <w:p w14:paraId="64304ABB"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ABC"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4ABD" w14:textId="77777777" w:rsidR="009F6D8A" w:rsidRDefault="00C50974">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64304ABE" w14:textId="77777777" w:rsidR="009F6D8A" w:rsidRDefault="00C50974">
            <w:pPr>
              <w:jc w:val="right"/>
              <w:textAlignment w:val="bottom"/>
            </w:pPr>
            <w:r>
              <w:rPr>
                <w:rFonts w:ascii="Arial" w:eastAsia="宋体" w:hAnsi="Arial" w:cs="Arial"/>
                <w:color w:val="000000"/>
                <w:sz w:val="16"/>
                <w:szCs w:val="16"/>
              </w:rPr>
              <w:t>17 </w:t>
            </w:r>
          </w:p>
        </w:tc>
        <w:tc>
          <w:tcPr>
            <w:tcW w:w="0" w:type="auto"/>
            <w:shd w:val="clear" w:color="auto" w:fill="FFFFFF"/>
            <w:tcMar>
              <w:top w:w="40" w:type="dxa"/>
              <w:left w:w="0" w:type="dxa"/>
              <w:bottom w:w="40" w:type="dxa"/>
              <w:right w:w="20" w:type="dxa"/>
            </w:tcMar>
            <w:vAlign w:val="bottom"/>
          </w:tcPr>
          <w:p w14:paraId="64304ABF"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AC0"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4AC1" w14:textId="77777777" w:rsidR="009F6D8A" w:rsidRDefault="00C50974">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64304AC2" w14:textId="77777777" w:rsidR="009F6D8A" w:rsidRDefault="00C50974">
            <w:pPr>
              <w:jc w:val="right"/>
              <w:textAlignment w:val="bottom"/>
            </w:pPr>
            <w:r>
              <w:rPr>
                <w:rFonts w:ascii="Arial" w:eastAsia="宋体" w:hAnsi="Arial" w:cs="Arial"/>
                <w:color w:val="000000"/>
                <w:sz w:val="16"/>
                <w:szCs w:val="16"/>
              </w:rPr>
              <w:t>(46)</w:t>
            </w:r>
          </w:p>
        </w:tc>
        <w:tc>
          <w:tcPr>
            <w:tcW w:w="0" w:type="auto"/>
            <w:shd w:val="clear" w:color="auto" w:fill="FFFFFF"/>
            <w:tcMar>
              <w:top w:w="40" w:type="dxa"/>
              <w:left w:w="0" w:type="dxa"/>
              <w:bottom w:w="40" w:type="dxa"/>
              <w:right w:w="20" w:type="dxa"/>
            </w:tcMar>
            <w:vAlign w:val="bottom"/>
          </w:tcPr>
          <w:p w14:paraId="64304AC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AC4"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4AC5" w14:textId="77777777" w:rsidR="009F6D8A" w:rsidRDefault="00C50974">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64304AC6" w14:textId="77777777" w:rsidR="009F6D8A" w:rsidRDefault="00C50974">
            <w:pPr>
              <w:jc w:val="right"/>
              <w:textAlignment w:val="bottom"/>
            </w:pPr>
            <w:r>
              <w:rPr>
                <w:rFonts w:ascii="Arial" w:eastAsia="宋体" w:hAnsi="Arial" w:cs="Arial"/>
                <w:color w:val="000000"/>
                <w:sz w:val="16"/>
                <w:szCs w:val="16"/>
              </w:rPr>
              <w:t>17 </w:t>
            </w:r>
          </w:p>
        </w:tc>
        <w:tc>
          <w:tcPr>
            <w:tcW w:w="0" w:type="auto"/>
            <w:shd w:val="clear" w:color="auto" w:fill="FFFFFF"/>
            <w:tcMar>
              <w:top w:w="40" w:type="dxa"/>
              <w:left w:w="0" w:type="dxa"/>
              <w:bottom w:w="40" w:type="dxa"/>
              <w:right w:w="20" w:type="dxa"/>
            </w:tcMar>
            <w:vAlign w:val="bottom"/>
          </w:tcPr>
          <w:p w14:paraId="64304AC7" w14:textId="77777777" w:rsidR="009F6D8A" w:rsidRDefault="009F6D8A">
            <w:pPr>
              <w:jc w:val="right"/>
              <w:rPr>
                <w:rFonts w:ascii="宋体"/>
              </w:rPr>
            </w:pPr>
          </w:p>
        </w:tc>
      </w:tr>
      <w:tr w:rsidR="009F6D8A" w14:paraId="64304AD8" w14:textId="77777777">
        <w:trPr>
          <w:jc w:val="center"/>
        </w:trPr>
        <w:tc>
          <w:tcPr>
            <w:tcW w:w="0" w:type="auto"/>
            <w:gridSpan w:val="3"/>
            <w:shd w:val="clear" w:color="auto" w:fill="E1E1E1"/>
            <w:tcMar>
              <w:top w:w="40" w:type="dxa"/>
              <w:left w:w="20" w:type="dxa"/>
              <w:bottom w:w="40" w:type="dxa"/>
              <w:right w:w="20" w:type="dxa"/>
            </w:tcMar>
            <w:vAlign w:val="bottom"/>
          </w:tcPr>
          <w:p w14:paraId="64304AC9" w14:textId="77777777" w:rsidR="009F6D8A" w:rsidRDefault="00C50974">
            <w:pPr>
              <w:textAlignment w:val="bottom"/>
            </w:pPr>
            <w:r>
              <w:rPr>
                <w:rFonts w:ascii="Arial" w:eastAsia="宋体" w:hAnsi="Arial" w:cs="Arial"/>
                <w:color w:val="000000"/>
                <w:sz w:val="16"/>
                <w:szCs w:val="16"/>
              </w:rPr>
              <w:t>Foreign exchange contracts</w:t>
            </w:r>
          </w:p>
        </w:tc>
        <w:tc>
          <w:tcPr>
            <w:tcW w:w="0" w:type="auto"/>
            <w:gridSpan w:val="3"/>
            <w:shd w:val="clear" w:color="auto" w:fill="E1E1E1"/>
            <w:tcMar>
              <w:top w:w="0" w:type="dxa"/>
              <w:left w:w="20" w:type="dxa"/>
              <w:bottom w:w="0" w:type="dxa"/>
              <w:right w:w="20" w:type="dxa"/>
            </w:tcMar>
            <w:vAlign w:val="bottom"/>
          </w:tcPr>
          <w:p w14:paraId="64304ACA" w14:textId="77777777" w:rsidR="009F6D8A" w:rsidRDefault="009F6D8A">
            <w:pPr>
              <w:rPr>
                <w:rFonts w:ascii="宋体"/>
              </w:rPr>
            </w:pPr>
          </w:p>
        </w:tc>
        <w:tc>
          <w:tcPr>
            <w:tcW w:w="0" w:type="auto"/>
            <w:gridSpan w:val="3"/>
            <w:shd w:val="clear" w:color="auto" w:fill="E1E1E1"/>
            <w:tcMar>
              <w:top w:w="40" w:type="dxa"/>
              <w:left w:w="20" w:type="dxa"/>
              <w:bottom w:w="40" w:type="dxa"/>
              <w:right w:w="20" w:type="dxa"/>
            </w:tcMar>
            <w:vAlign w:val="bottom"/>
          </w:tcPr>
          <w:p w14:paraId="64304ACB" w14:textId="77777777" w:rsidR="009F6D8A" w:rsidRDefault="00C50974">
            <w:pPr>
              <w:textAlignment w:val="bottom"/>
            </w:pPr>
            <w:r>
              <w:rPr>
                <w:rFonts w:ascii="Arial" w:eastAsia="宋体" w:hAnsi="Arial" w:cs="Arial"/>
                <w:color w:val="000000"/>
                <w:sz w:val="16"/>
                <w:szCs w:val="16"/>
              </w:rPr>
              <w:t>Cost of net revenues</w:t>
            </w:r>
          </w:p>
        </w:tc>
        <w:tc>
          <w:tcPr>
            <w:tcW w:w="0" w:type="auto"/>
            <w:gridSpan w:val="3"/>
            <w:shd w:val="clear" w:color="auto" w:fill="E1E1E1"/>
            <w:tcMar>
              <w:top w:w="0" w:type="dxa"/>
              <w:left w:w="20" w:type="dxa"/>
              <w:bottom w:w="0" w:type="dxa"/>
              <w:right w:w="20" w:type="dxa"/>
            </w:tcMar>
            <w:vAlign w:val="bottom"/>
          </w:tcPr>
          <w:p w14:paraId="64304ACC"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ACD" w14:textId="77777777" w:rsidR="009F6D8A" w:rsidRDefault="00C50974">
            <w:pPr>
              <w:jc w:val="right"/>
              <w:textAlignment w:val="bottom"/>
            </w:pPr>
            <w:r>
              <w:rPr>
                <w:rFonts w:ascii="Arial" w:eastAsia="宋体" w:hAnsi="Arial" w:cs="Arial"/>
                <w:color w:val="000000"/>
                <w:sz w:val="16"/>
                <w:szCs w:val="16"/>
              </w:rPr>
              <w:t>1 </w:t>
            </w:r>
          </w:p>
        </w:tc>
        <w:tc>
          <w:tcPr>
            <w:tcW w:w="0" w:type="auto"/>
            <w:shd w:val="clear" w:color="auto" w:fill="E1E1E1"/>
            <w:tcMar>
              <w:top w:w="40" w:type="dxa"/>
              <w:left w:w="0" w:type="dxa"/>
              <w:bottom w:w="40" w:type="dxa"/>
              <w:right w:w="20" w:type="dxa"/>
            </w:tcMar>
            <w:vAlign w:val="bottom"/>
          </w:tcPr>
          <w:p w14:paraId="64304ACE"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ACF"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AD0" w14:textId="77777777" w:rsidR="009F6D8A" w:rsidRDefault="00C50974">
            <w:pPr>
              <w:jc w:val="right"/>
              <w:textAlignment w:val="bottom"/>
            </w:pPr>
            <w:r>
              <w:rPr>
                <w:rFonts w:ascii="Arial" w:eastAsia="宋体" w:hAnsi="Arial" w:cs="Arial"/>
                <w:color w:val="000000"/>
                <w:sz w:val="16"/>
                <w:szCs w:val="16"/>
              </w:rPr>
              <w:t>— </w:t>
            </w:r>
          </w:p>
        </w:tc>
        <w:tc>
          <w:tcPr>
            <w:tcW w:w="0" w:type="auto"/>
            <w:shd w:val="clear" w:color="auto" w:fill="E1E1E1"/>
            <w:tcMar>
              <w:top w:w="40" w:type="dxa"/>
              <w:left w:w="0" w:type="dxa"/>
              <w:bottom w:w="40" w:type="dxa"/>
              <w:right w:w="20" w:type="dxa"/>
            </w:tcMar>
            <w:vAlign w:val="bottom"/>
          </w:tcPr>
          <w:p w14:paraId="64304AD1"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AD2"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AD3" w14:textId="77777777" w:rsidR="009F6D8A" w:rsidRDefault="00C50974">
            <w:pPr>
              <w:jc w:val="right"/>
              <w:textAlignment w:val="bottom"/>
            </w:pPr>
            <w:r>
              <w:rPr>
                <w:rFonts w:ascii="Arial" w:eastAsia="宋体" w:hAnsi="Arial" w:cs="Arial"/>
                <w:color w:val="000000"/>
                <w:sz w:val="16"/>
                <w:szCs w:val="16"/>
              </w:rPr>
              <w:t>2 </w:t>
            </w:r>
          </w:p>
        </w:tc>
        <w:tc>
          <w:tcPr>
            <w:tcW w:w="0" w:type="auto"/>
            <w:shd w:val="clear" w:color="auto" w:fill="E1E1E1"/>
            <w:tcMar>
              <w:top w:w="40" w:type="dxa"/>
              <w:left w:w="0" w:type="dxa"/>
              <w:bottom w:w="40" w:type="dxa"/>
              <w:right w:w="20" w:type="dxa"/>
            </w:tcMar>
            <w:vAlign w:val="bottom"/>
          </w:tcPr>
          <w:p w14:paraId="64304AD4"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AD5"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AD6" w14:textId="77777777" w:rsidR="009F6D8A" w:rsidRDefault="00C50974">
            <w:pPr>
              <w:jc w:val="right"/>
              <w:textAlignment w:val="bottom"/>
            </w:pPr>
            <w:r>
              <w:rPr>
                <w:rFonts w:ascii="Arial" w:eastAsia="宋体" w:hAnsi="Arial" w:cs="Arial"/>
                <w:color w:val="000000"/>
                <w:sz w:val="16"/>
                <w:szCs w:val="16"/>
              </w:rPr>
              <w:t>— </w:t>
            </w:r>
          </w:p>
        </w:tc>
        <w:tc>
          <w:tcPr>
            <w:tcW w:w="0" w:type="auto"/>
            <w:shd w:val="clear" w:color="auto" w:fill="E1E1E1"/>
            <w:tcMar>
              <w:top w:w="40" w:type="dxa"/>
              <w:left w:w="0" w:type="dxa"/>
              <w:bottom w:w="40" w:type="dxa"/>
              <w:right w:w="20" w:type="dxa"/>
            </w:tcMar>
            <w:vAlign w:val="bottom"/>
          </w:tcPr>
          <w:p w14:paraId="64304AD7" w14:textId="77777777" w:rsidR="009F6D8A" w:rsidRDefault="009F6D8A">
            <w:pPr>
              <w:jc w:val="right"/>
              <w:rPr>
                <w:rFonts w:ascii="宋体"/>
              </w:rPr>
            </w:pPr>
          </w:p>
        </w:tc>
      </w:tr>
      <w:tr w:rsidR="009F6D8A" w14:paraId="64304AE4" w14:textId="77777777">
        <w:trPr>
          <w:jc w:val="center"/>
          <w:hidden/>
        </w:trPr>
        <w:tc>
          <w:tcPr>
            <w:tcW w:w="0" w:type="auto"/>
            <w:gridSpan w:val="3"/>
            <w:shd w:val="clear" w:color="auto" w:fill="auto"/>
            <w:vAlign w:val="bottom"/>
          </w:tcPr>
          <w:p w14:paraId="64304AD9" w14:textId="77777777" w:rsidR="009F6D8A" w:rsidRDefault="009F6D8A">
            <w:pPr>
              <w:rPr>
                <w:rFonts w:ascii="宋体"/>
                <w:vanish/>
              </w:rPr>
            </w:pPr>
          </w:p>
        </w:tc>
        <w:tc>
          <w:tcPr>
            <w:tcW w:w="0" w:type="auto"/>
            <w:gridSpan w:val="3"/>
            <w:shd w:val="clear" w:color="auto" w:fill="auto"/>
            <w:vAlign w:val="bottom"/>
          </w:tcPr>
          <w:p w14:paraId="64304ADA" w14:textId="77777777" w:rsidR="009F6D8A" w:rsidRDefault="009F6D8A">
            <w:pPr>
              <w:rPr>
                <w:rFonts w:ascii="宋体"/>
                <w:vanish/>
              </w:rPr>
            </w:pPr>
          </w:p>
        </w:tc>
        <w:tc>
          <w:tcPr>
            <w:tcW w:w="0" w:type="auto"/>
            <w:gridSpan w:val="3"/>
            <w:shd w:val="clear" w:color="auto" w:fill="auto"/>
            <w:vAlign w:val="bottom"/>
          </w:tcPr>
          <w:p w14:paraId="64304ADB" w14:textId="77777777" w:rsidR="009F6D8A" w:rsidRDefault="009F6D8A">
            <w:pPr>
              <w:rPr>
                <w:rFonts w:ascii="宋体"/>
                <w:vanish/>
              </w:rPr>
            </w:pPr>
          </w:p>
        </w:tc>
        <w:tc>
          <w:tcPr>
            <w:tcW w:w="0" w:type="auto"/>
            <w:gridSpan w:val="3"/>
            <w:shd w:val="clear" w:color="auto" w:fill="auto"/>
            <w:vAlign w:val="bottom"/>
          </w:tcPr>
          <w:p w14:paraId="64304ADC" w14:textId="77777777" w:rsidR="009F6D8A" w:rsidRDefault="009F6D8A">
            <w:pPr>
              <w:rPr>
                <w:rFonts w:ascii="宋体"/>
                <w:vanish/>
              </w:rPr>
            </w:pPr>
          </w:p>
        </w:tc>
        <w:tc>
          <w:tcPr>
            <w:tcW w:w="0" w:type="auto"/>
            <w:gridSpan w:val="3"/>
            <w:shd w:val="clear" w:color="auto" w:fill="auto"/>
            <w:vAlign w:val="bottom"/>
          </w:tcPr>
          <w:p w14:paraId="64304ADD" w14:textId="77777777" w:rsidR="009F6D8A" w:rsidRDefault="009F6D8A">
            <w:pPr>
              <w:rPr>
                <w:rFonts w:ascii="宋体"/>
                <w:vanish/>
              </w:rPr>
            </w:pPr>
          </w:p>
        </w:tc>
        <w:tc>
          <w:tcPr>
            <w:tcW w:w="0" w:type="auto"/>
            <w:gridSpan w:val="3"/>
            <w:shd w:val="clear" w:color="auto" w:fill="auto"/>
            <w:vAlign w:val="bottom"/>
          </w:tcPr>
          <w:p w14:paraId="64304ADE" w14:textId="77777777" w:rsidR="009F6D8A" w:rsidRDefault="009F6D8A">
            <w:pPr>
              <w:rPr>
                <w:rFonts w:ascii="宋体"/>
                <w:vanish/>
              </w:rPr>
            </w:pPr>
          </w:p>
        </w:tc>
        <w:tc>
          <w:tcPr>
            <w:tcW w:w="0" w:type="auto"/>
            <w:gridSpan w:val="3"/>
            <w:shd w:val="clear" w:color="auto" w:fill="auto"/>
            <w:vAlign w:val="bottom"/>
          </w:tcPr>
          <w:p w14:paraId="64304ADF" w14:textId="77777777" w:rsidR="009F6D8A" w:rsidRDefault="009F6D8A">
            <w:pPr>
              <w:rPr>
                <w:rFonts w:ascii="宋体"/>
                <w:vanish/>
              </w:rPr>
            </w:pPr>
          </w:p>
        </w:tc>
        <w:tc>
          <w:tcPr>
            <w:tcW w:w="0" w:type="auto"/>
            <w:gridSpan w:val="3"/>
            <w:shd w:val="clear" w:color="auto" w:fill="auto"/>
            <w:vAlign w:val="bottom"/>
          </w:tcPr>
          <w:p w14:paraId="64304AE0" w14:textId="77777777" w:rsidR="009F6D8A" w:rsidRDefault="009F6D8A">
            <w:pPr>
              <w:rPr>
                <w:rFonts w:ascii="宋体"/>
                <w:vanish/>
              </w:rPr>
            </w:pPr>
          </w:p>
        </w:tc>
        <w:tc>
          <w:tcPr>
            <w:tcW w:w="0" w:type="auto"/>
            <w:gridSpan w:val="3"/>
            <w:shd w:val="clear" w:color="auto" w:fill="auto"/>
            <w:vAlign w:val="bottom"/>
          </w:tcPr>
          <w:p w14:paraId="64304AE1" w14:textId="77777777" w:rsidR="009F6D8A" w:rsidRDefault="009F6D8A">
            <w:pPr>
              <w:rPr>
                <w:rFonts w:ascii="宋体"/>
                <w:vanish/>
              </w:rPr>
            </w:pPr>
          </w:p>
        </w:tc>
        <w:tc>
          <w:tcPr>
            <w:tcW w:w="0" w:type="auto"/>
            <w:gridSpan w:val="3"/>
            <w:shd w:val="clear" w:color="auto" w:fill="auto"/>
            <w:vAlign w:val="bottom"/>
          </w:tcPr>
          <w:p w14:paraId="64304AE2" w14:textId="77777777" w:rsidR="009F6D8A" w:rsidRDefault="009F6D8A">
            <w:pPr>
              <w:rPr>
                <w:rFonts w:ascii="宋体"/>
                <w:vanish/>
              </w:rPr>
            </w:pPr>
          </w:p>
        </w:tc>
        <w:tc>
          <w:tcPr>
            <w:tcW w:w="0" w:type="auto"/>
            <w:gridSpan w:val="3"/>
            <w:shd w:val="clear" w:color="auto" w:fill="auto"/>
            <w:vAlign w:val="bottom"/>
          </w:tcPr>
          <w:p w14:paraId="64304AE3" w14:textId="77777777" w:rsidR="009F6D8A" w:rsidRDefault="009F6D8A">
            <w:pPr>
              <w:rPr>
                <w:rFonts w:ascii="宋体"/>
                <w:vanish/>
              </w:rPr>
            </w:pPr>
          </w:p>
        </w:tc>
      </w:tr>
      <w:tr w:rsidR="009F6D8A" w14:paraId="64304AF0" w14:textId="77777777">
        <w:trPr>
          <w:jc w:val="center"/>
          <w:hidden/>
        </w:trPr>
        <w:tc>
          <w:tcPr>
            <w:tcW w:w="0" w:type="auto"/>
            <w:gridSpan w:val="3"/>
            <w:shd w:val="clear" w:color="auto" w:fill="auto"/>
            <w:vAlign w:val="bottom"/>
          </w:tcPr>
          <w:p w14:paraId="64304AE5" w14:textId="77777777" w:rsidR="009F6D8A" w:rsidRDefault="009F6D8A">
            <w:pPr>
              <w:rPr>
                <w:rFonts w:ascii="宋体"/>
                <w:vanish/>
              </w:rPr>
            </w:pPr>
          </w:p>
        </w:tc>
        <w:tc>
          <w:tcPr>
            <w:tcW w:w="0" w:type="auto"/>
            <w:gridSpan w:val="3"/>
            <w:shd w:val="clear" w:color="auto" w:fill="auto"/>
            <w:vAlign w:val="bottom"/>
          </w:tcPr>
          <w:p w14:paraId="64304AE6" w14:textId="77777777" w:rsidR="009F6D8A" w:rsidRDefault="009F6D8A">
            <w:pPr>
              <w:rPr>
                <w:rFonts w:ascii="宋体"/>
                <w:vanish/>
              </w:rPr>
            </w:pPr>
          </w:p>
        </w:tc>
        <w:tc>
          <w:tcPr>
            <w:tcW w:w="0" w:type="auto"/>
            <w:gridSpan w:val="3"/>
            <w:shd w:val="clear" w:color="auto" w:fill="auto"/>
            <w:vAlign w:val="bottom"/>
          </w:tcPr>
          <w:p w14:paraId="64304AE7" w14:textId="77777777" w:rsidR="009F6D8A" w:rsidRDefault="009F6D8A">
            <w:pPr>
              <w:rPr>
                <w:rFonts w:ascii="宋体"/>
                <w:vanish/>
              </w:rPr>
            </w:pPr>
          </w:p>
        </w:tc>
        <w:tc>
          <w:tcPr>
            <w:tcW w:w="0" w:type="auto"/>
            <w:gridSpan w:val="3"/>
            <w:shd w:val="clear" w:color="auto" w:fill="auto"/>
            <w:vAlign w:val="bottom"/>
          </w:tcPr>
          <w:p w14:paraId="64304AE8" w14:textId="77777777" w:rsidR="009F6D8A" w:rsidRDefault="009F6D8A">
            <w:pPr>
              <w:rPr>
                <w:rFonts w:ascii="宋体"/>
                <w:vanish/>
              </w:rPr>
            </w:pPr>
          </w:p>
        </w:tc>
        <w:tc>
          <w:tcPr>
            <w:tcW w:w="0" w:type="auto"/>
            <w:gridSpan w:val="3"/>
            <w:shd w:val="clear" w:color="auto" w:fill="auto"/>
            <w:vAlign w:val="bottom"/>
          </w:tcPr>
          <w:p w14:paraId="64304AE9" w14:textId="77777777" w:rsidR="009F6D8A" w:rsidRDefault="009F6D8A">
            <w:pPr>
              <w:rPr>
                <w:rFonts w:ascii="宋体"/>
                <w:vanish/>
              </w:rPr>
            </w:pPr>
          </w:p>
        </w:tc>
        <w:tc>
          <w:tcPr>
            <w:tcW w:w="0" w:type="auto"/>
            <w:gridSpan w:val="3"/>
            <w:shd w:val="clear" w:color="auto" w:fill="auto"/>
            <w:vAlign w:val="bottom"/>
          </w:tcPr>
          <w:p w14:paraId="64304AEA" w14:textId="77777777" w:rsidR="009F6D8A" w:rsidRDefault="009F6D8A">
            <w:pPr>
              <w:rPr>
                <w:rFonts w:ascii="宋体"/>
                <w:vanish/>
              </w:rPr>
            </w:pPr>
          </w:p>
        </w:tc>
        <w:tc>
          <w:tcPr>
            <w:tcW w:w="0" w:type="auto"/>
            <w:gridSpan w:val="3"/>
            <w:shd w:val="clear" w:color="auto" w:fill="auto"/>
            <w:vAlign w:val="bottom"/>
          </w:tcPr>
          <w:p w14:paraId="64304AEB" w14:textId="77777777" w:rsidR="009F6D8A" w:rsidRDefault="009F6D8A">
            <w:pPr>
              <w:rPr>
                <w:rFonts w:ascii="宋体"/>
                <w:vanish/>
              </w:rPr>
            </w:pPr>
          </w:p>
        </w:tc>
        <w:tc>
          <w:tcPr>
            <w:tcW w:w="0" w:type="auto"/>
            <w:gridSpan w:val="3"/>
            <w:shd w:val="clear" w:color="auto" w:fill="auto"/>
            <w:vAlign w:val="bottom"/>
          </w:tcPr>
          <w:p w14:paraId="64304AEC" w14:textId="77777777" w:rsidR="009F6D8A" w:rsidRDefault="009F6D8A">
            <w:pPr>
              <w:rPr>
                <w:rFonts w:ascii="宋体"/>
                <w:vanish/>
              </w:rPr>
            </w:pPr>
          </w:p>
        </w:tc>
        <w:tc>
          <w:tcPr>
            <w:tcW w:w="0" w:type="auto"/>
            <w:gridSpan w:val="3"/>
            <w:shd w:val="clear" w:color="auto" w:fill="auto"/>
            <w:vAlign w:val="bottom"/>
          </w:tcPr>
          <w:p w14:paraId="64304AED" w14:textId="77777777" w:rsidR="009F6D8A" w:rsidRDefault="009F6D8A">
            <w:pPr>
              <w:rPr>
                <w:rFonts w:ascii="宋体"/>
                <w:vanish/>
              </w:rPr>
            </w:pPr>
          </w:p>
        </w:tc>
        <w:tc>
          <w:tcPr>
            <w:tcW w:w="0" w:type="auto"/>
            <w:gridSpan w:val="3"/>
            <w:shd w:val="clear" w:color="auto" w:fill="auto"/>
            <w:vAlign w:val="bottom"/>
          </w:tcPr>
          <w:p w14:paraId="64304AEE" w14:textId="77777777" w:rsidR="009F6D8A" w:rsidRDefault="009F6D8A">
            <w:pPr>
              <w:rPr>
                <w:rFonts w:ascii="宋体"/>
                <w:vanish/>
              </w:rPr>
            </w:pPr>
          </w:p>
        </w:tc>
        <w:tc>
          <w:tcPr>
            <w:tcW w:w="0" w:type="auto"/>
            <w:gridSpan w:val="3"/>
            <w:shd w:val="clear" w:color="auto" w:fill="auto"/>
            <w:vAlign w:val="bottom"/>
          </w:tcPr>
          <w:p w14:paraId="64304AEF" w14:textId="77777777" w:rsidR="009F6D8A" w:rsidRDefault="009F6D8A">
            <w:pPr>
              <w:rPr>
                <w:rFonts w:ascii="宋体"/>
                <w:vanish/>
              </w:rPr>
            </w:pPr>
          </w:p>
        </w:tc>
      </w:tr>
      <w:tr w:rsidR="009F6D8A" w14:paraId="64304AFC" w14:textId="77777777">
        <w:trPr>
          <w:jc w:val="center"/>
          <w:hidden/>
        </w:trPr>
        <w:tc>
          <w:tcPr>
            <w:tcW w:w="0" w:type="auto"/>
            <w:gridSpan w:val="3"/>
            <w:shd w:val="clear" w:color="auto" w:fill="auto"/>
            <w:vAlign w:val="bottom"/>
          </w:tcPr>
          <w:p w14:paraId="64304AF1" w14:textId="77777777" w:rsidR="009F6D8A" w:rsidRDefault="009F6D8A">
            <w:pPr>
              <w:rPr>
                <w:rFonts w:ascii="宋体"/>
                <w:vanish/>
              </w:rPr>
            </w:pPr>
          </w:p>
        </w:tc>
        <w:tc>
          <w:tcPr>
            <w:tcW w:w="0" w:type="auto"/>
            <w:gridSpan w:val="3"/>
            <w:shd w:val="clear" w:color="auto" w:fill="auto"/>
            <w:vAlign w:val="bottom"/>
          </w:tcPr>
          <w:p w14:paraId="64304AF2" w14:textId="77777777" w:rsidR="009F6D8A" w:rsidRDefault="009F6D8A">
            <w:pPr>
              <w:rPr>
                <w:rFonts w:ascii="宋体"/>
                <w:vanish/>
              </w:rPr>
            </w:pPr>
          </w:p>
        </w:tc>
        <w:tc>
          <w:tcPr>
            <w:tcW w:w="0" w:type="auto"/>
            <w:gridSpan w:val="3"/>
            <w:shd w:val="clear" w:color="auto" w:fill="auto"/>
            <w:vAlign w:val="bottom"/>
          </w:tcPr>
          <w:p w14:paraId="64304AF3" w14:textId="77777777" w:rsidR="009F6D8A" w:rsidRDefault="009F6D8A">
            <w:pPr>
              <w:rPr>
                <w:rFonts w:ascii="宋体"/>
                <w:vanish/>
              </w:rPr>
            </w:pPr>
          </w:p>
        </w:tc>
        <w:tc>
          <w:tcPr>
            <w:tcW w:w="0" w:type="auto"/>
            <w:gridSpan w:val="3"/>
            <w:shd w:val="clear" w:color="auto" w:fill="auto"/>
            <w:vAlign w:val="bottom"/>
          </w:tcPr>
          <w:p w14:paraId="64304AF4" w14:textId="77777777" w:rsidR="009F6D8A" w:rsidRDefault="009F6D8A">
            <w:pPr>
              <w:rPr>
                <w:rFonts w:ascii="宋体"/>
                <w:vanish/>
              </w:rPr>
            </w:pPr>
          </w:p>
        </w:tc>
        <w:tc>
          <w:tcPr>
            <w:tcW w:w="0" w:type="auto"/>
            <w:gridSpan w:val="3"/>
            <w:shd w:val="clear" w:color="auto" w:fill="auto"/>
            <w:vAlign w:val="bottom"/>
          </w:tcPr>
          <w:p w14:paraId="64304AF5" w14:textId="77777777" w:rsidR="009F6D8A" w:rsidRDefault="009F6D8A">
            <w:pPr>
              <w:rPr>
                <w:rFonts w:ascii="宋体"/>
                <w:vanish/>
              </w:rPr>
            </w:pPr>
          </w:p>
        </w:tc>
        <w:tc>
          <w:tcPr>
            <w:tcW w:w="0" w:type="auto"/>
            <w:gridSpan w:val="3"/>
            <w:shd w:val="clear" w:color="auto" w:fill="auto"/>
            <w:vAlign w:val="bottom"/>
          </w:tcPr>
          <w:p w14:paraId="64304AF6" w14:textId="77777777" w:rsidR="009F6D8A" w:rsidRDefault="009F6D8A">
            <w:pPr>
              <w:rPr>
                <w:rFonts w:ascii="宋体"/>
                <w:vanish/>
              </w:rPr>
            </w:pPr>
          </w:p>
        </w:tc>
        <w:tc>
          <w:tcPr>
            <w:tcW w:w="0" w:type="auto"/>
            <w:gridSpan w:val="3"/>
            <w:shd w:val="clear" w:color="auto" w:fill="auto"/>
            <w:vAlign w:val="bottom"/>
          </w:tcPr>
          <w:p w14:paraId="64304AF7" w14:textId="77777777" w:rsidR="009F6D8A" w:rsidRDefault="009F6D8A">
            <w:pPr>
              <w:rPr>
                <w:rFonts w:ascii="宋体"/>
                <w:vanish/>
              </w:rPr>
            </w:pPr>
          </w:p>
        </w:tc>
        <w:tc>
          <w:tcPr>
            <w:tcW w:w="0" w:type="auto"/>
            <w:gridSpan w:val="3"/>
            <w:shd w:val="clear" w:color="auto" w:fill="auto"/>
            <w:vAlign w:val="bottom"/>
          </w:tcPr>
          <w:p w14:paraId="64304AF8" w14:textId="77777777" w:rsidR="009F6D8A" w:rsidRDefault="009F6D8A">
            <w:pPr>
              <w:rPr>
                <w:rFonts w:ascii="宋体"/>
                <w:vanish/>
              </w:rPr>
            </w:pPr>
          </w:p>
        </w:tc>
        <w:tc>
          <w:tcPr>
            <w:tcW w:w="0" w:type="auto"/>
            <w:gridSpan w:val="3"/>
            <w:shd w:val="clear" w:color="auto" w:fill="auto"/>
            <w:vAlign w:val="bottom"/>
          </w:tcPr>
          <w:p w14:paraId="64304AF9" w14:textId="77777777" w:rsidR="009F6D8A" w:rsidRDefault="009F6D8A">
            <w:pPr>
              <w:rPr>
                <w:rFonts w:ascii="宋体"/>
                <w:vanish/>
              </w:rPr>
            </w:pPr>
          </w:p>
        </w:tc>
        <w:tc>
          <w:tcPr>
            <w:tcW w:w="0" w:type="auto"/>
            <w:gridSpan w:val="3"/>
            <w:shd w:val="clear" w:color="auto" w:fill="auto"/>
            <w:vAlign w:val="bottom"/>
          </w:tcPr>
          <w:p w14:paraId="64304AFA" w14:textId="77777777" w:rsidR="009F6D8A" w:rsidRDefault="009F6D8A">
            <w:pPr>
              <w:rPr>
                <w:rFonts w:ascii="宋体"/>
                <w:vanish/>
              </w:rPr>
            </w:pPr>
          </w:p>
        </w:tc>
        <w:tc>
          <w:tcPr>
            <w:tcW w:w="0" w:type="auto"/>
            <w:gridSpan w:val="3"/>
            <w:shd w:val="clear" w:color="auto" w:fill="auto"/>
            <w:vAlign w:val="bottom"/>
          </w:tcPr>
          <w:p w14:paraId="64304AFB" w14:textId="77777777" w:rsidR="009F6D8A" w:rsidRDefault="009F6D8A">
            <w:pPr>
              <w:rPr>
                <w:rFonts w:ascii="宋体"/>
                <w:vanish/>
              </w:rPr>
            </w:pPr>
          </w:p>
        </w:tc>
      </w:tr>
      <w:tr w:rsidR="009F6D8A" w14:paraId="64304B0C" w14:textId="77777777">
        <w:trPr>
          <w:jc w:val="center"/>
        </w:trPr>
        <w:tc>
          <w:tcPr>
            <w:tcW w:w="0" w:type="auto"/>
            <w:gridSpan w:val="3"/>
            <w:shd w:val="clear" w:color="auto" w:fill="FFFFFF"/>
            <w:tcMar>
              <w:top w:w="40" w:type="dxa"/>
              <w:left w:w="20" w:type="dxa"/>
              <w:bottom w:w="40" w:type="dxa"/>
              <w:right w:w="20" w:type="dxa"/>
            </w:tcMar>
            <w:vAlign w:val="bottom"/>
          </w:tcPr>
          <w:p w14:paraId="64304AFD" w14:textId="77777777" w:rsidR="009F6D8A" w:rsidRDefault="00C50974">
            <w:pPr>
              <w:textAlignment w:val="bottom"/>
            </w:pPr>
            <w:r>
              <w:rPr>
                <w:rFonts w:ascii="Arial" w:eastAsia="宋体" w:hAnsi="Arial" w:cs="Arial"/>
                <w:color w:val="000000"/>
                <w:sz w:val="16"/>
                <w:szCs w:val="16"/>
              </w:rPr>
              <w:t>Interest rate contracts</w:t>
            </w:r>
          </w:p>
        </w:tc>
        <w:tc>
          <w:tcPr>
            <w:tcW w:w="0" w:type="auto"/>
            <w:gridSpan w:val="3"/>
            <w:shd w:val="clear" w:color="auto" w:fill="FFFFFF"/>
            <w:tcMar>
              <w:top w:w="0" w:type="dxa"/>
              <w:left w:w="20" w:type="dxa"/>
              <w:bottom w:w="0" w:type="dxa"/>
              <w:right w:w="20" w:type="dxa"/>
            </w:tcMar>
            <w:vAlign w:val="bottom"/>
          </w:tcPr>
          <w:p w14:paraId="64304AFE" w14:textId="77777777" w:rsidR="009F6D8A" w:rsidRDefault="009F6D8A">
            <w:pPr>
              <w:rPr>
                <w:rFonts w:ascii="宋体"/>
              </w:rPr>
            </w:pPr>
          </w:p>
        </w:tc>
        <w:tc>
          <w:tcPr>
            <w:tcW w:w="0" w:type="auto"/>
            <w:gridSpan w:val="3"/>
            <w:shd w:val="clear" w:color="auto" w:fill="FFFFFF"/>
            <w:tcMar>
              <w:top w:w="40" w:type="dxa"/>
              <w:left w:w="20" w:type="dxa"/>
              <w:bottom w:w="40" w:type="dxa"/>
              <w:right w:w="20" w:type="dxa"/>
            </w:tcMar>
            <w:vAlign w:val="bottom"/>
          </w:tcPr>
          <w:p w14:paraId="64304AFF" w14:textId="77777777" w:rsidR="009F6D8A" w:rsidRDefault="00C50974">
            <w:pPr>
              <w:textAlignment w:val="bottom"/>
            </w:pPr>
            <w:r>
              <w:rPr>
                <w:rFonts w:ascii="Arial" w:eastAsia="宋体" w:hAnsi="Arial" w:cs="Arial"/>
                <w:color w:val="000000"/>
                <w:sz w:val="16"/>
                <w:szCs w:val="16"/>
              </w:rPr>
              <w:t>Interest and other, net</w:t>
            </w:r>
          </w:p>
        </w:tc>
        <w:tc>
          <w:tcPr>
            <w:tcW w:w="0" w:type="auto"/>
            <w:gridSpan w:val="3"/>
            <w:shd w:val="clear" w:color="auto" w:fill="FFFFFF"/>
            <w:tcMar>
              <w:top w:w="0" w:type="dxa"/>
              <w:left w:w="20" w:type="dxa"/>
              <w:bottom w:w="0" w:type="dxa"/>
              <w:right w:w="20" w:type="dxa"/>
            </w:tcMar>
            <w:vAlign w:val="bottom"/>
          </w:tcPr>
          <w:p w14:paraId="64304B00"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B01" w14:textId="77777777" w:rsidR="009F6D8A" w:rsidRDefault="00C50974">
            <w:pPr>
              <w:jc w:val="right"/>
              <w:textAlignment w:val="bottom"/>
            </w:pPr>
            <w:r>
              <w:rPr>
                <w:rFonts w:ascii="Arial" w:eastAsia="宋体" w:hAnsi="Arial" w:cs="Arial"/>
                <w:color w:val="000000"/>
                <w:sz w:val="16"/>
                <w:szCs w:val="16"/>
              </w:rPr>
              <w:t>1 </w:t>
            </w:r>
          </w:p>
        </w:tc>
        <w:tc>
          <w:tcPr>
            <w:tcW w:w="0" w:type="auto"/>
            <w:shd w:val="clear" w:color="auto" w:fill="FFFFFF"/>
            <w:tcMar>
              <w:top w:w="40" w:type="dxa"/>
              <w:left w:w="0" w:type="dxa"/>
              <w:bottom w:w="40" w:type="dxa"/>
              <w:right w:w="20" w:type="dxa"/>
            </w:tcMar>
            <w:vAlign w:val="bottom"/>
          </w:tcPr>
          <w:p w14:paraId="64304B0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B03"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B04" w14:textId="77777777" w:rsidR="009F6D8A" w:rsidRDefault="00C50974">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64304B0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B0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B07" w14:textId="77777777" w:rsidR="009F6D8A" w:rsidRDefault="00C50974">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64304B0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B0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B0A" w14:textId="77777777" w:rsidR="009F6D8A" w:rsidRDefault="00C50974">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64304B0B" w14:textId="77777777" w:rsidR="009F6D8A" w:rsidRDefault="009F6D8A">
            <w:pPr>
              <w:jc w:val="right"/>
              <w:rPr>
                <w:rFonts w:ascii="宋体"/>
              </w:rPr>
            </w:pPr>
          </w:p>
        </w:tc>
      </w:tr>
      <w:tr w:rsidR="009F6D8A" w14:paraId="64304B1C" w14:textId="77777777">
        <w:trPr>
          <w:jc w:val="center"/>
        </w:trPr>
        <w:tc>
          <w:tcPr>
            <w:tcW w:w="0" w:type="auto"/>
            <w:gridSpan w:val="3"/>
            <w:shd w:val="clear" w:color="auto" w:fill="E1E1E1"/>
            <w:tcMar>
              <w:top w:w="0" w:type="dxa"/>
              <w:left w:w="20" w:type="dxa"/>
              <w:bottom w:w="0" w:type="dxa"/>
              <w:right w:w="20" w:type="dxa"/>
            </w:tcMar>
            <w:vAlign w:val="bottom"/>
          </w:tcPr>
          <w:p w14:paraId="64304B0D"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B0E" w14:textId="77777777" w:rsidR="009F6D8A" w:rsidRDefault="009F6D8A">
            <w:pPr>
              <w:rPr>
                <w:rFonts w:ascii="宋体"/>
              </w:rPr>
            </w:pPr>
          </w:p>
        </w:tc>
        <w:tc>
          <w:tcPr>
            <w:tcW w:w="0" w:type="auto"/>
            <w:gridSpan w:val="3"/>
            <w:shd w:val="clear" w:color="auto" w:fill="E1E1E1"/>
            <w:tcMar>
              <w:top w:w="40" w:type="dxa"/>
              <w:left w:w="20" w:type="dxa"/>
              <w:bottom w:w="40" w:type="dxa"/>
              <w:right w:w="20" w:type="dxa"/>
            </w:tcMar>
            <w:vAlign w:val="bottom"/>
          </w:tcPr>
          <w:p w14:paraId="64304B0F" w14:textId="77777777" w:rsidR="009F6D8A" w:rsidRDefault="00C50974">
            <w:pPr>
              <w:textAlignment w:val="bottom"/>
            </w:pPr>
            <w:r>
              <w:rPr>
                <w:rFonts w:ascii="Arial" w:eastAsia="宋体" w:hAnsi="Arial" w:cs="Arial"/>
                <w:color w:val="000000"/>
                <w:sz w:val="16"/>
                <w:szCs w:val="16"/>
              </w:rPr>
              <w:t>Total, from continuing operations before income taxes</w:t>
            </w:r>
          </w:p>
        </w:tc>
        <w:tc>
          <w:tcPr>
            <w:tcW w:w="0" w:type="auto"/>
            <w:gridSpan w:val="3"/>
            <w:shd w:val="clear" w:color="auto" w:fill="E1E1E1"/>
            <w:tcMar>
              <w:top w:w="0" w:type="dxa"/>
              <w:left w:w="20" w:type="dxa"/>
              <w:bottom w:w="0" w:type="dxa"/>
              <w:right w:w="20" w:type="dxa"/>
            </w:tcMar>
            <w:vAlign w:val="bottom"/>
          </w:tcPr>
          <w:p w14:paraId="64304B10"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4B11" w14:textId="77777777" w:rsidR="009F6D8A" w:rsidRDefault="00C50974">
            <w:pPr>
              <w:jc w:val="right"/>
              <w:textAlignment w:val="bottom"/>
            </w:pPr>
            <w:r>
              <w:rPr>
                <w:rFonts w:ascii="Arial" w:eastAsia="宋体" w:hAnsi="Arial" w:cs="Arial"/>
                <w:color w:val="000000"/>
                <w:sz w:val="16"/>
                <w:szCs w:val="16"/>
              </w:rPr>
              <w:t>(16)</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4B12"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B13"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4B14" w14:textId="77777777" w:rsidR="009F6D8A" w:rsidRDefault="00C50974">
            <w:pPr>
              <w:jc w:val="right"/>
              <w:textAlignment w:val="bottom"/>
            </w:pPr>
            <w:r>
              <w:rPr>
                <w:rFonts w:ascii="Arial" w:eastAsia="宋体" w:hAnsi="Arial" w:cs="Arial"/>
                <w:color w:val="000000"/>
                <w:sz w:val="16"/>
                <w:szCs w:val="16"/>
              </w:rPr>
              <w:t>17 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4B15"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B16"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4B17" w14:textId="77777777" w:rsidR="009F6D8A" w:rsidRDefault="00C50974">
            <w:pPr>
              <w:jc w:val="right"/>
              <w:textAlignment w:val="bottom"/>
            </w:pPr>
            <w:r>
              <w:rPr>
                <w:rFonts w:ascii="Arial" w:eastAsia="宋体" w:hAnsi="Arial" w:cs="Arial"/>
                <w:color w:val="000000"/>
                <w:sz w:val="16"/>
                <w:szCs w:val="16"/>
              </w:rPr>
              <w:t>(44)</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4B18"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B19"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4B1A" w14:textId="77777777" w:rsidR="009F6D8A" w:rsidRDefault="00C50974">
            <w:pPr>
              <w:jc w:val="right"/>
              <w:textAlignment w:val="bottom"/>
            </w:pPr>
            <w:r>
              <w:rPr>
                <w:rFonts w:ascii="Arial" w:eastAsia="宋体" w:hAnsi="Arial" w:cs="Arial"/>
                <w:color w:val="000000"/>
                <w:sz w:val="16"/>
                <w:szCs w:val="16"/>
              </w:rPr>
              <w:t>17 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4B1B" w14:textId="77777777" w:rsidR="009F6D8A" w:rsidRDefault="009F6D8A">
            <w:pPr>
              <w:jc w:val="right"/>
              <w:rPr>
                <w:rFonts w:ascii="宋体"/>
              </w:rPr>
            </w:pPr>
          </w:p>
        </w:tc>
      </w:tr>
      <w:tr w:rsidR="009F6D8A" w14:paraId="64304B2C" w14:textId="77777777">
        <w:trPr>
          <w:jc w:val="center"/>
        </w:trPr>
        <w:tc>
          <w:tcPr>
            <w:tcW w:w="0" w:type="auto"/>
            <w:gridSpan w:val="3"/>
            <w:shd w:val="clear" w:color="auto" w:fill="FFFFFF"/>
            <w:tcMar>
              <w:top w:w="0" w:type="dxa"/>
              <w:left w:w="20" w:type="dxa"/>
              <w:bottom w:w="0" w:type="dxa"/>
              <w:right w:w="20" w:type="dxa"/>
            </w:tcMar>
            <w:vAlign w:val="bottom"/>
          </w:tcPr>
          <w:p w14:paraId="64304B1D"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B1E" w14:textId="77777777" w:rsidR="009F6D8A" w:rsidRDefault="009F6D8A">
            <w:pPr>
              <w:rPr>
                <w:rFonts w:ascii="宋体"/>
              </w:rPr>
            </w:pPr>
          </w:p>
        </w:tc>
        <w:tc>
          <w:tcPr>
            <w:tcW w:w="0" w:type="auto"/>
            <w:gridSpan w:val="3"/>
            <w:shd w:val="clear" w:color="auto" w:fill="FFFFFF"/>
            <w:tcMar>
              <w:top w:w="40" w:type="dxa"/>
              <w:left w:w="20" w:type="dxa"/>
              <w:bottom w:w="40" w:type="dxa"/>
              <w:right w:w="20" w:type="dxa"/>
            </w:tcMar>
            <w:vAlign w:val="bottom"/>
          </w:tcPr>
          <w:p w14:paraId="64304B1F" w14:textId="77777777" w:rsidR="009F6D8A" w:rsidRDefault="00C50974">
            <w:pPr>
              <w:textAlignment w:val="bottom"/>
            </w:pPr>
            <w:r>
              <w:rPr>
                <w:rFonts w:ascii="Arial" w:eastAsia="宋体" w:hAnsi="Arial" w:cs="Arial"/>
                <w:color w:val="000000"/>
                <w:sz w:val="16"/>
                <w:szCs w:val="16"/>
              </w:rPr>
              <w:t>Provision for income taxes</w:t>
            </w:r>
          </w:p>
        </w:tc>
        <w:tc>
          <w:tcPr>
            <w:tcW w:w="0" w:type="auto"/>
            <w:gridSpan w:val="3"/>
            <w:shd w:val="clear" w:color="auto" w:fill="FFFFFF"/>
            <w:tcMar>
              <w:top w:w="0" w:type="dxa"/>
              <w:left w:w="20" w:type="dxa"/>
              <w:bottom w:w="0" w:type="dxa"/>
              <w:right w:w="20" w:type="dxa"/>
            </w:tcMar>
            <w:vAlign w:val="bottom"/>
          </w:tcPr>
          <w:p w14:paraId="64304B20"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B21" w14:textId="77777777" w:rsidR="009F6D8A" w:rsidRDefault="00C50974">
            <w:pPr>
              <w:jc w:val="right"/>
              <w:textAlignment w:val="bottom"/>
            </w:pPr>
            <w:r>
              <w:rPr>
                <w:rFonts w:ascii="Arial" w:eastAsia="宋体" w:hAnsi="Arial" w:cs="Arial"/>
                <w:color w:val="000000"/>
                <w:sz w:val="16"/>
                <w:szCs w:val="16"/>
              </w:rPr>
              <w:t>4 </w:t>
            </w:r>
          </w:p>
        </w:tc>
        <w:tc>
          <w:tcPr>
            <w:tcW w:w="0" w:type="auto"/>
            <w:shd w:val="clear" w:color="auto" w:fill="FFFFFF"/>
            <w:tcMar>
              <w:top w:w="40" w:type="dxa"/>
              <w:left w:w="0" w:type="dxa"/>
              <w:bottom w:w="40" w:type="dxa"/>
              <w:right w:w="20" w:type="dxa"/>
            </w:tcMar>
            <w:vAlign w:val="bottom"/>
          </w:tcPr>
          <w:p w14:paraId="64304B2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B23"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B24" w14:textId="77777777" w:rsidR="009F6D8A" w:rsidRDefault="00C50974">
            <w:pPr>
              <w:jc w:val="right"/>
              <w:textAlignment w:val="bottom"/>
            </w:pPr>
            <w:r>
              <w:rPr>
                <w:rFonts w:ascii="Arial" w:eastAsia="宋体" w:hAnsi="Arial" w:cs="Arial"/>
                <w:color w:val="000000"/>
                <w:sz w:val="16"/>
                <w:szCs w:val="16"/>
              </w:rPr>
              <w:t>(4)</w:t>
            </w:r>
          </w:p>
        </w:tc>
        <w:tc>
          <w:tcPr>
            <w:tcW w:w="0" w:type="auto"/>
            <w:shd w:val="clear" w:color="auto" w:fill="FFFFFF"/>
            <w:tcMar>
              <w:top w:w="40" w:type="dxa"/>
              <w:left w:w="0" w:type="dxa"/>
              <w:bottom w:w="40" w:type="dxa"/>
              <w:right w:w="20" w:type="dxa"/>
            </w:tcMar>
            <w:vAlign w:val="bottom"/>
          </w:tcPr>
          <w:p w14:paraId="64304B2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B2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B27" w14:textId="77777777" w:rsidR="009F6D8A" w:rsidRDefault="00C50974">
            <w:pPr>
              <w:jc w:val="right"/>
              <w:textAlignment w:val="bottom"/>
            </w:pPr>
            <w:r>
              <w:rPr>
                <w:rFonts w:ascii="Arial" w:eastAsia="宋体" w:hAnsi="Arial" w:cs="Arial"/>
                <w:color w:val="000000"/>
                <w:sz w:val="16"/>
                <w:szCs w:val="16"/>
              </w:rPr>
              <w:t>10 </w:t>
            </w:r>
          </w:p>
        </w:tc>
        <w:tc>
          <w:tcPr>
            <w:tcW w:w="0" w:type="auto"/>
            <w:shd w:val="clear" w:color="auto" w:fill="FFFFFF"/>
            <w:tcMar>
              <w:top w:w="40" w:type="dxa"/>
              <w:left w:w="0" w:type="dxa"/>
              <w:bottom w:w="40" w:type="dxa"/>
              <w:right w:w="20" w:type="dxa"/>
            </w:tcMar>
            <w:vAlign w:val="bottom"/>
          </w:tcPr>
          <w:p w14:paraId="64304B2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B2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B2A" w14:textId="77777777" w:rsidR="009F6D8A" w:rsidRDefault="00C50974">
            <w:pPr>
              <w:jc w:val="right"/>
              <w:textAlignment w:val="bottom"/>
            </w:pPr>
            <w:r>
              <w:rPr>
                <w:rFonts w:ascii="Arial" w:eastAsia="宋体" w:hAnsi="Arial" w:cs="Arial"/>
                <w:color w:val="000000"/>
                <w:sz w:val="16"/>
                <w:szCs w:val="16"/>
              </w:rPr>
              <w:t>(4)</w:t>
            </w:r>
          </w:p>
        </w:tc>
        <w:tc>
          <w:tcPr>
            <w:tcW w:w="0" w:type="auto"/>
            <w:shd w:val="clear" w:color="auto" w:fill="FFFFFF"/>
            <w:tcMar>
              <w:top w:w="40" w:type="dxa"/>
              <w:left w:w="0" w:type="dxa"/>
              <w:bottom w:w="40" w:type="dxa"/>
              <w:right w:w="20" w:type="dxa"/>
            </w:tcMar>
            <w:vAlign w:val="bottom"/>
          </w:tcPr>
          <w:p w14:paraId="64304B2B" w14:textId="77777777" w:rsidR="009F6D8A" w:rsidRDefault="009F6D8A">
            <w:pPr>
              <w:jc w:val="right"/>
              <w:rPr>
                <w:rFonts w:ascii="宋体"/>
              </w:rPr>
            </w:pPr>
          </w:p>
        </w:tc>
      </w:tr>
      <w:tr w:rsidR="009F6D8A" w14:paraId="64304B38" w14:textId="77777777">
        <w:trPr>
          <w:jc w:val="center"/>
          <w:hidden/>
        </w:trPr>
        <w:tc>
          <w:tcPr>
            <w:tcW w:w="0" w:type="auto"/>
            <w:gridSpan w:val="3"/>
            <w:shd w:val="clear" w:color="auto" w:fill="auto"/>
            <w:vAlign w:val="bottom"/>
          </w:tcPr>
          <w:p w14:paraId="64304B2D" w14:textId="77777777" w:rsidR="009F6D8A" w:rsidRDefault="009F6D8A">
            <w:pPr>
              <w:rPr>
                <w:rFonts w:ascii="宋体"/>
                <w:vanish/>
              </w:rPr>
            </w:pPr>
          </w:p>
        </w:tc>
        <w:tc>
          <w:tcPr>
            <w:tcW w:w="0" w:type="auto"/>
            <w:gridSpan w:val="3"/>
            <w:shd w:val="clear" w:color="auto" w:fill="auto"/>
            <w:vAlign w:val="bottom"/>
          </w:tcPr>
          <w:p w14:paraId="64304B2E" w14:textId="77777777" w:rsidR="009F6D8A" w:rsidRDefault="009F6D8A">
            <w:pPr>
              <w:rPr>
                <w:rFonts w:ascii="宋体"/>
                <w:vanish/>
              </w:rPr>
            </w:pPr>
          </w:p>
        </w:tc>
        <w:tc>
          <w:tcPr>
            <w:tcW w:w="0" w:type="auto"/>
            <w:gridSpan w:val="3"/>
            <w:shd w:val="clear" w:color="auto" w:fill="auto"/>
            <w:vAlign w:val="bottom"/>
          </w:tcPr>
          <w:p w14:paraId="64304B2F" w14:textId="77777777" w:rsidR="009F6D8A" w:rsidRDefault="009F6D8A">
            <w:pPr>
              <w:rPr>
                <w:rFonts w:ascii="宋体"/>
                <w:vanish/>
              </w:rPr>
            </w:pPr>
          </w:p>
        </w:tc>
        <w:tc>
          <w:tcPr>
            <w:tcW w:w="0" w:type="auto"/>
            <w:gridSpan w:val="3"/>
            <w:shd w:val="clear" w:color="auto" w:fill="auto"/>
            <w:vAlign w:val="bottom"/>
          </w:tcPr>
          <w:p w14:paraId="64304B30" w14:textId="77777777" w:rsidR="009F6D8A" w:rsidRDefault="009F6D8A">
            <w:pPr>
              <w:rPr>
                <w:rFonts w:ascii="宋体"/>
                <w:vanish/>
              </w:rPr>
            </w:pPr>
          </w:p>
        </w:tc>
        <w:tc>
          <w:tcPr>
            <w:tcW w:w="0" w:type="auto"/>
            <w:gridSpan w:val="3"/>
            <w:shd w:val="clear" w:color="auto" w:fill="auto"/>
            <w:vAlign w:val="bottom"/>
          </w:tcPr>
          <w:p w14:paraId="64304B31" w14:textId="77777777" w:rsidR="009F6D8A" w:rsidRDefault="009F6D8A">
            <w:pPr>
              <w:rPr>
                <w:rFonts w:ascii="宋体"/>
                <w:vanish/>
              </w:rPr>
            </w:pPr>
          </w:p>
        </w:tc>
        <w:tc>
          <w:tcPr>
            <w:tcW w:w="0" w:type="auto"/>
            <w:gridSpan w:val="3"/>
            <w:shd w:val="clear" w:color="auto" w:fill="auto"/>
            <w:vAlign w:val="bottom"/>
          </w:tcPr>
          <w:p w14:paraId="64304B32" w14:textId="77777777" w:rsidR="009F6D8A" w:rsidRDefault="009F6D8A">
            <w:pPr>
              <w:rPr>
                <w:rFonts w:ascii="宋体"/>
                <w:vanish/>
              </w:rPr>
            </w:pPr>
          </w:p>
        </w:tc>
        <w:tc>
          <w:tcPr>
            <w:tcW w:w="0" w:type="auto"/>
            <w:gridSpan w:val="3"/>
            <w:shd w:val="clear" w:color="auto" w:fill="auto"/>
            <w:vAlign w:val="bottom"/>
          </w:tcPr>
          <w:p w14:paraId="64304B33" w14:textId="77777777" w:rsidR="009F6D8A" w:rsidRDefault="009F6D8A">
            <w:pPr>
              <w:rPr>
                <w:rFonts w:ascii="宋体"/>
                <w:vanish/>
              </w:rPr>
            </w:pPr>
          </w:p>
        </w:tc>
        <w:tc>
          <w:tcPr>
            <w:tcW w:w="0" w:type="auto"/>
            <w:gridSpan w:val="3"/>
            <w:shd w:val="clear" w:color="auto" w:fill="auto"/>
            <w:vAlign w:val="bottom"/>
          </w:tcPr>
          <w:p w14:paraId="64304B34" w14:textId="77777777" w:rsidR="009F6D8A" w:rsidRDefault="009F6D8A">
            <w:pPr>
              <w:rPr>
                <w:rFonts w:ascii="宋体"/>
                <w:vanish/>
              </w:rPr>
            </w:pPr>
          </w:p>
        </w:tc>
        <w:tc>
          <w:tcPr>
            <w:tcW w:w="0" w:type="auto"/>
            <w:gridSpan w:val="3"/>
            <w:shd w:val="clear" w:color="auto" w:fill="auto"/>
            <w:vAlign w:val="bottom"/>
          </w:tcPr>
          <w:p w14:paraId="64304B35" w14:textId="77777777" w:rsidR="009F6D8A" w:rsidRDefault="009F6D8A">
            <w:pPr>
              <w:rPr>
                <w:rFonts w:ascii="宋体"/>
                <w:vanish/>
              </w:rPr>
            </w:pPr>
          </w:p>
        </w:tc>
        <w:tc>
          <w:tcPr>
            <w:tcW w:w="0" w:type="auto"/>
            <w:gridSpan w:val="3"/>
            <w:shd w:val="clear" w:color="auto" w:fill="auto"/>
            <w:vAlign w:val="bottom"/>
          </w:tcPr>
          <w:p w14:paraId="64304B36" w14:textId="77777777" w:rsidR="009F6D8A" w:rsidRDefault="009F6D8A">
            <w:pPr>
              <w:rPr>
                <w:rFonts w:ascii="宋体"/>
                <w:vanish/>
              </w:rPr>
            </w:pPr>
          </w:p>
        </w:tc>
        <w:tc>
          <w:tcPr>
            <w:tcW w:w="0" w:type="auto"/>
            <w:gridSpan w:val="3"/>
            <w:shd w:val="clear" w:color="auto" w:fill="auto"/>
            <w:vAlign w:val="bottom"/>
          </w:tcPr>
          <w:p w14:paraId="64304B37" w14:textId="77777777" w:rsidR="009F6D8A" w:rsidRDefault="009F6D8A">
            <w:pPr>
              <w:rPr>
                <w:rFonts w:ascii="宋体"/>
                <w:vanish/>
              </w:rPr>
            </w:pPr>
          </w:p>
        </w:tc>
      </w:tr>
      <w:tr w:rsidR="009F6D8A" w14:paraId="64304B44" w14:textId="77777777">
        <w:trPr>
          <w:jc w:val="center"/>
          <w:hidden/>
        </w:trPr>
        <w:tc>
          <w:tcPr>
            <w:tcW w:w="0" w:type="auto"/>
            <w:gridSpan w:val="3"/>
            <w:shd w:val="clear" w:color="auto" w:fill="auto"/>
            <w:vAlign w:val="bottom"/>
          </w:tcPr>
          <w:p w14:paraId="64304B39" w14:textId="77777777" w:rsidR="009F6D8A" w:rsidRDefault="009F6D8A">
            <w:pPr>
              <w:rPr>
                <w:rFonts w:ascii="宋体"/>
                <w:vanish/>
              </w:rPr>
            </w:pPr>
          </w:p>
        </w:tc>
        <w:tc>
          <w:tcPr>
            <w:tcW w:w="0" w:type="auto"/>
            <w:gridSpan w:val="3"/>
            <w:shd w:val="clear" w:color="auto" w:fill="auto"/>
            <w:vAlign w:val="bottom"/>
          </w:tcPr>
          <w:p w14:paraId="64304B3A" w14:textId="77777777" w:rsidR="009F6D8A" w:rsidRDefault="009F6D8A">
            <w:pPr>
              <w:rPr>
                <w:rFonts w:ascii="宋体"/>
                <w:vanish/>
              </w:rPr>
            </w:pPr>
          </w:p>
        </w:tc>
        <w:tc>
          <w:tcPr>
            <w:tcW w:w="0" w:type="auto"/>
            <w:gridSpan w:val="3"/>
            <w:shd w:val="clear" w:color="auto" w:fill="auto"/>
            <w:vAlign w:val="bottom"/>
          </w:tcPr>
          <w:p w14:paraId="64304B3B" w14:textId="77777777" w:rsidR="009F6D8A" w:rsidRDefault="009F6D8A">
            <w:pPr>
              <w:rPr>
                <w:rFonts w:ascii="宋体"/>
                <w:vanish/>
              </w:rPr>
            </w:pPr>
          </w:p>
        </w:tc>
        <w:tc>
          <w:tcPr>
            <w:tcW w:w="0" w:type="auto"/>
            <w:gridSpan w:val="3"/>
            <w:shd w:val="clear" w:color="auto" w:fill="auto"/>
            <w:vAlign w:val="bottom"/>
          </w:tcPr>
          <w:p w14:paraId="64304B3C" w14:textId="77777777" w:rsidR="009F6D8A" w:rsidRDefault="009F6D8A">
            <w:pPr>
              <w:rPr>
                <w:rFonts w:ascii="宋体"/>
                <w:vanish/>
              </w:rPr>
            </w:pPr>
          </w:p>
        </w:tc>
        <w:tc>
          <w:tcPr>
            <w:tcW w:w="0" w:type="auto"/>
            <w:gridSpan w:val="3"/>
            <w:shd w:val="clear" w:color="auto" w:fill="auto"/>
            <w:vAlign w:val="bottom"/>
          </w:tcPr>
          <w:p w14:paraId="64304B3D" w14:textId="77777777" w:rsidR="009F6D8A" w:rsidRDefault="009F6D8A">
            <w:pPr>
              <w:rPr>
                <w:rFonts w:ascii="宋体"/>
                <w:vanish/>
              </w:rPr>
            </w:pPr>
          </w:p>
        </w:tc>
        <w:tc>
          <w:tcPr>
            <w:tcW w:w="0" w:type="auto"/>
            <w:gridSpan w:val="3"/>
            <w:shd w:val="clear" w:color="auto" w:fill="auto"/>
            <w:vAlign w:val="bottom"/>
          </w:tcPr>
          <w:p w14:paraId="64304B3E" w14:textId="77777777" w:rsidR="009F6D8A" w:rsidRDefault="009F6D8A">
            <w:pPr>
              <w:rPr>
                <w:rFonts w:ascii="宋体"/>
                <w:vanish/>
              </w:rPr>
            </w:pPr>
          </w:p>
        </w:tc>
        <w:tc>
          <w:tcPr>
            <w:tcW w:w="0" w:type="auto"/>
            <w:gridSpan w:val="3"/>
            <w:shd w:val="clear" w:color="auto" w:fill="auto"/>
            <w:vAlign w:val="bottom"/>
          </w:tcPr>
          <w:p w14:paraId="64304B3F" w14:textId="77777777" w:rsidR="009F6D8A" w:rsidRDefault="009F6D8A">
            <w:pPr>
              <w:rPr>
                <w:rFonts w:ascii="宋体"/>
                <w:vanish/>
              </w:rPr>
            </w:pPr>
          </w:p>
        </w:tc>
        <w:tc>
          <w:tcPr>
            <w:tcW w:w="0" w:type="auto"/>
            <w:gridSpan w:val="3"/>
            <w:shd w:val="clear" w:color="auto" w:fill="auto"/>
            <w:vAlign w:val="bottom"/>
          </w:tcPr>
          <w:p w14:paraId="64304B40" w14:textId="77777777" w:rsidR="009F6D8A" w:rsidRDefault="009F6D8A">
            <w:pPr>
              <w:rPr>
                <w:rFonts w:ascii="宋体"/>
                <w:vanish/>
              </w:rPr>
            </w:pPr>
          </w:p>
        </w:tc>
        <w:tc>
          <w:tcPr>
            <w:tcW w:w="0" w:type="auto"/>
            <w:gridSpan w:val="3"/>
            <w:shd w:val="clear" w:color="auto" w:fill="auto"/>
            <w:vAlign w:val="bottom"/>
          </w:tcPr>
          <w:p w14:paraId="64304B41" w14:textId="77777777" w:rsidR="009F6D8A" w:rsidRDefault="009F6D8A">
            <w:pPr>
              <w:rPr>
                <w:rFonts w:ascii="宋体"/>
                <w:vanish/>
              </w:rPr>
            </w:pPr>
          </w:p>
        </w:tc>
        <w:tc>
          <w:tcPr>
            <w:tcW w:w="0" w:type="auto"/>
            <w:gridSpan w:val="3"/>
            <w:shd w:val="clear" w:color="auto" w:fill="auto"/>
            <w:vAlign w:val="bottom"/>
          </w:tcPr>
          <w:p w14:paraId="64304B42" w14:textId="77777777" w:rsidR="009F6D8A" w:rsidRDefault="009F6D8A">
            <w:pPr>
              <w:rPr>
                <w:rFonts w:ascii="宋体"/>
                <w:vanish/>
              </w:rPr>
            </w:pPr>
          </w:p>
        </w:tc>
        <w:tc>
          <w:tcPr>
            <w:tcW w:w="0" w:type="auto"/>
            <w:gridSpan w:val="3"/>
            <w:shd w:val="clear" w:color="auto" w:fill="auto"/>
            <w:vAlign w:val="bottom"/>
          </w:tcPr>
          <w:p w14:paraId="64304B43" w14:textId="77777777" w:rsidR="009F6D8A" w:rsidRDefault="009F6D8A">
            <w:pPr>
              <w:rPr>
                <w:rFonts w:ascii="宋体"/>
                <w:vanish/>
              </w:rPr>
            </w:pPr>
          </w:p>
        </w:tc>
      </w:tr>
      <w:tr w:rsidR="009F6D8A" w14:paraId="64304B54" w14:textId="77777777">
        <w:trPr>
          <w:jc w:val="center"/>
        </w:trPr>
        <w:tc>
          <w:tcPr>
            <w:tcW w:w="0" w:type="auto"/>
            <w:gridSpan w:val="3"/>
            <w:shd w:val="clear" w:color="auto" w:fill="E1E1E1"/>
            <w:tcMar>
              <w:top w:w="0" w:type="dxa"/>
              <w:left w:w="20" w:type="dxa"/>
              <w:bottom w:w="0" w:type="dxa"/>
              <w:right w:w="20" w:type="dxa"/>
            </w:tcMar>
            <w:vAlign w:val="bottom"/>
          </w:tcPr>
          <w:p w14:paraId="64304B45"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B46" w14:textId="77777777" w:rsidR="009F6D8A" w:rsidRDefault="009F6D8A">
            <w:pPr>
              <w:rPr>
                <w:rFonts w:ascii="宋体"/>
              </w:rPr>
            </w:pPr>
          </w:p>
        </w:tc>
        <w:tc>
          <w:tcPr>
            <w:tcW w:w="0" w:type="auto"/>
            <w:gridSpan w:val="3"/>
            <w:shd w:val="clear" w:color="auto" w:fill="E1E1E1"/>
            <w:tcMar>
              <w:top w:w="40" w:type="dxa"/>
              <w:left w:w="20" w:type="dxa"/>
              <w:bottom w:w="40" w:type="dxa"/>
              <w:right w:w="20" w:type="dxa"/>
            </w:tcMar>
            <w:vAlign w:val="bottom"/>
          </w:tcPr>
          <w:p w14:paraId="64304B47" w14:textId="77777777" w:rsidR="009F6D8A" w:rsidRDefault="00C50974">
            <w:pPr>
              <w:textAlignment w:val="bottom"/>
            </w:pPr>
            <w:r>
              <w:rPr>
                <w:rFonts w:ascii="Arial" w:eastAsia="宋体" w:hAnsi="Arial" w:cs="Arial"/>
                <w:color w:val="000000"/>
                <w:sz w:val="16"/>
                <w:szCs w:val="16"/>
              </w:rPr>
              <w:t>Total, net of income taxes</w:t>
            </w:r>
          </w:p>
        </w:tc>
        <w:tc>
          <w:tcPr>
            <w:tcW w:w="0" w:type="auto"/>
            <w:gridSpan w:val="3"/>
            <w:shd w:val="clear" w:color="auto" w:fill="E1E1E1"/>
            <w:tcMar>
              <w:top w:w="0" w:type="dxa"/>
              <w:left w:w="20" w:type="dxa"/>
              <w:bottom w:w="0" w:type="dxa"/>
              <w:right w:w="20" w:type="dxa"/>
            </w:tcMar>
            <w:vAlign w:val="bottom"/>
          </w:tcPr>
          <w:p w14:paraId="64304B48"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4B49" w14:textId="77777777" w:rsidR="009F6D8A" w:rsidRDefault="00C50974">
            <w:pPr>
              <w:jc w:val="right"/>
              <w:textAlignment w:val="bottom"/>
            </w:pPr>
            <w:r>
              <w:rPr>
                <w:rFonts w:ascii="Arial" w:eastAsia="宋体" w:hAnsi="Arial" w:cs="Arial"/>
                <w:color w:val="000000"/>
                <w:sz w:val="16"/>
                <w:szCs w:val="16"/>
              </w:rPr>
              <w:t>(12)</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4B4A"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B4B"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4B4C" w14:textId="77777777" w:rsidR="009F6D8A" w:rsidRDefault="00C50974">
            <w:pPr>
              <w:jc w:val="right"/>
              <w:textAlignment w:val="bottom"/>
            </w:pPr>
            <w:r>
              <w:rPr>
                <w:rFonts w:ascii="Arial" w:eastAsia="宋体" w:hAnsi="Arial" w:cs="Arial"/>
                <w:color w:val="000000"/>
                <w:sz w:val="16"/>
                <w:szCs w:val="16"/>
              </w:rPr>
              <w:t>13 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4B4D"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B4E"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4B4F" w14:textId="77777777" w:rsidR="009F6D8A" w:rsidRDefault="00C50974">
            <w:pPr>
              <w:jc w:val="right"/>
              <w:textAlignment w:val="bottom"/>
            </w:pPr>
            <w:r>
              <w:rPr>
                <w:rFonts w:ascii="Arial" w:eastAsia="宋体" w:hAnsi="Arial" w:cs="Arial"/>
                <w:color w:val="000000"/>
                <w:sz w:val="16"/>
                <w:szCs w:val="16"/>
              </w:rPr>
              <w:t>(34)</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4B50"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B51"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4B52" w14:textId="77777777" w:rsidR="009F6D8A" w:rsidRDefault="00C50974">
            <w:pPr>
              <w:jc w:val="right"/>
              <w:textAlignment w:val="bottom"/>
            </w:pPr>
            <w:r>
              <w:rPr>
                <w:rFonts w:ascii="Arial" w:eastAsia="宋体" w:hAnsi="Arial" w:cs="Arial"/>
                <w:color w:val="000000"/>
                <w:sz w:val="16"/>
                <w:szCs w:val="16"/>
              </w:rPr>
              <w:t>13 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4B53" w14:textId="77777777" w:rsidR="009F6D8A" w:rsidRDefault="009F6D8A">
            <w:pPr>
              <w:jc w:val="right"/>
              <w:rPr>
                <w:rFonts w:ascii="宋体"/>
              </w:rPr>
            </w:pPr>
          </w:p>
        </w:tc>
      </w:tr>
      <w:tr w:rsidR="009F6D8A" w14:paraId="64304B60" w14:textId="77777777">
        <w:trPr>
          <w:trHeight w:val="300"/>
          <w:jc w:val="center"/>
        </w:trPr>
        <w:tc>
          <w:tcPr>
            <w:tcW w:w="0" w:type="auto"/>
            <w:gridSpan w:val="3"/>
            <w:shd w:val="clear" w:color="auto" w:fill="FFFFFF"/>
            <w:tcMar>
              <w:top w:w="0" w:type="dxa"/>
              <w:left w:w="20" w:type="dxa"/>
              <w:bottom w:w="0" w:type="dxa"/>
              <w:right w:w="20" w:type="dxa"/>
            </w:tcMar>
            <w:vAlign w:val="bottom"/>
          </w:tcPr>
          <w:p w14:paraId="64304B55"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B56"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B57"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B58"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B59"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B5A"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B5B"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B5C"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B5D"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B5E"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B5F" w14:textId="77777777" w:rsidR="009F6D8A" w:rsidRDefault="009F6D8A">
            <w:pPr>
              <w:rPr>
                <w:rFonts w:ascii="宋体"/>
              </w:rPr>
            </w:pPr>
          </w:p>
        </w:tc>
      </w:tr>
      <w:tr w:rsidR="009F6D8A" w14:paraId="64304B6C" w14:textId="77777777">
        <w:trPr>
          <w:jc w:val="center"/>
          <w:hidden/>
        </w:trPr>
        <w:tc>
          <w:tcPr>
            <w:tcW w:w="0" w:type="auto"/>
            <w:gridSpan w:val="3"/>
            <w:shd w:val="clear" w:color="auto" w:fill="auto"/>
            <w:vAlign w:val="bottom"/>
          </w:tcPr>
          <w:p w14:paraId="64304B61" w14:textId="77777777" w:rsidR="009F6D8A" w:rsidRDefault="009F6D8A">
            <w:pPr>
              <w:rPr>
                <w:rFonts w:ascii="宋体"/>
                <w:vanish/>
              </w:rPr>
            </w:pPr>
          </w:p>
        </w:tc>
        <w:tc>
          <w:tcPr>
            <w:tcW w:w="0" w:type="auto"/>
            <w:gridSpan w:val="3"/>
            <w:shd w:val="clear" w:color="auto" w:fill="auto"/>
            <w:vAlign w:val="bottom"/>
          </w:tcPr>
          <w:p w14:paraId="64304B62" w14:textId="77777777" w:rsidR="009F6D8A" w:rsidRDefault="009F6D8A">
            <w:pPr>
              <w:rPr>
                <w:rFonts w:ascii="宋体"/>
                <w:vanish/>
              </w:rPr>
            </w:pPr>
          </w:p>
        </w:tc>
        <w:tc>
          <w:tcPr>
            <w:tcW w:w="0" w:type="auto"/>
            <w:gridSpan w:val="3"/>
            <w:shd w:val="clear" w:color="auto" w:fill="auto"/>
            <w:vAlign w:val="bottom"/>
          </w:tcPr>
          <w:p w14:paraId="64304B63" w14:textId="77777777" w:rsidR="009F6D8A" w:rsidRDefault="009F6D8A">
            <w:pPr>
              <w:rPr>
                <w:rFonts w:ascii="宋体"/>
                <w:vanish/>
              </w:rPr>
            </w:pPr>
          </w:p>
        </w:tc>
        <w:tc>
          <w:tcPr>
            <w:tcW w:w="0" w:type="auto"/>
            <w:gridSpan w:val="3"/>
            <w:shd w:val="clear" w:color="auto" w:fill="auto"/>
            <w:vAlign w:val="bottom"/>
          </w:tcPr>
          <w:p w14:paraId="64304B64" w14:textId="77777777" w:rsidR="009F6D8A" w:rsidRDefault="009F6D8A">
            <w:pPr>
              <w:rPr>
                <w:rFonts w:ascii="宋体"/>
                <w:vanish/>
              </w:rPr>
            </w:pPr>
          </w:p>
        </w:tc>
        <w:tc>
          <w:tcPr>
            <w:tcW w:w="0" w:type="auto"/>
            <w:gridSpan w:val="3"/>
            <w:shd w:val="clear" w:color="auto" w:fill="auto"/>
            <w:vAlign w:val="bottom"/>
          </w:tcPr>
          <w:p w14:paraId="64304B65" w14:textId="77777777" w:rsidR="009F6D8A" w:rsidRDefault="009F6D8A">
            <w:pPr>
              <w:rPr>
                <w:rFonts w:ascii="宋体"/>
                <w:vanish/>
              </w:rPr>
            </w:pPr>
          </w:p>
        </w:tc>
        <w:tc>
          <w:tcPr>
            <w:tcW w:w="0" w:type="auto"/>
            <w:gridSpan w:val="3"/>
            <w:shd w:val="clear" w:color="auto" w:fill="auto"/>
            <w:vAlign w:val="bottom"/>
          </w:tcPr>
          <w:p w14:paraId="64304B66" w14:textId="77777777" w:rsidR="009F6D8A" w:rsidRDefault="009F6D8A">
            <w:pPr>
              <w:rPr>
                <w:rFonts w:ascii="宋体"/>
                <w:vanish/>
              </w:rPr>
            </w:pPr>
          </w:p>
        </w:tc>
        <w:tc>
          <w:tcPr>
            <w:tcW w:w="0" w:type="auto"/>
            <w:gridSpan w:val="3"/>
            <w:shd w:val="clear" w:color="auto" w:fill="auto"/>
            <w:vAlign w:val="bottom"/>
          </w:tcPr>
          <w:p w14:paraId="64304B67" w14:textId="77777777" w:rsidR="009F6D8A" w:rsidRDefault="009F6D8A">
            <w:pPr>
              <w:rPr>
                <w:rFonts w:ascii="宋体"/>
                <w:vanish/>
              </w:rPr>
            </w:pPr>
          </w:p>
        </w:tc>
        <w:tc>
          <w:tcPr>
            <w:tcW w:w="0" w:type="auto"/>
            <w:gridSpan w:val="3"/>
            <w:shd w:val="clear" w:color="auto" w:fill="auto"/>
            <w:vAlign w:val="bottom"/>
          </w:tcPr>
          <w:p w14:paraId="64304B68" w14:textId="77777777" w:rsidR="009F6D8A" w:rsidRDefault="009F6D8A">
            <w:pPr>
              <w:rPr>
                <w:rFonts w:ascii="宋体"/>
                <w:vanish/>
              </w:rPr>
            </w:pPr>
          </w:p>
        </w:tc>
        <w:tc>
          <w:tcPr>
            <w:tcW w:w="0" w:type="auto"/>
            <w:gridSpan w:val="3"/>
            <w:shd w:val="clear" w:color="auto" w:fill="auto"/>
            <w:vAlign w:val="bottom"/>
          </w:tcPr>
          <w:p w14:paraId="64304B69" w14:textId="77777777" w:rsidR="009F6D8A" w:rsidRDefault="009F6D8A">
            <w:pPr>
              <w:rPr>
                <w:rFonts w:ascii="宋体"/>
                <w:vanish/>
              </w:rPr>
            </w:pPr>
          </w:p>
        </w:tc>
        <w:tc>
          <w:tcPr>
            <w:tcW w:w="0" w:type="auto"/>
            <w:gridSpan w:val="3"/>
            <w:shd w:val="clear" w:color="auto" w:fill="auto"/>
            <w:vAlign w:val="bottom"/>
          </w:tcPr>
          <w:p w14:paraId="64304B6A" w14:textId="77777777" w:rsidR="009F6D8A" w:rsidRDefault="009F6D8A">
            <w:pPr>
              <w:rPr>
                <w:rFonts w:ascii="宋体"/>
                <w:vanish/>
              </w:rPr>
            </w:pPr>
          </w:p>
        </w:tc>
        <w:tc>
          <w:tcPr>
            <w:tcW w:w="0" w:type="auto"/>
            <w:gridSpan w:val="3"/>
            <w:shd w:val="clear" w:color="auto" w:fill="auto"/>
            <w:vAlign w:val="bottom"/>
          </w:tcPr>
          <w:p w14:paraId="64304B6B" w14:textId="77777777" w:rsidR="009F6D8A" w:rsidRDefault="009F6D8A">
            <w:pPr>
              <w:rPr>
                <w:rFonts w:ascii="宋体"/>
                <w:vanish/>
              </w:rPr>
            </w:pPr>
          </w:p>
        </w:tc>
      </w:tr>
      <w:tr w:rsidR="009F6D8A" w14:paraId="64304B78" w14:textId="77777777">
        <w:trPr>
          <w:jc w:val="center"/>
          <w:hidden/>
        </w:trPr>
        <w:tc>
          <w:tcPr>
            <w:tcW w:w="0" w:type="auto"/>
            <w:gridSpan w:val="3"/>
            <w:shd w:val="clear" w:color="auto" w:fill="auto"/>
            <w:vAlign w:val="bottom"/>
          </w:tcPr>
          <w:p w14:paraId="64304B6D" w14:textId="77777777" w:rsidR="009F6D8A" w:rsidRDefault="009F6D8A">
            <w:pPr>
              <w:rPr>
                <w:rFonts w:ascii="宋体"/>
                <w:vanish/>
              </w:rPr>
            </w:pPr>
          </w:p>
        </w:tc>
        <w:tc>
          <w:tcPr>
            <w:tcW w:w="0" w:type="auto"/>
            <w:gridSpan w:val="3"/>
            <w:shd w:val="clear" w:color="auto" w:fill="auto"/>
            <w:vAlign w:val="bottom"/>
          </w:tcPr>
          <w:p w14:paraId="64304B6E" w14:textId="77777777" w:rsidR="009F6D8A" w:rsidRDefault="009F6D8A">
            <w:pPr>
              <w:rPr>
                <w:rFonts w:ascii="宋体"/>
                <w:vanish/>
              </w:rPr>
            </w:pPr>
          </w:p>
        </w:tc>
        <w:tc>
          <w:tcPr>
            <w:tcW w:w="0" w:type="auto"/>
            <w:gridSpan w:val="3"/>
            <w:shd w:val="clear" w:color="auto" w:fill="auto"/>
            <w:vAlign w:val="bottom"/>
          </w:tcPr>
          <w:p w14:paraId="64304B6F" w14:textId="77777777" w:rsidR="009F6D8A" w:rsidRDefault="009F6D8A">
            <w:pPr>
              <w:rPr>
                <w:rFonts w:ascii="宋体"/>
                <w:vanish/>
              </w:rPr>
            </w:pPr>
          </w:p>
        </w:tc>
        <w:tc>
          <w:tcPr>
            <w:tcW w:w="0" w:type="auto"/>
            <w:gridSpan w:val="3"/>
            <w:shd w:val="clear" w:color="auto" w:fill="auto"/>
            <w:vAlign w:val="bottom"/>
          </w:tcPr>
          <w:p w14:paraId="64304B70" w14:textId="77777777" w:rsidR="009F6D8A" w:rsidRDefault="009F6D8A">
            <w:pPr>
              <w:rPr>
                <w:rFonts w:ascii="宋体"/>
                <w:vanish/>
              </w:rPr>
            </w:pPr>
          </w:p>
        </w:tc>
        <w:tc>
          <w:tcPr>
            <w:tcW w:w="0" w:type="auto"/>
            <w:gridSpan w:val="3"/>
            <w:shd w:val="clear" w:color="auto" w:fill="auto"/>
            <w:vAlign w:val="bottom"/>
          </w:tcPr>
          <w:p w14:paraId="64304B71" w14:textId="77777777" w:rsidR="009F6D8A" w:rsidRDefault="009F6D8A">
            <w:pPr>
              <w:rPr>
                <w:rFonts w:ascii="宋体"/>
                <w:vanish/>
              </w:rPr>
            </w:pPr>
          </w:p>
        </w:tc>
        <w:tc>
          <w:tcPr>
            <w:tcW w:w="0" w:type="auto"/>
            <w:gridSpan w:val="3"/>
            <w:shd w:val="clear" w:color="auto" w:fill="auto"/>
            <w:vAlign w:val="bottom"/>
          </w:tcPr>
          <w:p w14:paraId="64304B72" w14:textId="77777777" w:rsidR="009F6D8A" w:rsidRDefault="009F6D8A">
            <w:pPr>
              <w:rPr>
                <w:rFonts w:ascii="宋体"/>
                <w:vanish/>
              </w:rPr>
            </w:pPr>
          </w:p>
        </w:tc>
        <w:tc>
          <w:tcPr>
            <w:tcW w:w="0" w:type="auto"/>
            <w:gridSpan w:val="3"/>
            <w:shd w:val="clear" w:color="auto" w:fill="auto"/>
            <w:vAlign w:val="bottom"/>
          </w:tcPr>
          <w:p w14:paraId="64304B73" w14:textId="77777777" w:rsidR="009F6D8A" w:rsidRDefault="009F6D8A">
            <w:pPr>
              <w:rPr>
                <w:rFonts w:ascii="宋体"/>
                <w:vanish/>
              </w:rPr>
            </w:pPr>
          </w:p>
        </w:tc>
        <w:tc>
          <w:tcPr>
            <w:tcW w:w="0" w:type="auto"/>
            <w:gridSpan w:val="3"/>
            <w:shd w:val="clear" w:color="auto" w:fill="auto"/>
            <w:vAlign w:val="bottom"/>
          </w:tcPr>
          <w:p w14:paraId="64304B74" w14:textId="77777777" w:rsidR="009F6D8A" w:rsidRDefault="009F6D8A">
            <w:pPr>
              <w:rPr>
                <w:rFonts w:ascii="宋体"/>
                <w:vanish/>
              </w:rPr>
            </w:pPr>
          </w:p>
        </w:tc>
        <w:tc>
          <w:tcPr>
            <w:tcW w:w="0" w:type="auto"/>
            <w:gridSpan w:val="3"/>
            <w:shd w:val="clear" w:color="auto" w:fill="auto"/>
            <w:vAlign w:val="bottom"/>
          </w:tcPr>
          <w:p w14:paraId="64304B75" w14:textId="77777777" w:rsidR="009F6D8A" w:rsidRDefault="009F6D8A">
            <w:pPr>
              <w:rPr>
                <w:rFonts w:ascii="宋体"/>
                <w:vanish/>
              </w:rPr>
            </w:pPr>
          </w:p>
        </w:tc>
        <w:tc>
          <w:tcPr>
            <w:tcW w:w="0" w:type="auto"/>
            <w:gridSpan w:val="3"/>
            <w:shd w:val="clear" w:color="auto" w:fill="auto"/>
            <w:vAlign w:val="bottom"/>
          </w:tcPr>
          <w:p w14:paraId="64304B76" w14:textId="77777777" w:rsidR="009F6D8A" w:rsidRDefault="009F6D8A">
            <w:pPr>
              <w:rPr>
                <w:rFonts w:ascii="宋体"/>
                <w:vanish/>
              </w:rPr>
            </w:pPr>
          </w:p>
        </w:tc>
        <w:tc>
          <w:tcPr>
            <w:tcW w:w="0" w:type="auto"/>
            <w:gridSpan w:val="3"/>
            <w:shd w:val="clear" w:color="auto" w:fill="auto"/>
            <w:vAlign w:val="bottom"/>
          </w:tcPr>
          <w:p w14:paraId="64304B77" w14:textId="77777777" w:rsidR="009F6D8A" w:rsidRDefault="009F6D8A">
            <w:pPr>
              <w:rPr>
                <w:rFonts w:ascii="宋体"/>
                <w:vanish/>
              </w:rPr>
            </w:pPr>
          </w:p>
        </w:tc>
      </w:tr>
      <w:tr w:rsidR="009F6D8A" w14:paraId="64304B84" w14:textId="77777777">
        <w:trPr>
          <w:jc w:val="center"/>
          <w:hidden/>
        </w:trPr>
        <w:tc>
          <w:tcPr>
            <w:tcW w:w="0" w:type="auto"/>
            <w:gridSpan w:val="3"/>
            <w:shd w:val="clear" w:color="auto" w:fill="auto"/>
            <w:vAlign w:val="bottom"/>
          </w:tcPr>
          <w:p w14:paraId="64304B79" w14:textId="77777777" w:rsidR="009F6D8A" w:rsidRDefault="009F6D8A">
            <w:pPr>
              <w:rPr>
                <w:rFonts w:ascii="宋体"/>
                <w:vanish/>
              </w:rPr>
            </w:pPr>
          </w:p>
        </w:tc>
        <w:tc>
          <w:tcPr>
            <w:tcW w:w="0" w:type="auto"/>
            <w:gridSpan w:val="3"/>
            <w:shd w:val="clear" w:color="auto" w:fill="auto"/>
            <w:vAlign w:val="bottom"/>
          </w:tcPr>
          <w:p w14:paraId="64304B7A" w14:textId="77777777" w:rsidR="009F6D8A" w:rsidRDefault="009F6D8A">
            <w:pPr>
              <w:rPr>
                <w:rFonts w:ascii="宋体"/>
                <w:vanish/>
              </w:rPr>
            </w:pPr>
          </w:p>
        </w:tc>
        <w:tc>
          <w:tcPr>
            <w:tcW w:w="0" w:type="auto"/>
            <w:gridSpan w:val="3"/>
            <w:shd w:val="clear" w:color="auto" w:fill="auto"/>
            <w:vAlign w:val="bottom"/>
          </w:tcPr>
          <w:p w14:paraId="64304B7B" w14:textId="77777777" w:rsidR="009F6D8A" w:rsidRDefault="009F6D8A">
            <w:pPr>
              <w:rPr>
                <w:rFonts w:ascii="宋体"/>
                <w:vanish/>
              </w:rPr>
            </w:pPr>
          </w:p>
        </w:tc>
        <w:tc>
          <w:tcPr>
            <w:tcW w:w="0" w:type="auto"/>
            <w:gridSpan w:val="3"/>
            <w:shd w:val="clear" w:color="auto" w:fill="auto"/>
            <w:vAlign w:val="bottom"/>
          </w:tcPr>
          <w:p w14:paraId="64304B7C" w14:textId="77777777" w:rsidR="009F6D8A" w:rsidRDefault="009F6D8A">
            <w:pPr>
              <w:rPr>
                <w:rFonts w:ascii="宋体"/>
                <w:vanish/>
              </w:rPr>
            </w:pPr>
          </w:p>
        </w:tc>
        <w:tc>
          <w:tcPr>
            <w:tcW w:w="0" w:type="auto"/>
            <w:gridSpan w:val="3"/>
            <w:shd w:val="clear" w:color="auto" w:fill="auto"/>
            <w:vAlign w:val="bottom"/>
          </w:tcPr>
          <w:p w14:paraId="64304B7D" w14:textId="77777777" w:rsidR="009F6D8A" w:rsidRDefault="009F6D8A">
            <w:pPr>
              <w:rPr>
                <w:rFonts w:ascii="宋体"/>
                <w:vanish/>
              </w:rPr>
            </w:pPr>
          </w:p>
        </w:tc>
        <w:tc>
          <w:tcPr>
            <w:tcW w:w="0" w:type="auto"/>
            <w:gridSpan w:val="3"/>
            <w:shd w:val="clear" w:color="auto" w:fill="auto"/>
            <w:vAlign w:val="bottom"/>
          </w:tcPr>
          <w:p w14:paraId="64304B7E" w14:textId="77777777" w:rsidR="009F6D8A" w:rsidRDefault="009F6D8A">
            <w:pPr>
              <w:rPr>
                <w:rFonts w:ascii="宋体"/>
                <w:vanish/>
              </w:rPr>
            </w:pPr>
          </w:p>
        </w:tc>
        <w:tc>
          <w:tcPr>
            <w:tcW w:w="0" w:type="auto"/>
            <w:gridSpan w:val="3"/>
            <w:shd w:val="clear" w:color="auto" w:fill="auto"/>
            <w:vAlign w:val="bottom"/>
          </w:tcPr>
          <w:p w14:paraId="64304B7F" w14:textId="77777777" w:rsidR="009F6D8A" w:rsidRDefault="009F6D8A">
            <w:pPr>
              <w:rPr>
                <w:rFonts w:ascii="宋体"/>
                <w:vanish/>
              </w:rPr>
            </w:pPr>
          </w:p>
        </w:tc>
        <w:tc>
          <w:tcPr>
            <w:tcW w:w="0" w:type="auto"/>
            <w:gridSpan w:val="3"/>
            <w:shd w:val="clear" w:color="auto" w:fill="auto"/>
            <w:vAlign w:val="bottom"/>
          </w:tcPr>
          <w:p w14:paraId="64304B80" w14:textId="77777777" w:rsidR="009F6D8A" w:rsidRDefault="009F6D8A">
            <w:pPr>
              <w:rPr>
                <w:rFonts w:ascii="宋体"/>
                <w:vanish/>
              </w:rPr>
            </w:pPr>
          </w:p>
        </w:tc>
        <w:tc>
          <w:tcPr>
            <w:tcW w:w="0" w:type="auto"/>
            <w:gridSpan w:val="3"/>
            <w:shd w:val="clear" w:color="auto" w:fill="auto"/>
            <w:vAlign w:val="bottom"/>
          </w:tcPr>
          <w:p w14:paraId="64304B81" w14:textId="77777777" w:rsidR="009F6D8A" w:rsidRDefault="009F6D8A">
            <w:pPr>
              <w:rPr>
                <w:rFonts w:ascii="宋体"/>
                <w:vanish/>
              </w:rPr>
            </w:pPr>
          </w:p>
        </w:tc>
        <w:tc>
          <w:tcPr>
            <w:tcW w:w="0" w:type="auto"/>
            <w:gridSpan w:val="3"/>
            <w:shd w:val="clear" w:color="auto" w:fill="auto"/>
            <w:vAlign w:val="bottom"/>
          </w:tcPr>
          <w:p w14:paraId="64304B82" w14:textId="77777777" w:rsidR="009F6D8A" w:rsidRDefault="009F6D8A">
            <w:pPr>
              <w:rPr>
                <w:rFonts w:ascii="宋体"/>
                <w:vanish/>
              </w:rPr>
            </w:pPr>
          </w:p>
        </w:tc>
        <w:tc>
          <w:tcPr>
            <w:tcW w:w="0" w:type="auto"/>
            <w:gridSpan w:val="3"/>
            <w:shd w:val="clear" w:color="auto" w:fill="auto"/>
            <w:vAlign w:val="bottom"/>
          </w:tcPr>
          <w:p w14:paraId="64304B83" w14:textId="77777777" w:rsidR="009F6D8A" w:rsidRDefault="009F6D8A">
            <w:pPr>
              <w:rPr>
                <w:rFonts w:ascii="宋体"/>
                <w:vanish/>
              </w:rPr>
            </w:pPr>
          </w:p>
        </w:tc>
      </w:tr>
      <w:tr w:rsidR="009F6D8A" w14:paraId="64304B90" w14:textId="77777777">
        <w:trPr>
          <w:jc w:val="center"/>
          <w:hidden/>
        </w:trPr>
        <w:tc>
          <w:tcPr>
            <w:tcW w:w="0" w:type="auto"/>
            <w:gridSpan w:val="3"/>
            <w:shd w:val="clear" w:color="auto" w:fill="auto"/>
            <w:vAlign w:val="bottom"/>
          </w:tcPr>
          <w:p w14:paraId="64304B85" w14:textId="77777777" w:rsidR="009F6D8A" w:rsidRDefault="009F6D8A">
            <w:pPr>
              <w:rPr>
                <w:rFonts w:ascii="宋体"/>
                <w:vanish/>
              </w:rPr>
            </w:pPr>
          </w:p>
        </w:tc>
        <w:tc>
          <w:tcPr>
            <w:tcW w:w="0" w:type="auto"/>
            <w:gridSpan w:val="3"/>
            <w:shd w:val="clear" w:color="auto" w:fill="auto"/>
            <w:vAlign w:val="bottom"/>
          </w:tcPr>
          <w:p w14:paraId="64304B86" w14:textId="77777777" w:rsidR="009F6D8A" w:rsidRDefault="009F6D8A">
            <w:pPr>
              <w:rPr>
                <w:rFonts w:ascii="宋体"/>
                <w:vanish/>
              </w:rPr>
            </w:pPr>
          </w:p>
        </w:tc>
        <w:tc>
          <w:tcPr>
            <w:tcW w:w="0" w:type="auto"/>
            <w:gridSpan w:val="3"/>
            <w:shd w:val="clear" w:color="auto" w:fill="auto"/>
            <w:vAlign w:val="bottom"/>
          </w:tcPr>
          <w:p w14:paraId="64304B87" w14:textId="77777777" w:rsidR="009F6D8A" w:rsidRDefault="009F6D8A">
            <w:pPr>
              <w:rPr>
                <w:rFonts w:ascii="宋体"/>
                <w:vanish/>
              </w:rPr>
            </w:pPr>
          </w:p>
        </w:tc>
        <w:tc>
          <w:tcPr>
            <w:tcW w:w="0" w:type="auto"/>
            <w:gridSpan w:val="3"/>
            <w:shd w:val="clear" w:color="auto" w:fill="auto"/>
            <w:vAlign w:val="bottom"/>
          </w:tcPr>
          <w:p w14:paraId="64304B88" w14:textId="77777777" w:rsidR="009F6D8A" w:rsidRDefault="009F6D8A">
            <w:pPr>
              <w:rPr>
                <w:rFonts w:ascii="宋体"/>
                <w:vanish/>
              </w:rPr>
            </w:pPr>
          </w:p>
        </w:tc>
        <w:tc>
          <w:tcPr>
            <w:tcW w:w="0" w:type="auto"/>
            <w:gridSpan w:val="3"/>
            <w:shd w:val="clear" w:color="auto" w:fill="auto"/>
            <w:vAlign w:val="bottom"/>
          </w:tcPr>
          <w:p w14:paraId="64304B89" w14:textId="77777777" w:rsidR="009F6D8A" w:rsidRDefault="009F6D8A">
            <w:pPr>
              <w:rPr>
                <w:rFonts w:ascii="宋体"/>
                <w:vanish/>
              </w:rPr>
            </w:pPr>
          </w:p>
        </w:tc>
        <w:tc>
          <w:tcPr>
            <w:tcW w:w="0" w:type="auto"/>
            <w:gridSpan w:val="3"/>
            <w:shd w:val="clear" w:color="auto" w:fill="auto"/>
            <w:vAlign w:val="bottom"/>
          </w:tcPr>
          <w:p w14:paraId="64304B8A" w14:textId="77777777" w:rsidR="009F6D8A" w:rsidRDefault="009F6D8A">
            <w:pPr>
              <w:rPr>
                <w:rFonts w:ascii="宋体"/>
                <w:vanish/>
              </w:rPr>
            </w:pPr>
          </w:p>
        </w:tc>
        <w:tc>
          <w:tcPr>
            <w:tcW w:w="0" w:type="auto"/>
            <w:gridSpan w:val="3"/>
            <w:shd w:val="clear" w:color="auto" w:fill="auto"/>
            <w:vAlign w:val="bottom"/>
          </w:tcPr>
          <w:p w14:paraId="64304B8B" w14:textId="77777777" w:rsidR="009F6D8A" w:rsidRDefault="009F6D8A">
            <w:pPr>
              <w:rPr>
                <w:rFonts w:ascii="宋体"/>
                <w:vanish/>
              </w:rPr>
            </w:pPr>
          </w:p>
        </w:tc>
        <w:tc>
          <w:tcPr>
            <w:tcW w:w="0" w:type="auto"/>
            <w:gridSpan w:val="3"/>
            <w:shd w:val="clear" w:color="auto" w:fill="auto"/>
            <w:vAlign w:val="bottom"/>
          </w:tcPr>
          <w:p w14:paraId="64304B8C" w14:textId="77777777" w:rsidR="009F6D8A" w:rsidRDefault="009F6D8A">
            <w:pPr>
              <w:rPr>
                <w:rFonts w:ascii="宋体"/>
                <w:vanish/>
              </w:rPr>
            </w:pPr>
          </w:p>
        </w:tc>
        <w:tc>
          <w:tcPr>
            <w:tcW w:w="0" w:type="auto"/>
            <w:gridSpan w:val="3"/>
            <w:shd w:val="clear" w:color="auto" w:fill="auto"/>
            <w:vAlign w:val="bottom"/>
          </w:tcPr>
          <w:p w14:paraId="64304B8D" w14:textId="77777777" w:rsidR="009F6D8A" w:rsidRDefault="009F6D8A">
            <w:pPr>
              <w:rPr>
                <w:rFonts w:ascii="宋体"/>
                <w:vanish/>
              </w:rPr>
            </w:pPr>
          </w:p>
        </w:tc>
        <w:tc>
          <w:tcPr>
            <w:tcW w:w="0" w:type="auto"/>
            <w:gridSpan w:val="3"/>
            <w:shd w:val="clear" w:color="auto" w:fill="auto"/>
            <w:vAlign w:val="bottom"/>
          </w:tcPr>
          <w:p w14:paraId="64304B8E" w14:textId="77777777" w:rsidR="009F6D8A" w:rsidRDefault="009F6D8A">
            <w:pPr>
              <w:rPr>
                <w:rFonts w:ascii="宋体"/>
                <w:vanish/>
              </w:rPr>
            </w:pPr>
          </w:p>
        </w:tc>
        <w:tc>
          <w:tcPr>
            <w:tcW w:w="0" w:type="auto"/>
            <w:gridSpan w:val="3"/>
            <w:shd w:val="clear" w:color="auto" w:fill="auto"/>
            <w:vAlign w:val="bottom"/>
          </w:tcPr>
          <w:p w14:paraId="64304B8F" w14:textId="77777777" w:rsidR="009F6D8A" w:rsidRDefault="009F6D8A">
            <w:pPr>
              <w:rPr>
                <w:rFonts w:ascii="宋体"/>
                <w:vanish/>
              </w:rPr>
            </w:pPr>
          </w:p>
        </w:tc>
      </w:tr>
      <w:tr w:rsidR="009F6D8A" w14:paraId="64304B9C" w14:textId="77777777">
        <w:trPr>
          <w:jc w:val="center"/>
          <w:hidden/>
        </w:trPr>
        <w:tc>
          <w:tcPr>
            <w:tcW w:w="0" w:type="auto"/>
            <w:gridSpan w:val="3"/>
            <w:shd w:val="clear" w:color="auto" w:fill="auto"/>
            <w:vAlign w:val="bottom"/>
          </w:tcPr>
          <w:p w14:paraId="64304B91" w14:textId="77777777" w:rsidR="009F6D8A" w:rsidRDefault="009F6D8A">
            <w:pPr>
              <w:rPr>
                <w:rFonts w:ascii="宋体"/>
                <w:vanish/>
              </w:rPr>
            </w:pPr>
          </w:p>
        </w:tc>
        <w:tc>
          <w:tcPr>
            <w:tcW w:w="0" w:type="auto"/>
            <w:gridSpan w:val="3"/>
            <w:shd w:val="clear" w:color="auto" w:fill="auto"/>
            <w:vAlign w:val="bottom"/>
          </w:tcPr>
          <w:p w14:paraId="64304B92" w14:textId="77777777" w:rsidR="009F6D8A" w:rsidRDefault="009F6D8A">
            <w:pPr>
              <w:rPr>
                <w:rFonts w:ascii="宋体"/>
                <w:vanish/>
              </w:rPr>
            </w:pPr>
          </w:p>
        </w:tc>
        <w:tc>
          <w:tcPr>
            <w:tcW w:w="0" w:type="auto"/>
            <w:gridSpan w:val="3"/>
            <w:shd w:val="clear" w:color="auto" w:fill="auto"/>
            <w:vAlign w:val="bottom"/>
          </w:tcPr>
          <w:p w14:paraId="64304B93" w14:textId="77777777" w:rsidR="009F6D8A" w:rsidRDefault="009F6D8A">
            <w:pPr>
              <w:rPr>
                <w:rFonts w:ascii="宋体"/>
                <w:vanish/>
              </w:rPr>
            </w:pPr>
          </w:p>
        </w:tc>
        <w:tc>
          <w:tcPr>
            <w:tcW w:w="0" w:type="auto"/>
            <w:gridSpan w:val="3"/>
            <w:shd w:val="clear" w:color="auto" w:fill="auto"/>
            <w:vAlign w:val="bottom"/>
          </w:tcPr>
          <w:p w14:paraId="64304B94" w14:textId="77777777" w:rsidR="009F6D8A" w:rsidRDefault="009F6D8A">
            <w:pPr>
              <w:rPr>
                <w:rFonts w:ascii="宋体"/>
                <w:vanish/>
              </w:rPr>
            </w:pPr>
          </w:p>
        </w:tc>
        <w:tc>
          <w:tcPr>
            <w:tcW w:w="0" w:type="auto"/>
            <w:gridSpan w:val="3"/>
            <w:shd w:val="clear" w:color="auto" w:fill="auto"/>
            <w:vAlign w:val="bottom"/>
          </w:tcPr>
          <w:p w14:paraId="64304B95" w14:textId="77777777" w:rsidR="009F6D8A" w:rsidRDefault="009F6D8A">
            <w:pPr>
              <w:rPr>
                <w:rFonts w:ascii="宋体"/>
                <w:vanish/>
              </w:rPr>
            </w:pPr>
          </w:p>
        </w:tc>
        <w:tc>
          <w:tcPr>
            <w:tcW w:w="0" w:type="auto"/>
            <w:gridSpan w:val="3"/>
            <w:shd w:val="clear" w:color="auto" w:fill="auto"/>
            <w:vAlign w:val="bottom"/>
          </w:tcPr>
          <w:p w14:paraId="64304B96" w14:textId="77777777" w:rsidR="009F6D8A" w:rsidRDefault="009F6D8A">
            <w:pPr>
              <w:rPr>
                <w:rFonts w:ascii="宋体"/>
                <w:vanish/>
              </w:rPr>
            </w:pPr>
          </w:p>
        </w:tc>
        <w:tc>
          <w:tcPr>
            <w:tcW w:w="0" w:type="auto"/>
            <w:gridSpan w:val="3"/>
            <w:shd w:val="clear" w:color="auto" w:fill="auto"/>
            <w:vAlign w:val="bottom"/>
          </w:tcPr>
          <w:p w14:paraId="64304B97" w14:textId="77777777" w:rsidR="009F6D8A" w:rsidRDefault="009F6D8A">
            <w:pPr>
              <w:rPr>
                <w:rFonts w:ascii="宋体"/>
                <w:vanish/>
              </w:rPr>
            </w:pPr>
          </w:p>
        </w:tc>
        <w:tc>
          <w:tcPr>
            <w:tcW w:w="0" w:type="auto"/>
            <w:gridSpan w:val="3"/>
            <w:shd w:val="clear" w:color="auto" w:fill="auto"/>
            <w:vAlign w:val="bottom"/>
          </w:tcPr>
          <w:p w14:paraId="64304B98" w14:textId="77777777" w:rsidR="009F6D8A" w:rsidRDefault="009F6D8A">
            <w:pPr>
              <w:rPr>
                <w:rFonts w:ascii="宋体"/>
                <w:vanish/>
              </w:rPr>
            </w:pPr>
          </w:p>
        </w:tc>
        <w:tc>
          <w:tcPr>
            <w:tcW w:w="0" w:type="auto"/>
            <w:gridSpan w:val="3"/>
            <w:shd w:val="clear" w:color="auto" w:fill="auto"/>
            <w:vAlign w:val="bottom"/>
          </w:tcPr>
          <w:p w14:paraId="64304B99" w14:textId="77777777" w:rsidR="009F6D8A" w:rsidRDefault="009F6D8A">
            <w:pPr>
              <w:rPr>
                <w:rFonts w:ascii="宋体"/>
                <w:vanish/>
              </w:rPr>
            </w:pPr>
          </w:p>
        </w:tc>
        <w:tc>
          <w:tcPr>
            <w:tcW w:w="0" w:type="auto"/>
            <w:gridSpan w:val="3"/>
            <w:shd w:val="clear" w:color="auto" w:fill="auto"/>
            <w:vAlign w:val="bottom"/>
          </w:tcPr>
          <w:p w14:paraId="64304B9A" w14:textId="77777777" w:rsidR="009F6D8A" w:rsidRDefault="009F6D8A">
            <w:pPr>
              <w:rPr>
                <w:rFonts w:ascii="宋体"/>
                <w:vanish/>
              </w:rPr>
            </w:pPr>
          </w:p>
        </w:tc>
        <w:tc>
          <w:tcPr>
            <w:tcW w:w="0" w:type="auto"/>
            <w:gridSpan w:val="3"/>
            <w:shd w:val="clear" w:color="auto" w:fill="auto"/>
            <w:vAlign w:val="bottom"/>
          </w:tcPr>
          <w:p w14:paraId="64304B9B" w14:textId="77777777" w:rsidR="009F6D8A" w:rsidRDefault="009F6D8A">
            <w:pPr>
              <w:rPr>
                <w:rFonts w:ascii="宋体"/>
                <w:vanish/>
              </w:rPr>
            </w:pPr>
          </w:p>
        </w:tc>
      </w:tr>
      <w:tr w:rsidR="009F6D8A" w14:paraId="64304BB0" w14:textId="77777777">
        <w:trPr>
          <w:jc w:val="center"/>
        </w:trPr>
        <w:tc>
          <w:tcPr>
            <w:tcW w:w="0" w:type="auto"/>
            <w:gridSpan w:val="3"/>
            <w:shd w:val="clear" w:color="auto" w:fill="E1E1E1"/>
            <w:tcMar>
              <w:top w:w="40" w:type="dxa"/>
              <w:left w:w="20" w:type="dxa"/>
              <w:bottom w:w="40" w:type="dxa"/>
              <w:right w:w="20" w:type="dxa"/>
            </w:tcMar>
            <w:vAlign w:val="bottom"/>
          </w:tcPr>
          <w:p w14:paraId="64304B9D" w14:textId="77777777" w:rsidR="009F6D8A" w:rsidRDefault="00C50974">
            <w:pPr>
              <w:textAlignment w:val="bottom"/>
            </w:pPr>
            <w:r>
              <w:rPr>
                <w:rFonts w:ascii="Arial" w:eastAsia="宋体" w:hAnsi="Arial" w:cs="Arial"/>
                <w:color w:val="000000"/>
                <w:sz w:val="16"/>
                <w:szCs w:val="16"/>
              </w:rPr>
              <w:t>Total reclassifications for the period</w:t>
            </w:r>
          </w:p>
        </w:tc>
        <w:tc>
          <w:tcPr>
            <w:tcW w:w="0" w:type="auto"/>
            <w:gridSpan w:val="3"/>
            <w:shd w:val="clear" w:color="auto" w:fill="E1E1E1"/>
            <w:tcMar>
              <w:top w:w="0" w:type="dxa"/>
              <w:left w:w="20" w:type="dxa"/>
              <w:bottom w:w="0" w:type="dxa"/>
              <w:right w:w="20" w:type="dxa"/>
            </w:tcMar>
            <w:vAlign w:val="bottom"/>
          </w:tcPr>
          <w:p w14:paraId="64304B9E" w14:textId="77777777" w:rsidR="009F6D8A" w:rsidRDefault="009F6D8A">
            <w:pPr>
              <w:rPr>
                <w:rFonts w:ascii="宋体"/>
              </w:rPr>
            </w:pPr>
          </w:p>
        </w:tc>
        <w:tc>
          <w:tcPr>
            <w:tcW w:w="0" w:type="auto"/>
            <w:gridSpan w:val="3"/>
            <w:shd w:val="clear" w:color="auto" w:fill="E1E1E1"/>
            <w:tcMar>
              <w:top w:w="40" w:type="dxa"/>
              <w:left w:w="20" w:type="dxa"/>
              <w:bottom w:w="40" w:type="dxa"/>
              <w:right w:w="20" w:type="dxa"/>
            </w:tcMar>
            <w:vAlign w:val="bottom"/>
          </w:tcPr>
          <w:p w14:paraId="64304B9F" w14:textId="77777777" w:rsidR="009F6D8A" w:rsidRDefault="00C50974">
            <w:pPr>
              <w:textAlignment w:val="bottom"/>
            </w:pPr>
            <w:r>
              <w:rPr>
                <w:rFonts w:ascii="Arial" w:eastAsia="宋体" w:hAnsi="Arial" w:cs="Arial"/>
                <w:color w:val="000000"/>
                <w:sz w:val="16"/>
                <w:szCs w:val="16"/>
              </w:rPr>
              <w:t>Total, net of income taxes</w:t>
            </w:r>
          </w:p>
        </w:tc>
        <w:tc>
          <w:tcPr>
            <w:tcW w:w="0" w:type="auto"/>
            <w:gridSpan w:val="3"/>
            <w:shd w:val="clear" w:color="auto" w:fill="E1E1E1"/>
            <w:tcMar>
              <w:top w:w="0" w:type="dxa"/>
              <w:left w:w="20" w:type="dxa"/>
              <w:bottom w:w="0" w:type="dxa"/>
              <w:right w:w="20" w:type="dxa"/>
            </w:tcMar>
            <w:vAlign w:val="bottom"/>
          </w:tcPr>
          <w:p w14:paraId="64304BA0"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4BA1"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4BA2" w14:textId="77777777" w:rsidR="009F6D8A" w:rsidRDefault="00C50974">
            <w:pPr>
              <w:jc w:val="right"/>
              <w:textAlignment w:val="bottom"/>
            </w:pPr>
            <w:r>
              <w:rPr>
                <w:rFonts w:ascii="Arial" w:eastAsia="宋体" w:hAnsi="Arial" w:cs="Arial"/>
                <w:color w:val="000000"/>
                <w:sz w:val="16"/>
                <w:szCs w:val="16"/>
              </w:rPr>
              <w:t>(12)</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4BA3"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BA4"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4BA5"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4BA6" w14:textId="77777777" w:rsidR="009F6D8A" w:rsidRDefault="00C50974">
            <w:pPr>
              <w:jc w:val="right"/>
              <w:textAlignment w:val="bottom"/>
            </w:pPr>
            <w:r>
              <w:rPr>
                <w:rFonts w:ascii="Arial" w:eastAsia="宋体" w:hAnsi="Arial" w:cs="Arial"/>
                <w:color w:val="000000"/>
                <w:sz w:val="16"/>
                <w:szCs w:val="16"/>
              </w:rPr>
              <w:t>13 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4BA7"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BA8"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4BA9"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4BAA" w14:textId="77777777" w:rsidR="009F6D8A" w:rsidRDefault="00C50974">
            <w:pPr>
              <w:jc w:val="right"/>
              <w:textAlignment w:val="bottom"/>
            </w:pPr>
            <w:r>
              <w:rPr>
                <w:rFonts w:ascii="Arial" w:eastAsia="宋体" w:hAnsi="Arial" w:cs="Arial"/>
                <w:color w:val="000000"/>
                <w:sz w:val="16"/>
                <w:szCs w:val="16"/>
              </w:rPr>
              <w:t>(34)</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4BAB"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BAC"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4BAD"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4BAE" w14:textId="77777777" w:rsidR="009F6D8A" w:rsidRDefault="00C50974">
            <w:pPr>
              <w:jc w:val="right"/>
              <w:textAlignment w:val="bottom"/>
            </w:pPr>
            <w:r>
              <w:rPr>
                <w:rFonts w:ascii="Arial" w:eastAsia="宋体" w:hAnsi="Arial" w:cs="Arial"/>
                <w:color w:val="000000"/>
                <w:sz w:val="16"/>
                <w:szCs w:val="16"/>
              </w:rPr>
              <w:t>13 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4BAF" w14:textId="77777777" w:rsidR="009F6D8A" w:rsidRDefault="009F6D8A">
            <w:pPr>
              <w:jc w:val="right"/>
              <w:rPr>
                <w:rFonts w:ascii="宋体"/>
              </w:rPr>
            </w:pPr>
          </w:p>
        </w:tc>
      </w:tr>
    </w:tbl>
    <w:p w14:paraId="64304BB1" w14:textId="77777777" w:rsidR="009F6D8A" w:rsidRDefault="009F6D8A"/>
    <w:p w14:paraId="64304BB2" w14:textId="77777777" w:rsidR="009F6D8A" w:rsidRDefault="009F6D8A">
      <w:pPr>
        <w:jc w:val="center"/>
      </w:pPr>
    </w:p>
    <w:p w14:paraId="64304BB3" w14:textId="77777777" w:rsidR="009F6D8A" w:rsidRDefault="00C50974">
      <w:pPr>
        <w:jc w:val="center"/>
      </w:pPr>
      <w:r>
        <w:rPr>
          <w:rFonts w:ascii="Arial" w:eastAsia="宋体" w:hAnsi="Arial" w:cs="Arial"/>
          <w:color w:val="000000"/>
          <w:sz w:val="20"/>
          <w:szCs w:val="20"/>
        </w:rPr>
        <w:t>36</w:t>
      </w:r>
    </w:p>
    <w:p w14:paraId="64304BB4" w14:textId="77777777" w:rsidR="009F6D8A" w:rsidRDefault="00C50974">
      <w:r>
        <w:pict w14:anchorId="64305827">
          <v:rect id="_x0000_i1060" style="width:415.3pt;height:1.5pt" o:hralign="center" o:hrstd="t" o:hr="t" fillcolor="#a0a0a0" stroked="f"/>
        </w:pict>
      </w:r>
    </w:p>
    <w:p w14:paraId="64304BB5" w14:textId="77777777" w:rsidR="009F6D8A" w:rsidRDefault="009F6D8A">
      <w:pPr>
        <w:jc w:val="center"/>
      </w:pPr>
    </w:p>
    <w:p w14:paraId="64304BB6" w14:textId="77777777" w:rsidR="009F6D8A" w:rsidRDefault="00C50974">
      <w:pPr>
        <w:jc w:val="center"/>
      </w:pPr>
      <w:r>
        <w:rPr>
          <w:rFonts w:ascii="Arial" w:eastAsia="宋体" w:hAnsi="Arial" w:cs="Arial"/>
          <w:b/>
          <w:bCs/>
          <w:color w:val="000000"/>
          <w:sz w:val="20"/>
          <w:szCs w:val="20"/>
        </w:rPr>
        <w:t>eBay Inc.</w:t>
      </w:r>
    </w:p>
    <w:p w14:paraId="64304BB7" w14:textId="77777777" w:rsidR="009F6D8A" w:rsidRDefault="00C50974">
      <w:pPr>
        <w:spacing w:after="240"/>
        <w:jc w:val="center"/>
      </w:pPr>
      <w:r>
        <w:rPr>
          <w:rFonts w:ascii="Arial" w:eastAsia="宋体" w:hAnsi="Arial" w:cs="Arial"/>
          <w:b/>
          <w:bCs/>
          <w:color w:val="000000"/>
          <w:sz w:val="20"/>
          <w:szCs w:val="20"/>
        </w:rPr>
        <w:t xml:space="preserve">NOTES TO CONDENSED </w:t>
      </w:r>
      <w:r>
        <w:rPr>
          <w:rFonts w:ascii="Arial" w:eastAsia="宋体" w:hAnsi="Arial" w:cs="Arial"/>
          <w:b/>
          <w:bCs/>
          <w:color w:val="000000"/>
          <w:sz w:val="20"/>
          <w:szCs w:val="20"/>
        </w:rPr>
        <w:t>CONSOLIDATED FINANCIAL STATEMENTS—(Continued)</w:t>
      </w:r>
    </w:p>
    <w:p w14:paraId="64304BB8" w14:textId="77777777" w:rsidR="009F6D8A" w:rsidRDefault="00C50974">
      <w:pPr>
        <w:jc w:val="both"/>
      </w:pPr>
      <w:r>
        <w:rPr>
          <w:rFonts w:ascii="Arial" w:eastAsia="宋体" w:hAnsi="Arial" w:cs="Arial"/>
          <w:b/>
          <w:bCs/>
          <w:color w:val="000000"/>
          <w:sz w:val="20"/>
          <w:szCs w:val="20"/>
        </w:rPr>
        <w:t>Note 16 — Restructuring</w:t>
      </w:r>
    </w:p>
    <w:p w14:paraId="64304BB9" w14:textId="77777777" w:rsidR="009F6D8A" w:rsidRDefault="009F6D8A">
      <w:pPr>
        <w:ind w:firstLine="540"/>
        <w:jc w:val="both"/>
      </w:pPr>
    </w:p>
    <w:p w14:paraId="64304BBA" w14:textId="77777777" w:rsidR="009F6D8A" w:rsidRDefault="00C50974">
      <w:pPr>
        <w:ind w:firstLine="540"/>
      </w:pPr>
      <w:r>
        <w:rPr>
          <w:rFonts w:ascii="Arial" w:eastAsia="宋体" w:hAnsi="Arial" w:cs="Arial"/>
          <w:color w:val="000000"/>
          <w:sz w:val="20"/>
          <w:szCs w:val="20"/>
        </w:rPr>
        <w:t>The following table summarizes restructuring reserve activity during the six months ended June 30, 2021 (in millions):</w:t>
      </w:r>
    </w:p>
    <w:tbl>
      <w:tblPr>
        <w:tblW w:w="5000" w:type="pct"/>
        <w:tblCellMar>
          <w:top w:w="15" w:type="dxa"/>
          <w:left w:w="15" w:type="dxa"/>
          <w:bottom w:w="15" w:type="dxa"/>
          <w:right w:w="15" w:type="dxa"/>
        </w:tblCellMar>
        <w:tblLook w:val="04A0" w:firstRow="1" w:lastRow="0" w:firstColumn="1" w:lastColumn="0" w:noHBand="0" w:noVBand="1"/>
      </w:tblPr>
      <w:tblGrid>
        <w:gridCol w:w="51"/>
        <w:gridCol w:w="7152"/>
        <w:gridCol w:w="38"/>
        <w:gridCol w:w="122"/>
        <w:gridCol w:w="937"/>
        <w:gridCol w:w="36"/>
      </w:tblGrid>
      <w:tr w:rsidR="009F6D8A" w14:paraId="64304BC1" w14:textId="77777777">
        <w:tc>
          <w:tcPr>
            <w:tcW w:w="50" w:type="pct"/>
            <w:shd w:val="clear" w:color="auto" w:fill="auto"/>
            <w:vAlign w:val="bottom"/>
          </w:tcPr>
          <w:p w14:paraId="64304BBB" w14:textId="77777777" w:rsidR="009F6D8A" w:rsidRDefault="009F6D8A">
            <w:pPr>
              <w:rPr>
                <w:rFonts w:ascii="宋体"/>
              </w:rPr>
            </w:pPr>
          </w:p>
        </w:tc>
        <w:tc>
          <w:tcPr>
            <w:tcW w:w="4309" w:type="pct"/>
            <w:shd w:val="clear" w:color="auto" w:fill="auto"/>
            <w:vAlign w:val="bottom"/>
          </w:tcPr>
          <w:p w14:paraId="64304BBC" w14:textId="77777777" w:rsidR="009F6D8A" w:rsidRDefault="009F6D8A">
            <w:pPr>
              <w:rPr>
                <w:rFonts w:ascii="宋体"/>
              </w:rPr>
            </w:pPr>
          </w:p>
        </w:tc>
        <w:tc>
          <w:tcPr>
            <w:tcW w:w="5" w:type="pct"/>
            <w:shd w:val="clear" w:color="auto" w:fill="auto"/>
            <w:vAlign w:val="bottom"/>
          </w:tcPr>
          <w:p w14:paraId="64304BBD" w14:textId="77777777" w:rsidR="009F6D8A" w:rsidRDefault="009F6D8A">
            <w:pPr>
              <w:rPr>
                <w:rFonts w:ascii="宋体"/>
              </w:rPr>
            </w:pPr>
          </w:p>
        </w:tc>
        <w:tc>
          <w:tcPr>
            <w:tcW w:w="50" w:type="pct"/>
            <w:shd w:val="clear" w:color="auto" w:fill="auto"/>
            <w:vAlign w:val="bottom"/>
          </w:tcPr>
          <w:p w14:paraId="64304BBE" w14:textId="77777777" w:rsidR="009F6D8A" w:rsidRDefault="009F6D8A">
            <w:pPr>
              <w:rPr>
                <w:rFonts w:ascii="宋体"/>
              </w:rPr>
            </w:pPr>
          </w:p>
        </w:tc>
        <w:tc>
          <w:tcPr>
            <w:tcW w:w="581" w:type="pct"/>
            <w:shd w:val="clear" w:color="auto" w:fill="auto"/>
            <w:vAlign w:val="bottom"/>
          </w:tcPr>
          <w:p w14:paraId="64304BBF" w14:textId="77777777" w:rsidR="009F6D8A" w:rsidRDefault="009F6D8A">
            <w:pPr>
              <w:rPr>
                <w:rFonts w:ascii="宋体"/>
              </w:rPr>
            </w:pPr>
          </w:p>
        </w:tc>
        <w:tc>
          <w:tcPr>
            <w:tcW w:w="5" w:type="pct"/>
            <w:shd w:val="clear" w:color="auto" w:fill="auto"/>
            <w:vAlign w:val="bottom"/>
          </w:tcPr>
          <w:p w14:paraId="64304BC0" w14:textId="77777777" w:rsidR="009F6D8A" w:rsidRDefault="009F6D8A">
            <w:pPr>
              <w:rPr>
                <w:rFonts w:ascii="宋体"/>
              </w:rPr>
            </w:pPr>
          </w:p>
        </w:tc>
      </w:tr>
      <w:tr w:rsidR="009F6D8A" w14:paraId="64304BC4" w14:textId="77777777">
        <w:tc>
          <w:tcPr>
            <w:tcW w:w="0" w:type="auto"/>
            <w:gridSpan w:val="3"/>
            <w:shd w:val="clear" w:color="auto" w:fill="auto"/>
            <w:tcMar>
              <w:top w:w="40" w:type="dxa"/>
              <w:left w:w="20" w:type="dxa"/>
              <w:bottom w:w="40" w:type="dxa"/>
              <w:right w:w="20" w:type="dxa"/>
            </w:tcMar>
            <w:vAlign w:val="bottom"/>
          </w:tcPr>
          <w:p w14:paraId="64304BC2" w14:textId="77777777" w:rsidR="009F6D8A" w:rsidRDefault="00C50974">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4304BC3" w14:textId="77777777" w:rsidR="009F6D8A" w:rsidRDefault="00C50974">
            <w:pPr>
              <w:jc w:val="center"/>
              <w:textAlignment w:val="bottom"/>
            </w:pPr>
            <w:r>
              <w:rPr>
                <w:rFonts w:ascii="Arial" w:eastAsia="宋体" w:hAnsi="Arial" w:cs="Arial"/>
                <w:b/>
                <w:bCs/>
                <w:color w:val="000000"/>
                <w:sz w:val="16"/>
                <w:szCs w:val="16"/>
              </w:rPr>
              <w:t>Employee Severance and Benefits</w:t>
            </w:r>
          </w:p>
        </w:tc>
      </w:tr>
      <w:tr w:rsidR="009F6D8A" w14:paraId="64304BC9" w14:textId="77777777">
        <w:tc>
          <w:tcPr>
            <w:tcW w:w="0" w:type="auto"/>
            <w:gridSpan w:val="3"/>
            <w:shd w:val="clear" w:color="auto" w:fill="E1E1E1"/>
            <w:tcMar>
              <w:top w:w="40" w:type="dxa"/>
              <w:left w:w="20" w:type="dxa"/>
              <w:bottom w:w="40" w:type="dxa"/>
              <w:right w:w="20" w:type="dxa"/>
            </w:tcMar>
            <w:vAlign w:val="bottom"/>
          </w:tcPr>
          <w:p w14:paraId="64304BC5" w14:textId="77777777" w:rsidR="009F6D8A" w:rsidRDefault="00C50974">
            <w:pPr>
              <w:textAlignment w:val="bottom"/>
            </w:pPr>
            <w:r>
              <w:rPr>
                <w:rFonts w:ascii="Arial" w:eastAsia="宋体" w:hAnsi="Arial" w:cs="Arial"/>
                <w:color w:val="000000"/>
                <w:sz w:val="18"/>
                <w:szCs w:val="18"/>
              </w:rPr>
              <w:t xml:space="preserve">Accrued </w:t>
            </w:r>
            <w:r>
              <w:rPr>
                <w:rFonts w:ascii="Arial" w:eastAsia="宋体" w:hAnsi="Arial" w:cs="Arial"/>
                <w:color w:val="000000"/>
                <w:sz w:val="18"/>
                <w:szCs w:val="18"/>
              </w:rPr>
              <w:t>liability as of January 1, 2021</w:t>
            </w:r>
          </w:p>
        </w:tc>
        <w:tc>
          <w:tcPr>
            <w:tcW w:w="0" w:type="auto"/>
            <w:tcBorders>
              <w:top w:val="single" w:sz="8" w:space="0" w:color="000000"/>
            </w:tcBorders>
            <w:shd w:val="clear" w:color="auto" w:fill="E1E1E1"/>
            <w:tcMar>
              <w:top w:w="40" w:type="dxa"/>
              <w:left w:w="20" w:type="dxa"/>
              <w:bottom w:w="40" w:type="dxa"/>
              <w:right w:w="0" w:type="dxa"/>
            </w:tcMar>
            <w:vAlign w:val="bottom"/>
          </w:tcPr>
          <w:p w14:paraId="64304BC6"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4BC7" w14:textId="77777777" w:rsidR="009F6D8A" w:rsidRDefault="00C50974">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4BC8" w14:textId="77777777" w:rsidR="009F6D8A" w:rsidRDefault="009F6D8A">
            <w:pPr>
              <w:jc w:val="right"/>
              <w:rPr>
                <w:rFonts w:ascii="宋体"/>
              </w:rPr>
            </w:pPr>
          </w:p>
        </w:tc>
      </w:tr>
      <w:tr w:rsidR="009F6D8A" w14:paraId="64304BCD" w14:textId="77777777">
        <w:tc>
          <w:tcPr>
            <w:tcW w:w="0" w:type="auto"/>
            <w:gridSpan w:val="3"/>
            <w:shd w:val="clear" w:color="auto" w:fill="FFFFFF"/>
            <w:tcMar>
              <w:top w:w="40" w:type="dxa"/>
              <w:left w:w="155" w:type="dxa"/>
              <w:bottom w:w="40" w:type="dxa"/>
              <w:right w:w="20" w:type="dxa"/>
            </w:tcMar>
            <w:vAlign w:val="bottom"/>
          </w:tcPr>
          <w:p w14:paraId="64304BCA" w14:textId="77777777" w:rsidR="009F6D8A" w:rsidRDefault="00C50974">
            <w:pPr>
              <w:textAlignment w:val="bottom"/>
            </w:pPr>
            <w:r>
              <w:rPr>
                <w:rFonts w:ascii="Arial" w:eastAsia="宋体" w:hAnsi="Arial" w:cs="Arial"/>
                <w:color w:val="000000"/>
                <w:sz w:val="18"/>
                <w:szCs w:val="18"/>
              </w:rPr>
              <w:t>Charges</w:t>
            </w:r>
          </w:p>
        </w:tc>
        <w:tc>
          <w:tcPr>
            <w:tcW w:w="0" w:type="auto"/>
            <w:gridSpan w:val="2"/>
            <w:shd w:val="clear" w:color="auto" w:fill="FFFFFF"/>
            <w:tcMar>
              <w:top w:w="40" w:type="dxa"/>
              <w:left w:w="20" w:type="dxa"/>
              <w:bottom w:w="40" w:type="dxa"/>
              <w:right w:w="0" w:type="dxa"/>
            </w:tcMar>
            <w:vAlign w:val="bottom"/>
          </w:tcPr>
          <w:p w14:paraId="64304BCB" w14:textId="77777777" w:rsidR="009F6D8A" w:rsidRDefault="00C50974">
            <w:pPr>
              <w:jc w:val="right"/>
              <w:textAlignment w:val="bottom"/>
            </w:pPr>
            <w:r>
              <w:rPr>
                <w:rFonts w:ascii="Arial" w:eastAsia="宋体" w:hAnsi="Arial" w:cs="Arial"/>
                <w:color w:val="000000"/>
                <w:sz w:val="18"/>
                <w:szCs w:val="18"/>
              </w:rPr>
              <w:t>35 </w:t>
            </w:r>
          </w:p>
        </w:tc>
        <w:tc>
          <w:tcPr>
            <w:tcW w:w="0" w:type="auto"/>
            <w:shd w:val="clear" w:color="auto" w:fill="FFFFFF"/>
            <w:tcMar>
              <w:top w:w="40" w:type="dxa"/>
              <w:left w:w="0" w:type="dxa"/>
              <w:bottom w:w="40" w:type="dxa"/>
              <w:right w:w="20" w:type="dxa"/>
            </w:tcMar>
            <w:vAlign w:val="bottom"/>
          </w:tcPr>
          <w:p w14:paraId="64304BCC" w14:textId="77777777" w:rsidR="009F6D8A" w:rsidRDefault="009F6D8A">
            <w:pPr>
              <w:jc w:val="right"/>
              <w:rPr>
                <w:rFonts w:ascii="宋体"/>
              </w:rPr>
            </w:pPr>
          </w:p>
        </w:tc>
      </w:tr>
      <w:tr w:rsidR="009F6D8A" w14:paraId="64304BD1" w14:textId="77777777">
        <w:tc>
          <w:tcPr>
            <w:tcW w:w="0" w:type="auto"/>
            <w:gridSpan w:val="3"/>
            <w:shd w:val="clear" w:color="auto" w:fill="E1E1E1"/>
            <w:tcMar>
              <w:top w:w="40" w:type="dxa"/>
              <w:left w:w="155" w:type="dxa"/>
              <w:bottom w:w="40" w:type="dxa"/>
              <w:right w:w="20" w:type="dxa"/>
            </w:tcMar>
            <w:vAlign w:val="bottom"/>
          </w:tcPr>
          <w:p w14:paraId="64304BCE" w14:textId="77777777" w:rsidR="009F6D8A" w:rsidRDefault="00C50974">
            <w:pPr>
              <w:textAlignment w:val="bottom"/>
            </w:pPr>
            <w:r>
              <w:rPr>
                <w:rFonts w:ascii="Arial" w:eastAsia="宋体" w:hAnsi="Arial" w:cs="Arial"/>
                <w:color w:val="000000"/>
                <w:sz w:val="18"/>
                <w:szCs w:val="18"/>
              </w:rPr>
              <w:t>Payments</w:t>
            </w:r>
          </w:p>
        </w:tc>
        <w:tc>
          <w:tcPr>
            <w:tcW w:w="0" w:type="auto"/>
            <w:gridSpan w:val="2"/>
            <w:shd w:val="clear" w:color="auto" w:fill="E1E1E1"/>
            <w:tcMar>
              <w:top w:w="40" w:type="dxa"/>
              <w:left w:w="20" w:type="dxa"/>
              <w:bottom w:w="40" w:type="dxa"/>
              <w:right w:w="0" w:type="dxa"/>
            </w:tcMar>
            <w:vAlign w:val="bottom"/>
          </w:tcPr>
          <w:p w14:paraId="64304BCF" w14:textId="77777777" w:rsidR="009F6D8A" w:rsidRDefault="00C50974">
            <w:pPr>
              <w:jc w:val="right"/>
              <w:textAlignment w:val="bottom"/>
            </w:pPr>
            <w:r>
              <w:rPr>
                <w:rFonts w:ascii="Arial" w:eastAsia="宋体" w:hAnsi="Arial" w:cs="Arial"/>
                <w:color w:val="000000"/>
                <w:sz w:val="18"/>
                <w:szCs w:val="18"/>
              </w:rPr>
              <w:t>(29)</w:t>
            </w:r>
          </w:p>
        </w:tc>
        <w:tc>
          <w:tcPr>
            <w:tcW w:w="0" w:type="auto"/>
            <w:shd w:val="clear" w:color="auto" w:fill="E1E1E1"/>
            <w:tcMar>
              <w:top w:w="40" w:type="dxa"/>
              <w:left w:w="0" w:type="dxa"/>
              <w:bottom w:w="40" w:type="dxa"/>
              <w:right w:w="20" w:type="dxa"/>
            </w:tcMar>
            <w:vAlign w:val="bottom"/>
          </w:tcPr>
          <w:p w14:paraId="64304BD0" w14:textId="77777777" w:rsidR="009F6D8A" w:rsidRDefault="009F6D8A">
            <w:pPr>
              <w:jc w:val="right"/>
              <w:rPr>
                <w:rFonts w:ascii="宋体"/>
              </w:rPr>
            </w:pPr>
          </w:p>
        </w:tc>
      </w:tr>
      <w:tr w:rsidR="009F6D8A" w14:paraId="64304BD4" w14:textId="77777777">
        <w:trPr>
          <w:hidden/>
        </w:trPr>
        <w:tc>
          <w:tcPr>
            <w:tcW w:w="0" w:type="auto"/>
            <w:gridSpan w:val="3"/>
            <w:shd w:val="clear" w:color="auto" w:fill="auto"/>
            <w:vAlign w:val="bottom"/>
          </w:tcPr>
          <w:p w14:paraId="64304BD2" w14:textId="77777777" w:rsidR="009F6D8A" w:rsidRDefault="009F6D8A">
            <w:pPr>
              <w:rPr>
                <w:rFonts w:ascii="宋体"/>
                <w:vanish/>
              </w:rPr>
            </w:pPr>
          </w:p>
        </w:tc>
        <w:tc>
          <w:tcPr>
            <w:tcW w:w="0" w:type="auto"/>
            <w:gridSpan w:val="3"/>
            <w:shd w:val="clear" w:color="auto" w:fill="auto"/>
            <w:vAlign w:val="bottom"/>
          </w:tcPr>
          <w:p w14:paraId="64304BD3" w14:textId="77777777" w:rsidR="009F6D8A" w:rsidRDefault="009F6D8A">
            <w:pPr>
              <w:rPr>
                <w:rFonts w:ascii="宋体"/>
                <w:vanish/>
              </w:rPr>
            </w:pPr>
          </w:p>
        </w:tc>
      </w:tr>
      <w:tr w:rsidR="009F6D8A" w14:paraId="64304BD9" w14:textId="77777777">
        <w:tc>
          <w:tcPr>
            <w:tcW w:w="0" w:type="auto"/>
            <w:gridSpan w:val="3"/>
            <w:shd w:val="clear" w:color="auto" w:fill="FFFFFF"/>
            <w:tcMar>
              <w:top w:w="40" w:type="dxa"/>
              <w:left w:w="20" w:type="dxa"/>
              <w:bottom w:w="40" w:type="dxa"/>
              <w:right w:w="20" w:type="dxa"/>
            </w:tcMar>
            <w:vAlign w:val="bottom"/>
          </w:tcPr>
          <w:p w14:paraId="64304BD5" w14:textId="77777777" w:rsidR="009F6D8A" w:rsidRDefault="00C50974">
            <w:pPr>
              <w:textAlignment w:val="bottom"/>
            </w:pPr>
            <w:r>
              <w:rPr>
                <w:rFonts w:ascii="Arial" w:eastAsia="宋体" w:hAnsi="Arial" w:cs="Arial"/>
                <w:color w:val="000000"/>
                <w:sz w:val="18"/>
                <w:szCs w:val="18"/>
              </w:rPr>
              <w:t>Accrued liability as of June 30,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4BD6"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4BD7" w14:textId="77777777" w:rsidR="009F6D8A" w:rsidRDefault="00C50974">
            <w:pPr>
              <w:jc w:val="right"/>
              <w:textAlignment w:val="bottom"/>
            </w:pPr>
            <w:r>
              <w:rPr>
                <w:rFonts w:ascii="Arial" w:eastAsia="宋体" w:hAnsi="Arial" w:cs="Arial"/>
                <w:color w:val="000000"/>
                <w:sz w:val="18"/>
                <w:szCs w:val="18"/>
              </w:rPr>
              <w:t>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4BD8" w14:textId="77777777" w:rsidR="009F6D8A" w:rsidRDefault="009F6D8A">
            <w:pPr>
              <w:jc w:val="right"/>
              <w:rPr>
                <w:rFonts w:ascii="宋体"/>
              </w:rPr>
            </w:pPr>
          </w:p>
        </w:tc>
      </w:tr>
    </w:tbl>
    <w:p w14:paraId="64304BDA" w14:textId="77777777" w:rsidR="009F6D8A" w:rsidRDefault="009F6D8A">
      <w:pPr>
        <w:ind w:firstLine="540"/>
        <w:jc w:val="both"/>
      </w:pPr>
    </w:p>
    <w:p w14:paraId="64304BDB" w14:textId="77777777" w:rsidR="009F6D8A" w:rsidRDefault="00C50974">
      <w:pPr>
        <w:ind w:firstLine="540"/>
        <w:jc w:val="both"/>
      </w:pPr>
      <w:r>
        <w:rPr>
          <w:rFonts w:ascii="Arial" w:eastAsia="宋体" w:hAnsi="Arial" w:cs="Arial"/>
          <w:color w:val="000000"/>
          <w:sz w:val="20"/>
          <w:szCs w:val="20"/>
        </w:rPr>
        <w:t xml:space="preserve">During the first quarter of 2021, management approved plans that included the reduction in workforce and other exit costs. The reduction was substantially completed in the first quarter of 2021 and resulted in a pre-tax charge of $35 million. </w:t>
      </w:r>
    </w:p>
    <w:p w14:paraId="64304BDC" w14:textId="77777777" w:rsidR="009F6D8A" w:rsidRDefault="009F6D8A">
      <w:pPr>
        <w:ind w:firstLine="540"/>
        <w:jc w:val="both"/>
      </w:pPr>
    </w:p>
    <w:p w14:paraId="64304BDD" w14:textId="77777777" w:rsidR="009F6D8A" w:rsidRDefault="00C50974">
      <w:pPr>
        <w:ind w:firstLine="540"/>
        <w:jc w:val="both"/>
      </w:pPr>
      <w:r>
        <w:rPr>
          <w:rFonts w:ascii="Arial" w:eastAsia="宋体" w:hAnsi="Arial" w:cs="Arial"/>
          <w:color w:val="000000"/>
          <w:sz w:val="20"/>
          <w:szCs w:val="20"/>
        </w:rPr>
        <w:t xml:space="preserve">During the </w:t>
      </w:r>
      <w:r>
        <w:rPr>
          <w:rFonts w:ascii="Arial" w:eastAsia="宋体" w:hAnsi="Arial" w:cs="Arial"/>
          <w:color w:val="000000"/>
          <w:sz w:val="20"/>
          <w:szCs w:val="20"/>
        </w:rPr>
        <w:t xml:space="preserve">first quarter of 2020 we substantially completed the reduction in workforce that was approved by management during the fourth quarter of 2019. We incurred pre-tax restructuring charges of approximately $7 million primarily during the first quarter of 2020 </w:t>
      </w:r>
      <w:r>
        <w:rPr>
          <w:rFonts w:ascii="Arial" w:eastAsia="宋体" w:hAnsi="Arial" w:cs="Arial"/>
          <w:color w:val="000000"/>
          <w:sz w:val="20"/>
          <w:szCs w:val="20"/>
        </w:rPr>
        <w:t xml:space="preserve">in connection with the action taken in the fourth quarter of 2019. </w:t>
      </w:r>
    </w:p>
    <w:p w14:paraId="64304BDE" w14:textId="77777777" w:rsidR="009F6D8A" w:rsidRDefault="009F6D8A">
      <w:pPr>
        <w:ind w:firstLine="540"/>
        <w:jc w:val="both"/>
      </w:pPr>
    </w:p>
    <w:p w14:paraId="64304BDF" w14:textId="77777777" w:rsidR="009F6D8A" w:rsidRDefault="00C50974">
      <w:pPr>
        <w:ind w:firstLine="540"/>
        <w:jc w:val="both"/>
      </w:pPr>
      <w:r>
        <w:rPr>
          <w:rFonts w:ascii="Arial" w:eastAsia="宋体" w:hAnsi="Arial" w:cs="Arial"/>
          <w:color w:val="000000"/>
          <w:sz w:val="20"/>
          <w:szCs w:val="20"/>
        </w:rPr>
        <w:t>Restructuring charges are included in general and administrative expenses in the condensed consolidated statement of income.</w:t>
      </w:r>
    </w:p>
    <w:p w14:paraId="64304BE0" w14:textId="77777777" w:rsidR="009F6D8A" w:rsidRDefault="009F6D8A">
      <w:pPr>
        <w:ind w:firstLine="540"/>
        <w:jc w:val="both"/>
      </w:pPr>
    </w:p>
    <w:p w14:paraId="64304BE1" w14:textId="77777777" w:rsidR="009F6D8A" w:rsidRDefault="009F6D8A">
      <w:pPr>
        <w:ind w:firstLine="540"/>
      </w:pPr>
    </w:p>
    <w:p w14:paraId="64304BE2" w14:textId="77777777" w:rsidR="009F6D8A" w:rsidRDefault="009F6D8A">
      <w:pPr>
        <w:jc w:val="center"/>
      </w:pPr>
    </w:p>
    <w:p w14:paraId="64304BE3" w14:textId="77777777" w:rsidR="009F6D8A" w:rsidRDefault="00C50974">
      <w:pPr>
        <w:jc w:val="center"/>
      </w:pPr>
      <w:r>
        <w:rPr>
          <w:rFonts w:ascii="Arial" w:eastAsia="宋体" w:hAnsi="Arial" w:cs="Arial"/>
          <w:color w:val="000000"/>
          <w:sz w:val="20"/>
          <w:szCs w:val="20"/>
        </w:rPr>
        <w:t>37</w:t>
      </w:r>
    </w:p>
    <w:p w14:paraId="64304BE4" w14:textId="77777777" w:rsidR="009F6D8A" w:rsidRDefault="00C50974">
      <w:r>
        <w:pict w14:anchorId="64305828">
          <v:rect id="_x0000_i1061" style="width:415.3pt;height:1.5pt" o:hralign="center" o:hrstd="t" o:hr="t" fillcolor="#a0a0a0" stroked="f"/>
        </w:pict>
      </w:r>
    </w:p>
    <w:p w14:paraId="64304BE5" w14:textId="77777777" w:rsidR="009F6D8A" w:rsidRDefault="009F6D8A"/>
    <w:p w14:paraId="64304BE6" w14:textId="77777777" w:rsidR="009F6D8A" w:rsidRDefault="00C50974">
      <w:pPr>
        <w:ind w:hanging="1080"/>
      </w:pPr>
      <w:r>
        <w:rPr>
          <w:rFonts w:ascii="Arial" w:eastAsia="宋体" w:hAnsi="Arial" w:cs="Arial"/>
          <w:b/>
          <w:bCs/>
          <w:color w:val="000000"/>
          <w:sz w:val="20"/>
          <w:szCs w:val="20"/>
        </w:rPr>
        <w:t>ITEM 2:    </w:t>
      </w:r>
      <w:r>
        <w:rPr>
          <w:rFonts w:ascii="Arial" w:eastAsia="宋体" w:hAnsi="Arial" w:cs="Arial"/>
          <w:b/>
          <w:bCs/>
          <w:i/>
          <w:iCs/>
          <w:color w:val="000000"/>
          <w:sz w:val="20"/>
          <w:szCs w:val="20"/>
        </w:rPr>
        <w:t xml:space="preserve">MANAGEMENT’S DISCUSSION AND </w:t>
      </w:r>
      <w:r>
        <w:rPr>
          <w:rFonts w:ascii="Arial" w:eastAsia="宋体" w:hAnsi="Arial" w:cs="Arial"/>
          <w:b/>
          <w:bCs/>
          <w:i/>
          <w:iCs/>
          <w:color w:val="000000"/>
          <w:sz w:val="20"/>
          <w:szCs w:val="20"/>
        </w:rPr>
        <w:t>ANALYSIS OF FINANCIAL CONDITION AND RESULTS OF OPERATIONS</w:t>
      </w:r>
    </w:p>
    <w:p w14:paraId="64304BE7" w14:textId="77777777" w:rsidR="009F6D8A" w:rsidRDefault="009F6D8A">
      <w:pPr>
        <w:ind w:hanging="1080"/>
      </w:pPr>
    </w:p>
    <w:p w14:paraId="64304BE8" w14:textId="77777777" w:rsidR="009F6D8A" w:rsidRDefault="00C50974">
      <w:r>
        <w:rPr>
          <w:rFonts w:ascii="Arial" w:eastAsia="宋体" w:hAnsi="Arial" w:cs="Arial"/>
          <w:b/>
          <w:bCs/>
          <w:color w:val="000000"/>
          <w:sz w:val="20"/>
          <w:szCs w:val="20"/>
        </w:rPr>
        <w:t>FORWARD-LOOKING STATEMENTS</w:t>
      </w:r>
    </w:p>
    <w:p w14:paraId="64304BE9" w14:textId="77777777" w:rsidR="009F6D8A" w:rsidRDefault="009F6D8A"/>
    <w:p w14:paraId="64304BEA" w14:textId="77777777" w:rsidR="009F6D8A" w:rsidRDefault="00C50974">
      <w:pPr>
        <w:ind w:firstLine="540"/>
        <w:jc w:val="both"/>
      </w:pPr>
      <w:r>
        <w:rPr>
          <w:rFonts w:ascii="Arial" w:eastAsia="宋体" w:hAnsi="Arial" w:cs="Arial"/>
          <w:i/>
          <w:iCs/>
          <w:color w:val="000000"/>
          <w:sz w:val="20"/>
          <w:szCs w:val="20"/>
        </w:rPr>
        <w:t xml:space="preserve">This Quarterly Report on Form 10-Q contains forward-looking statements within the meaning of Section 27A of the Securities Act of 1933 and Section 21E of the Securities </w:t>
      </w:r>
      <w:r>
        <w:rPr>
          <w:rFonts w:ascii="Arial" w:eastAsia="宋体" w:hAnsi="Arial" w:cs="Arial"/>
          <w:i/>
          <w:iCs/>
          <w:color w:val="000000"/>
          <w:sz w:val="20"/>
          <w:szCs w:val="20"/>
        </w:rPr>
        <w:t>Exchange Act of 1934, including statements that involve expectations, plans or intentions (such as those relating to future business, future results of operations or financial condition, including with respect to the ongoing effects of COVID-19, new or pla</w:t>
      </w:r>
      <w:r>
        <w:rPr>
          <w:rFonts w:ascii="Arial" w:eastAsia="宋体" w:hAnsi="Arial" w:cs="Arial"/>
          <w:i/>
          <w:iCs/>
          <w:color w:val="000000"/>
          <w:sz w:val="20"/>
          <w:szCs w:val="20"/>
        </w:rPr>
        <w:t>nned features or services, or management strategies, including our portfolio review). You can identify these forward-looking statements by words such as “may,” “will,” “would,” “should,” “could,” “expect,” “anticipate,” “believe,” “estimate,” “intend,” “pl</w:t>
      </w:r>
      <w:r>
        <w:rPr>
          <w:rFonts w:ascii="Arial" w:eastAsia="宋体" w:hAnsi="Arial" w:cs="Arial"/>
          <w:i/>
          <w:iCs/>
          <w:color w:val="000000"/>
          <w:sz w:val="20"/>
          <w:szCs w:val="20"/>
        </w:rPr>
        <w:t>an” and other similar expressions. These forward-looking statements involve risks and uncertainties that could cause our actual results to differ materially from those expressed or implied in our forward-looking statements. Such risks and uncertainties inc</w:t>
      </w:r>
      <w:r>
        <w:rPr>
          <w:rFonts w:ascii="Arial" w:eastAsia="宋体" w:hAnsi="Arial" w:cs="Arial"/>
          <w:i/>
          <w:iCs/>
          <w:color w:val="000000"/>
          <w:sz w:val="20"/>
          <w:szCs w:val="20"/>
        </w:rPr>
        <w:t xml:space="preserve">lude, among others, those discussed in “Part I </w:t>
      </w:r>
      <w:r>
        <w:rPr>
          <w:rFonts w:ascii="Arial" w:eastAsia="宋体" w:hAnsi="Arial" w:cs="Arial"/>
          <w:b/>
          <w:bCs/>
          <w:i/>
          <w:iCs/>
          <w:color w:val="000000"/>
          <w:sz w:val="20"/>
          <w:szCs w:val="20"/>
        </w:rPr>
        <w:t>-</w:t>
      </w:r>
      <w:r>
        <w:rPr>
          <w:rFonts w:ascii="Arial" w:eastAsia="宋体" w:hAnsi="Arial" w:cs="Arial"/>
          <w:i/>
          <w:iCs/>
          <w:color w:val="000000"/>
          <w:sz w:val="20"/>
          <w:szCs w:val="20"/>
        </w:rPr>
        <w:t xml:space="preserve"> Item 1A: Risk Factors” of the company’s Annual Report on Form 10-K for the year ended December 31 2020 (the “2020 Form 10-K”), as well as in our unaudited condensed consolidated financial statements, related</w:t>
      </w:r>
      <w:r>
        <w:rPr>
          <w:rFonts w:ascii="Arial" w:eastAsia="宋体" w:hAnsi="Arial" w:cs="Arial"/>
          <w:i/>
          <w:iCs/>
          <w:color w:val="000000"/>
          <w:sz w:val="20"/>
          <w:szCs w:val="20"/>
        </w:rPr>
        <w:t xml:space="preserve"> notes, and the other information appearing elsewhere in this report and our other filings with the Securities and Exchange Commission (“SEC”). We do not intend, and undertake no obligation, to update any of our forward-looking statements after the date of</w:t>
      </w:r>
      <w:r>
        <w:rPr>
          <w:rFonts w:ascii="Arial" w:eastAsia="宋体" w:hAnsi="Arial" w:cs="Arial"/>
          <w:i/>
          <w:iCs/>
          <w:color w:val="000000"/>
          <w:sz w:val="20"/>
          <w:szCs w:val="20"/>
        </w:rPr>
        <w:t xml:space="preserve"> this report to reflect actual results or future events or circumstances. Given these risks and uncertainties, readers are cautioned not to place undue reliance on such forward-looking statements. You should read the following Management’s Discussion and A</w:t>
      </w:r>
      <w:r>
        <w:rPr>
          <w:rFonts w:ascii="Arial" w:eastAsia="宋体" w:hAnsi="Arial" w:cs="Arial"/>
          <w:i/>
          <w:iCs/>
          <w:color w:val="000000"/>
          <w:sz w:val="20"/>
          <w:szCs w:val="20"/>
        </w:rPr>
        <w:t xml:space="preserve">nalysis of Financial Condition and Results of Operations in conjunction with the unaudited condensed consolidated financial statements and the related notes included in this report. </w:t>
      </w:r>
    </w:p>
    <w:p w14:paraId="64304BEB" w14:textId="77777777" w:rsidR="009F6D8A" w:rsidRDefault="009F6D8A">
      <w:pPr>
        <w:ind w:firstLine="540"/>
        <w:jc w:val="both"/>
      </w:pPr>
    </w:p>
    <w:p w14:paraId="64304BEC" w14:textId="77777777" w:rsidR="009F6D8A" w:rsidRDefault="00C50974">
      <w:pPr>
        <w:ind w:firstLine="540"/>
        <w:jc w:val="both"/>
      </w:pPr>
      <w:r>
        <w:rPr>
          <w:rFonts w:ascii="Arial" w:eastAsia="宋体" w:hAnsi="Arial" w:cs="Arial"/>
          <w:color w:val="000000"/>
          <w:sz w:val="20"/>
          <w:szCs w:val="20"/>
        </w:rPr>
        <w:t>When we refer to “we,” “our,” “us” or “eBay” in this Quarterly Report on</w:t>
      </w:r>
      <w:r>
        <w:rPr>
          <w:rFonts w:ascii="Arial" w:eastAsia="宋体" w:hAnsi="Arial" w:cs="Arial"/>
          <w:color w:val="000000"/>
          <w:sz w:val="20"/>
          <w:szCs w:val="20"/>
        </w:rPr>
        <w:t xml:space="preserve"> Form 10-Q, we mean the current Delaware corporation (eBay Inc.) and its consolidated subsidiaries, unless otherwise expressly stated or the context otherwise requires. </w:t>
      </w:r>
    </w:p>
    <w:p w14:paraId="64304BED" w14:textId="77777777" w:rsidR="009F6D8A" w:rsidRDefault="009F6D8A"/>
    <w:p w14:paraId="64304BEE" w14:textId="77777777" w:rsidR="009F6D8A" w:rsidRDefault="00C50974">
      <w:pPr>
        <w:jc w:val="both"/>
      </w:pPr>
      <w:r>
        <w:rPr>
          <w:rFonts w:ascii="Arial" w:eastAsia="宋体" w:hAnsi="Arial" w:cs="Arial"/>
          <w:b/>
          <w:bCs/>
          <w:color w:val="000000"/>
          <w:sz w:val="20"/>
          <w:szCs w:val="20"/>
        </w:rPr>
        <w:t>OVERVIEW</w:t>
      </w:r>
    </w:p>
    <w:p w14:paraId="64304BEF" w14:textId="77777777" w:rsidR="009F6D8A" w:rsidRDefault="00C50974">
      <w:pPr>
        <w:ind w:firstLine="540"/>
        <w:jc w:val="both"/>
      </w:pPr>
      <w:r>
        <w:rPr>
          <w:rFonts w:ascii="Arial" w:eastAsia="宋体" w:hAnsi="Arial" w:cs="Arial"/>
          <w:color w:val="000000"/>
          <w:sz w:val="20"/>
          <w:szCs w:val="20"/>
        </w:rPr>
        <w:t> </w:t>
      </w:r>
    </w:p>
    <w:p w14:paraId="64304BF0" w14:textId="77777777" w:rsidR="009F6D8A" w:rsidRDefault="00C50974">
      <w:pPr>
        <w:jc w:val="both"/>
      </w:pPr>
      <w:r>
        <w:rPr>
          <w:rFonts w:ascii="Arial" w:eastAsia="宋体" w:hAnsi="Arial" w:cs="Arial"/>
          <w:b/>
          <w:bCs/>
          <w:color w:val="000000"/>
          <w:sz w:val="20"/>
          <w:szCs w:val="20"/>
        </w:rPr>
        <w:t>Business</w:t>
      </w:r>
    </w:p>
    <w:p w14:paraId="64304BF1" w14:textId="77777777" w:rsidR="009F6D8A" w:rsidRDefault="009F6D8A">
      <w:pPr>
        <w:ind w:firstLine="540"/>
        <w:jc w:val="both"/>
      </w:pPr>
    </w:p>
    <w:p w14:paraId="64304BF2" w14:textId="77777777" w:rsidR="009F6D8A" w:rsidRDefault="00C50974">
      <w:pPr>
        <w:ind w:firstLine="540"/>
        <w:jc w:val="both"/>
      </w:pPr>
      <w:r>
        <w:rPr>
          <w:rFonts w:ascii="Arial" w:eastAsia="宋体" w:hAnsi="Arial" w:cs="Arial"/>
          <w:color w:val="000000"/>
          <w:sz w:val="20"/>
          <w:szCs w:val="20"/>
        </w:rPr>
        <w:t>eBay Inc. is a global commerce leader, which includes our Market</w:t>
      </w:r>
      <w:r>
        <w:rPr>
          <w:rFonts w:ascii="Arial" w:eastAsia="宋体" w:hAnsi="Arial" w:cs="Arial"/>
          <w:color w:val="000000"/>
          <w:sz w:val="20"/>
          <w:szCs w:val="20"/>
        </w:rPr>
        <w:t>place platforms. Founded in 1995 in San Jose, California, eBay is one of the world’s largest and most vibrant marketplaces for discovering great value and unique selection. Collectively, we connect millions of buyers and sellers around the world, empowerin</w:t>
      </w:r>
      <w:r>
        <w:rPr>
          <w:rFonts w:ascii="Arial" w:eastAsia="宋体" w:hAnsi="Arial" w:cs="Arial"/>
          <w:color w:val="000000"/>
          <w:sz w:val="20"/>
          <w:szCs w:val="20"/>
        </w:rPr>
        <w:t>g people and creating opportunity. Our technologies and services are designed to provide buyers choice and a breadth of relevant inventory and to enable sellers worldwide to organize and offer their inventory for sale, virtually anytime and anywhere. </w:t>
      </w:r>
    </w:p>
    <w:p w14:paraId="64304BF3" w14:textId="77777777" w:rsidR="009F6D8A" w:rsidRDefault="009F6D8A">
      <w:pPr>
        <w:ind w:firstLine="495"/>
        <w:jc w:val="both"/>
      </w:pPr>
    </w:p>
    <w:p w14:paraId="64304BF4" w14:textId="77777777" w:rsidR="009F6D8A" w:rsidRDefault="00C50974">
      <w:pPr>
        <w:ind w:firstLine="540"/>
        <w:jc w:val="both"/>
      </w:pPr>
      <w:r>
        <w:rPr>
          <w:rFonts w:ascii="Arial" w:eastAsia="宋体" w:hAnsi="Arial" w:cs="Arial"/>
          <w:color w:val="000000"/>
          <w:sz w:val="20"/>
          <w:szCs w:val="20"/>
        </w:rPr>
        <w:t xml:space="preserve">In </w:t>
      </w:r>
      <w:r>
        <w:rPr>
          <w:rFonts w:ascii="Arial" w:eastAsia="宋体" w:hAnsi="Arial" w:cs="Arial"/>
          <w:color w:val="000000"/>
          <w:sz w:val="20"/>
          <w:szCs w:val="20"/>
        </w:rPr>
        <w:t>2020, the World Health Organization declared the outbreak of a novel coronavirus (COVID-19) as a pandemic and continues to be widespread with uncertainty around its duration. As a result of COVID-19 mobility restrictions globally, there have been changes i</w:t>
      </w:r>
      <w:r>
        <w:rPr>
          <w:rFonts w:ascii="Arial" w:eastAsia="宋体" w:hAnsi="Arial" w:cs="Arial"/>
          <w:color w:val="000000"/>
          <w:sz w:val="20"/>
          <w:szCs w:val="20"/>
        </w:rPr>
        <w:t>n consumer behavior that have resulted in more online shopping. We expect these changes in behavior to continue to evolve as the pandemic progresses. During the pandemic our Marketplace platforms experienced improved traffic and buyer acquisition due to th</w:t>
      </w:r>
      <w:r>
        <w:rPr>
          <w:rFonts w:ascii="Arial" w:eastAsia="宋体" w:hAnsi="Arial" w:cs="Arial"/>
          <w:color w:val="000000"/>
          <w:sz w:val="20"/>
          <w:szCs w:val="20"/>
        </w:rPr>
        <w:t xml:space="preserve">e ongoing impact of measures taken globally to contain the spread of COVID-19. The Marketplace platforms also experienced improved acquisition of small business sellers. While the impact of COVID-19 has had a positive impact on our reported results during </w:t>
      </w:r>
      <w:r>
        <w:rPr>
          <w:rFonts w:ascii="Arial" w:eastAsia="宋体" w:hAnsi="Arial" w:cs="Arial"/>
          <w:color w:val="000000"/>
          <w:sz w:val="20"/>
          <w:szCs w:val="20"/>
        </w:rPr>
        <w:t>the pandemic, as mobility restrictions are lifted in various markets we have experienced lower traffic in certain markets primarily in the U.K., Germany and the U.S. It’s uncertain how consumer behaviors will trend as mobility restrictions continue to be e</w:t>
      </w:r>
      <w:r>
        <w:rPr>
          <w:rFonts w:ascii="Arial" w:eastAsia="宋体" w:hAnsi="Arial" w:cs="Arial"/>
          <w:color w:val="000000"/>
          <w:sz w:val="20"/>
          <w:szCs w:val="20"/>
        </w:rPr>
        <w:t>ased or lifted or the impact of new COVID-19 variants which may lead to tightening of mobility restrictions. The impacts seen to date may continue to create volatility in our results and a wider range of outcomes as consumer behaviors and mobility restrict</w:t>
      </w:r>
      <w:r>
        <w:rPr>
          <w:rFonts w:ascii="Arial" w:eastAsia="宋体" w:hAnsi="Arial" w:cs="Arial"/>
          <w:color w:val="000000"/>
          <w:sz w:val="20"/>
          <w:szCs w:val="20"/>
        </w:rPr>
        <w:t>ions continue to evolve. See “Results of Operations” below for impacts of COVID-19 on our results for the three and six months ended June 30, 2021. For additional information, see “– Liquidity and Capital Resource Requirements” below and “Item 1A: Risk Fac</w:t>
      </w:r>
      <w:r>
        <w:rPr>
          <w:rFonts w:ascii="Arial" w:eastAsia="宋体" w:hAnsi="Arial" w:cs="Arial"/>
          <w:color w:val="000000"/>
          <w:sz w:val="20"/>
          <w:szCs w:val="20"/>
        </w:rPr>
        <w:t>tors” under the caption “The global COVID-19 pandemic could harm our business and results of operations” in the 2020 Form 10-K.</w:t>
      </w:r>
    </w:p>
    <w:p w14:paraId="64304BF5" w14:textId="77777777" w:rsidR="009F6D8A" w:rsidRDefault="009F6D8A">
      <w:pPr>
        <w:ind w:firstLine="540"/>
        <w:jc w:val="both"/>
      </w:pPr>
    </w:p>
    <w:p w14:paraId="64304BF6" w14:textId="77777777" w:rsidR="009F6D8A" w:rsidRDefault="00C50974">
      <w:pPr>
        <w:ind w:firstLine="540"/>
        <w:jc w:val="both"/>
      </w:pPr>
      <w:r>
        <w:rPr>
          <w:rFonts w:ascii="Arial" w:eastAsia="宋体" w:hAnsi="Arial" w:cs="Arial"/>
          <w:color w:val="000000"/>
          <w:sz w:val="20"/>
          <w:szCs w:val="20"/>
        </w:rPr>
        <w:t>On June 24 2021, we completed the previously announced transfer our Classifieds business to Adevinta ASA (“Adevinta”) for $2.5 </w:t>
      </w:r>
      <w:r>
        <w:rPr>
          <w:rFonts w:ascii="Arial" w:eastAsia="宋体" w:hAnsi="Arial" w:cs="Arial"/>
          <w:color w:val="000000"/>
          <w:sz w:val="20"/>
          <w:szCs w:val="20"/>
        </w:rPr>
        <w:t xml:space="preserve">billion in cash, subject to certain adjustments, and approximately 540 million shares in Adevinta </w:t>
      </w:r>
    </w:p>
    <w:p w14:paraId="64304BF7" w14:textId="77777777" w:rsidR="009F6D8A" w:rsidRDefault="009F6D8A">
      <w:pPr>
        <w:jc w:val="center"/>
      </w:pPr>
    </w:p>
    <w:p w14:paraId="64304BF8" w14:textId="77777777" w:rsidR="009F6D8A" w:rsidRDefault="00C50974">
      <w:pPr>
        <w:jc w:val="center"/>
      </w:pPr>
      <w:r>
        <w:rPr>
          <w:rFonts w:ascii="Arial" w:eastAsia="宋体" w:hAnsi="Arial" w:cs="Arial"/>
          <w:color w:val="000000"/>
          <w:sz w:val="20"/>
          <w:szCs w:val="20"/>
        </w:rPr>
        <w:t>38</w:t>
      </w:r>
    </w:p>
    <w:p w14:paraId="64304BF9" w14:textId="77777777" w:rsidR="009F6D8A" w:rsidRDefault="00C50974">
      <w:r>
        <w:pict w14:anchorId="64305829">
          <v:rect id="_x0000_i1062" style="width:415.3pt;height:1.5pt" o:hralign="center" o:hrstd="t" o:hr="t" fillcolor="#a0a0a0" stroked="f"/>
        </w:pict>
      </w:r>
    </w:p>
    <w:p w14:paraId="64304BFA" w14:textId="77777777" w:rsidR="009F6D8A" w:rsidRDefault="009F6D8A"/>
    <w:p w14:paraId="64304BFB" w14:textId="77777777" w:rsidR="009F6D8A" w:rsidRDefault="00C50974">
      <w:pPr>
        <w:jc w:val="both"/>
      </w:pPr>
      <w:r>
        <w:rPr>
          <w:rFonts w:ascii="Arial" w:eastAsia="宋体" w:hAnsi="Arial" w:cs="Arial"/>
          <w:color w:val="000000"/>
          <w:sz w:val="20"/>
          <w:szCs w:val="20"/>
        </w:rPr>
        <w:t>which represent equity interest of 44%, comprised of approximately 33% of voting shares and 11% non-voting shares. Together, the total consideration received under the definitive agreement was valued at approximately $13.3 billion, based on the closing tra</w:t>
      </w:r>
      <w:r>
        <w:rPr>
          <w:rFonts w:ascii="Arial" w:eastAsia="宋体" w:hAnsi="Arial" w:cs="Arial"/>
          <w:color w:val="000000"/>
          <w:sz w:val="20"/>
          <w:szCs w:val="20"/>
        </w:rPr>
        <w:t>ding price of Adevinta’s outstanding shares on the Oslo Stock Exchange on June 24, 2021. The equity interest received is accounted for under the fair value option. We have classified the results of our Classifieds business as discontinued operations in our</w:t>
      </w:r>
      <w:r>
        <w:rPr>
          <w:rFonts w:ascii="Arial" w:eastAsia="宋体" w:hAnsi="Arial" w:cs="Arial"/>
          <w:color w:val="000000"/>
          <w:sz w:val="20"/>
          <w:szCs w:val="20"/>
        </w:rPr>
        <w:t xml:space="preserve"> condensed consolidated statement of income for the periods presented. Additionally, the related assets and liabilities associated with the discontinued operations are classified as discontinued operations in our condensed consolidated balance sheet. See “</w:t>
      </w:r>
      <w:r>
        <w:rPr>
          <w:rFonts w:ascii="Arial" w:eastAsia="宋体" w:hAnsi="Arial" w:cs="Arial"/>
          <w:color w:val="000000"/>
          <w:sz w:val="20"/>
          <w:szCs w:val="20"/>
        </w:rPr>
        <w:t xml:space="preserve">Note 3 – Discontinued Operations” in our condensed consolidated financial statements for additional information. </w:t>
      </w:r>
    </w:p>
    <w:p w14:paraId="64304BFC" w14:textId="77777777" w:rsidR="009F6D8A" w:rsidRDefault="009F6D8A">
      <w:pPr>
        <w:ind w:firstLine="540"/>
        <w:jc w:val="both"/>
      </w:pPr>
    </w:p>
    <w:p w14:paraId="64304BFD" w14:textId="77777777" w:rsidR="009F6D8A" w:rsidRDefault="00C50974">
      <w:pPr>
        <w:ind w:firstLine="540"/>
        <w:jc w:val="both"/>
      </w:pPr>
      <w:r>
        <w:rPr>
          <w:rFonts w:ascii="Arial" w:eastAsia="宋体" w:hAnsi="Arial" w:cs="Arial"/>
          <w:color w:val="000000"/>
          <w:sz w:val="20"/>
          <w:szCs w:val="20"/>
        </w:rPr>
        <w:t>On June 30, 2021, we entered into a securities purchase agreement with E-mart Inc. and one of its wholly owned subsidiaries (together, “Emart</w:t>
      </w:r>
      <w:r>
        <w:rPr>
          <w:rFonts w:ascii="Arial" w:eastAsia="宋体" w:hAnsi="Arial" w:cs="Arial"/>
          <w:color w:val="000000"/>
          <w:sz w:val="20"/>
          <w:szCs w:val="20"/>
        </w:rPr>
        <w:t>”), to sell 80.01% of the outstanding equity interests of eBay Korea LLC, a limited liability company incorporated under the laws of Korea and a wholly owned subsidiary of eBay KTA (“eBay Korea”), pursuant to the terms and conditions of the securities purc</w:t>
      </w:r>
      <w:r>
        <w:rPr>
          <w:rFonts w:ascii="Arial" w:eastAsia="宋体" w:hAnsi="Arial" w:cs="Arial"/>
          <w:color w:val="000000"/>
          <w:sz w:val="20"/>
          <w:szCs w:val="20"/>
        </w:rPr>
        <w:t>hase agreement, in exchange for KRW 3.44 trillion, or approximately $3.0 billion as of the agreement date, subject to certain adjustments specified for indebtedness, cash, working capital, transaction expenses and certain taxes. We will retain 19.99% of th</w:t>
      </w:r>
      <w:r>
        <w:rPr>
          <w:rFonts w:ascii="Arial" w:eastAsia="宋体" w:hAnsi="Arial" w:cs="Arial"/>
          <w:color w:val="000000"/>
          <w:sz w:val="20"/>
          <w:szCs w:val="20"/>
        </w:rPr>
        <w:t>e outstanding equity interests of eBay Korea. The transaction is expected to close within one year, subject to certain conditions, including receipt of regulatory approvals. As of the second quarter of 2021, we have classified the related assets and liabil</w:t>
      </w:r>
      <w:r>
        <w:rPr>
          <w:rFonts w:ascii="Arial" w:eastAsia="宋体" w:hAnsi="Arial" w:cs="Arial"/>
          <w:color w:val="000000"/>
          <w:sz w:val="20"/>
          <w:szCs w:val="20"/>
        </w:rPr>
        <w:t>ities associated with our eBay Korea business as held for sale in our condensed consolidated balance sheet. The results of our eBay Korea business have been presented as discontinued operations in our condensed consolidated statement of income for all peri</w:t>
      </w:r>
      <w:r>
        <w:rPr>
          <w:rFonts w:ascii="Arial" w:eastAsia="宋体" w:hAnsi="Arial" w:cs="Arial"/>
          <w:color w:val="000000"/>
          <w:sz w:val="20"/>
          <w:szCs w:val="20"/>
        </w:rPr>
        <w:t xml:space="preserve">ods presented as the transfer represents a strategic shift in our business that has a major effect on our operations and financial results. See “Note 3 – Discontinued Operations” for additional information. </w:t>
      </w:r>
    </w:p>
    <w:p w14:paraId="64304BFE" w14:textId="77777777" w:rsidR="009F6D8A" w:rsidRDefault="009F6D8A">
      <w:pPr>
        <w:ind w:firstLine="540"/>
        <w:jc w:val="both"/>
      </w:pPr>
    </w:p>
    <w:p w14:paraId="64304BFF" w14:textId="77777777" w:rsidR="009F6D8A" w:rsidRDefault="00C50974">
      <w:pPr>
        <w:ind w:firstLine="540"/>
        <w:jc w:val="both"/>
      </w:pPr>
      <w:r>
        <w:rPr>
          <w:rFonts w:ascii="Arial" w:eastAsia="宋体" w:hAnsi="Arial" w:cs="Arial"/>
          <w:color w:val="000000"/>
          <w:sz w:val="20"/>
          <w:szCs w:val="20"/>
        </w:rPr>
        <w:t>On July 14, 2021, we entered into a share purch</w:t>
      </w:r>
      <w:r>
        <w:rPr>
          <w:rFonts w:ascii="Arial" w:eastAsia="宋体" w:hAnsi="Arial" w:cs="Arial"/>
          <w:color w:val="000000"/>
          <w:sz w:val="20"/>
          <w:szCs w:val="20"/>
        </w:rPr>
        <w:t xml:space="preserve">ase agreement with Astinlux Finco S.à r.l. (“Permira”) to sell approximately 125 million of our voting shares in Adevinta for total consideration of $2.25 billion. The price represents an approximate 7% discount to the 10-day volume weighted average price </w:t>
      </w:r>
      <w:r>
        <w:rPr>
          <w:rFonts w:ascii="Arial" w:eastAsia="宋体" w:hAnsi="Arial" w:cs="Arial"/>
          <w:color w:val="000000"/>
          <w:sz w:val="20"/>
          <w:szCs w:val="20"/>
        </w:rPr>
        <w:t>(“VWAP”) of Adevinta shares as of July 12, 2021 and a 5% discount to the 30-day VWAP as of July 12, 2021. In addition, we granted Permira an option, exercisable within 30 days after the date of the purchase agreement, to purchase approximately 10 million a</w:t>
      </w:r>
      <w:r>
        <w:rPr>
          <w:rFonts w:ascii="Arial" w:eastAsia="宋体" w:hAnsi="Arial" w:cs="Arial"/>
          <w:color w:val="000000"/>
          <w:sz w:val="20"/>
          <w:szCs w:val="20"/>
        </w:rPr>
        <w:t>dditional voting shares for $180 million in consideration. On July 29, 2021, Permira exercised the option. At the close of both transactions, our ownership in Adevinta will be reduced to 33%, which satisfies our commitment to regulators. The transactions a</w:t>
      </w:r>
      <w:r>
        <w:rPr>
          <w:rFonts w:ascii="Arial" w:eastAsia="宋体" w:hAnsi="Arial" w:cs="Arial"/>
          <w:color w:val="000000"/>
          <w:sz w:val="20"/>
          <w:szCs w:val="20"/>
        </w:rPr>
        <w:t>re expected to close in the fourth quarter of 2021, subject to the receipt of required regulatory approvals.</w:t>
      </w:r>
    </w:p>
    <w:p w14:paraId="64304C00" w14:textId="77777777" w:rsidR="009F6D8A" w:rsidRDefault="009F6D8A">
      <w:pPr>
        <w:ind w:firstLine="540"/>
        <w:jc w:val="both"/>
      </w:pPr>
    </w:p>
    <w:p w14:paraId="64304C01" w14:textId="77777777" w:rsidR="009F6D8A" w:rsidRDefault="00C50974">
      <w:pPr>
        <w:jc w:val="both"/>
      </w:pPr>
      <w:r>
        <w:rPr>
          <w:rFonts w:ascii="Arial" w:eastAsia="宋体" w:hAnsi="Arial" w:cs="Arial"/>
          <w:b/>
          <w:bCs/>
          <w:color w:val="000000"/>
          <w:sz w:val="20"/>
          <w:szCs w:val="20"/>
        </w:rPr>
        <w:t>Presentation</w:t>
      </w:r>
    </w:p>
    <w:p w14:paraId="64304C02" w14:textId="77777777" w:rsidR="009F6D8A" w:rsidRDefault="009F6D8A">
      <w:pPr>
        <w:ind w:firstLine="540"/>
        <w:jc w:val="both"/>
      </w:pPr>
    </w:p>
    <w:p w14:paraId="64304C03" w14:textId="77777777" w:rsidR="009F6D8A" w:rsidRDefault="00C50974">
      <w:pPr>
        <w:ind w:firstLine="540"/>
        <w:jc w:val="both"/>
      </w:pPr>
      <w:r>
        <w:rPr>
          <w:rFonts w:ascii="Arial" w:eastAsia="宋体" w:hAnsi="Arial" w:cs="Arial"/>
          <w:color w:val="000000"/>
          <w:sz w:val="20"/>
          <w:szCs w:val="20"/>
        </w:rPr>
        <w:t>In addition to the corresponding measures under generally accepted accounting principles (“GAAP”), management uses non-GAAP measures</w:t>
      </w:r>
      <w:r>
        <w:rPr>
          <w:rFonts w:ascii="Arial" w:eastAsia="宋体" w:hAnsi="Arial" w:cs="Arial"/>
          <w:color w:val="000000"/>
          <w:sz w:val="20"/>
          <w:szCs w:val="20"/>
        </w:rPr>
        <w:t xml:space="preserve"> in reviewing our financial results. The foreign exchange neutral (“FX-Neutral”), or constant currency, net revenue amounts discussed below are non-GAAP financial measures and are not in accordance with, or an alternative to, measures prepared in accordanc</w:t>
      </w:r>
      <w:r>
        <w:rPr>
          <w:rFonts w:ascii="Arial" w:eastAsia="宋体" w:hAnsi="Arial" w:cs="Arial"/>
          <w:color w:val="000000"/>
          <w:sz w:val="20"/>
          <w:szCs w:val="20"/>
        </w:rPr>
        <w:t>e with GAAP. Accordingly, the FX-Neutral information appearing in the following discussion of our results of operations should be read in conjunction with the information provided below in “</w:t>
      </w:r>
      <w:r>
        <w:rPr>
          <w:rFonts w:ascii="Arial" w:eastAsia="宋体" w:hAnsi="Arial" w:cs="Arial"/>
          <w:i/>
          <w:iCs/>
          <w:color w:val="000000"/>
          <w:sz w:val="20"/>
          <w:szCs w:val="20"/>
        </w:rPr>
        <w:t>Non-GAAP Measures of Financial Performance</w:t>
      </w:r>
      <w:r>
        <w:rPr>
          <w:rFonts w:ascii="Arial" w:eastAsia="宋体" w:hAnsi="Arial" w:cs="Arial"/>
          <w:color w:val="000000"/>
          <w:sz w:val="20"/>
          <w:szCs w:val="20"/>
        </w:rPr>
        <w:t>,” which includes reconc</w:t>
      </w:r>
      <w:r>
        <w:rPr>
          <w:rFonts w:ascii="Arial" w:eastAsia="宋体" w:hAnsi="Arial" w:cs="Arial"/>
          <w:color w:val="000000"/>
          <w:sz w:val="20"/>
          <w:szCs w:val="20"/>
        </w:rPr>
        <w:t>iliations of FX-Neutral financial measures to the most directly comparable GAAP measures. We calculate the year-over-year impact of foreign currency movements using prior period foreign currency rates applied to current year transactional currency amounts.</w:t>
      </w:r>
      <w:r>
        <w:rPr>
          <w:rFonts w:ascii="Arial" w:eastAsia="宋体" w:hAnsi="Arial" w:cs="Arial"/>
          <w:color w:val="000000"/>
          <w:sz w:val="20"/>
          <w:szCs w:val="20"/>
        </w:rPr>
        <w:t xml:space="preserve"> </w:t>
      </w:r>
    </w:p>
    <w:p w14:paraId="64304C04" w14:textId="77777777" w:rsidR="009F6D8A" w:rsidRDefault="009F6D8A">
      <w:pPr>
        <w:ind w:firstLine="540"/>
        <w:jc w:val="both"/>
      </w:pPr>
    </w:p>
    <w:p w14:paraId="64304C05" w14:textId="77777777" w:rsidR="009F6D8A" w:rsidRDefault="00C50974">
      <w:pPr>
        <w:jc w:val="both"/>
      </w:pPr>
      <w:r>
        <w:rPr>
          <w:rFonts w:ascii="Arial" w:eastAsia="宋体" w:hAnsi="Arial" w:cs="Arial"/>
          <w:b/>
          <w:bCs/>
          <w:color w:val="000000"/>
          <w:sz w:val="20"/>
          <w:szCs w:val="20"/>
        </w:rPr>
        <w:t>Quarter Highlights</w:t>
      </w:r>
    </w:p>
    <w:p w14:paraId="64304C06" w14:textId="77777777" w:rsidR="009F6D8A" w:rsidRDefault="009F6D8A">
      <w:pPr>
        <w:ind w:firstLine="540"/>
        <w:jc w:val="both"/>
      </w:pPr>
    </w:p>
    <w:p w14:paraId="64304C07" w14:textId="77777777" w:rsidR="009F6D8A" w:rsidRDefault="00C50974">
      <w:pPr>
        <w:ind w:firstLine="540"/>
        <w:jc w:val="both"/>
      </w:pPr>
      <w:r>
        <w:rPr>
          <w:rFonts w:ascii="Arial" w:eastAsia="宋体" w:hAnsi="Arial" w:cs="Arial"/>
          <w:color w:val="000000"/>
          <w:sz w:val="20"/>
          <w:szCs w:val="20"/>
        </w:rPr>
        <w:t xml:space="preserve">Net revenues increased 14% to $2.7 billion during the three months ended June 30, 2021 compared to the same period in 2020. FX-Neutral net revenue increased 11% during the three months ended June 30, 2021 compared to the same period </w:t>
      </w:r>
      <w:r>
        <w:rPr>
          <w:rFonts w:ascii="Arial" w:eastAsia="宋体" w:hAnsi="Arial" w:cs="Arial"/>
          <w:color w:val="000000"/>
          <w:sz w:val="20"/>
          <w:szCs w:val="20"/>
        </w:rPr>
        <w:t>in 2020. Operating margin decreased to 27.4% for the three months ended June 30, 2021 compared to 32.7% for the same period in 2020. Diluted earnings per share from continuing operations decreased to $0.43 during the three months ended June 30, 2021 compar</w:t>
      </w:r>
      <w:r>
        <w:rPr>
          <w:rFonts w:ascii="Arial" w:eastAsia="宋体" w:hAnsi="Arial" w:cs="Arial"/>
          <w:color w:val="000000"/>
          <w:sz w:val="20"/>
          <w:szCs w:val="20"/>
        </w:rPr>
        <w:t xml:space="preserve">ed to $0.97 in the same period in 2020. The transfer of our Classifieds business was completed for $13.3 billion of consideration which comprised of $2.5 billion in proceeds and shares of Adevinta valued at $10.8 billion based on the closing trading price </w:t>
      </w:r>
      <w:r>
        <w:rPr>
          <w:rFonts w:ascii="Arial" w:eastAsia="宋体" w:hAnsi="Arial" w:cs="Arial"/>
          <w:color w:val="000000"/>
          <w:sz w:val="20"/>
          <w:szCs w:val="20"/>
        </w:rPr>
        <w:t xml:space="preserve">of </w:t>
      </w:r>
    </w:p>
    <w:p w14:paraId="64304C08" w14:textId="77777777" w:rsidR="009F6D8A" w:rsidRDefault="009F6D8A">
      <w:pPr>
        <w:jc w:val="center"/>
      </w:pPr>
    </w:p>
    <w:p w14:paraId="64304C09" w14:textId="77777777" w:rsidR="009F6D8A" w:rsidRDefault="00C50974">
      <w:pPr>
        <w:jc w:val="center"/>
      </w:pPr>
      <w:r>
        <w:rPr>
          <w:rFonts w:ascii="Arial" w:eastAsia="宋体" w:hAnsi="Arial" w:cs="Arial"/>
          <w:color w:val="000000"/>
          <w:sz w:val="20"/>
          <w:szCs w:val="20"/>
        </w:rPr>
        <w:t>39</w:t>
      </w:r>
    </w:p>
    <w:p w14:paraId="64304C0A" w14:textId="77777777" w:rsidR="009F6D8A" w:rsidRDefault="00C50974">
      <w:r>
        <w:pict w14:anchorId="6430582A">
          <v:rect id="_x0000_i1063" style="width:415.3pt;height:1.5pt" o:hralign="center" o:hrstd="t" o:hr="t" fillcolor="#a0a0a0" stroked="f"/>
        </w:pict>
      </w:r>
    </w:p>
    <w:p w14:paraId="64304C0B" w14:textId="77777777" w:rsidR="009F6D8A" w:rsidRDefault="009F6D8A"/>
    <w:p w14:paraId="64304C0C" w14:textId="77777777" w:rsidR="009F6D8A" w:rsidRDefault="00C50974">
      <w:pPr>
        <w:jc w:val="both"/>
      </w:pPr>
      <w:r>
        <w:rPr>
          <w:rFonts w:ascii="Arial" w:eastAsia="宋体" w:hAnsi="Arial" w:cs="Arial"/>
          <w:color w:val="000000"/>
          <w:sz w:val="20"/>
          <w:szCs w:val="20"/>
        </w:rPr>
        <w:t>Adevinta’s outstanding shares on the Oslo Stock Exchange on June 24, 2021, which was recorded within discontinued operations.</w:t>
      </w:r>
    </w:p>
    <w:p w14:paraId="64304C0D" w14:textId="77777777" w:rsidR="009F6D8A" w:rsidRDefault="009F6D8A">
      <w:pPr>
        <w:ind w:firstLine="540"/>
        <w:jc w:val="both"/>
      </w:pPr>
    </w:p>
    <w:p w14:paraId="64304C0E" w14:textId="77777777" w:rsidR="009F6D8A" w:rsidRDefault="00C50974">
      <w:pPr>
        <w:ind w:firstLine="540"/>
        <w:jc w:val="both"/>
      </w:pPr>
      <w:r>
        <w:rPr>
          <w:rFonts w:ascii="Arial" w:eastAsia="宋体" w:hAnsi="Arial" w:cs="Arial"/>
          <w:color w:val="000000"/>
          <w:sz w:val="20"/>
          <w:szCs w:val="20"/>
        </w:rPr>
        <w:t>We generated cash flow from continuing operating activities of $1.0 billion during the three months ended June 30, 202</w:t>
      </w:r>
      <w:r>
        <w:rPr>
          <w:rFonts w:ascii="Arial" w:eastAsia="宋体" w:hAnsi="Arial" w:cs="Arial"/>
          <w:color w:val="000000"/>
          <w:sz w:val="20"/>
          <w:szCs w:val="20"/>
        </w:rPr>
        <w:t xml:space="preserve">1 compared to $951 million in the same period in 2020. </w:t>
      </w:r>
    </w:p>
    <w:p w14:paraId="64304C0F" w14:textId="77777777" w:rsidR="009F6D8A" w:rsidRDefault="009F6D8A">
      <w:pPr>
        <w:ind w:firstLine="540"/>
        <w:jc w:val="both"/>
      </w:pPr>
    </w:p>
    <w:p w14:paraId="64304C10" w14:textId="77777777" w:rsidR="009F6D8A" w:rsidRDefault="00C50974">
      <w:pPr>
        <w:ind w:firstLine="540"/>
        <w:jc w:val="both"/>
      </w:pPr>
      <w:r>
        <w:rPr>
          <w:rFonts w:ascii="Arial" w:eastAsia="宋体" w:hAnsi="Arial" w:cs="Arial"/>
          <w:color w:val="000000"/>
          <w:sz w:val="20"/>
          <w:szCs w:val="20"/>
        </w:rPr>
        <w:t xml:space="preserve">During the three months ended June 30, 2021, we issued $2.5 billion of debt, repurchased $1.5 billion of common stock, repaid $400 million of commercial paper borrowing and paid $121 million in cash </w:t>
      </w:r>
      <w:r>
        <w:rPr>
          <w:rFonts w:ascii="Arial" w:eastAsia="宋体" w:hAnsi="Arial" w:cs="Arial"/>
          <w:color w:val="000000"/>
          <w:sz w:val="20"/>
          <w:szCs w:val="20"/>
        </w:rPr>
        <w:t xml:space="preserve">dividends. </w:t>
      </w:r>
    </w:p>
    <w:p w14:paraId="64304C11" w14:textId="77777777" w:rsidR="009F6D8A" w:rsidRDefault="009F6D8A">
      <w:pPr>
        <w:ind w:firstLine="540"/>
        <w:jc w:val="both"/>
      </w:pPr>
    </w:p>
    <w:p w14:paraId="64304C12" w14:textId="77777777" w:rsidR="009F6D8A" w:rsidRDefault="00C50974">
      <w:pPr>
        <w:jc w:val="both"/>
      </w:pPr>
      <w:r>
        <w:rPr>
          <w:rFonts w:ascii="Arial" w:eastAsia="宋体" w:hAnsi="Arial" w:cs="Arial"/>
          <w:b/>
          <w:bCs/>
          <w:color w:val="000000"/>
          <w:sz w:val="20"/>
          <w:szCs w:val="20"/>
        </w:rPr>
        <w:t>RESULTS OF OPERATIONS</w:t>
      </w:r>
    </w:p>
    <w:p w14:paraId="64304C13" w14:textId="77777777" w:rsidR="009F6D8A" w:rsidRDefault="009F6D8A">
      <w:pPr>
        <w:ind w:firstLine="540"/>
        <w:jc w:val="both"/>
      </w:pPr>
    </w:p>
    <w:p w14:paraId="64304C14" w14:textId="77777777" w:rsidR="009F6D8A" w:rsidRDefault="00C50974">
      <w:pPr>
        <w:ind w:firstLine="540"/>
        <w:jc w:val="both"/>
      </w:pPr>
      <w:r>
        <w:rPr>
          <w:rFonts w:ascii="Arial" w:eastAsia="宋体" w:hAnsi="Arial" w:cs="Arial"/>
          <w:color w:val="000000"/>
          <w:sz w:val="20"/>
          <w:szCs w:val="20"/>
        </w:rPr>
        <w:t>We have one reportable segment to reflect the way management and our chief operating decision maker (“CODM”) review and assess performance of the business. Our reportable segment is Marketplace, which includes our online marketplace located at www.ebay.com</w:t>
      </w:r>
      <w:r>
        <w:rPr>
          <w:rFonts w:ascii="Arial" w:eastAsia="宋体" w:hAnsi="Arial" w:cs="Arial"/>
          <w:color w:val="000000"/>
          <w:sz w:val="20"/>
          <w:szCs w:val="20"/>
        </w:rPr>
        <w:t>, its localized counterparts and the eBay suite of mobile apps. The accounting policies of our segment are the same as those described in “Note 1 – The Company and Summary of Significant Accounting Policies” in our condensed consolidated financial statemen</w:t>
      </w:r>
      <w:r>
        <w:rPr>
          <w:rFonts w:ascii="Arial" w:eastAsia="宋体" w:hAnsi="Arial" w:cs="Arial"/>
          <w:color w:val="000000"/>
          <w:sz w:val="20"/>
          <w:szCs w:val="20"/>
        </w:rPr>
        <w:t xml:space="preserve">ts included elsewhere in this report. Prior period segment information has been reclassified to conform to the current period segment presentation. </w:t>
      </w:r>
    </w:p>
    <w:p w14:paraId="64304C15" w14:textId="77777777" w:rsidR="009F6D8A" w:rsidRDefault="009F6D8A">
      <w:pPr>
        <w:jc w:val="both"/>
      </w:pPr>
    </w:p>
    <w:p w14:paraId="64304C16" w14:textId="77777777" w:rsidR="009F6D8A" w:rsidRDefault="00C50974">
      <w:pPr>
        <w:jc w:val="both"/>
      </w:pPr>
      <w:r>
        <w:rPr>
          <w:rFonts w:ascii="Arial" w:eastAsia="宋体" w:hAnsi="Arial" w:cs="Arial"/>
          <w:b/>
          <w:bCs/>
          <w:color w:val="000000"/>
          <w:sz w:val="20"/>
          <w:szCs w:val="20"/>
        </w:rPr>
        <w:t>Net Revenues</w:t>
      </w:r>
    </w:p>
    <w:p w14:paraId="64304C17" w14:textId="77777777" w:rsidR="009F6D8A" w:rsidRDefault="009F6D8A">
      <w:pPr>
        <w:ind w:firstLine="270"/>
        <w:jc w:val="both"/>
      </w:pPr>
    </w:p>
    <w:p w14:paraId="64304C18" w14:textId="77777777" w:rsidR="009F6D8A" w:rsidRDefault="00C50974">
      <w:pPr>
        <w:ind w:firstLine="270"/>
        <w:jc w:val="both"/>
      </w:pPr>
      <w:r>
        <w:rPr>
          <w:rFonts w:ascii="Arial" w:eastAsia="宋体" w:hAnsi="Arial" w:cs="Arial"/>
          <w:b/>
          <w:bCs/>
          <w:color w:val="000000"/>
          <w:sz w:val="20"/>
          <w:szCs w:val="20"/>
        </w:rPr>
        <w:t>Seasonality</w:t>
      </w:r>
    </w:p>
    <w:p w14:paraId="64304C19" w14:textId="77777777" w:rsidR="009F6D8A" w:rsidRDefault="009F6D8A">
      <w:pPr>
        <w:ind w:hanging="90"/>
        <w:jc w:val="both"/>
      </w:pPr>
    </w:p>
    <w:p w14:paraId="64304C1A" w14:textId="77777777" w:rsidR="009F6D8A" w:rsidRDefault="00C50974">
      <w:pPr>
        <w:ind w:firstLine="540"/>
        <w:jc w:val="both"/>
      </w:pPr>
      <w:r>
        <w:rPr>
          <w:rFonts w:ascii="Arial" w:eastAsia="宋体" w:hAnsi="Arial" w:cs="Arial"/>
          <w:color w:val="000000"/>
          <w:sz w:val="20"/>
          <w:szCs w:val="20"/>
        </w:rPr>
        <w:t>We expect transaction activity patterns on our platforms to mirror general cons</w:t>
      </w:r>
      <w:r>
        <w:rPr>
          <w:rFonts w:ascii="Arial" w:eastAsia="宋体" w:hAnsi="Arial" w:cs="Arial"/>
          <w:color w:val="000000"/>
          <w:sz w:val="20"/>
          <w:szCs w:val="20"/>
        </w:rPr>
        <w:t>umer buying patterns and expect that these trends will continue. As we introduce new products and platforms, such as managed payments, we expect net revenues to fluctuate. In addition, macroeconomic conditions, such as the ongoing COVID-19 pandemic, may al</w:t>
      </w:r>
      <w:r>
        <w:rPr>
          <w:rFonts w:ascii="Arial" w:eastAsia="宋体" w:hAnsi="Arial" w:cs="Arial"/>
          <w:color w:val="000000"/>
          <w:sz w:val="20"/>
          <w:szCs w:val="20"/>
        </w:rPr>
        <w:t>so contribute to fluctuations in revenues and margins. The following table sets forth sequential quarterly movements of our total net revenues for the periods presented (in millions, except percentages):</w:t>
      </w:r>
    </w:p>
    <w:tbl>
      <w:tblPr>
        <w:tblW w:w="4993" w:type="pct"/>
        <w:tblCellMar>
          <w:top w:w="15" w:type="dxa"/>
          <w:left w:w="15" w:type="dxa"/>
          <w:bottom w:w="15" w:type="dxa"/>
          <w:right w:w="15" w:type="dxa"/>
        </w:tblCellMar>
        <w:tblLook w:val="04A0" w:firstRow="1" w:lastRow="0" w:firstColumn="1" w:lastColumn="0" w:noHBand="0" w:noVBand="1"/>
      </w:tblPr>
      <w:tblGrid>
        <w:gridCol w:w="38"/>
        <w:gridCol w:w="3652"/>
        <w:gridCol w:w="36"/>
        <w:gridCol w:w="109"/>
        <w:gridCol w:w="867"/>
        <w:gridCol w:w="163"/>
        <w:gridCol w:w="36"/>
        <w:gridCol w:w="36"/>
        <w:gridCol w:w="36"/>
        <w:gridCol w:w="109"/>
        <w:gridCol w:w="772"/>
        <w:gridCol w:w="163"/>
        <w:gridCol w:w="36"/>
        <w:gridCol w:w="36"/>
        <w:gridCol w:w="36"/>
        <w:gridCol w:w="110"/>
        <w:gridCol w:w="772"/>
        <w:gridCol w:w="163"/>
        <w:gridCol w:w="36"/>
        <w:gridCol w:w="36"/>
        <w:gridCol w:w="36"/>
        <w:gridCol w:w="109"/>
        <w:gridCol w:w="774"/>
        <w:gridCol w:w="163"/>
      </w:tblGrid>
      <w:tr w:rsidR="009F6D8A" w14:paraId="64304C33" w14:textId="77777777">
        <w:tc>
          <w:tcPr>
            <w:tcW w:w="50" w:type="pct"/>
            <w:shd w:val="clear" w:color="auto" w:fill="auto"/>
            <w:vAlign w:val="bottom"/>
          </w:tcPr>
          <w:p w14:paraId="64304C1B" w14:textId="77777777" w:rsidR="009F6D8A" w:rsidRDefault="009F6D8A">
            <w:pPr>
              <w:rPr>
                <w:rFonts w:ascii="宋体"/>
              </w:rPr>
            </w:pPr>
          </w:p>
        </w:tc>
        <w:tc>
          <w:tcPr>
            <w:tcW w:w="2287" w:type="pct"/>
            <w:shd w:val="clear" w:color="auto" w:fill="auto"/>
            <w:vAlign w:val="bottom"/>
          </w:tcPr>
          <w:p w14:paraId="64304C1C" w14:textId="77777777" w:rsidR="009F6D8A" w:rsidRDefault="009F6D8A">
            <w:pPr>
              <w:rPr>
                <w:rFonts w:ascii="宋体"/>
              </w:rPr>
            </w:pPr>
          </w:p>
        </w:tc>
        <w:tc>
          <w:tcPr>
            <w:tcW w:w="5" w:type="pct"/>
            <w:shd w:val="clear" w:color="auto" w:fill="auto"/>
            <w:vAlign w:val="bottom"/>
          </w:tcPr>
          <w:p w14:paraId="64304C1D" w14:textId="77777777" w:rsidR="009F6D8A" w:rsidRDefault="009F6D8A">
            <w:pPr>
              <w:rPr>
                <w:rFonts w:ascii="宋体"/>
              </w:rPr>
            </w:pPr>
          </w:p>
        </w:tc>
        <w:tc>
          <w:tcPr>
            <w:tcW w:w="50" w:type="pct"/>
            <w:shd w:val="clear" w:color="auto" w:fill="auto"/>
            <w:vAlign w:val="bottom"/>
          </w:tcPr>
          <w:p w14:paraId="64304C1E" w14:textId="77777777" w:rsidR="009F6D8A" w:rsidRDefault="009F6D8A">
            <w:pPr>
              <w:rPr>
                <w:rFonts w:ascii="宋体"/>
              </w:rPr>
            </w:pPr>
          </w:p>
        </w:tc>
        <w:tc>
          <w:tcPr>
            <w:tcW w:w="581" w:type="pct"/>
            <w:shd w:val="clear" w:color="auto" w:fill="auto"/>
            <w:vAlign w:val="bottom"/>
          </w:tcPr>
          <w:p w14:paraId="64304C1F" w14:textId="77777777" w:rsidR="009F6D8A" w:rsidRDefault="009F6D8A">
            <w:pPr>
              <w:rPr>
                <w:rFonts w:ascii="宋体"/>
              </w:rPr>
            </w:pPr>
          </w:p>
        </w:tc>
        <w:tc>
          <w:tcPr>
            <w:tcW w:w="5" w:type="pct"/>
            <w:shd w:val="clear" w:color="auto" w:fill="auto"/>
            <w:vAlign w:val="bottom"/>
          </w:tcPr>
          <w:p w14:paraId="64304C20" w14:textId="77777777" w:rsidR="009F6D8A" w:rsidRDefault="009F6D8A">
            <w:pPr>
              <w:rPr>
                <w:rFonts w:ascii="宋体"/>
              </w:rPr>
            </w:pPr>
          </w:p>
        </w:tc>
        <w:tc>
          <w:tcPr>
            <w:tcW w:w="5" w:type="pct"/>
            <w:shd w:val="clear" w:color="auto" w:fill="auto"/>
            <w:vAlign w:val="bottom"/>
          </w:tcPr>
          <w:p w14:paraId="64304C21" w14:textId="77777777" w:rsidR="009F6D8A" w:rsidRDefault="009F6D8A">
            <w:pPr>
              <w:rPr>
                <w:rFonts w:ascii="宋体"/>
              </w:rPr>
            </w:pPr>
          </w:p>
        </w:tc>
        <w:tc>
          <w:tcPr>
            <w:tcW w:w="26" w:type="pct"/>
            <w:shd w:val="clear" w:color="auto" w:fill="auto"/>
            <w:vAlign w:val="bottom"/>
          </w:tcPr>
          <w:p w14:paraId="64304C22" w14:textId="77777777" w:rsidR="009F6D8A" w:rsidRDefault="009F6D8A">
            <w:pPr>
              <w:rPr>
                <w:rFonts w:ascii="宋体"/>
              </w:rPr>
            </w:pPr>
          </w:p>
        </w:tc>
        <w:tc>
          <w:tcPr>
            <w:tcW w:w="5" w:type="pct"/>
            <w:shd w:val="clear" w:color="auto" w:fill="auto"/>
            <w:vAlign w:val="bottom"/>
          </w:tcPr>
          <w:p w14:paraId="64304C23" w14:textId="77777777" w:rsidR="009F6D8A" w:rsidRDefault="009F6D8A">
            <w:pPr>
              <w:rPr>
                <w:rFonts w:ascii="宋体"/>
              </w:rPr>
            </w:pPr>
          </w:p>
        </w:tc>
        <w:tc>
          <w:tcPr>
            <w:tcW w:w="50" w:type="pct"/>
            <w:shd w:val="clear" w:color="auto" w:fill="auto"/>
            <w:vAlign w:val="bottom"/>
          </w:tcPr>
          <w:p w14:paraId="64304C24" w14:textId="77777777" w:rsidR="009F6D8A" w:rsidRDefault="009F6D8A">
            <w:pPr>
              <w:rPr>
                <w:rFonts w:ascii="宋体"/>
              </w:rPr>
            </w:pPr>
          </w:p>
        </w:tc>
        <w:tc>
          <w:tcPr>
            <w:tcW w:w="581" w:type="pct"/>
            <w:shd w:val="clear" w:color="auto" w:fill="auto"/>
            <w:vAlign w:val="bottom"/>
          </w:tcPr>
          <w:p w14:paraId="64304C25" w14:textId="77777777" w:rsidR="009F6D8A" w:rsidRDefault="009F6D8A">
            <w:pPr>
              <w:rPr>
                <w:rFonts w:ascii="宋体"/>
              </w:rPr>
            </w:pPr>
          </w:p>
        </w:tc>
        <w:tc>
          <w:tcPr>
            <w:tcW w:w="5" w:type="pct"/>
            <w:shd w:val="clear" w:color="auto" w:fill="auto"/>
            <w:vAlign w:val="bottom"/>
          </w:tcPr>
          <w:p w14:paraId="64304C26" w14:textId="77777777" w:rsidR="009F6D8A" w:rsidRDefault="009F6D8A">
            <w:pPr>
              <w:rPr>
                <w:rFonts w:ascii="宋体"/>
              </w:rPr>
            </w:pPr>
          </w:p>
        </w:tc>
        <w:tc>
          <w:tcPr>
            <w:tcW w:w="5" w:type="pct"/>
            <w:shd w:val="clear" w:color="auto" w:fill="auto"/>
            <w:vAlign w:val="bottom"/>
          </w:tcPr>
          <w:p w14:paraId="64304C27" w14:textId="77777777" w:rsidR="009F6D8A" w:rsidRDefault="009F6D8A">
            <w:pPr>
              <w:rPr>
                <w:rFonts w:ascii="宋体"/>
              </w:rPr>
            </w:pPr>
          </w:p>
        </w:tc>
        <w:tc>
          <w:tcPr>
            <w:tcW w:w="26" w:type="pct"/>
            <w:shd w:val="clear" w:color="auto" w:fill="auto"/>
            <w:vAlign w:val="bottom"/>
          </w:tcPr>
          <w:p w14:paraId="64304C28" w14:textId="77777777" w:rsidR="009F6D8A" w:rsidRDefault="009F6D8A">
            <w:pPr>
              <w:rPr>
                <w:rFonts w:ascii="宋体"/>
              </w:rPr>
            </w:pPr>
          </w:p>
        </w:tc>
        <w:tc>
          <w:tcPr>
            <w:tcW w:w="5" w:type="pct"/>
            <w:shd w:val="clear" w:color="auto" w:fill="auto"/>
            <w:vAlign w:val="bottom"/>
          </w:tcPr>
          <w:p w14:paraId="64304C29" w14:textId="77777777" w:rsidR="009F6D8A" w:rsidRDefault="009F6D8A">
            <w:pPr>
              <w:rPr>
                <w:rFonts w:ascii="宋体"/>
              </w:rPr>
            </w:pPr>
          </w:p>
        </w:tc>
        <w:tc>
          <w:tcPr>
            <w:tcW w:w="50" w:type="pct"/>
            <w:shd w:val="clear" w:color="auto" w:fill="auto"/>
            <w:vAlign w:val="bottom"/>
          </w:tcPr>
          <w:p w14:paraId="64304C2A" w14:textId="77777777" w:rsidR="009F6D8A" w:rsidRDefault="009F6D8A">
            <w:pPr>
              <w:rPr>
                <w:rFonts w:ascii="宋体"/>
              </w:rPr>
            </w:pPr>
          </w:p>
        </w:tc>
        <w:tc>
          <w:tcPr>
            <w:tcW w:w="581" w:type="pct"/>
            <w:shd w:val="clear" w:color="auto" w:fill="auto"/>
            <w:vAlign w:val="bottom"/>
          </w:tcPr>
          <w:p w14:paraId="64304C2B" w14:textId="77777777" w:rsidR="009F6D8A" w:rsidRDefault="009F6D8A">
            <w:pPr>
              <w:rPr>
                <w:rFonts w:ascii="宋体"/>
              </w:rPr>
            </w:pPr>
          </w:p>
        </w:tc>
        <w:tc>
          <w:tcPr>
            <w:tcW w:w="5" w:type="pct"/>
            <w:shd w:val="clear" w:color="auto" w:fill="auto"/>
            <w:vAlign w:val="bottom"/>
          </w:tcPr>
          <w:p w14:paraId="64304C2C" w14:textId="77777777" w:rsidR="009F6D8A" w:rsidRDefault="009F6D8A">
            <w:pPr>
              <w:rPr>
                <w:rFonts w:ascii="宋体"/>
              </w:rPr>
            </w:pPr>
          </w:p>
        </w:tc>
        <w:tc>
          <w:tcPr>
            <w:tcW w:w="5" w:type="pct"/>
            <w:shd w:val="clear" w:color="auto" w:fill="auto"/>
            <w:vAlign w:val="bottom"/>
          </w:tcPr>
          <w:p w14:paraId="64304C2D" w14:textId="77777777" w:rsidR="009F6D8A" w:rsidRDefault="009F6D8A">
            <w:pPr>
              <w:rPr>
                <w:rFonts w:ascii="宋体"/>
              </w:rPr>
            </w:pPr>
          </w:p>
        </w:tc>
        <w:tc>
          <w:tcPr>
            <w:tcW w:w="26" w:type="pct"/>
            <w:shd w:val="clear" w:color="auto" w:fill="auto"/>
            <w:vAlign w:val="bottom"/>
          </w:tcPr>
          <w:p w14:paraId="64304C2E" w14:textId="77777777" w:rsidR="009F6D8A" w:rsidRDefault="009F6D8A">
            <w:pPr>
              <w:rPr>
                <w:rFonts w:ascii="宋体"/>
              </w:rPr>
            </w:pPr>
          </w:p>
        </w:tc>
        <w:tc>
          <w:tcPr>
            <w:tcW w:w="5" w:type="pct"/>
            <w:shd w:val="clear" w:color="auto" w:fill="auto"/>
            <w:vAlign w:val="bottom"/>
          </w:tcPr>
          <w:p w14:paraId="64304C2F" w14:textId="77777777" w:rsidR="009F6D8A" w:rsidRDefault="009F6D8A">
            <w:pPr>
              <w:rPr>
                <w:rFonts w:ascii="宋体"/>
              </w:rPr>
            </w:pPr>
          </w:p>
        </w:tc>
        <w:tc>
          <w:tcPr>
            <w:tcW w:w="50" w:type="pct"/>
            <w:shd w:val="clear" w:color="auto" w:fill="auto"/>
            <w:vAlign w:val="bottom"/>
          </w:tcPr>
          <w:p w14:paraId="64304C30" w14:textId="77777777" w:rsidR="009F6D8A" w:rsidRDefault="009F6D8A">
            <w:pPr>
              <w:rPr>
                <w:rFonts w:ascii="宋体"/>
              </w:rPr>
            </w:pPr>
          </w:p>
        </w:tc>
        <w:tc>
          <w:tcPr>
            <w:tcW w:w="582" w:type="pct"/>
            <w:shd w:val="clear" w:color="auto" w:fill="auto"/>
            <w:vAlign w:val="bottom"/>
          </w:tcPr>
          <w:p w14:paraId="64304C31" w14:textId="77777777" w:rsidR="009F6D8A" w:rsidRDefault="009F6D8A">
            <w:pPr>
              <w:rPr>
                <w:rFonts w:ascii="宋体"/>
              </w:rPr>
            </w:pPr>
          </w:p>
        </w:tc>
        <w:tc>
          <w:tcPr>
            <w:tcW w:w="5" w:type="pct"/>
            <w:shd w:val="clear" w:color="auto" w:fill="auto"/>
            <w:vAlign w:val="bottom"/>
          </w:tcPr>
          <w:p w14:paraId="64304C32" w14:textId="77777777" w:rsidR="009F6D8A" w:rsidRDefault="009F6D8A">
            <w:pPr>
              <w:rPr>
                <w:rFonts w:ascii="宋体"/>
              </w:rPr>
            </w:pPr>
          </w:p>
        </w:tc>
      </w:tr>
      <w:tr w:rsidR="009F6D8A" w14:paraId="64304C36" w14:textId="77777777">
        <w:tc>
          <w:tcPr>
            <w:tcW w:w="0" w:type="auto"/>
            <w:gridSpan w:val="3"/>
            <w:shd w:val="clear" w:color="auto" w:fill="auto"/>
            <w:tcMar>
              <w:top w:w="40" w:type="dxa"/>
              <w:left w:w="20" w:type="dxa"/>
              <w:bottom w:w="40" w:type="dxa"/>
              <w:right w:w="20" w:type="dxa"/>
            </w:tcMar>
            <w:vAlign w:val="bottom"/>
          </w:tcPr>
          <w:p w14:paraId="64304C34" w14:textId="77777777" w:rsidR="009F6D8A" w:rsidRDefault="00C50974">
            <w:pPr>
              <w:textAlignment w:val="bottom"/>
            </w:pPr>
            <w:r>
              <w:rPr>
                <w:rFonts w:ascii="Arial" w:eastAsia="宋体" w:hAnsi="Arial" w:cs="Arial"/>
                <w:color w:val="000000"/>
                <w:sz w:val="14"/>
                <w:szCs w:val="14"/>
              </w:rPr>
              <w:t> </w:t>
            </w:r>
          </w:p>
        </w:tc>
        <w:tc>
          <w:tcPr>
            <w:tcW w:w="0" w:type="auto"/>
            <w:gridSpan w:val="21"/>
            <w:shd w:val="clear" w:color="auto" w:fill="auto"/>
            <w:tcMar>
              <w:top w:w="40" w:type="dxa"/>
              <w:left w:w="20" w:type="dxa"/>
              <w:bottom w:w="40" w:type="dxa"/>
              <w:right w:w="20" w:type="dxa"/>
            </w:tcMar>
            <w:vAlign w:val="bottom"/>
          </w:tcPr>
          <w:p w14:paraId="64304C35" w14:textId="77777777" w:rsidR="009F6D8A" w:rsidRDefault="00C50974">
            <w:pPr>
              <w:jc w:val="center"/>
              <w:textAlignment w:val="bottom"/>
            </w:pPr>
            <w:r>
              <w:rPr>
                <w:rFonts w:ascii="Arial" w:eastAsia="宋体" w:hAnsi="Arial" w:cs="Arial"/>
                <w:b/>
                <w:bCs/>
                <w:color w:val="000000"/>
                <w:sz w:val="14"/>
                <w:szCs w:val="14"/>
              </w:rPr>
              <w:t>Quarter Ended</w:t>
            </w:r>
          </w:p>
        </w:tc>
      </w:tr>
      <w:tr w:rsidR="009F6D8A" w14:paraId="64304C3F" w14:textId="77777777">
        <w:tc>
          <w:tcPr>
            <w:tcW w:w="0" w:type="auto"/>
            <w:gridSpan w:val="3"/>
            <w:shd w:val="clear" w:color="auto" w:fill="auto"/>
            <w:tcMar>
              <w:top w:w="40" w:type="dxa"/>
              <w:left w:w="20" w:type="dxa"/>
              <w:bottom w:w="40" w:type="dxa"/>
              <w:right w:w="20" w:type="dxa"/>
            </w:tcMar>
            <w:vAlign w:val="bottom"/>
          </w:tcPr>
          <w:p w14:paraId="64304C37" w14:textId="77777777" w:rsidR="009F6D8A" w:rsidRDefault="00C50974">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C38" w14:textId="77777777" w:rsidR="009F6D8A" w:rsidRDefault="00C50974">
            <w:pPr>
              <w:jc w:val="center"/>
              <w:textAlignment w:val="bottom"/>
            </w:pPr>
            <w:r>
              <w:rPr>
                <w:rFonts w:ascii="Arial" w:eastAsia="宋体" w:hAnsi="Arial" w:cs="Arial"/>
                <w:b/>
                <w:bCs/>
                <w:color w:val="000000"/>
                <w:sz w:val="14"/>
                <w:szCs w:val="14"/>
              </w:rPr>
              <w:t>March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C39"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C3A" w14:textId="77777777" w:rsidR="009F6D8A" w:rsidRDefault="00C50974">
            <w:pPr>
              <w:jc w:val="center"/>
              <w:textAlignment w:val="bottom"/>
            </w:pPr>
            <w:r>
              <w:rPr>
                <w:rFonts w:ascii="Arial" w:eastAsia="宋体" w:hAnsi="Arial" w:cs="Arial"/>
                <w:b/>
                <w:bCs/>
                <w:color w:val="000000"/>
                <w:sz w:val="14"/>
                <w:szCs w:val="14"/>
              </w:rPr>
              <w:t>June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C3B"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C3C" w14:textId="77777777" w:rsidR="009F6D8A" w:rsidRDefault="00C50974">
            <w:pPr>
              <w:jc w:val="center"/>
              <w:textAlignment w:val="bottom"/>
            </w:pPr>
            <w:r>
              <w:rPr>
                <w:rFonts w:ascii="Arial" w:eastAsia="宋体" w:hAnsi="Arial" w:cs="Arial"/>
                <w:b/>
                <w:bCs/>
                <w:color w:val="000000"/>
                <w:sz w:val="14"/>
                <w:szCs w:val="14"/>
              </w:rPr>
              <w:t>September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C3D"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C3E" w14:textId="77777777" w:rsidR="009F6D8A" w:rsidRDefault="00C50974">
            <w:pPr>
              <w:jc w:val="center"/>
              <w:textAlignment w:val="bottom"/>
            </w:pPr>
            <w:r>
              <w:rPr>
                <w:rFonts w:ascii="Arial" w:eastAsia="宋体" w:hAnsi="Arial" w:cs="Arial"/>
                <w:b/>
                <w:bCs/>
                <w:color w:val="000000"/>
                <w:sz w:val="14"/>
                <w:szCs w:val="14"/>
              </w:rPr>
              <w:t>December 31</w:t>
            </w:r>
          </w:p>
        </w:tc>
      </w:tr>
      <w:tr w:rsidR="009F6D8A" w14:paraId="64304C48" w14:textId="77777777">
        <w:tc>
          <w:tcPr>
            <w:tcW w:w="0" w:type="auto"/>
            <w:gridSpan w:val="3"/>
            <w:shd w:val="clear" w:color="auto" w:fill="E1E1E1"/>
            <w:tcMar>
              <w:top w:w="40" w:type="dxa"/>
              <w:left w:w="20" w:type="dxa"/>
              <w:bottom w:w="40" w:type="dxa"/>
              <w:right w:w="20" w:type="dxa"/>
            </w:tcMar>
            <w:vAlign w:val="bottom"/>
          </w:tcPr>
          <w:p w14:paraId="64304C40" w14:textId="77777777" w:rsidR="009F6D8A" w:rsidRDefault="00C50974">
            <w:pPr>
              <w:textAlignment w:val="bottom"/>
            </w:pPr>
            <w:r>
              <w:rPr>
                <w:rFonts w:ascii="Arial" w:eastAsia="宋体" w:hAnsi="Arial" w:cs="Arial"/>
                <w:b/>
                <w:bCs/>
                <w:color w:val="000000"/>
                <w:sz w:val="16"/>
                <w:szCs w:val="16"/>
              </w:rPr>
              <w:t>2019</w:t>
            </w: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4304C41"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C42" w14:textId="77777777" w:rsidR="009F6D8A" w:rsidRDefault="009F6D8A">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4304C43"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C44" w14:textId="77777777" w:rsidR="009F6D8A" w:rsidRDefault="009F6D8A">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4304C45"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C46" w14:textId="77777777" w:rsidR="009F6D8A" w:rsidRDefault="009F6D8A">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64304C47" w14:textId="77777777" w:rsidR="009F6D8A" w:rsidRDefault="009F6D8A">
            <w:pPr>
              <w:rPr>
                <w:rFonts w:ascii="宋体"/>
              </w:rPr>
            </w:pPr>
          </w:p>
        </w:tc>
      </w:tr>
      <w:tr w:rsidR="009F6D8A" w14:paraId="64304C59" w14:textId="77777777">
        <w:tc>
          <w:tcPr>
            <w:tcW w:w="0" w:type="auto"/>
            <w:gridSpan w:val="3"/>
            <w:shd w:val="clear" w:color="auto" w:fill="FFFFFF"/>
            <w:tcMar>
              <w:top w:w="40" w:type="dxa"/>
              <w:left w:w="155" w:type="dxa"/>
              <w:bottom w:w="40" w:type="dxa"/>
              <w:right w:w="20" w:type="dxa"/>
            </w:tcMar>
            <w:vAlign w:val="bottom"/>
          </w:tcPr>
          <w:p w14:paraId="64304C49" w14:textId="77777777" w:rsidR="009F6D8A" w:rsidRDefault="00C50974">
            <w:pPr>
              <w:textAlignment w:val="bottom"/>
            </w:pPr>
            <w:r>
              <w:rPr>
                <w:rFonts w:ascii="Arial" w:eastAsia="宋体" w:hAnsi="Arial" w:cs="Arial"/>
                <w:color w:val="000000"/>
                <w:sz w:val="16"/>
                <w:szCs w:val="16"/>
              </w:rPr>
              <w:t>Net revenues</w:t>
            </w:r>
          </w:p>
        </w:tc>
        <w:tc>
          <w:tcPr>
            <w:tcW w:w="0" w:type="auto"/>
            <w:shd w:val="clear" w:color="auto" w:fill="FFFFFF"/>
            <w:tcMar>
              <w:top w:w="40" w:type="dxa"/>
              <w:left w:w="20" w:type="dxa"/>
              <w:bottom w:w="40" w:type="dxa"/>
              <w:right w:w="0" w:type="dxa"/>
            </w:tcMar>
            <w:vAlign w:val="bottom"/>
          </w:tcPr>
          <w:p w14:paraId="64304C4A" w14:textId="77777777" w:rsidR="009F6D8A" w:rsidRDefault="00C50974">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64304C4B" w14:textId="77777777" w:rsidR="009F6D8A" w:rsidRDefault="00C50974">
            <w:pPr>
              <w:jc w:val="right"/>
              <w:textAlignment w:val="bottom"/>
            </w:pPr>
            <w:r>
              <w:rPr>
                <w:rFonts w:ascii="Arial" w:eastAsia="宋体" w:hAnsi="Arial" w:cs="Arial"/>
                <w:color w:val="000000"/>
                <w:sz w:val="16"/>
                <w:szCs w:val="16"/>
              </w:rPr>
              <w:t>1,867 </w:t>
            </w:r>
          </w:p>
        </w:tc>
        <w:tc>
          <w:tcPr>
            <w:tcW w:w="0" w:type="auto"/>
            <w:shd w:val="clear" w:color="auto" w:fill="FFFFFF"/>
            <w:tcMar>
              <w:top w:w="40" w:type="dxa"/>
              <w:left w:w="0" w:type="dxa"/>
              <w:bottom w:w="40" w:type="dxa"/>
              <w:right w:w="20" w:type="dxa"/>
            </w:tcMar>
            <w:vAlign w:val="bottom"/>
          </w:tcPr>
          <w:p w14:paraId="64304C4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C4D"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4C4E" w14:textId="77777777" w:rsidR="009F6D8A" w:rsidRDefault="00C50974">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64304C4F" w14:textId="77777777" w:rsidR="009F6D8A" w:rsidRDefault="00C50974">
            <w:pPr>
              <w:jc w:val="right"/>
              <w:textAlignment w:val="bottom"/>
            </w:pPr>
            <w:r>
              <w:rPr>
                <w:rFonts w:ascii="Arial" w:eastAsia="宋体" w:hAnsi="Arial" w:cs="Arial"/>
                <w:color w:val="000000"/>
                <w:sz w:val="16"/>
                <w:szCs w:val="16"/>
              </w:rPr>
              <w:t>1,859 </w:t>
            </w:r>
          </w:p>
        </w:tc>
        <w:tc>
          <w:tcPr>
            <w:tcW w:w="0" w:type="auto"/>
            <w:shd w:val="clear" w:color="auto" w:fill="FFFFFF"/>
            <w:tcMar>
              <w:top w:w="40" w:type="dxa"/>
              <w:left w:w="0" w:type="dxa"/>
              <w:bottom w:w="40" w:type="dxa"/>
              <w:right w:w="20" w:type="dxa"/>
            </w:tcMar>
            <w:vAlign w:val="bottom"/>
          </w:tcPr>
          <w:p w14:paraId="64304C5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C51"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4C52" w14:textId="77777777" w:rsidR="009F6D8A" w:rsidRDefault="00C50974">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64304C53" w14:textId="77777777" w:rsidR="009F6D8A" w:rsidRDefault="00C50974">
            <w:pPr>
              <w:jc w:val="right"/>
              <w:textAlignment w:val="bottom"/>
            </w:pPr>
            <w:r>
              <w:rPr>
                <w:rFonts w:ascii="Arial" w:eastAsia="宋体" w:hAnsi="Arial" w:cs="Arial"/>
                <w:color w:val="000000"/>
                <w:sz w:val="16"/>
                <w:szCs w:val="16"/>
              </w:rPr>
              <w:t>1,799 </w:t>
            </w:r>
          </w:p>
        </w:tc>
        <w:tc>
          <w:tcPr>
            <w:tcW w:w="0" w:type="auto"/>
            <w:shd w:val="clear" w:color="auto" w:fill="FFFFFF"/>
            <w:tcMar>
              <w:top w:w="40" w:type="dxa"/>
              <w:left w:w="0" w:type="dxa"/>
              <w:bottom w:w="40" w:type="dxa"/>
              <w:right w:w="20" w:type="dxa"/>
            </w:tcMar>
            <w:vAlign w:val="bottom"/>
          </w:tcPr>
          <w:p w14:paraId="64304C5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C55"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4C56" w14:textId="77777777" w:rsidR="009F6D8A" w:rsidRDefault="00C50974">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64304C57" w14:textId="77777777" w:rsidR="009F6D8A" w:rsidRDefault="00C50974">
            <w:pPr>
              <w:jc w:val="right"/>
              <w:textAlignment w:val="bottom"/>
            </w:pPr>
            <w:r>
              <w:rPr>
                <w:rFonts w:ascii="Arial" w:eastAsia="宋体" w:hAnsi="Arial" w:cs="Arial"/>
                <w:color w:val="000000"/>
                <w:sz w:val="16"/>
                <w:szCs w:val="16"/>
              </w:rPr>
              <w:t>1,904 </w:t>
            </w:r>
          </w:p>
        </w:tc>
        <w:tc>
          <w:tcPr>
            <w:tcW w:w="0" w:type="auto"/>
            <w:shd w:val="clear" w:color="auto" w:fill="FFFFFF"/>
            <w:tcMar>
              <w:top w:w="40" w:type="dxa"/>
              <w:left w:w="0" w:type="dxa"/>
              <w:bottom w:w="40" w:type="dxa"/>
              <w:right w:w="20" w:type="dxa"/>
            </w:tcMar>
            <w:vAlign w:val="bottom"/>
          </w:tcPr>
          <w:p w14:paraId="64304C58" w14:textId="77777777" w:rsidR="009F6D8A" w:rsidRDefault="009F6D8A">
            <w:pPr>
              <w:jc w:val="right"/>
              <w:rPr>
                <w:rFonts w:ascii="宋体"/>
              </w:rPr>
            </w:pPr>
          </w:p>
        </w:tc>
      </w:tr>
      <w:tr w:rsidR="009F6D8A" w14:paraId="64304C65" w14:textId="77777777">
        <w:tc>
          <w:tcPr>
            <w:tcW w:w="0" w:type="auto"/>
            <w:gridSpan w:val="3"/>
            <w:shd w:val="clear" w:color="auto" w:fill="E1E1E1"/>
            <w:tcMar>
              <w:top w:w="40" w:type="dxa"/>
              <w:left w:w="155" w:type="dxa"/>
              <w:bottom w:w="40" w:type="dxa"/>
              <w:right w:w="20" w:type="dxa"/>
            </w:tcMar>
            <w:vAlign w:val="bottom"/>
          </w:tcPr>
          <w:p w14:paraId="64304C5A" w14:textId="77777777" w:rsidR="009F6D8A" w:rsidRDefault="00C50974">
            <w:pPr>
              <w:textAlignment w:val="bottom"/>
            </w:pPr>
            <w:r>
              <w:rPr>
                <w:rFonts w:ascii="Arial" w:eastAsia="宋体" w:hAnsi="Arial" w:cs="Arial"/>
                <w:i/>
                <w:iCs/>
                <w:color w:val="000000"/>
                <w:sz w:val="16"/>
                <w:szCs w:val="16"/>
              </w:rPr>
              <w:t>% change from prior quarter</w:t>
            </w:r>
          </w:p>
        </w:tc>
        <w:tc>
          <w:tcPr>
            <w:tcW w:w="0" w:type="auto"/>
            <w:gridSpan w:val="3"/>
            <w:shd w:val="clear" w:color="auto" w:fill="E1E1E1"/>
            <w:tcMar>
              <w:top w:w="40" w:type="dxa"/>
              <w:left w:w="20" w:type="dxa"/>
              <w:bottom w:w="40" w:type="dxa"/>
              <w:right w:w="20" w:type="dxa"/>
            </w:tcMar>
            <w:vAlign w:val="bottom"/>
          </w:tcPr>
          <w:p w14:paraId="64304C5B"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E1E1E1"/>
            <w:tcMar>
              <w:top w:w="0" w:type="dxa"/>
              <w:left w:w="20" w:type="dxa"/>
              <w:bottom w:w="0" w:type="dxa"/>
              <w:right w:w="20" w:type="dxa"/>
            </w:tcMar>
            <w:vAlign w:val="bottom"/>
          </w:tcPr>
          <w:p w14:paraId="64304C5C"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C5D" w14:textId="77777777" w:rsidR="009F6D8A" w:rsidRDefault="00C50974">
            <w:pPr>
              <w:jc w:val="right"/>
              <w:textAlignment w:val="bottom"/>
            </w:pPr>
            <w:r>
              <w:rPr>
                <w:rFonts w:ascii="Arial" w:eastAsia="宋体" w:hAnsi="Arial" w:cs="Arial"/>
                <w:i/>
                <w:iCs/>
                <w:color w:val="000000"/>
                <w:sz w:val="16"/>
                <w:szCs w:val="16"/>
              </w:rPr>
              <w:t>— </w:t>
            </w:r>
          </w:p>
        </w:tc>
        <w:tc>
          <w:tcPr>
            <w:tcW w:w="0" w:type="auto"/>
            <w:shd w:val="clear" w:color="auto" w:fill="E1E1E1"/>
            <w:tcMar>
              <w:top w:w="40" w:type="dxa"/>
              <w:left w:w="0" w:type="dxa"/>
              <w:bottom w:w="40" w:type="dxa"/>
              <w:right w:w="20" w:type="dxa"/>
            </w:tcMar>
            <w:vAlign w:val="bottom"/>
          </w:tcPr>
          <w:p w14:paraId="64304C5E"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E1E1E1"/>
            <w:tcMar>
              <w:top w:w="0" w:type="dxa"/>
              <w:left w:w="20" w:type="dxa"/>
              <w:bottom w:w="0" w:type="dxa"/>
              <w:right w:w="20" w:type="dxa"/>
            </w:tcMar>
            <w:vAlign w:val="bottom"/>
          </w:tcPr>
          <w:p w14:paraId="64304C5F"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C60" w14:textId="77777777" w:rsidR="009F6D8A" w:rsidRDefault="00C50974">
            <w:pPr>
              <w:jc w:val="right"/>
              <w:textAlignment w:val="bottom"/>
            </w:pPr>
            <w:r>
              <w:rPr>
                <w:rFonts w:ascii="Arial" w:eastAsia="宋体" w:hAnsi="Arial" w:cs="Arial"/>
                <w:i/>
                <w:iCs/>
                <w:color w:val="000000"/>
                <w:sz w:val="16"/>
                <w:szCs w:val="16"/>
              </w:rPr>
              <w:t>(3)</w:t>
            </w:r>
          </w:p>
        </w:tc>
        <w:tc>
          <w:tcPr>
            <w:tcW w:w="0" w:type="auto"/>
            <w:shd w:val="clear" w:color="auto" w:fill="E1E1E1"/>
            <w:tcMar>
              <w:top w:w="40" w:type="dxa"/>
              <w:left w:w="0" w:type="dxa"/>
              <w:bottom w:w="40" w:type="dxa"/>
              <w:right w:w="20" w:type="dxa"/>
            </w:tcMar>
            <w:vAlign w:val="bottom"/>
          </w:tcPr>
          <w:p w14:paraId="64304C61"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E1E1E1"/>
            <w:tcMar>
              <w:top w:w="0" w:type="dxa"/>
              <w:left w:w="20" w:type="dxa"/>
              <w:bottom w:w="0" w:type="dxa"/>
              <w:right w:w="20" w:type="dxa"/>
            </w:tcMar>
            <w:vAlign w:val="bottom"/>
          </w:tcPr>
          <w:p w14:paraId="64304C62"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C63" w14:textId="77777777" w:rsidR="009F6D8A" w:rsidRDefault="00C50974">
            <w:pPr>
              <w:jc w:val="right"/>
              <w:textAlignment w:val="bottom"/>
            </w:pPr>
            <w:r>
              <w:rPr>
                <w:rFonts w:ascii="Arial" w:eastAsia="宋体" w:hAnsi="Arial" w:cs="Arial"/>
                <w:i/>
                <w:iCs/>
                <w:color w:val="000000"/>
                <w:sz w:val="16"/>
                <w:szCs w:val="16"/>
              </w:rPr>
              <w:t>6 </w:t>
            </w:r>
          </w:p>
        </w:tc>
        <w:tc>
          <w:tcPr>
            <w:tcW w:w="0" w:type="auto"/>
            <w:shd w:val="clear" w:color="auto" w:fill="E1E1E1"/>
            <w:tcMar>
              <w:top w:w="40" w:type="dxa"/>
              <w:left w:w="0" w:type="dxa"/>
              <w:bottom w:w="40" w:type="dxa"/>
              <w:right w:w="20" w:type="dxa"/>
            </w:tcMar>
            <w:vAlign w:val="bottom"/>
          </w:tcPr>
          <w:p w14:paraId="64304C64" w14:textId="77777777" w:rsidR="009F6D8A" w:rsidRDefault="00C50974">
            <w:pPr>
              <w:jc w:val="right"/>
              <w:textAlignment w:val="bottom"/>
            </w:pPr>
            <w:r>
              <w:rPr>
                <w:rFonts w:ascii="Arial" w:eastAsia="宋体" w:hAnsi="Arial" w:cs="Arial"/>
                <w:i/>
                <w:iCs/>
                <w:color w:val="000000"/>
                <w:sz w:val="16"/>
                <w:szCs w:val="16"/>
              </w:rPr>
              <w:t>%</w:t>
            </w:r>
          </w:p>
        </w:tc>
      </w:tr>
      <w:tr w:rsidR="009F6D8A" w14:paraId="64304C6E" w14:textId="77777777">
        <w:tc>
          <w:tcPr>
            <w:tcW w:w="0" w:type="auto"/>
            <w:gridSpan w:val="3"/>
            <w:shd w:val="clear" w:color="auto" w:fill="FFFFFF"/>
            <w:tcMar>
              <w:top w:w="40" w:type="dxa"/>
              <w:left w:w="20" w:type="dxa"/>
              <w:bottom w:w="40" w:type="dxa"/>
              <w:right w:w="20" w:type="dxa"/>
            </w:tcMar>
            <w:vAlign w:val="bottom"/>
          </w:tcPr>
          <w:p w14:paraId="64304C66" w14:textId="77777777" w:rsidR="009F6D8A" w:rsidRDefault="00C50974">
            <w:pPr>
              <w:textAlignment w:val="bottom"/>
            </w:pPr>
            <w:r>
              <w:rPr>
                <w:rFonts w:ascii="Arial" w:eastAsia="宋体" w:hAnsi="Arial" w:cs="Arial"/>
                <w:b/>
                <w:bCs/>
                <w:color w:val="000000"/>
                <w:sz w:val="16"/>
                <w:szCs w:val="16"/>
              </w:rPr>
              <w:t>2020</w:t>
            </w:r>
          </w:p>
        </w:tc>
        <w:tc>
          <w:tcPr>
            <w:tcW w:w="0" w:type="auto"/>
            <w:gridSpan w:val="3"/>
            <w:shd w:val="clear" w:color="auto" w:fill="FFFFFF"/>
            <w:tcMar>
              <w:top w:w="0" w:type="dxa"/>
              <w:left w:w="20" w:type="dxa"/>
              <w:bottom w:w="0" w:type="dxa"/>
              <w:right w:w="20" w:type="dxa"/>
            </w:tcMar>
            <w:vAlign w:val="bottom"/>
          </w:tcPr>
          <w:p w14:paraId="64304C67"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C6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C69"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C6A"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C6B"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C6C"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C6D" w14:textId="77777777" w:rsidR="009F6D8A" w:rsidRDefault="009F6D8A">
            <w:pPr>
              <w:rPr>
                <w:rFonts w:ascii="宋体"/>
              </w:rPr>
            </w:pPr>
          </w:p>
        </w:tc>
      </w:tr>
      <w:tr w:rsidR="009F6D8A" w14:paraId="64304C7F" w14:textId="77777777">
        <w:tc>
          <w:tcPr>
            <w:tcW w:w="0" w:type="auto"/>
            <w:gridSpan w:val="3"/>
            <w:shd w:val="clear" w:color="auto" w:fill="E1E1E1"/>
            <w:tcMar>
              <w:top w:w="40" w:type="dxa"/>
              <w:left w:w="155" w:type="dxa"/>
              <w:bottom w:w="40" w:type="dxa"/>
              <w:right w:w="20" w:type="dxa"/>
            </w:tcMar>
            <w:vAlign w:val="bottom"/>
          </w:tcPr>
          <w:p w14:paraId="64304C6F" w14:textId="77777777" w:rsidR="009F6D8A" w:rsidRDefault="00C50974">
            <w:pPr>
              <w:textAlignment w:val="bottom"/>
            </w:pPr>
            <w:r>
              <w:rPr>
                <w:rFonts w:ascii="Arial" w:eastAsia="宋体" w:hAnsi="Arial" w:cs="Arial"/>
                <w:color w:val="000000"/>
                <w:sz w:val="16"/>
                <w:szCs w:val="16"/>
              </w:rPr>
              <w:t>Net revenues</w:t>
            </w:r>
          </w:p>
        </w:tc>
        <w:tc>
          <w:tcPr>
            <w:tcW w:w="0" w:type="auto"/>
            <w:shd w:val="clear" w:color="auto" w:fill="E1E1E1"/>
            <w:tcMar>
              <w:top w:w="40" w:type="dxa"/>
              <w:left w:w="20" w:type="dxa"/>
              <w:bottom w:w="40" w:type="dxa"/>
              <w:right w:w="0" w:type="dxa"/>
            </w:tcMar>
            <w:vAlign w:val="bottom"/>
          </w:tcPr>
          <w:p w14:paraId="64304C70"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4C71" w14:textId="77777777" w:rsidR="009F6D8A" w:rsidRDefault="00C50974">
            <w:pPr>
              <w:jc w:val="right"/>
              <w:textAlignment w:val="bottom"/>
            </w:pPr>
            <w:r>
              <w:rPr>
                <w:rFonts w:ascii="Arial" w:eastAsia="宋体" w:hAnsi="Arial" w:cs="Arial"/>
                <w:color w:val="000000"/>
                <w:sz w:val="16"/>
                <w:szCs w:val="16"/>
              </w:rPr>
              <w:t>1,821 </w:t>
            </w:r>
          </w:p>
        </w:tc>
        <w:tc>
          <w:tcPr>
            <w:tcW w:w="0" w:type="auto"/>
            <w:shd w:val="clear" w:color="auto" w:fill="E1E1E1"/>
            <w:tcMar>
              <w:top w:w="40" w:type="dxa"/>
              <w:left w:w="0" w:type="dxa"/>
              <w:bottom w:w="40" w:type="dxa"/>
              <w:right w:w="20" w:type="dxa"/>
            </w:tcMar>
            <w:vAlign w:val="bottom"/>
          </w:tcPr>
          <w:p w14:paraId="64304C72"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C73"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4C74"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4C75" w14:textId="77777777" w:rsidR="009F6D8A" w:rsidRDefault="00C50974">
            <w:pPr>
              <w:jc w:val="right"/>
              <w:textAlignment w:val="bottom"/>
            </w:pPr>
            <w:r>
              <w:rPr>
                <w:rFonts w:ascii="Arial" w:eastAsia="宋体" w:hAnsi="Arial" w:cs="Arial"/>
                <w:color w:val="000000"/>
                <w:sz w:val="16"/>
                <w:szCs w:val="16"/>
              </w:rPr>
              <w:t>2,337 </w:t>
            </w:r>
          </w:p>
        </w:tc>
        <w:tc>
          <w:tcPr>
            <w:tcW w:w="0" w:type="auto"/>
            <w:shd w:val="clear" w:color="auto" w:fill="E1E1E1"/>
            <w:tcMar>
              <w:top w:w="40" w:type="dxa"/>
              <w:left w:w="0" w:type="dxa"/>
              <w:bottom w:w="40" w:type="dxa"/>
              <w:right w:w="20" w:type="dxa"/>
            </w:tcMar>
            <w:vAlign w:val="bottom"/>
          </w:tcPr>
          <w:p w14:paraId="64304C76"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C77"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4C78"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4C79" w14:textId="77777777" w:rsidR="009F6D8A" w:rsidRDefault="00C50974">
            <w:pPr>
              <w:jc w:val="right"/>
              <w:textAlignment w:val="bottom"/>
            </w:pPr>
            <w:r>
              <w:rPr>
                <w:rFonts w:ascii="Arial" w:eastAsia="宋体" w:hAnsi="Arial" w:cs="Arial"/>
                <w:color w:val="000000"/>
                <w:sz w:val="16"/>
                <w:szCs w:val="16"/>
              </w:rPr>
              <w:t>2,258 </w:t>
            </w:r>
          </w:p>
        </w:tc>
        <w:tc>
          <w:tcPr>
            <w:tcW w:w="0" w:type="auto"/>
            <w:shd w:val="clear" w:color="auto" w:fill="E1E1E1"/>
            <w:tcMar>
              <w:top w:w="40" w:type="dxa"/>
              <w:left w:w="0" w:type="dxa"/>
              <w:bottom w:w="40" w:type="dxa"/>
              <w:right w:w="20" w:type="dxa"/>
            </w:tcMar>
            <w:vAlign w:val="bottom"/>
          </w:tcPr>
          <w:p w14:paraId="64304C7A"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4C7B"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4C7C"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4C7D" w14:textId="77777777" w:rsidR="009F6D8A" w:rsidRDefault="00C50974">
            <w:pPr>
              <w:jc w:val="right"/>
              <w:textAlignment w:val="bottom"/>
            </w:pPr>
            <w:r>
              <w:rPr>
                <w:rFonts w:ascii="Arial" w:eastAsia="宋体" w:hAnsi="Arial" w:cs="Arial"/>
                <w:color w:val="000000"/>
                <w:sz w:val="16"/>
                <w:szCs w:val="16"/>
              </w:rPr>
              <w:t>2,478 </w:t>
            </w:r>
          </w:p>
        </w:tc>
        <w:tc>
          <w:tcPr>
            <w:tcW w:w="0" w:type="auto"/>
            <w:shd w:val="clear" w:color="auto" w:fill="E1E1E1"/>
            <w:tcMar>
              <w:top w:w="40" w:type="dxa"/>
              <w:left w:w="0" w:type="dxa"/>
              <w:bottom w:w="40" w:type="dxa"/>
              <w:right w:w="20" w:type="dxa"/>
            </w:tcMar>
            <w:vAlign w:val="bottom"/>
          </w:tcPr>
          <w:p w14:paraId="64304C7E" w14:textId="77777777" w:rsidR="009F6D8A" w:rsidRDefault="009F6D8A">
            <w:pPr>
              <w:jc w:val="right"/>
              <w:rPr>
                <w:rFonts w:ascii="宋体"/>
              </w:rPr>
            </w:pPr>
          </w:p>
        </w:tc>
      </w:tr>
      <w:tr w:rsidR="009F6D8A" w14:paraId="64304C8C" w14:textId="77777777">
        <w:tc>
          <w:tcPr>
            <w:tcW w:w="0" w:type="auto"/>
            <w:gridSpan w:val="3"/>
            <w:shd w:val="clear" w:color="auto" w:fill="FFFFFF"/>
            <w:tcMar>
              <w:top w:w="40" w:type="dxa"/>
              <w:left w:w="155" w:type="dxa"/>
              <w:bottom w:w="40" w:type="dxa"/>
              <w:right w:w="20" w:type="dxa"/>
            </w:tcMar>
            <w:vAlign w:val="bottom"/>
          </w:tcPr>
          <w:p w14:paraId="64304C80" w14:textId="77777777" w:rsidR="009F6D8A" w:rsidRDefault="00C50974">
            <w:pPr>
              <w:textAlignment w:val="bottom"/>
            </w:pPr>
            <w:r>
              <w:rPr>
                <w:rFonts w:ascii="Arial" w:eastAsia="宋体" w:hAnsi="Arial" w:cs="Arial"/>
                <w:i/>
                <w:iCs/>
                <w:color w:val="000000"/>
                <w:sz w:val="16"/>
                <w:szCs w:val="16"/>
              </w:rPr>
              <w:t>% change from prior quarter</w:t>
            </w:r>
          </w:p>
        </w:tc>
        <w:tc>
          <w:tcPr>
            <w:tcW w:w="0" w:type="auto"/>
            <w:gridSpan w:val="2"/>
            <w:shd w:val="clear" w:color="auto" w:fill="FFFFFF"/>
            <w:tcMar>
              <w:top w:w="40" w:type="dxa"/>
              <w:left w:w="20" w:type="dxa"/>
              <w:bottom w:w="40" w:type="dxa"/>
              <w:right w:w="0" w:type="dxa"/>
            </w:tcMar>
            <w:vAlign w:val="bottom"/>
          </w:tcPr>
          <w:p w14:paraId="64304C81" w14:textId="77777777" w:rsidR="009F6D8A" w:rsidRDefault="00C50974">
            <w:pPr>
              <w:jc w:val="right"/>
              <w:textAlignment w:val="bottom"/>
            </w:pPr>
            <w:r>
              <w:rPr>
                <w:rFonts w:ascii="Arial" w:eastAsia="宋体" w:hAnsi="Arial" w:cs="Arial"/>
                <w:i/>
                <w:iCs/>
                <w:color w:val="000000"/>
                <w:sz w:val="16"/>
                <w:szCs w:val="16"/>
              </w:rPr>
              <w:t>(4)</w:t>
            </w:r>
          </w:p>
        </w:tc>
        <w:tc>
          <w:tcPr>
            <w:tcW w:w="0" w:type="auto"/>
            <w:shd w:val="clear" w:color="auto" w:fill="FFFFFF"/>
            <w:tcMar>
              <w:top w:w="40" w:type="dxa"/>
              <w:left w:w="0" w:type="dxa"/>
              <w:bottom w:w="40" w:type="dxa"/>
              <w:right w:w="20" w:type="dxa"/>
            </w:tcMar>
            <w:vAlign w:val="bottom"/>
          </w:tcPr>
          <w:p w14:paraId="64304C82"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4C83"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C84" w14:textId="77777777" w:rsidR="009F6D8A" w:rsidRDefault="00C50974">
            <w:pPr>
              <w:jc w:val="right"/>
              <w:textAlignment w:val="bottom"/>
            </w:pPr>
            <w:r>
              <w:rPr>
                <w:rFonts w:ascii="Arial" w:eastAsia="宋体" w:hAnsi="Arial" w:cs="Arial"/>
                <w:i/>
                <w:iCs/>
                <w:color w:val="000000"/>
                <w:sz w:val="16"/>
                <w:szCs w:val="16"/>
              </w:rPr>
              <w:t>28 </w:t>
            </w:r>
          </w:p>
        </w:tc>
        <w:tc>
          <w:tcPr>
            <w:tcW w:w="0" w:type="auto"/>
            <w:shd w:val="clear" w:color="auto" w:fill="FFFFFF"/>
            <w:tcMar>
              <w:top w:w="40" w:type="dxa"/>
              <w:left w:w="0" w:type="dxa"/>
              <w:bottom w:w="40" w:type="dxa"/>
              <w:right w:w="20" w:type="dxa"/>
            </w:tcMar>
            <w:vAlign w:val="bottom"/>
          </w:tcPr>
          <w:p w14:paraId="64304C85"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4C8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C87" w14:textId="77777777" w:rsidR="009F6D8A" w:rsidRDefault="00C50974">
            <w:pPr>
              <w:jc w:val="right"/>
              <w:textAlignment w:val="bottom"/>
            </w:pPr>
            <w:r>
              <w:rPr>
                <w:rFonts w:ascii="Arial" w:eastAsia="宋体" w:hAnsi="Arial" w:cs="Arial"/>
                <w:i/>
                <w:iCs/>
                <w:color w:val="000000"/>
                <w:sz w:val="16"/>
                <w:szCs w:val="16"/>
              </w:rPr>
              <w:t>(3)</w:t>
            </w:r>
          </w:p>
        </w:tc>
        <w:tc>
          <w:tcPr>
            <w:tcW w:w="0" w:type="auto"/>
            <w:shd w:val="clear" w:color="auto" w:fill="FFFFFF"/>
            <w:tcMar>
              <w:top w:w="40" w:type="dxa"/>
              <w:left w:w="0" w:type="dxa"/>
              <w:bottom w:w="40" w:type="dxa"/>
              <w:right w:w="20" w:type="dxa"/>
            </w:tcMar>
            <w:vAlign w:val="bottom"/>
          </w:tcPr>
          <w:p w14:paraId="64304C88"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4C8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C8A" w14:textId="77777777" w:rsidR="009F6D8A" w:rsidRDefault="00C50974">
            <w:pPr>
              <w:jc w:val="right"/>
              <w:textAlignment w:val="bottom"/>
            </w:pPr>
            <w:r>
              <w:rPr>
                <w:rFonts w:ascii="Arial" w:eastAsia="宋体" w:hAnsi="Arial" w:cs="Arial"/>
                <w:i/>
                <w:iCs/>
                <w:color w:val="000000"/>
                <w:sz w:val="16"/>
                <w:szCs w:val="16"/>
              </w:rPr>
              <w:t>10 </w:t>
            </w:r>
          </w:p>
        </w:tc>
        <w:tc>
          <w:tcPr>
            <w:tcW w:w="0" w:type="auto"/>
            <w:shd w:val="clear" w:color="auto" w:fill="FFFFFF"/>
            <w:tcMar>
              <w:top w:w="40" w:type="dxa"/>
              <w:left w:w="0" w:type="dxa"/>
              <w:bottom w:w="40" w:type="dxa"/>
              <w:right w:w="20" w:type="dxa"/>
            </w:tcMar>
            <w:vAlign w:val="bottom"/>
          </w:tcPr>
          <w:p w14:paraId="64304C8B" w14:textId="77777777" w:rsidR="009F6D8A" w:rsidRDefault="00C50974">
            <w:pPr>
              <w:jc w:val="right"/>
              <w:textAlignment w:val="bottom"/>
            </w:pPr>
            <w:r>
              <w:rPr>
                <w:rFonts w:ascii="Arial" w:eastAsia="宋体" w:hAnsi="Arial" w:cs="Arial"/>
                <w:i/>
                <w:iCs/>
                <w:color w:val="000000"/>
                <w:sz w:val="16"/>
                <w:szCs w:val="16"/>
              </w:rPr>
              <w:t>%</w:t>
            </w:r>
          </w:p>
        </w:tc>
      </w:tr>
      <w:tr w:rsidR="009F6D8A" w14:paraId="64304C95" w14:textId="77777777">
        <w:tc>
          <w:tcPr>
            <w:tcW w:w="0" w:type="auto"/>
            <w:gridSpan w:val="3"/>
            <w:shd w:val="clear" w:color="auto" w:fill="E1E1E1"/>
            <w:tcMar>
              <w:top w:w="40" w:type="dxa"/>
              <w:left w:w="20" w:type="dxa"/>
              <w:bottom w:w="40" w:type="dxa"/>
              <w:right w:w="20" w:type="dxa"/>
            </w:tcMar>
            <w:vAlign w:val="bottom"/>
          </w:tcPr>
          <w:p w14:paraId="64304C8D" w14:textId="77777777" w:rsidR="009F6D8A" w:rsidRDefault="00C50974">
            <w:pPr>
              <w:textAlignment w:val="bottom"/>
            </w:pPr>
            <w:r>
              <w:rPr>
                <w:rFonts w:ascii="Arial" w:eastAsia="宋体" w:hAnsi="Arial" w:cs="Arial"/>
                <w:b/>
                <w:bCs/>
                <w:color w:val="000000"/>
                <w:sz w:val="16"/>
                <w:szCs w:val="16"/>
              </w:rPr>
              <w:t>2021</w:t>
            </w:r>
          </w:p>
        </w:tc>
        <w:tc>
          <w:tcPr>
            <w:tcW w:w="0" w:type="auto"/>
            <w:gridSpan w:val="3"/>
            <w:shd w:val="clear" w:color="auto" w:fill="E1E1E1"/>
            <w:tcMar>
              <w:top w:w="0" w:type="dxa"/>
              <w:left w:w="20" w:type="dxa"/>
              <w:bottom w:w="0" w:type="dxa"/>
              <w:right w:w="20" w:type="dxa"/>
            </w:tcMar>
            <w:vAlign w:val="bottom"/>
          </w:tcPr>
          <w:p w14:paraId="64304C8E"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C8F"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C90"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C91"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C92"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C93"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C94" w14:textId="77777777" w:rsidR="009F6D8A" w:rsidRDefault="009F6D8A">
            <w:pPr>
              <w:rPr>
                <w:rFonts w:ascii="宋体"/>
              </w:rPr>
            </w:pPr>
          </w:p>
        </w:tc>
      </w:tr>
      <w:tr w:rsidR="009F6D8A" w14:paraId="64304CA6" w14:textId="77777777">
        <w:tc>
          <w:tcPr>
            <w:tcW w:w="0" w:type="auto"/>
            <w:gridSpan w:val="3"/>
            <w:shd w:val="clear" w:color="auto" w:fill="FFFFFF"/>
            <w:tcMar>
              <w:top w:w="40" w:type="dxa"/>
              <w:left w:w="155" w:type="dxa"/>
              <w:bottom w:w="40" w:type="dxa"/>
              <w:right w:w="20" w:type="dxa"/>
            </w:tcMar>
            <w:vAlign w:val="bottom"/>
          </w:tcPr>
          <w:p w14:paraId="64304C96" w14:textId="77777777" w:rsidR="009F6D8A" w:rsidRDefault="00C50974">
            <w:pPr>
              <w:textAlignment w:val="bottom"/>
            </w:pPr>
            <w:r>
              <w:rPr>
                <w:rFonts w:ascii="Arial" w:eastAsia="宋体" w:hAnsi="Arial" w:cs="Arial"/>
                <w:color w:val="000000"/>
                <w:sz w:val="16"/>
                <w:szCs w:val="16"/>
              </w:rPr>
              <w:t>Net revenues</w:t>
            </w:r>
          </w:p>
        </w:tc>
        <w:tc>
          <w:tcPr>
            <w:tcW w:w="0" w:type="auto"/>
            <w:shd w:val="clear" w:color="auto" w:fill="FFFFFF"/>
            <w:tcMar>
              <w:top w:w="40" w:type="dxa"/>
              <w:left w:w="20" w:type="dxa"/>
              <w:bottom w:w="40" w:type="dxa"/>
              <w:right w:w="0" w:type="dxa"/>
            </w:tcMar>
            <w:vAlign w:val="bottom"/>
          </w:tcPr>
          <w:p w14:paraId="64304C97" w14:textId="77777777" w:rsidR="009F6D8A" w:rsidRDefault="00C50974">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64304C98" w14:textId="77777777" w:rsidR="009F6D8A" w:rsidRDefault="00C50974">
            <w:pPr>
              <w:jc w:val="right"/>
              <w:textAlignment w:val="bottom"/>
            </w:pPr>
            <w:r>
              <w:rPr>
                <w:rFonts w:ascii="Arial" w:eastAsia="宋体" w:hAnsi="Arial" w:cs="Arial"/>
                <w:color w:val="000000"/>
                <w:sz w:val="16"/>
                <w:szCs w:val="16"/>
              </w:rPr>
              <w:t>2,638 </w:t>
            </w:r>
          </w:p>
        </w:tc>
        <w:tc>
          <w:tcPr>
            <w:tcW w:w="0" w:type="auto"/>
            <w:shd w:val="clear" w:color="auto" w:fill="FFFFFF"/>
            <w:tcMar>
              <w:top w:w="40" w:type="dxa"/>
              <w:left w:w="0" w:type="dxa"/>
              <w:bottom w:w="40" w:type="dxa"/>
              <w:right w:w="20" w:type="dxa"/>
            </w:tcMar>
            <w:vAlign w:val="bottom"/>
          </w:tcPr>
          <w:p w14:paraId="64304C9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C9A"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4C9B" w14:textId="77777777" w:rsidR="009F6D8A" w:rsidRDefault="00C50974">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64304C9C" w14:textId="77777777" w:rsidR="009F6D8A" w:rsidRDefault="00C50974">
            <w:pPr>
              <w:jc w:val="right"/>
              <w:textAlignment w:val="bottom"/>
            </w:pPr>
            <w:r>
              <w:rPr>
                <w:rFonts w:ascii="Arial" w:eastAsia="宋体" w:hAnsi="Arial" w:cs="Arial"/>
                <w:color w:val="000000"/>
                <w:sz w:val="16"/>
                <w:szCs w:val="16"/>
              </w:rPr>
              <w:t>2,668 </w:t>
            </w:r>
          </w:p>
        </w:tc>
        <w:tc>
          <w:tcPr>
            <w:tcW w:w="0" w:type="auto"/>
            <w:shd w:val="clear" w:color="auto" w:fill="FFFFFF"/>
            <w:tcMar>
              <w:top w:w="40" w:type="dxa"/>
              <w:left w:w="0" w:type="dxa"/>
              <w:bottom w:w="40" w:type="dxa"/>
              <w:right w:w="20" w:type="dxa"/>
            </w:tcMar>
            <w:vAlign w:val="bottom"/>
          </w:tcPr>
          <w:p w14:paraId="64304C9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C9E"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4C9F" w14:textId="77777777" w:rsidR="009F6D8A" w:rsidRDefault="00C50974">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64304CA0" w14:textId="77777777" w:rsidR="009F6D8A" w:rsidRDefault="00C50974">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64304CA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CA2"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4CA3" w14:textId="77777777" w:rsidR="009F6D8A" w:rsidRDefault="00C50974">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64304CA4" w14:textId="77777777" w:rsidR="009F6D8A" w:rsidRDefault="00C50974">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64304CA5" w14:textId="77777777" w:rsidR="009F6D8A" w:rsidRDefault="009F6D8A">
            <w:pPr>
              <w:jc w:val="right"/>
              <w:rPr>
                <w:rFonts w:ascii="宋体"/>
              </w:rPr>
            </w:pPr>
          </w:p>
        </w:tc>
      </w:tr>
      <w:tr w:rsidR="009F6D8A" w14:paraId="64304CB1" w14:textId="77777777">
        <w:tc>
          <w:tcPr>
            <w:tcW w:w="0" w:type="auto"/>
            <w:gridSpan w:val="3"/>
            <w:shd w:val="clear" w:color="auto" w:fill="E1E1E1"/>
            <w:tcMar>
              <w:top w:w="40" w:type="dxa"/>
              <w:left w:w="155" w:type="dxa"/>
              <w:bottom w:w="40" w:type="dxa"/>
              <w:right w:w="20" w:type="dxa"/>
            </w:tcMar>
            <w:vAlign w:val="bottom"/>
          </w:tcPr>
          <w:p w14:paraId="64304CA7" w14:textId="77777777" w:rsidR="009F6D8A" w:rsidRDefault="00C50974">
            <w:pPr>
              <w:textAlignment w:val="bottom"/>
            </w:pPr>
            <w:r>
              <w:rPr>
                <w:rFonts w:ascii="Arial" w:eastAsia="宋体" w:hAnsi="Arial" w:cs="Arial"/>
                <w:i/>
                <w:iCs/>
                <w:color w:val="000000"/>
                <w:sz w:val="16"/>
                <w:szCs w:val="16"/>
              </w:rPr>
              <w:t>% change from prior quarter</w:t>
            </w:r>
          </w:p>
        </w:tc>
        <w:tc>
          <w:tcPr>
            <w:tcW w:w="0" w:type="auto"/>
            <w:gridSpan w:val="2"/>
            <w:shd w:val="clear" w:color="auto" w:fill="E1E1E1"/>
            <w:tcMar>
              <w:top w:w="40" w:type="dxa"/>
              <w:left w:w="20" w:type="dxa"/>
              <w:bottom w:w="40" w:type="dxa"/>
              <w:right w:w="0" w:type="dxa"/>
            </w:tcMar>
            <w:vAlign w:val="bottom"/>
          </w:tcPr>
          <w:p w14:paraId="64304CA8" w14:textId="77777777" w:rsidR="009F6D8A" w:rsidRDefault="00C50974">
            <w:pPr>
              <w:jc w:val="right"/>
              <w:textAlignment w:val="bottom"/>
            </w:pPr>
            <w:r>
              <w:rPr>
                <w:rFonts w:ascii="Arial" w:eastAsia="宋体" w:hAnsi="Arial" w:cs="Arial"/>
                <w:i/>
                <w:iCs/>
                <w:color w:val="000000"/>
                <w:sz w:val="16"/>
                <w:szCs w:val="16"/>
              </w:rPr>
              <w:t>6 </w:t>
            </w:r>
          </w:p>
        </w:tc>
        <w:tc>
          <w:tcPr>
            <w:tcW w:w="0" w:type="auto"/>
            <w:shd w:val="clear" w:color="auto" w:fill="E1E1E1"/>
            <w:tcMar>
              <w:top w:w="40" w:type="dxa"/>
              <w:left w:w="0" w:type="dxa"/>
              <w:bottom w:w="40" w:type="dxa"/>
              <w:right w:w="20" w:type="dxa"/>
            </w:tcMar>
            <w:vAlign w:val="bottom"/>
          </w:tcPr>
          <w:p w14:paraId="64304CA9"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E1E1E1"/>
            <w:tcMar>
              <w:top w:w="0" w:type="dxa"/>
              <w:left w:w="20" w:type="dxa"/>
              <w:bottom w:w="0" w:type="dxa"/>
              <w:right w:w="20" w:type="dxa"/>
            </w:tcMar>
            <w:vAlign w:val="bottom"/>
          </w:tcPr>
          <w:p w14:paraId="64304CAA"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4CAB" w14:textId="77777777" w:rsidR="009F6D8A" w:rsidRDefault="00C50974">
            <w:pPr>
              <w:jc w:val="right"/>
              <w:textAlignment w:val="bottom"/>
            </w:pPr>
            <w:r>
              <w:rPr>
                <w:rFonts w:ascii="Arial" w:eastAsia="宋体" w:hAnsi="Arial" w:cs="Arial"/>
                <w:i/>
                <w:iCs/>
                <w:color w:val="000000"/>
                <w:sz w:val="16"/>
                <w:szCs w:val="16"/>
              </w:rPr>
              <w:t>1 </w:t>
            </w:r>
          </w:p>
        </w:tc>
        <w:tc>
          <w:tcPr>
            <w:tcW w:w="0" w:type="auto"/>
            <w:shd w:val="clear" w:color="auto" w:fill="E1E1E1"/>
            <w:tcMar>
              <w:top w:w="40" w:type="dxa"/>
              <w:left w:w="0" w:type="dxa"/>
              <w:bottom w:w="40" w:type="dxa"/>
              <w:right w:w="20" w:type="dxa"/>
            </w:tcMar>
            <w:vAlign w:val="bottom"/>
          </w:tcPr>
          <w:p w14:paraId="64304CAC"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E1E1E1"/>
            <w:tcMar>
              <w:top w:w="0" w:type="dxa"/>
              <w:left w:w="20" w:type="dxa"/>
              <w:bottom w:w="0" w:type="dxa"/>
              <w:right w:w="20" w:type="dxa"/>
            </w:tcMar>
            <w:vAlign w:val="bottom"/>
          </w:tcPr>
          <w:p w14:paraId="64304CAD"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CAE"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CAF"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4CB0" w14:textId="77777777" w:rsidR="009F6D8A" w:rsidRDefault="009F6D8A">
            <w:pPr>
              <w:rPr>
                <w:rFonts w:ascii="宋体"/>
              </w:rPr>
            </w:pPr>
          </w:p>
        </w:tc>
      </w:tr>
    </w:tbl>
    <w:p w14:paraId="64304CB2" w14:textId="77777777" w:rsidR="009F6D8A" w:rsidRDefault="00C50974">
      <w:pPr>
        <w:jc w:val="both"/>
      </w:pPr>
      <w:r>
        <w:rPr>
          <w:rFonts w:ascii="Arial" w:eastAsia="宋体" w:hAnsi="Arial" w:cs="Arial"/>
          <w:color w:val="000000"/>
          <w:sz w:val="16"/>
          <w:szCs w:val="16"/>
        </w:rPr>
        <w:t>** Growth for the period excluded as 2018 revenue numbers have not yet been re-casted and provided</w:t>
      </w:r>
    </w:p>
    <w:p w14:paraId="64304CB3" w14:textId="77777777" w:rsidR="009F6D8A" w:rsidRDefault="009F6D8A">
      <w:pPr>
        <w:ind w:firstLine="270"/>
        <w:jc w:val="both"/>
      </w:pPr>
    </w:p>
    <w:p w14:paraId="64304CB4" w14:textId="77777777" w:rsidR="009F6D8A" w:rsidRDefault="00C50974">
      <w:pPr>
        <w:ind w:firstLine="270"/>
        <w:jc w:val="both"/>
      </w:pPr>
      <w:r>
        <w:rPr>
          <w:rFonts w:ascii="Arial" w:eastAsia="宋体" w:hAnsi="Arial" w:cs="Arial"/>
          <w:b/>
          <w:bCs/>
          <w:color w:val="000000"/>
          <w:sz w:val="20"/>
          <w:szCs w:val="20"/>
        </w:rPr>
        <w:t xml:space="preserve">Net Revenues by </w:t>
      </w:r>
      <w:r>
        <w:rPr>
          <w:rFonts w:ascii="Arial" w:eastAsia="宋体" w:hAnsi="Arial" w:cs="Arial"/>
          <w:b/>
          <w:bCs/>
          <w:color w:val="000000"/>
          <w:sz w:val="20"/>
          <w:szCs w:val="20"/>
        </w:rPr>
        <w:t>Geography</w:t>
      </w:r>
    </w:p>
    <w:p w14:paraId="64304CB5" w14:textId="77777777" w:rsidR="009F6D8A" w:rsidRDefault="009F6D8A">
      <w:pPr>
        <w:ind w:firstLine="540"/>
        <w:jc w:val="both"/>
      </w:pPr>
    </w:p>
    <w:p w14:paraId="64304CB6" w14:textId="77777777" w:rsidR="009F6D8A" w:rsidRDefault="00C50974">
      <w:pPr>
        <w:ind w:firstLine="540"/>
        <w:jc w:val="both"/>
      </w:pPr>
      <w:r>
        <w:rPr>
          <w:rFonts w:ascii="Arial" w:eastAsia="宋体" w:hAnsi="Arial" w:cs="Arial"/>
          <w:color w:val="000000"/>
          <w:sz w:val="20"/>
          <w:szCs w:val="20"/>
        </w:rPr>
        <w:t>Revenues are attributed to U.S. and international geographies primarily based upon the country in which the seller, platform that displays advertising, other service provider or customer, as the case may be, is located. The following table prese</w:t>
      </w:r>
      <w:r>
        <w:rPr>
          <w:rFonts w:ascii="Arial" w:eastAsia="宋体" w:hAnsi="Arial" w:cs="Arial"/>
          <w:color w:val="000000"/>
          <w:sz w:val="20"/>
          <w:szCs w:val="20"/>
        </w:rPr>
        <w:t>nts net revenues by geography for the periods presented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9"/>
        <w:gridCol w:w="2448"/>
        <w:gridCol w:w="37"/>
        <w:gridCol w:w="109"/>
        <w:gridCol w:w="699"/>
        <w:gridCol w:w="163"/>
        <w:gridCol w:w="36"/>
        <w:gridCol w:w="36"/>
        <w:gridCol w:w="36"/>
        <w:gridCol w:w="109"/>
        <w:gridCol w:w="607"/>
        <w:gridCol w:w="163"/>
        <w:gridCol w:w="36"/>
        <w:gridCol w:w="36"/>
        <w:gridCol w:w="36"/>
        <w:gridCol w:w="52"/>
        <w:gridCol w:w="540"/>
        <w:gridCol w:w="163"/>
        <w:gridCol w:w="36"/>
        <w:gridCol w:w="36"/>
        <w:gridCol w:w="36"/>
        <w:gridCol w:w="109"/>
        <w:gridCol w:w="608"/>
        <w:gridCol w:w="163"/>
        <w:gridCol w:w="37"/>
        <w:gridCol w:w="94"/>
        <w:gridCol w:w="36"/>
        <w:gridCol w:w="109"/>
        <w:gridCol w:w="700"/>
        <w:gridCol w:w="163"/>
        <w:gridCol w:w="36"/>
        <w:gridCol w:w="36"/>
        <w:gridCol w:w="36"/>
        <w:gridCol w:w="52"/>
        <w:gridCol w:w="541"/>
        <w:gridCol w:w="163"/>
      </w:tblGrid>
      <w:tr w:rsidR="009F6D8A" w14:paraId="64304CDB" w14:textId="77777777">
        <w:tc>
          <w:tcPr>
            <w:tcW w:w="50" w:type="pct"/>
            <w:shd w:val="clear" w:color="auto" w:fill="auto"/>
            <w:vAlign w:val="bottom"/>
          </w:tcPr>
          <w:p w14:paraId="64304CB7" w14:textId="77777777" w:rsidR="009F6D8A" w:rsidRDefault="009F6D8A">
            <w:pPr>
              <w:rPr>
                <w:rFonts w:ascii="宋体"/>
              </w:rPr>
            </w:pPr>
          </w:p>
        </w:tc>
        <w:tc>
          <w:tcPr>
            <w:tcW w:w="1560" w:type="pct"/>
            <w:shd w:val="clear" w:color="auto" w:fill="auto"/>
            <w:vAlign w:val="bottom"/>
          </w:tcPr>
          <w:p w14:paraId="64304CB8" w14:textId="77777777" w:rsidR="009F6D8A" w:rsidRDefault="009F6D8A">
            <w:pPr>
              <w:rPr>
                <w:rFonts w:ascii="宋体"/>
              </w:rPr>
            </w:pPr>
          </w:p>
        </w:tc>
        <w:tc>
          <w:tcPr>
            <w:tcW w:w="5" w:type="pct"/>
            <w:shd w:val="clear" w:color="auto" w:fill="auto"/>
            <w:vAlign w:val="bottom"/>
          </w:tcPr>
          <w:p w14:paraId="64304CB9" w14:textId="77777777" w:rsidR="009F6D8A" w:rsidRDefault="009F6D8A">
            <w:pPr>
              <w:rPr>
                <w:rFonts w:ascii="宋体"/>
              </w:rPr>
            </w:pPr>
          </w:p>
        </w:tc>
        <w:tc>
          <w:tcPr>
            <w:tcW w:w="50" w:type="pct"/>
            <w:shd w:val="clear" w:color="auto" w:fill="auto"/>
            <w:vAlign w:val="bottom"/>
          </w:tcPr>
          <w:p w14:paraId="64304CBA" w14:textId="77777777" w:rsidR="009F6D8A" w:rsidRDefault="009F6D8A">
            <w:pPr>
              <w:rPr>
                <w:rFonts w:ascii="宋体"/>
              </w:rPr>
            </w:pPr>
          </w:p>
        </w:tc>
        <w:tc>
          <w:tcPr>
            <w:tcW w:w="478" w:type="pct"/>
            <w:shd w:val="clear" w:color="auto" w:fill="auto"/>
            <w:vAlign w:val="bottom"/>
          </w:tcPr>
          <w:p w14:paraId="64304CBB" w14:textId="77777777" w:rsidR="009F6D8A" w:rsidRDefault="009F6D8A">
            <w:pPr>
              <w:rPr>
                <w:rFonts w:ascii="宋体"/>
              </w:rPr>
            </w:pPr>
          </w:p>
        </w:tc>
        <w:tc>
          <w:tcPr>
            <w:tcW w:w="5" w:type="pct"/>
            <w:shd w:val="clear" w:color="auto" w:fill="auto"/>
            <w:vAlign w:val="bottom"/>
          </w:tcPr>
          <w:p w14:paraId="64304CBC" w14:textId="77777777" w:rsidR="009F6D8A" w:rsidRDefault="009F6D8A">
            <w:pPr>
              <w:rPr>
                <w:rFonts w:ascii="宋体"/>
              </w:rPr>
            </w:pPr>
          </w:p>
        </w:tc>
        <w:tc>
          <w:tcPr>
            <w:tcW w:w="5" w:type="pct"/>
            <w:shd w:val="clear" w:color="auto" w:fill="auto"/>
            <w:vAlign w:val="bottom"/>
          </w:tcPr>
          <w:p w14:paraId="64304CBD" w14:textId="77777777" w:rsidR="009F6D8A" w:rsidRDefault="009F6D8A">
            <w:pPr>
              <w:rPr>
                <w:rFonts w:ascii="宋体"/>
              </w:rPr>
            </w:pPr>
          </w:p>
        </w:tc>
        <w:tc>
          <w:tcPr>
            <w:tcW w:w="26" w:type="pct"/>
            <w:shd w:val="clear" w:color="auto" w:fill="auto"/>
            <w:vAlign w:val="bottom"/>
          </w:tcPr>
          <w:p w14:paraId="64304CBE" w14:textId="77777777" w:rsidR="009F6D8A" w:rsidRDefault="009F6D8A">
            <w:pPr>
              <w:rPr>
                <w:rFonts w:ascii="宋体"/>
              </w:rPr>
            </w:pPr>
          </w:p>
        </w:tc>
        <w:tc>
          <w:tcPr>
            <w:tcW w:w="5" w:type="pct"/>
            <w:shd w:val="clear" w:color="auto" w:fill="auto"/>
            <w:vAlign w:val="bottom"/>
          </w:tcPr>
          <w:p w14:paraId="64304CBF" w14:textId="77777777" w:rsidR="009F6D8A" w:rsidRDefault="009F6D8A">
            <w:pPr>
              <w:rPr>
                <w:rFonts w:ascii="宋体"/>
              </w:rPr>
            </w:pPr>
          </w:p>
        </w:tc>
        <w:tc>
          <w:tcPr>
            <w:tcW w:w="50" w:type="pct"/>
            <w:shd w:val="clear" w:color="auto" w:fill="auto"/>
            <w:vAlign w:val="bottom"/>
          </w:tcPr>
          <w:p w14:paraId="64304CC0" w14:textId="77777777" w:rsidR="009F6D8A" w:rsidRDefault="009F6D8A">
            <w:pPr>
              <w:rPr>
                <w:rFonts w:ascii="宋体"/>
              </w:rPr>
            </w:pPr>
          </w:p>
        </w:tc>
        <w:tc>
          <w:tcPr>
            <w:tcW w:w="478" w:type="pct"/>
            <w:shd w:val="clear" w:color="auto" w:fill="auto"/>
            <w:vAlign w:val="bottom"/>
          </w:tcPr>
          <w:p w14:paraId="64304CC1" w14:textId="77777777" w:rsidR="009F6D8A" w:rsidRDefault="009F6D8A">
            <w:pPr>
              <w:rPr>
                <w:rFonts w:ascii="宋体"/>
              </w:rPr>
            </w:pPr>
          </w:p>
        </w:tc>
        <w:tc>
          <w:tcPr>
            <w:tcW w:w="5" w:type="pct"/>
            <w:shd w:val="clear" w:color="auto" w:fill="auto"/>
            <w:vAlign w:val="bottom"/>
          </w:tcPr>
          <w:p w14:paraId="64304CC2" w14:textId="77777777" w:rsidR="009F6D8A" w:rsidRDefault="009F6D8A">
            <w:pPr>
              <w:rPr>
                <w:rFonts w:ascii="宋体"/>
              </w:rPr>
            </w:pPr>
          </w:p>
        </w:tc>
        <w:tc>
          <w:tcPr>
            <w:tcW w:w="5" w:type="pct"/>
            <w:shd w:val="clear" w:color="auto" w:fill="auto"/>
            <w:vAlign w:val="bottom"/>
          </w:tcPr>
          <w:p w14:paraId="64304CC3" w14:textId="77777777" w:rsidR="009F6D8A" w:rsidRDefault="009F6D8A">
            <w:pPr>
              <w:rPr>
                <w:rFonts w:ascii="宋体"/>
              </w:rPr>
            </w:pPr>
          </w:p>
        </w:tc>
        <w:tc>
          <w:tcPr>
            <w:tcW w:w="26" w:type="pct"/>
            <w:shd w:val="clear" w:color="auto" w:fill="auto"/>
            <w:vAlign w:val="bottom"/>
          </w:tcPr>
          <w:p w14:paraId="64304CC4" w14:textId="77777777" w:rsidR="009F6D8A" w:rsidRDefault="009F6D8A">
            <w:pPr>
              <w:rPr>
                <w:rFonts w:ascii="宋体"/>
              </w:rPr>
            </w:pPr>
          </w:p>
        </w:tc>
        <w:tc>
          <w:tcPr>
            <w:tcW w:w="5" w:type="pct"/>
            <w:shd w:val="clear" w:color="auto" w:fill="auto"/>
            <w:vAlign w:val="bottom"/>
          </w:tcPr>
          <w:p w14:paraId="64304CC5" w14:textId="77777777" w:rsidR="009F6D8A" w:rsidRDefault="009F6D8A">
            <w:pPr>
              <w:rPr>
                <w:rFonts w:ascii="宋体"/>
              </w:rPr>
            </w:pPr>
          </w:p>
        </w:tc>
        <w:tc>
          <w:tcPr>
            <w:tcW w:w="50" w:type="pct"/>
            <w:shd w:val="clear" w:color="auto" w:fill="auto"/>
            <w:vAlign w:val="bottom"/>
          </w:tcPr>
          <w:p w14:paraId="64304CC6" w14:textId="77777777" w:rsidR="009F6D8A" w:rsidRDefault="009F6D8A">
            <w:pPr>
              <w:rPr>
                <w:rFonts w:ascii="宋体"/>
              </w:rPr>
            </w:pPr>
          </w:p>
        </w:tc>
        <w:tc>
          <w:tcPr>
            <w:tcW w:w="478" w:type="pct"/>
            <w:shd w:val="clear" w:color="auto" w:fill="auto"/>
            <w:vAlign w:val="bottom"/>
          </w:tcPr>
          <w:p w14:paraId="64304CC7" w14:textId="77777777" w:rsidR="009F6D8A" w:rsidRDefault="009F6D8A">
            <w:pPr>
              <w:rPr>
                <w:rFonts w:ascii="宋体"/>
              </w:rPr>
            </w:pPr>
          </w:p>
        </w:tc>
        <w:tc>
          <w:tcPr>
            <w:tcW w:w="5" w:type="pct"/>
            <w:shd w:val="clear" w:color="auto" w:fill="auto"/>
            <w:vAlign w:val="bottom"/>
          </w:tcPr>
          <w:p w14:paraId="64304CC8" w14:textId="77777777" w:rsidR="009F6D8A" w:rsidRDefault="009F6D8A">
            <w:pPr>
              <w:rPr>
                <w:rFonts w:ascii="宋体"/>
              </w:rPr>
            </w:pPr>
          </w:p>
        </w:tc>
        <w:tc>
          <w:tcPr>
            <w:tcW w:w="5" w:type="pct"/>
            <w:shd w:val="clear" w:color="auto" w:fill="auto"/>
            <w:vAlign w:val="bottom"/>
          </w:tcPr>
          <w:p w14:paraId="64304CC9" w14:textId="77777777" w:rsidR="009F6D8A" w:rsidRDefault="009F6D8A">
            <w:pPr>
              <w:rPr>
                <w:rFonts w:ascii="宋体"/>
              </w:rPr>
            </w:pPr>
          </w:p>
        </w:tc>
        <w:tc>
          <w:tcPr>
            <w:tcW w:w="26" w:type="pct"/>
            <w:shd w:val="clear" w:color="auto" w:fill="auto"/>
            <w:vAlign w:val="bottom"/>
          </w:tcPr>
          <w:p w14:paraId="64304CCA" w14:textId="77777777" w:rsidR="009F6D8A" w:rsidRDefault="009F6D8A">
            <w:pPr>
              <w:rPr>
                <w:rFonts w:ascii="宋体"/>
              </w:rPr>
            </w:pPr>
          </w:p>
        </w:tc>
        <w:tc>
          <w:tcPr>
            <w:tcW w:w="5" w:type="pct"/>
            <w:shd w:val="clear" w:color="auto" w:fill="auto"/>
            <w:vAlign w:val="bottom"/>
          </w:tcPr>
          <w:p w14:paraId="64304CCB" w14:textId="77777777" w:rsidR="009F6D8A" w:rsidRDefault="009F6D8A">
            <w:pPr>
              <w:rPr>
                <w:rFonts w:ascii="宋体"/>
              </w:rPr>
            </w:pPr>
          </w:p>
        </w:tc>
        <w:tc>
          <w:tcPr>
            <w:tcW w:w="50" w:type="pct"/>
            <w:shd w:val="clear" w:color="auto" w:fill="auto"/>
            <w:vAlign w:val="bottom"/>
          </w:tcPr>
          <w:p w14:paraId="64304CCC" w14:textId="77777777" w:rsidR="009F6D8A" w:rsidRDefault="009F6D8A">
            <w:pPr>
              <w:rPr>
                <w:rFonts w:ascii="宋体"/>
              </w:rPr>
            </w:pPr>
          </w:p>
        </w:tc>
        <w:tc>
          <w:tcPr>
            <w:tcW w:w="478" w:type="pct"/>
            <w:shd w:val="clear" w:color="auto" w:fill="auto"/>
            <w:vAlign w:val="bottom"/>
          </w:tcPr>
          <w:p w14:paraId="64304CCD" w14:textId="77777777" w:rsidR="009F6D8A" w:rsidRDefault="009F6D8A">
            <w:pPr>
              <w:rPr>
                <w:rFonts w:ascii="宋体"/>
              </w:rPr>
            </w:pPr>
          </w:p>
        </w:tc>
        <w:tc>
          <w:tcPr>
            <w:tcW w:w="5" w:type="pct"/>
            <w:shd w:val="clear" w:color="auto" w:fill="auto"/>
            <w:vAlign w:val="bottom"/>
          </w:tcPr>
          <w:p w14:paraId="64304CCE" w14:textId="77777777" w:rsidR="009F6D8A" w:rsidRDefault="009F6D8A">
            <w:pPr>
              <w:rPr>
                <w:rFonts w:ascii="宋体"/>
              </w:rPr>
            </w:pPr>
          </w:p>
        </w:tc>
        <w:tc>
          <w:tcPr>
            <w:tcW w:w="5" w:type="pct"/>
            <w:shd w:val="clear" w:color="auto" w:fill="auto"/>
            <w:vAlign w:val="bottom"/>
          </w:tcPr>
          <w:p w14:paraId="64304CCF" w14:textId="77777777" w:rsidR="009F6D8A" w:rsidRDefault="009F6D8A">
            <w:pPr>
              <w:rPr>
                <w:rFonts w:ascii="宋体"/>
              </w:rPr>
            </w:pPr>
          </w:p>
        </w:tc>
        <w:tc>
          <w:tcPr>
            <w:tcW w:w="26" w:type="pct"/>
            <w:shd w:val="clear" w:color="auto" w:fill="auto"/>
            <w:vAlign w:val="bottom"/>
          </w:tcPr>
          <w:p w14:paraId="64304CD0" w14:textId="77777777" w:rsidR="009F6D8A" w:rsidRDefault="009F6D8A">
            <w:pPr>
              <w:rPr>
                <w:rFonts w:ascii="宋体"/>
              </w:rPr>
            </w:pPr>
          </w:p>
        </w:tc>
        <w:tc>
          <w:tcPr>
            <w:tcW w:w="5" w:type="pct"/>
            <w:shd w:val="clear" w:color="auto" w:fill="auto"/>
            <w:vAlign w:val="bottom"/>
          </w:tcPr>
          <w:p w14:paraId="64304CD1" w14:textId="77777777" w:rsidR="009F6D8A" w:rsidRDefault="009F6D8A">
            <w:pPr>
              <w:rPr>
                <w:rFonts w:ascii="宋体"/>
              </w:rPr>
            </w:pPr>
          </w:p>
        </w:tc>
        <w:tc>
          <w:tcPr>
            <w:tcW w:w="50" w:type="pct"/>
            <w:shd w:val="clear" w:color="auto" w:fill="auto"/>
            <w:vAlign w:val="bottom"/>
          </w:tcPr>
          <w:p w14:paraId="64304CD2" w14:textId="77777777" w:rsidR="009F6D8A" w:rsidRDefault="009F6D8A">
            <w:pPr>
              <w:rPr>
                <w:rFonts w:ascii="宋体"/>
              </w:rPr>
            </w:pPr>
          </w:p>
        </w:tc>
        <w:tc>
          <w:tcPr>
            <w:tcW w:w="478" w:type="pct"/>
            <w:shd w:val="clear" w:color="auto" w:fill="auto"/>
            <w:vAlign w:val="bottom"/>
          </w:tcPr>
          <w:p w14:paraId="64304CD3" w14:textId="77777777" w:rsidR="009F6D8A" w:rsidRDefault="009F6D8A">
            <w:pPr>
              <w:rPr>
                <w:rFonts w:ascii="宋体"/>
              </w:rPr>
            </w:pPr>
          </w:p>
        </w:tc>
        <w:tc>
          <w:tcPr>
            <w:tcW w:w="5" w:type="pct"/>
            <w:shd w:val="clear" w:color="auto" w:fill="auto"/>
            <w:vAlign w:val="bottom"/>
          </w:tcPr>
          <w:p w14:paraId="64304CD4" w14:textId="77777777" w:rsidR="009F6D8A" w:rsidRDefault="009F6D8A">
            <w:pPr>
              <w:rPr>
                <w:rFonts w:ascii="宋体"/>
              </w:rPr>
            </w:pPr>
          </w:p>
        </w:tc>
        <w:tc>
          <w:tcPr>
            <w:tcW w:w="5" w:type="pct"/>
            <w:shd w:val="clear" w:color="auto" w:fill="auto"/>
            <w:vAlign w:val="bottom"/>
          </w:tcPr>
          <w:p w14:paraId="64304CD5" w14:textId="77777777" w:rsidR="009F6D8A" w:rsidRDefault="009F6D8A">
            <w:pPr>
              <w:rPr>
                <w:rFonts w:ascii="宋体"/>
              </w:rPr>
            </w:pPr>
          </w:p>
        </w:tc>
        <w:tc>
          <w:tcPr>
            <w:tcW w:w="26" w:type="pct"/>
            <w:shd w:val="clear" w:color="auto" w:fill="auto"/>
            <w:vAlign w:val="bottom"/>
          </w:tcPr>
          <w:p w14:paraId="64304CD6" w14:textId="77777777" w:rsidR="009F6D8A" w:rsidRDefault="009F6D8A">
            <w:pPr>
              <w:rPr>
                <w:rFonts w:ascii="宋体"/>
              </w:rPr>
            </w:pPr>
          </w:p>
        </w:tc>
        <w:tc>
          <w:tcPr>
            <w:tcW w:w="5" w:type="pct"/>
            <w:shd w:val="clear" w:color="auto" w:fill="auto"/>
            <w:vAlign w:val="bottom"/>
          </w:tcPr>
          <w:p w14:paraId="64304CD7" w14:textId="77777777" w:rsidR="009F6D8A" w:rsidRDefault="009F6D8A">
            <w:pPr>
              <w:rPr>
                <w:rFonts w:ascii="宋体"/>
              </w:rPr>
            </w:pPr>
          </w:p>
        </w:tc>
        <w:tc>
          <w:tcPr>
            <w:tcW w:w="50" w:type="pct"/>
            <w:shd w:val="clear" w:color="auto" w:fill="auto"/>
            <w:vAlign w:val="bottom"/>
          </w:tcPr>
          <w:p w14:paraId="64304CD8" w14:textId="77777777" w:rsidR="009F6D8A" w:rsidRDefault="009F6D8A">
            <w:pPr>
              <w:rPr>
                <w:rFonts w:ascii="宋体"/>
              </w:rPr>
            </w:pPr>
          </w:p>
        </w:tc>
        <w:tc>
          <w:tcPr>
            <w:tcW w:w="479" w:type="pct"/>
            <w:shd w:val="clear" w:color="auto" w:fill="auto"/>
            <w:vAlign w:val="bottom"/>
          </w:tcPr>
          <w:p w14:paraId="64304CD9" w14:textId="77777777" w:rsidR="009F6D8A" w:rsidRDefault="009F6D8A">
            <w:pPr>
              <w:rPr>
                <w:rFonts w:ascii="宋体"/>
              </w:rPr>
            </w:pPr>
          </w:p>
        </w:tc>
        <w:tc>
          <w:tcPr>
            <w:tcW w:w="5" w:type="pct"/>
            <w:shd w:val="clear" w:color="auto" w:fill="auto"/>
            <w:vAlign w:val="bottom"/>
          </w:tcPr>
          <w:p w14:paraId="64304CDA" w14:textId="77777777" w:rsidR="009F6D8A" w:rsidRDefault="009F6D8A">
            <w:pPr>
              <w:rPr>
                <w:rFonts w:ascii="宋体"/>
              </w:rPr>
            </w:pPr>
          </w:p>
        </w:tc>
      </w:tr>
      <w:tr w:rsidR="009F6D8A" w14:paraId="64304CE4" w14:textId="77777777">
        <w:tc>
          <w:tcPr>
            <w:tcW w:w="0" w:type="auto"/>
            <w:gridSpan w:val="3"/>
            <w:shd w:val="clear" w:color="auto" w:fill="auto"/>
            <w:tcMar>
              <w:top w:w="40" w:type="dxa"/>
              <w:left w:w="380" w:type="dxa"/>
              <w:bottom w:w="40" w:type="dxa"/>
              <w:right w:w="20" w:type="dxa"/>
            </w:tcMar>
            <w:vAlign w:val="bottom"/>
          </w:tcPr>
          <w:p w14:paraId="64304CDC" w14:textId="77777777" w:rsidR="009F6D8A" w:rsidRDefault="00C50974">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64304CDD" w14:textId="77777777" w:rsidR="009F6D8A" w:rsidRDefault="00C50974">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w:t>
            </w:r>
          </w:p>
        </w:tc>
        <w:tc>
          <w:tcPr>
            <w:tcW w:w="0" w:type="auto"/>
            <w:gridSpan w:val="3"/>
            <w:shd w:val="clear" w:color="auto" w:fill="auto"/>
            <w:tcMar>
              <w:top w:w="0" w:type="dxa"/>
              <w:left w:w="20" w:type="dxa"/>
              <w:bottom w:w="0" w:type="dxa"/>
              <w:right w:w="20" w:type="dxa"/>
            </w:tcMar>
            <w:vAlign w:val="bottom"/>
          </w:tcPr>
          <w:p w14:paraId="64304CDE"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CDF" w14:textId="77777777" w:rsidR="009F6D8A" w:rsidRDefault="00C50974">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vAlign w:val="bottom"/>
          </w:tcPr>
          <w:p w14:paraId="64304CE0"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4CE1" w14:textId="77777777" w:rsidR="009F6D8A" w:rsidRDefault="00C50974">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w:t>
            </w:r>
          </w:p>
        </w:tc>
        <w:tc>
          <w:tcPr>
            <w:tcW w:w="0" w:type="auto"/>
            <w:gridSpan w:val="3"/>
            <w:shd w:val="clear" w:color="auto" w:fill="auto"/>
            <w:tcMar>
              <w:top w:w="0" w:type="dxa"/>
              <w:left w:w="20" w:type="dxa"/>
              <w:bottom w:w="0" w:type="dxa"/>
              <w:right w:w="20" w:type="dxa"/>
            </w:tcMar>
            <w:vAlign w:val="bottom"/>
          </w:tcPr>
          <w:p w14:paraId="64304CE2"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CE3" w14:textId="77777777" w:rsidR="009F6D8A" w:rsidRDefault="00C50974">
            <w:pPr>
              <w:jc w:val="center"/>
              <w:textAlignment w:val="bottom"/>
            </w:pPr>
            <w:r>
              <w:rPr>
                <w:rFonts w:ascii="Arial" w:eastAsia="宋体" w:hAnsi="Arial" w:cs="Arial"/>
                <w:b/>
                <w:bCs/>
                <w:color w:val="000000"/>
                <w:sz w:val="14"/>
                <w:szCs w:val="14"/>
              </w:rPr>
              <w:t>% Change</w:t>
            </w:r>
          </w:p>
        </w:tc>
      </w:tr>
      <w:tr w:rsidR="009F6D8A" w14:paraId="64304CF1" w14:textId="77777777">
        <w:tc>
          <w:tcPr>
            <w:tcW w:w="0" w:type="auto"/>
            <w:gridSpan w:val="3"/>
            <w:shd w:val="clear" w:color="auto" w:fill="auto"/>
            <w:tcMar>
              <w:top w:w="40" w:type="dxa"/>
              <w:left w:w="20" w:type="dxa"/>
              <w:bottom w:w="40" w:type="dxa"/>
              <w:right w:w="20" w:type="dxa"/>
            </w:tcMar>
            <w:vAlign w:val="bottom"/>
          </w:tcPr>
          <w:p w14:paraId="64304CE5" w14:textId="77777777" w:rsidR="009F6D8A" w:rsidRDefault="00C50974">
            <w:pPr>
              <w:jc w:val="cente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CE6" w14:textId="77777777" w:rsidR="009F6D8A" w:rsidRDefault="00C50974">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CE7"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CE8" w14:textId="77777777" w:rsidR="009F6D8A" w:rsidRDefault="00C50974">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64304CE9"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CEA" w14:textId="77777777" w:rsidR="009F6D8A" w:rsidRDefault="00C50974">
            <w:pPr>
              <w:jc w:val="center"/>
              <w:textAlignment w:val="bottom"/>
            </w:pPr>
            <w:r>
              <w:rPr>
                <w:rFonts w:ascii="Arial" w:eastAsia="宋体" w:hAnsi="Arial" w:cs="Arial"/>
                <w:b/>
                <w:bCs/>
                <w:color w:val="000000"/>
                <w:sz w:val="14"/>
                <w:szCs w:val="14"/>
              </w:rPr>
              <w:t>As Reported</w:t>
            </w:r>
          </w:p>
        </w:tc>
        <w:tc>
          <w:tcPr>
            <w:tcW w:w="0" w:type="auto"/>
            <w:gridSpan w:val="3"/>
            <w:shd w:val="clear" w:color="auto" w:fill="auto"/>
            <w:tcMar>
              <w:top w:w="0" w:type="dxa"/>
              <w:left w:w="20" w:type="dxa"/>
              <w:bottom w:w="0" w:type="dxa"/>
              <w:right w:w="20" w:type="dxa"/>
            </w:tcMar>
            <w:vAlign w:val="bottom"/>
          </w:tcPr>
          <w:p w14:paraId="64304CEB"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CEC" w14:textId="77777777" w:rsidR="009F6D8A" w:rsidRDefault="00C50974">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CED"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CEE" w14:textId="77777777" w:rsidR="009F6D8A" w:rsidRDefault="00C50974">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64304CEF"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CF0" w14:textId="77777777" w:rsidR="009F6D8A" w:rsidRDefault="00C50974">
            <w:pPr>
              <w:jc w:val="center"/>
              <w:textAlignment w:val="bottom"/>
            </w:pPr>
            <w:r>
              <w:rPr>
                <w:rFonts w:ascii="Arial" w:eastAsia="宋体" w:hAnsi="Arial" w:cs="Arial"/>
                <w:b/>
                <w:bCs/>
                <w:color w:val="000000"/>
                <w:sz w:val="14"/>
                <w:szCs w:val="14"/>
              </w:rPr>
              <w:t>As Reported</w:t>
            </w:r>
          </w:p>
        </w:tc>
      </w:tr>
      <w:tr w:rsidR="009F6D8A" w14:paraId="64304D08" w14:textId="77777777">
        <w:tc>
          <w:tcPr>
            <w:tcW w:w="0" w:type="auto"/>
            <w:gridSpan w:val="3"/>
            <w:shd w:val="clear" w:color="auto" w:fill="E2E2E2"/>
            <w:tcMar>
              <w:top w:w="40" w:type="dxa"/>
              <w:left w:w="20" w:type="dxa"/>
              <w:bottom w:w="40" w:type="dxa"/>
              <w:right w:w="20" w:type="dxa"/>
            </w:tcMar>
            <w:vAlign w:val="bottom"/>
          </w:tcPr>
          <w:p w14:paraId="64304CF2" w14:textId="77777777" w:rsidR="009F6D8A" w:rsidRDefault="00C50974">
            <w:pPr>
              <w:textAlignment w:val="bottom"/>
            </w:pPr>
            <w:r>
              <w:rPr>
                <w:rFonts w:ascii="Arial" w:eastAsia="宋体" w:hAnsi="Arial" w:cs="Arial"/>
                <w:color w:val="000000"/>
                <w:sz w:val="16"/>
                <w:szCs w:val="16"/>
              </w:rPr>
              <w:t>U.S.</w:t>
            </w:r>
          </w:p>
        </w:tc>
        <w:tc>
          <w:tcPr>
            <w:tcW w:w="0" w:type="auto"/>
            <w:shd w:val="clear" w:color="auto" w:fill="E2E2E2"/>
            <w:tcMar>
              <w:top w:w="40" w:type="dxa"/>
              <w:left w:w="20" w:type="dxa"/>
              <w:bottom w:w="40" w:type="dxa"/>
              <w:right w:w="0" w:type="dxa"/>
            </w:tcMar>
            <w:vAlign w:val="bottom"/>
          </w:tcPr>
          <w:p w14:paraId="64304CF3"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64304CF4" w14:textId="77777777" w:rsidR="009F6D8A" w:rsidRDefault="00C50974">
            <w:pPr>
              <w:jc w:val="right"/>
              <w:textAlignment w:val="bottom"/>
            </w:pPr>
            <w:r>
              <w:rPr>
                <w:rFonts w:ascii="Arial" w:eastAsia="宋体" w:hAnsi="Arial" w:cs="Arial"/>
                <w:color w:val="000000"/>
                <w:sz w:val="16"/>
                <w:szCs w:val="16"/>
              </w:rPr>
              <w:t>1,304 </w:t>
            </w:r>
          </w:p>
        </w:tc>
        <w:tc>
          <w:tcPr>
            <w:tcW w:w="0" w:type="auto"/>
            <w:shd w:val="clear" w:color="auto" w:fill="E2E2E2"/>
            <w:tcMar>
              <w:top w:w="40" w:type="dxa"/>
              <w:left w:w="0" w:type="dxa"/>
              <w:bottom w:w="40" w:type="dxa"/>
              <w:right w:w="20" w:type="dxa"/>
            </w:tcMar>
            <w:vAlign w:val="bottom"/>
          </w:tcPr>
          <w:p w14:paraId="64304CF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CF6"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4CF7"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64304CF8" w14:textId="77777777" w:rsidR="009F6D8A" w:rsidRDefault="00C50974">
            <w:pPr>
              <w:jc w:val="right"/>
              <w:textAlignment w:val="bottom"/>
            </w:pPr>
            <w:r>
              <w:rPr>
                <w:rFonts w:ascii="Arial" w:eastAsia="宋体" w:hAnsi="Arial" w:cs="Arial"/>
                <w:color w:val="000000"/>
                <w:sz w:val="16"/>
                <w:szCs w:val="16"/>
              </w:rPr>
              <w:t>1,086 </w:t>
            </w:r>
          </w:p>
        </w:tc>
        <w:tc>
          <w:tcPr>
            <w:tcW w:w="0" w:type="auto"/>
            <w:shd w:val="clear" w:color="auto" w:fill="E2E2E2"/>
            <w:tcMar>
              <w:top w:w="40" w:type="dxa"/>
              <w:left w:w="0" w:type="dxa"/>
              <w:bottom w:w="40" w:type="dxa"/>
              <w:right w:w="20" w:type="dxa"/>
            </w:tcMar>
            <w:vAlign w:val="bottom"/>
          </w:tcPr>
          <w:p w14:paraId="64304CF9"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CFA"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CFB" w14:textId="77777777" w:rsidR="009F6D8A" w:rsidRDefault="00C50974">
            <w:pPr>
              <w:jc w:val="right"/>
              <w:textAlignment w:val="bottom"/>
            </w:pPr>
            <w:r>
              <w:rPr>
                <w:rFonts w:ascii="Arial" w:eastAsia="宋体" w:hAnsi="Arial" w:cs="Arial"/>
                <w:color w:val="000000"/>
                <w:sz w:val="16"/>
                <w:szCs w:val="16"/>
              </w:rPr>
              <w:t>20 </w:t>
            </w:r>
          </w:p>
        </w:tc>
        <w:tc>
          <w:tcPr>
            <w:tcW w:w="0" w:type="auto"/>
            <w:shd w:val="clear" w:color="auto" w:fill="E2E2E2"/>
            <w:tcMar>
              <w:top w:w="40" w:type="dxa"/>
              <w:left w:w="0" w:type="dxa"/>
              <w:bottom w:w="40" w:type="dxa"/>
              <w:right w:w="20" w:type="dxa"/>
            </w:tcMar>
            <w:vAlign w:val="bottom"/>
          </w:tcPr>
          <w:p w14:paraId="64304CFC"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CFD"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4CFE"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64304CFF" w14:textId="77777777" w:rsidR="009F6D8A" w:rsidRDefault="00C50974">
            <w:pPr>
              <w:jc w:val="right"/>
              <w:textAlignment w:val="bottom"/>
            </w:pPr>
            <w:r>
              <w:rPr>
                <w:rFonts w:ascii="Arial" w:eastAsia="宋体" w:hAnsi="Arial" w:cs="Arial"/>
                <w:color w:val="000000"/>
                <w:sz w:val="16"/>
                <w:szCs w:val="16"/>
              </w:rPr>
              <w:t>2,600 </w:t>
            </w:r>
          </w:p>
        </w:tc>
        <w:tc>
          <w:tcPr>
            <w:tcW w:w="0" w:type="auto"/>
            <w:shd w:val="clear" w:color="auto" w:fill="E2E2E2"/>
            <w:tcMar>
              <w:top w:w="40" w:type="dxa"/>
              <w:left w:w="0" w:type="dxa"/>
              <w:bottom w:w="40" w:type="dxa"/>
              <w:right w:w="20" w:type="dxa"/>
            </w:tcMar>
            <w:vAlign w:val="bottom"/>
          </w:tcPr>
          <w:p w14:paraId="64304D00" w14:textId="77777777" w:rsidR="009F6D8A" w:rsidRDefault="009F6D8A">
            <w:pPr>
              <w:jc w:val="right"/>
              <w:rPr>
                <w:rFonts w:ascii="宋体"/>
              </w:rPr>
            </w:pPr>
          </w:p>
        </w:tc>
        <w:tc>
          <w:tcPr>
            <w:tcW w:w="0" w:type="auto"/>
            <w:gridSpan w:val="3"/>
            <w:shd w:val="clear" w:color="auto" w:fill="E2E2E2"/>
            <w:tcMar>
              <w:top w:w="40" w:type="dxa"/>
              <w:left w:w="20" w:type="dxa"/>
              <w:bottom w:w="40" w:type="dxa"/>
              <w:right w:w="20" w:type="dxa"/>
            </w:tcMar>
            <w:vAlign w:val="bottom"/>
          </w:tcPr>
          <w:p w14:paraId="64304D01" w14:textId="77777777" w:rsidR="009F6D8A" w:rsidRDefault="00C50974">
            <w:pPr>
              <w:jc w:val="right"/>
              <w:textAlignment w:val="bottom"/>
            </w:pPr>
            <w:r>
              <w:rPr>
                <w:rFonts w:ascii="Arial" w:eastAsia="宋体" w:hAnsi="Arial" w:cs="Arial"/>
                <w:color w:val="000000"/>
                <w:sz w:val="16"/>
                <w:szCs w:val="16"/>
              </w:rPr>
              <w:t>  </w:t>
            </w:r>
          </w:p>
        </w:tc>
        <w:tc>
          <w:tcPr>
            <w:tcW w:w="0" w:type="auto"/>
            <w:shd w:val="clear" w:color="auto" w:fill="E2E2E2"/>
            <w:tcMar>
              <w:top w:w="40" w:type="dxa"/>
              <w:left w:w="20" w:type="dxa"/>
              <w:bottom w:w="40" w:type="dxa"/>
              <w:right w:w="0" w:type="dxa"/>
            </w:tcMar>
            <w:vAlign w:val="bottom"/>
          </w:tcPr>
          <w:p w14:paraId="64304D02"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64304D03" w14:textId="77777777" w:rsidR="009F6D8A" w:rsidRDefault="00C50974">
            <w:pPr>
              <w:jc w:val="right"/>
              <w:textAlignment w:val="bottom"/>
            </w:pPr>
            <w:r>
              <w:rPr>
                <w:rFonts w:ascii="Arial" w:eastAsia="宋体" w:hAnsi="Arial" w:cs="Arial"/>
                <w:color w:val="000000"/>
                <w:sz w:val="16"/>
                <w:szCs w:val="16"/>
              </w:rPr>
              <w:t>1,908 </w:t>
            </w:r>
          </w:p>
        </w:tc>
        <w:tc>
          <w:tcPr>
            <w:tcW w:w="0" w:type="auto"/>
            <w:shd w:val="clear" w:color="auto" w:fill="E2E2E2"/>
            <w:tcMar>
              <w:top w:w="40" w:type="dxa"/>
              <w:left w:w="0" w:type="dxa"/>
              <w:bottom w:w="40" w:type="dxa"/>
              <w:right w:w="20" w:type="dxa"/>
            </w:tcMar>
            <w:vAlign w:val="bottom"/>
          </w:tcPr>
          <w:p w14:paraId="64304D04"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D05"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D06" w14:textId="77777777" w:rsidR="009F6D8A" w:rsidRDefault="00C50974">
            <w:pPr>
              <w:jc w:val="right"/>
              <w:textAlignment w:val="bottom"/>
            </w:pPr>
            <w:r>
              <w:rPr>
                <w:rFonts w:ascii="Arial" w:eastAsia="宋体" w:hAnsi="Arial" w:cs="Arial"/>
                <w:color w:val="000000"/>
                <w:sz w:val="16"/>
                <w:szCs w:val="16"/>
              </w:rPr>
              <w:t>36 </w:t>
            </w:r>
          </w:p>
        </w:tc>
        <w:tc>
          <w:tcPr>
            <w:tcW w:w="0" w:type="auto"/>
            <w:shd w:val="clear" w:color="auto" w:fill="E2E2E2"/>
            <w:tcMar>
              <w:top w:w="40" w:type="dxa"/>
              <w:left w:w="0" w:type="dxa"/>
              <w:bottom w:w="40" w:type="dxa"/>
              <w:right w:w="20" w:type="dxa"/>
            </w:tcMar>
            <w:vAlign w:val="bottom"/>
          </w:tcPr>
          <w:p w14:paraId="64304D07" w14:textId="77777777" w:rsidR="009F6D8A" w:rsidRDefault="00C50974">
            <w:pPr>
              <w:jc w:val="right"/>
              <w:textAlignment w:val="bottom"/>
            </w:pPr>
            <w:r>
              <w:rPr>
                <w:rFonts w:ascii="Arial" w:eastAsia="宋体" w:hAnsi="Arial" w:cs="Arial"/>
                <w:color w:val="000000"/>
                <w:sz w:val="16"/>
                <w:szCs w:val="16"/>
              </w:rPr>
              <w:t>%</w:t>
            </w:r>
          </w:p>
        </w:tc>
      </w:tr>
      <w:tr w:rsidR="009F6D8A" w14:paraId="64304D19" w14:textId="77777777">
        <w:tc>
          <w:tcPr>
            <w:tcW w:w="0" w:type="auto"/>
            <w:gridSpan w:val="3"/>
            <w:shd w:val="clear" w:color="auto" w:fill="FFFFFF"/>
            <w:tcMar>
              <w:top w:w="40" w:type="dxa"/>
              <w:left w:w="20" w:type="dxa"/>
              <w:bottom w:w="40" w:type="dxa"/>
              <w:right w:w="20" w:type="dxa"/>
            </w:tcMar>
            <w:vAlign w:val="bottom"/>
          </w:tcPr>
          <w:p w14:paraId="64304D09" w14:textId="77777777" w:rsidR="009F6D8A" w:rsidRDefault="00C50974">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64304D0A" w14:textId="77777777" w:rsidR="009F6D8A" w:rsidRDefault="00C50974">
            <w:pPr>
              <w:jc w:val="right"/>
              <w:textAlignment w:val="bottom"/>
            </w:pPr>
            <w:r>
              <w:rPr>
                <w:rFonts w:ascii="Arial" w:eastAsia="宋体" w:hAnsi="Arial" w:cs="Arial"/>
                <w:i/>
                <w:iCs/>
                <w:color w:val="000000"/>
                <w:sz w:val="16"/>
                <w:szCs w:val="16"/>
              </w:rPr>
              <w:t>49 </w:t>
            </w:r>
          </w:p>
        </w:tc>
        <w:tc>
          <w:tcPr>
            <w:tcW w:w="0" w:type="auto"/>
            <w:shd w:val="clear" w:color="auto" w:fill="FFFFFF"/>
            <w:tcMar>
              <w:top w:w="40" w:type="dxa"/>
              <w:left w:w="0" w:type="dxa"/>
              <w:bottom w:w="40" w:type="dxa"/>
              <w:right w:w="20" w:type="dxa"/>
            </w:tcMar>
            <w:vAlign w:val="bottom"/>
          </w:tcPr>
          <w:p w14:paraId="64304D0B"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4D0C"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D0D" w14:textId="77777777" w:rsidR="009F6D8A" w:rsidRDefault="00C50974">
            <w:pPr>
              <w:jc w:val="right"/>
              <w:textAlignment w:val="bottom"/>
            </w:pPr>
            <w:r>
              <w:rPr>
                <w:rFonts w:ascii="Arial" w:eastAsia="宋体" w:hAnsi="Arial" w:cs="Arial"/>
                <w:i/>
                <w:iCs/>
                <w:color w:val="000000"/>
                <w:sz w:val="16"/>
                <w:szCs w:val="16"/>
              </w:rPr>
              <w:t>46 </w:t>
            </w:r>
          </w:p>
        </w:tc>
        <w:tc>
          <w:tcPr>
            <w:tcW w:w="0" w:type="auto"/>
            <w:shd w:val="clear" w:color="auto" w:fill="FFFFFF"/>
            <w:tcMar>
              <w:top w:w="40" w:type="dxa"/>
              <w:left w:w="0" w:type="dxa"/>
              <w:bottom w:w="40" w:type="dxa"/>
              <w:right w:w="20" w:type="dxa"/>
            </w:tcMar>
            <w:vAlign w:val="bottom"/>
          </w:tcPr>
          <w:p w14:paraId="64304D0E"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4D0F"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D1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D11"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D12" w14:textId="77777777" w:rsidR="009F6D8A" w:rsidRDefault="00C50974">
            <w:pPr>
              <w:jc w:val="right"/>
              <w:textAlignment w:val="bottom"/>
            </w:pPr>
            <w:r>
              <w:rPr>
                <w:rFonts w:ascii="Arial" w:eastAsia="宋体" w:hAnsi="Arial" w:cs="Arial"/>
                <w:i/>
                <w:iCs/>
                <w:color w:val="000000"/>
                <w:sz w:val="16"/>
                <w:szCs w:val="16"/>
              </w:rPr>
              <w:t>49 </w:t>
            </w:r>
          </w:p>
        </w:tc>
        <w:tc>
          <w:tcPr>
            <w:tcW w:w="0" w:type="auto"/>
            <w:shd w:val="clear" w:color="auto" w:fill="FFFFFF"/>
            <w:tcMar>
              <w:top w:w="40" w:type="dxa"/>
              <w:left w:w="0" w:type="dxa"/>
              <w:bottom w:w="40" w:type="dxa"/>
              <w:right w:w="20" w:type="dxa"/>
            </w:tcMar>
            <w:vAlign w:val="bottom"/>
          </w:tcPr>
          <w:p w14:paraId="64304D13"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4D1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D15" w14:textId="77777777" w:rsidR="009F6D8A" w:rsidRDefault="00C50974">
            <w:pPr>
              <w:jc w:val="right"/>
              <w:textAlignment w:val="bottom"/>
            </w:pPr>
            <w:r>
              <w:rPr>
                <w:rFonts w:ascii="Arial" w:eastAsia="宋体" w:hAnsi="Arial" w:cs="Arial"/>
                <w:i/>
                <w:iCs/>
                <w:color w:val="000000"/>
                <w:sz w:val="16"/>
                <w:szCs w:val="16"/>
              </w:rPr>
              <w:t>46 </w:t>
            </w:r>
          </w:p>
        </w:tc>
        <w:tc>
          <w:tcPr>
            <w:tcW w:w="0" w:type="auto"/>
            <w:shd w:val="clear" w:color="auto" w:fill="FFFFFF"/>
            <w:tcMar>
              <w:top w:w="40" w:type="dxa"/>
              <w:left w:w="0" w:type="dxa"/>
              <w:bottom w:w="40" w:type="dxa"/>
              <w:right w:w="20" w:type="dxa"/>
            </w:tcMar>
            <w:vAlign w:val="bottom"/>
          </w:tcPr>
          <w:p w14:paraId="64304D16"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4D17"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D18" w14:textId="77777777" w:rsidR="009F6D8A" w:rsidRDefault="009F6D8A">
            <w:pPr>
              <w:rPr>
                <w:rFonts w:ascii="宋体"/>
              </w:rPr>
            </w:pPr>
          </w:p>
        </w:tc>
      </w:tr>
      <w:tr w:rsidR="009F6D8A" w14:paraId="64304D26" w14:textId="77777777">
        <w:trPr>
          <w:trHeight w:val="240"/>
        </w:trPr>
        <w:tc>
          <w:tcPr>
            <w:tcW w:w="0" w:type="auto"/>
            <w:gridSpan w:val="3"/>
            <w:shd w:val="clear" w:color="auto" w:fill="E2E2E2"/>
            <w:tcMar>
              <w:top w:w="0" w:type="dxa"/>
              <w:left w:w="20" w:type="dxa"/>
              <w:bottom w:w="0" w:type="dxa"/>
              <w:right w:w="20" w:type="dxa"/>
            </w:tcMar>
            <w:vAlign w:val="bottom"/>
          </w:tcPr>
          <w:p w14:paraId="64304D1A"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D1B"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D1C"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D1D"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D1E"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D1F"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D20"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D21"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D22"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D23"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D24"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D25" w14:textId="77777777" w:rsidR="009F6D8A" w:rsidRDefault="009F6D8A">
            <w:pPr>
              <w:rPr>
                <w:rFonts w:ascii="宋体"/>
              </w:rPr>
            </w:pPr>
          </w:p>
        </w:tc>
      </w:tr>
      <w:tr w:rsidR="009F6D8A" w14:paraId="64304D39" w14:textId="77777777">
        <w:tc>
          <w:tcPr>
            <w:tcW w:w="0" w:type="auto"/>
            <w:gridSpan w:val="3"/>
            <w:shd w:val="clear" w:color="auto" w:fill="FFFFFF"/>
            <w:tcMar>
              <w:top w:w="40" w:type="dxa"/>
              <w:left w:w="20" w:type="dxa"/>
              <w:bottom w:w="40" w:type="dxa"/>
              <w:right w:w="20" w:type="dxa"/>
            </w:tcMar>
            <w:vAlign w:val="bottom"/>
          </w:tcPr>
          <w:p w14:paraId="64304D27" w14:textId="77777777" w:rsidR="009F6D8A" w:rsidRDefault="00C50974">
            <w:pPr>
              <w:textAlignment w:val="bottom"/>
            </w:pPr>
            <w:r>
              <w:rPr>
                <w:rFonts w:ascii="Arial" w:eastAsia="宋体" w:hAnsi="Arial" w:cs="Arial"/>
                <w:color w:val="000000"/>
                <w:sz w:val="16"/>
                <w:szCs w:val="16"/>
              </w:rPr>
              <w:t>International</w:t>
            </w:r>
          </w:p>
        </w:tc>
        <w:tc>
          <w:tcPr>
            <w:tcW w:w="0" w:type="auto"/>
            <w:gridSpan w:val="2"/>
            <w:shd w:val="clear" w:color="auto" w:fill="FFFFFF"/>
            <w:tcMar>
              <w:top w:w="40" w:type="dxa"/>
              <w:left w:w="20" w:type="dxa"/>
              <w:bottom w:w="40" w:type="dxa"/>
              <w:right w:w="0" w:type="dxa"/>
            </w:tcMar>
            <w:vAlign w:val="bottom"/>
          </w:tcPr>
          <w:p w14:paraId="64304D28" w14:textId="77777777" w:rsidR="009F6D8A" w:rsidRDefault="00C50974">
            <w:pPr>
              <w:jc w:val="right"/>
              <w:textAlignment w:val="bottom"/>
            </w:pPr>
            <w:r>
              <w:rPr>
                <w:rFonts w:ascii="Arial" w:eastAsia="宋体" w:hAnsi="Arial" w:cs="Arial"/>
                <w:color w:val="000000"/>
                <w:sz w:val="16"/>
                <w:szCs w:val="16"/>
              </w:rPr>
              <w:t>1,364 </w:t>
            </w:r>
          </w:p>
        </w:tc>
        <w:tc>
          <w:tcPr>
            <w:tcW w:w="0" w:type="auto"/>
            <w:shd w:val="clear" w:color="auto" w:fill="FFFFFF"/>
            <w:tcMar>
              <w:top w:w="40" w:type="dxa"/>
              <w:left w:w="0" w:type="dxa"/>
              <w:bottom w:w="40" w:type="dxa"/>
              <w:right w:w="20" w:type="dxa"/>
            </w:tcMar>
            <w:vAlign w:val="bottom"/>
          </w:tcPr>
          <w:p w14:paraId="64304D2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D2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D2B" w14:textId="77777777" w:rsidR="009F6D8A" w:rsidRDefault="00C50974">
            <w:pPr>
              <w:jc w:val="right"/>
              <w:textAlignment w:val="bottom"/>
            </w:pPr>
            <w:r>
              <w:rPr>
                <w:rFonts w:ascii="Arial" w:eastAsia="宋体" w:hAnsi="Arial" w:cs="Arial"/>
                <w:color w:val="000000"/>
                <w:sz w:val="16"/>
                <w:szCs w:val="16"/>
              </w:rPr>
              <w:t>1,251 </w:t>
            </w:r>
          </w:p>
        </w:tc>
        <w:tc>
          <w:tcPr>
            <w:tcW w:w="0" w:type="auto"/>
            <w:shd w:val="clear" w:color="auto" w:fill="FFFFFF"/>
            <w:tcMar>
              <w:top w:w="40" w:type="dxa"/>
              <w:left w:w="0" w:type="dxa"/>
              <w:bottom w:w="40" w:type="dxa"/>
              <w:right w:w="20" w:type="dxa"/>
            </w:tcMar>
            <w:vAlign w:val="bottom"/>
          </w:tcPr>
          <w:p w14:paraId="64304D2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D2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D2E" w14:textId="77777777" w:rsidR="009F6D8A" w:rsidRDefault="00C50974">
            <w:pPr>
              <w:jc w:val="right"/>
              <w:textAlignment w:val="bottom"/>
            </w:pPr>
            <w:r>
              <w:rPr>
                <w:rFonts w:ascii="Arial" w:eastAsia="宋体" w:hAnsi="Arial" w:cs="Arial"/>
                <w:color w:val="000000"/>
                <w:sz w:val="16"/>
                <w:szCs w:val="16"/>
              </w:rPr>
              <w:t>9 </w:t>
            </w:r>
          </w:p>
        </w:tc>
        <w:tc>
          <w:tcPr>
            <w:tcW w:w="0" w:type="auto"/>
            <w:shd w:val="clear" w:color="auto" w:fill="FFFFFF"/>
            <w:tcMar>
              <w:top w:w="40" w:type="dxa"/>
              <w:left w:w="0" w:type="dxa"/>
              <w:bottom w:w="40" w:type="dxa"/>
              <w:right w:w="20" w:type="dxa"/>
            </w:tcMar>
            <w:vAlign w:val="bottom"/>
          </w:tcPr>
          <w:p w14:paraId="64304D2F"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4D30"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D31" w14:textId="77777777" w:rsidR="009F6D8A" w:rsidRDefault="00C50974">
            <w:pPr>
              <w:jc w:val="right"/>
              <w:textAlignment w:val="bottom"/>
            </w:pPr>
            <w:r>
              <w:rPr>
                <w:rFonts w:ascii="Arial" w:eastAsia="宋体" w:hAnsi="Arial" w:cs="Arial"/>
                <w:color w:val="000000"/>
                <w:sz w:val="16"/>
                <w:szCs w:val="16"/>
              </w:rPr>
              <w:t>2,706 </w:t>
            </w:r>
          </w:p>
        </w:tc>
        <w:tc>
          <w:tcPr>
            <w:tcW w:w="0" w:type="auto"/>
            <w:shd w:val="clear" w:color="auto" w:fill="FFFFFF"/>
            <w:tcMar>
              <w:top w:w="40" w:type="dxa"/>
              <w:left w:w="0" w:type="dxa"/>
              <w:bottom w:w="40" w:type="dxa"/>
              <w:right w:w="20" w:type="dxa"/>
            </w:tcMar>
            <w:vAlign w:val="bottom"/>
          </w:tcPr>
          <w:p w14:paraId="64304D32"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D33"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D34" w14:textId="77777777" w:rsidR="009F6D8A" w:rsidRDefault="00C50974">
            <w:pPr>
              <w:jc w:val="right"/>
              <w:textAlignment w:val="bottom"/>
            </w:pPr>
            <w:r>
              <w:rPr>
                <w:rFonts w:ascii="Arial" w:eastAsia="宋体" w:hAnsi="Arial" w:cs="Arial"/>
                <w:color w:val="000000"/>
                <w:sz w:val="16"/>
                <w:szCs w:val="16"/>
              </w:rPr>
              <w:t>2,250 </w:t>
            </w:r>
          </w:p>
        </w:tc>
        <w:tc>
          <w:tcPr>
            <w:tcW w:w="0" w:type="auto"/>
            <w:shd w:val="clear" w:color="auto" w:fill="FFFFFF"/>
            <w:tcMar>
              <w:top w:w="40" w:type="dxa"/>
              <w:left w:w="0" w:type="dxa"/>
              <w:bottom w:w="40" w:type="dxa"/>
              <w:right w:w="20" w:type="dxa"/>
            </w:tcMar>
            <w:vAlign w:val="bottom"/>
          </w:tcPr>
          <w:p w14:paraId="64304D3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D3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D37" w14:textId="77777777" w:rsidR="009F6D8A" w:rsidRDefault="00C50974">
            <w:pPr>
              <w:jc w:val="right"/>
              <w:textAlignment w:val="bottom"/>
            </w:pPr>
            <w:r>
              <w:rPr>
                <w:rFonts w:ascii="Arial" w:eastAsia="宋体" w:hAnsi="Arial" w:cs="Arial"/>
                <w:color w:val="000000"/>
                <w:sz w:val="16"/>
                <w:szCs w:val="16"/>
              </w:rPr>
              <w:t>20 </w:t>
            </w:r>
          </w:p>
        </w:tc>
        <w:tc>
          <w:tcPr>
            <w:tcW w:w="0" w:type="auto"/>
            <w:shd w:val="clear" w:color="auto" w:fill="FFFFFF"/>
            <w:tcMar>
              <w:top w:w="40" w:type="dxa"/>
              <w:left w:w="0" w:type="dxa"/>
              <w:bottom w:w="40" w:type="dxa"/>
              <w:right w:w="20" w:type="dxa"/>
            </w:tcMar>
            <w:vAlign w:val="bottom"/>
          </w:tcPr>
          <w:p w14:paraId="64304D38" w14:textId="77777777" w:rsidR="009F6D8A" w:rsidRDefault="00C50974">
            <w:pPr>
              <w:jc w:val="right"/>
              <w:textAlignment w:val="bottom"/>
            </w:pPr>
            <w:r>
              <w:rPr>
                <w:rFonts w:ascii="Arial" w:eastAsia="宋体" w:hAnsi="Arial" w:cs="Arial"/>
                <w:color w:val="000000"/>
                <w:sz w:val="16"/>
                <w:szCs w:val="16"/>
              </w:rPr>
              <w:t>%</w:t>
            </w:r>
          </w:p>
        </w:tc>
      </w:tr>
      <w:tr w:rsidR="009F6D8A" w14:paraId="64304D4A" w14:textId="77777777">
        <w:tc>
          <w:tcPr>
            <w:tcW w:w="0" w:type="auto"/>
            <w:gridSpan w:val="3"/>
            <w:shd w:val="clear" w:color="auto" w:fill="E2E2E2"/>
            <w:tcMar>
              <w:top w:w="40" w:type="dxa"/>
              <w:left w:w="20" w:type="dxa"/>
              <w:bottom w:w="40" w:type="dxa"/>
              <w:right w:w="20" w:type="dxa"/>
            </w:tcMar>
            <w:vAlign w:val="bottom"/>
          </w:tcPr>
          <w:p w14:paraId="64304D3A" w14:textId="77777777" w:rsidR="009F6D8A" w:rsidRDefault="00C50974">
            <w:pPr>
              <w:textAlignment w:val="bottom"/>
            </w:pPr>
            <w:r>
              <w:rPr>
                <w:rFonts w:ascii="Arial" w:eastAsia="宋体" w:hAnsi="Arial" w:cs="Arial"/>
                <w:i/>
                <w:iCs/>
                <w:color w:val="000000"/>
                <w:sz w:val="16"/>
                <w:szCs w:val="16"/>
              </w:rPr>
              <w:t>Percentage of net revenues</w:t>
            </w:r>
          </w:p>
        </w:tc>
        <w:tc>
          <w:tcPr>
            <w:tcW w:w="0" w:type="auto"/>
            <w:gridSpan w:val="2"/>
            <w:shd w:val="clear" w:color="auto" w:fill="E2E2E2"/>
            <w:tcMar>
              <w:top w:w="40" w:type="dxa"/>
              <w:left w:w="20" w:type="dxa"/>
              <w:bottom w:w="40" w:type="dxa"/>
              <w:right w:w="0" w:type="dxa"/>
            </w:tcMar>
            <w:vAlign w:val="bottom"/>
          </w:tcPr>
          <w:p w14:paraId="64304D3B" w14:textId="77777777" w:rsidR="009F6D8A" w:rsidRDefault="00C50974">
            <w:pPr>
              <w:jc w:val="right"/>
              <w:textAlignment w:val="bottom"/>
            </w:pPr>
            <w:r>
              <w:rPr>
                <w:rFonts w:ascii="Arial" w:eastAsia="宋体" w:hAnsi="Arial" w:cs="Arial"/>
                <w:i/>
                <w:iCs/>
                <w:color w:val="000000"/>
                <w:sz w:val="16"/>
                <w:szCs w:val="16"/>
              </w:rPr>
              <w:t>51 </w:t>
            </w:r>
          </w:p>
        </w:tc>
        <w:tc>
          <w:tcPr>
            <w:tcW w:w="0" w:type="auto"/>
            <w:shd w:val="clear" w:color="auto" w:fill="E2E2E2"/>
            <w:tcMar>
              <w:top w:w="40" w:type="dxa"/>
              <w:left w:w="0" w:type="dxa"/>
              <w:bottom w:w="40" w:type="dxa"/>
              <w:right w:w="20" w:type="dxa"/>
            </w:tcMar>
            <w:vAlign w:val="bottom"/>
          </w:tcPr>
          <w:p w14:paraId="64304D3C"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D3D"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D3E" w14:textId="77777777" w:rsidR="009F6D8A" w:rsidRDefault="00C50974">
            <w:pPr>
              <w:jc w:val="right"/>
              <w:textAlignment w:val="bottom"/>
            </w:pPr>
            <w:r>
              <w:rPr>
                <w:rFonts w:ascii="Arial" w:eastAsia="宋体" w:hAnsi="Arial" w:cs="Arial"/>
                <w:i/>
                <w:iCs/>
                <w:color w:val="000000"/>
                <w:sz w:val="16"/>
                <w:szCs w:val="16"/>
              </w:rPr>
              <w:t>54 </w:t>
            </w:r>
          </w:p>
        </w:tc>
        <w:tc>
          <w:tcPr>
            <w:tcW w:w="0" w:type="auto"/>
            <w:shd w:val="clear" w:color="auto" w:fill="E2E2E2"/>
            <w:tcMar>
              <w:top w:w="40" w:type="dxa"/>
              <w:left w:w="0" w:type="dxa"/>
              <w:bottom w:w="40" w:type="dxa"/>
              <w:right w:w="20" w:type="dxa"/>
            </w:tcMar>
            <w:vAlign w:val="bottom"/>
          </w:tcPr>
          <w:p w14:paraId="64304D3F"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D40"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D41"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D42"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D43" w14:textId="77777777" w:rsidR="009F6D8A" w:rsidRDefault="00C50974">
            <w:pPr>
              <w:jc w:val="right"/>
              <w:textAlignment w:val="bottom"/>
            </w:pPr>
            <w:r>
              <w:rPr>
                <w:rFonts w:ascii="Arial" w:eastAsia="宋体" w:hAnsi="Arial" w:cs="Arial"/>
                <w:i/>
                <w:iCs/>
                <w:color w:val="000000"/>
                <w:sz w:val="16"/>
                <w:szCs w:val="16"/>
              </w:rPr>
              <w:t>51 </w:t>
            </w:r>
          </w:p>
        </w:tc>
        <w:tc>
          <w:tcPr>
            <w:tcW w:w="0" w:type="auto"/>
            <w:shd w:val="clear" w:color="auto" w:fill="E2E2E2"/>
            <w:tcMar>
              <w:top w:w="40" w:type="dxa"/>
              <w:left w:w="0" w:type="dxa"/>
              <w:bottom w:w="40" w:type="dxa"/>
              <w:right w:w="20" w:type="dxa"/>
            </w:tcMar>
            <w:vAlign w:val="bottom"/>
          </w:tcPr>
          <w:p w14:paraId="64304D44"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D45"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D46" w14:textId="77777777" w:rsidR="009F6D8A" w:rsidRDefault="00C50974">
            <w:pPr>
              <w:jc w:val="right"/>
              <w:textAlignment w:val="bottom"/>
            </w:pPr>
            <w:r>
              <w:rPr>
                <w:rFonts w:ascii="Arial" w:eastAsia="宋体" w:hAnsi="Arial" w:cs="Arial"/>
                <w:i/>
                <w:iCs/>
                <w:color w:val="000000"/>
                <w:sz w:val="16"/>
                <w:szCs w:val="16"/>
              </w:rPr>
              <w:t>54 </w:t>
            </w:r>
          </w:p>
        </w:tc>
        <w:tc>
          <w:tcPr>
            <w:tcW w:w="0" w:type="auto"/>
            <w:shd w:val="clear" w:color="auto" w:fill="E2E2E2"/>
            <w:tcMar>
              <w:top w:w="40" w:type="dxa"/>
              <w:left w:w="0" w:type="dxa"/>
              <w:bottom w:w="40" w:type="dxa"/>
              <w:right w:w="20" w:type="dxa"/>
            </w:tcMar>
            <w:vAlign w:val="bottom"/>
          </w:tcPr>
          <w:p w14:paraId="64304D47"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D48"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D49" w14:textId="77777777" w:rsidR="009F6D8A" w:rsidRDefault="009F6D8A">
            <w:pPr>
              <w:rPr>
                <w:rFonts w:ascii="宋体"/>
              </w:rPr>
            </w:pPr>
          </w:p>
        </w:tc>
      </w:tr>
      <w:tr w:rsidR="009F6D8A" w14:paraId="64304D57" w14:textId="77777777">
        <w:trPr>
          <w:trHeight w:val="240"/>
        </w:trPr>
        <w:tc>
          <w:tcPr>
            <w:tcW w:w="0" w:type="auto"/>
            <w:gridSpan w:val="3"/>
            <w:shd w:val="clear" w:color="auto" w:fill="FFFFFF"/>
            <w:tcMar>
              <w:top w:w="0" w:type="dxa"/>
              <w:left w:w="20" w:type="dxa"/>
              <w:bottom w:w="0" w:type="dxa"/>
              <w:right w:w="20" w:type="dxa"/>
            </w:tcMar>
            <w:vAlign w:val="bottom"/>
          </w:tcPr>
          <w:p w14:paraId="64304D4B"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D4C"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D4D"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D4E"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D4F"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D5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D51"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D52"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D53"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D54"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D55"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D56" w14:textId="77777777" w:rsidR="009F6D8A" w:rsidRDefault="009F6D8A">
            <w:pPr>
              <w:rPr>
                <w:rFonts w:ascii="宋体"/>
              </w:rPr>
            </w:pPr>
          </w:p>
        </w:tc>
      </w:tr>
      <w:tr w:rsidR="009F6D8A" w14:paraId="64304D6E" w14:textId="77777777">
        <w:tc>
          <w:tcPr>
            <w:tcW w:w="0" w:type="auto"/>
            <w:gridSpan w:val="3"/>
            <w:shd w:val="clear" w:color="auto" w:fill="E2E2E2"/>
            <w:tcMar>
              <w:top w:w="40" w:type="dxa"/>
              <w:left w:w="155" w:type="dxa"/>
              <w:bottom w:w="40" w:type="dxa"/>
              <w:right w:w="20" w:type="dxa"/>
            </w:tcMar>
            <w:vAlign w:val="bottom"/>
          </w:tcPr>
          <w:p w14:paraId="64304D58" w14:textId="77777777" w:rsidR="009F6D8A" w:rsidRDefault="00C50974">
            <w:pPr>
              <w:textAlignment w:val="bottom"/>
            </w:pPr>
            <w:r>
              <w:rPr>
                <w:rFonts w:ascii="Arial" w:eastAsia="宋体" w:hAnsi="Arial" w:cs="Arial"/>
                <w:color w:val="000000"/>
                <w:sz w:val="16"/>
                <w:szCs w:val="16"/>
              </w:rPr>
              <w:t>Total net revenues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D59"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D5A" w14:textId="77777777" w:rsidR="009F6D8A" w:rsidRDefault="00C50974">
            <w:pPr>
              <w:jc w:val="right"/>
              <w:textAlignment w:val="bottom"/>
            </w:pPr>
            <w:r>
              <w:rPr>
                <w:rFonts w:ascii="Arial" w:eastAsia="宋体" w:hAnsi="Arial" w:cs="Arial"/>
                <w:color w:val="000000"/>
                <w:sz w:val="16"/>
                <w:szCs w:val="16"/>
              </w:rPr>
              <w:t>2,668 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D5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D5C"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D5D"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D5E" w14:textId="77777777" w:rsidR="009F6D8A" w:rsidRDefault="00C50974">
            <w:pPr>
              <w:jc w:val="right"/>
              <w:textAlignment w:val="bottom"/>
            </w:pPr>
            <w:r>
              <w:rPr>
                <w:rFonts w:ascii="Arial" w:eastAsia="宋体" w:hAnsi="Arial" w:cs="Arial"/>
                <w:color w:val="000000"/>
                <w:sz w:val="16"/>
                <w:szCs w:val="16"/>
              </w:rPr>
              <w:t>2,337 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D5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D60"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D61" w14:textId="77777777" w:rsidR="009F6D8A" w:rsidRDefault="00C50974">
            <w:pPr>
              <w:jc w:val="right"/>
              <w:textAlignment w:val="bottom"/>
            </w:pPr>
            <w:r>
              <w:rPr>
                <w:rFonts w:ascii="Arial" w:eastAsia="宋体" w:hAnsi="Arial" w:cs="Arial"/>
                <w:color w:val="000000"/>
                <w:sz w:val="16"/>
                <w:szCs w:val="16"/>
              </w:rPr>
              <w:t>14 </w:t>
            </w:r>
          </w:p>
        </w:tc>
        <w:tc>
          <w:tcPr>
            <w:tcW w:w="0" w:type="auto"/>
            <w:shd w:val="clear" w:color="auto" w:fill="E2E2E2"/>
            <w:tcMar>
              <w:top w:w="40" w:type="dxa"/>
              <w:left w:w="0" w:type="dxa"/>
              <w:bottom w:w="40" w:type="dxa"/>
              <w:right w:w="20" w:type="dxa"/>
            </w:tcMar>
            <w:vAlign w:val="bottom"/>
          </w:tcPr>
          <w:p w14:paraId="64304D62"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D63"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D64"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D65" w14:textId="77777777" w:rsidR="009F6D8A" w:rsidRDefault="00C50974">
            <w:pPr>
              <w:jc w:val="right"/>
              <w:textAlignment w:val="bottom"/>
            </w:pPr>
            <w:r>
              <w:rPr>
                <w:rFonts w:ascii="Arial" w:eastAsia="宋体" w:hAnsi="Arial" w:cs="Arial"/>
                <w:color w:val="000000"/>
                <w:sz w:val="16"/>
                <w:szCs w:val="16"/>
              </w:rPr>
              <w:t>5,306 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D6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D67"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D68"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D69" w14:textId="77777777" w:rsidR="009F6D8A" w:rsidRDefault="00C50974">
            <w:pPr>
              <w:jc w:val="right"/>
              <w:textAlignment w:val="bottom"/>
            </w:pPr>
            <w:r>
              <w:rPr>
                <w:rFonts w:ascii="Arial" w:eastAsia="宋体" w:hAnsi="Arial" w:cs="Arial"/>
                <w:color w:val="000000"/>
                <w:sz w:val="16"/>
                <w:szCs w:val="16"/>
              </w:rPr>
              <w:t>4,158 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D6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D6B"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D6C" w14:textId="77777777" w:rsidR="009F6D8A" w:rsidRDefault="00C50974">
            <w:pPr>
              <w:jc w:val="right"/>
              <w:textAlignment w:val="bottom"/>
            </w:pPr>
            <w:r>
              <w:rPr>
                <w:rFonts w:ascii="Arial" w:eastAsia="宋体" w:hAnsi="Arial" w:cs="Arial"/>
                <w:color w:val="000000"/>
                <w:sz w:val="16"/>
                <w:szCs w:val="16"/>
              </w:rPr>
              <w:t>28 </w:t>
            </w:r>
          </w:p>
        </w:tc>
        <w:tc>
          <w:tcPr>
            <w:tcW w:w="0" w:type="auto"/>
            <w:shd w:val="clear" w:color="auto" w:fill="E2E2E2"/>
            <w:tcMar>
              <w:top w:w="40" w:type="dxa"/>
              <w:left w:w="0" w:type="dxa"/>
              <w:bottom w:w="40" w:type="dxa"/>
              <w:right w:w="20" w:type="dxa"/>
            </w:tcMar>
            <w:vAlign w:val="bottom"/>
          </w:tcPr>
          <w:p w14:paraId="64304D6D" w14:textId="77777777" w:rsidR="009F6D8A" w:rsidRDefault="00C50974">
            <w:pPr>
              <w:jc w:val="right"/>
              <w:textAlignment w:val="bottom"/>
            </w:pPr>
            <w:r>
              <w:rPr>
                <w:rFonts w:ascii="Arial" w:eastAsia="宋体" w:hAnsi="Arial" w:cs="Arial"/>
                <w:color w:val="000000"/>
                <w:sz w:val="16"/>
                <w:szCs w:val="16"/>
              </w:rPr>
              <w:t>%</w:t>
            </w:r>
          </w:p>
        </w:tc>
      </w:tr>
    </w:tbl>
    <w:p w14:paraId="64304D6F" w14:textId="77777777" w:rsidR="009F6D8A" w:rsidRDefault="009F6D8A">
      <w:pPr>
        <w:jc w:val="center"/>
      </w:pPr>
    </w:p>
    <w:p w14:paraId="64304D70" w14:textId="77777777" w:rsidR="009F6D8A" w:rsidRDefault="00C50974">
      <w:pPr>
        <w:jc w:val="center"/>
      </w:pPr>
      <w:r>
        <w:rPr>
          <w:rFonts w:ascii="Arial" w:eastAsia="宋体" w:hAnsi="Arial" w:cs="Arial"/>
          <w:color w:val="000000"/>
          <w:sz w:val="20"/>
          <w:szCs w:val="20"/>
        </w:rPr>
        <w:t>40</w:t>
      </w:r>
    </w:p>
    <w:p w14:paraId="64304D71" w14:textId="77777777" w:rsidR="009F6D8A" w:rsidRDefault="00C50974">
      <w:r>
        <w:pict w14:anchorId="6430582B">
          <v:rect id="_x0000_i1064" style="width:415.3pt;height:1.5pt" o:hralign="center" o:hrstd="t" o:hr="t" fillcolor="#a0a0a0" stroked="f"/>
        </w:pict>
      </w:r>
    </w:p>
    <w:p w14:paraId="64304D72" w14:textId="77777777" w:rsidR="009F6D8A" w:rsidRDefault="009F6D8A"/>
    <w:p w14:paraId="64304D73" w14:textId="77777777" w:rsidR="009F6D8A" w:rsidRDefault="009F6D8A">
      <w:pPr>
        <w:ind w:firstLine="540"/>
        <w:jc w:val="both"/>
      </w:pPr>
    </w:p>
    <w:p w14:paraId="64304D74" w14:textId="77777777" w:rsidR="009F6D8A" w:rsidRDefault="00C50974">
      <w:pPr>
        <w:ind w:firstLine="540"/>
        <w:jc w:val="both"/>
      </w:pPr>
      <w:r>
        <w:rPr>
          <w:rFonts w:ascii="Arial" w:eastAsia="宋体" w:hAnsi="Arial" w:cs="Arial"/>
          <w:color w:val="000000"/>
          <w:sz w:val="20"/>
          <w:szCs w:val="20"/>
        </w:rPr>
        <w:t xml:space="preserve">Our commerce platforms operate globally, resulting in certain revenues that are denominated in foreign currencies, including the British pound and euro. In addition, as shown in the table above, we generate a majority of our net </w:t>
      </w:r>
      <w:r>
        <w:rPr>
          <w:rFonts w:ascii="Arial" w:eastAsia="宋体" w:hAnsi="Arial" w:cs="Arial"/>
          <w:color w:val="000000"/>
          <w:sz w:val="20"/>
          <w:szCs w:val="20"/>
        </w:rPr>
        <w:t>revenues internationally. Because of these factors, we are subject to the risks related to doing business in foreign countries as discussed in “Part I - Item 1A: Risk Factors” of the 2020 Form 10-K.</w:t>
      </w:r>
    </w:p>
    <w:p w14:paraId="64304D75" w14:textId="77777777" w:rsidR="009F6D8A" w:rsidRDefault="009F6D8A">
      <w:pPr>
        <w:ind w:firstLine="540"/>
        <w:jc w:val="both"/>
      </w:pPr>
    </w:p>
    <w:p w14:paraId="64304D76" w14:textId="77777777" w:rsidR="009F6D8A" w:rsidRDefault="00C50974">
      <w:pPr>
        <w:ind w:firstLine="540"/>
        <w:jc w:val="both"/>
      </w:pPr>
      <w:r>
        <w:rPr>
          <w:rFonts w:ascii="Arial" w:eastAsia="宋体" w:hAnsi="Arial" w:cs="Arial"/>
          <w:color w:val="000000"/>
          <w:sz w:val="20"/>
          <w:szCs w:val="20"/>
        </w:rPr>
        <w:t>Net revenues included $18 million and $46 million of hed</w:t>
      </w:r>
      <w:r>
        <w:rPr>
          <w:rFonts w:ascii="Arial" w:eastAsia="宋体" w:hAnsi="Arial" w:cs="Arial"/>
          <w:color w:val="000000"/>
          <w:sz w:val="20"/>
          <w:szCs w:val="20"/>
        </w:rPr>
        <w:t xml:space="preserve">ging losses during the three and six months ended June 30, 2021, as compared to $17 million of hedging gains during the same periods in 2020. The hedging activity in net revenues specifically relates to hedges of net transaction revenues. Foreign currency </w:t>
      </w:r>
      <w:r>
        <w:rPr>
          <w:rFonts w:ascii="Arial" w:eastAsia="宋体" w:hAnsi="Arial" w:cs="Arial"/>
          <w:color w:val="000000"/>
          <w:sz w:val="20"/>
          <w:szCs w:val="20"/>
        </w:rPr>
        <w:t xml:space="preserve">movements relative to the U.S. dollar had a favorable impact of $95 million on net revenues during the three months ended June 30, 2021 compared to an unfavorable impact of $23 million during the same period in 2020, and a favorable impact of $149 million </w:t>
      </w:r>
      <w:r>
        <w:rPr>
          <w:rFonts w:ascii="Arial" w:eastAsia="宋体" w:hAnsi="Arial" w:cs="Arial"/>
          <w:color w:val="000000"/>
          <w:sz w:val="20"/>
          <w:szCs w:val="20"/>
        </w:rPr>
        <w:t xml:space="preserve">on net revenues during the six months ended June 30, 2021 compared to an unfavorable impact of $39 million on net revenues during the same period in 2020. </w:t>
      </w:r>
    </w:p>
    <w:p w14:paraId="64304D77" w14:textId="77777777" w:rsidR="009F6D8A" w:rsidRDefault="009F6D8A">
      <w:pPr>
        <w:ind w:firstLine="540"/>
        <w:jc w:val="both"/>
      </w:pPr>
    </w:p>
    <w:p w14:paraId="64304D78" w14:textId="77777777" w:rsidR="009F6D8A" w:rsidRDefault="00C50974">
      <w:pPr>
        <w:ind w:firstLine="540"/>
        <w:jc w:val="both"/>
      </w:pPr>
      <w:r>
        <w:rPr>
          <w:rFonts w:ascii="Arial" w:eastAsia="宋体" w:hAnsi="Arial" w:cs="Arial"/>
          <w:color w:val="000000"/>
          <w:sz w:val="20"/>
          <w:szCs w:val="20"/>
        </w:rPr>
        <w:t xml:space="preserve">The effect of foreign currency exchange rate movements during the three months ended June 30, 2021 </w:t>
      </w:r>
      <w:r>
        <w:rPr>
          <w:rFonts w:ascii="Arial" w:eastAsia="宋体" w:hAnsi="Arial" w:cs="Arial"/>
          <w:color w:val="000000"/>
          <w:sz w:val="20"/>
          <w:szCs w:val="20"/>
        </w:rPr>
        <w:t>compared to the same period in 2020 was primarily attributable to the weakening of the U.S. dollar against the British pound and euro. The effect of foreign currency exchange rate movements during the six months ended June 30, 2021 compared to the same per</w:t>
      </w:r>
      <w:r>
        <w:rPr>
          <w:rFonts w:ascii="Arial" w:eastAsia="宋体" w:hAnsi="Arial" w:cs="Arial"/>
          <w:color w:val="000000"/>
          <w:sz w:val="20"/>
          <w:szCs w:val="20"/>
        </w:rPr>
        <w:t xml:space="preserve">iod in 2020 was primarily attributable to the weakening of the U.S. dollar against the British pound and euro. </w:t>
      </w:r>
    </w:p>
    <w:p w14:paraId="64304D79" w14:textId="77777777" w:rsidR="009F6D8A" w:rsidRDefault="009F6D8A">
      <w:pPr>
        <w:jc w:val="both"/>
      </w:pPr>
    </w:p>
    <w:p w14:paraId="64304D7A" w14:textId="77777777" w:rsidR="009F6D8A" w:rsidRDefault="00C50974">
      <w:pPr>
        <w:ind w:firstLine="270"/>
        <w:jc w:val="both"/>
      </w:pPr>
      <w:r>
        <w:rPr>
          <w:rFonts w:ascii="Arial" w:eastAsia="宋体" w:hAnsi="Arial" w:cs="Arial"/>
          <w:b/>
          <w:bCs/>
          <w:color w:val="000000"/>
          <w:sz w:val="20"/>
          <w:szCs w:val="20"/>
        </w:rPr>
        <w:t xml:space="preserve">Net Revenues by Type </w:t>
      </w:r>
    </w:p>
    <w:p w14:paraId="64304D7B" w14:textId="77777777" w:rsidR="009F6D8A" w:rsidRDefault="009F6D8A">
      <w:pPr>
        <w:ind w:firstLine="495"/>
        <w:jc w:val="both"/>
      </w:pPr>
    </w:p>
    <w:p w14:paraId="64304D7C" w14:textId="77777777" w:rsidR="009F6D8A" w:rsidRDefault="00C50974">
      <w:pPr>
        <w:ind w:firstLine="540"/>
        <w:jc w:val="both"/>
      </w:pPr>
      <w:r>
        <w:rPr>
          <w:rFonts w:ascii="Arial" w:eastAsia="宋体" w:hAnsi="Arial" w:cs="Arial"/>
          <w:color w:val="000000"/>
          <w:sz w:val="20"/>
          <w:szCs w:val="20"/>
        </w:rPr>
        <w:t xml:space="preserve">We generate two types of net revenues: </w:t>
      </w:r>
    </w:p>
    <w:p w14:paraId="64304D7D" w14:textId="77777777" w:rsidR="009F6D8A" w:rsidRDefault="009F6D8A">
      <w:pPr>
        <w:ind w:firstLine="540"/>
        <w:jc w:val="both"/>
      </w:pPr>
    </w:p>
    <w:p w14:paraId="64304D7E" w14:textId="77777777" w:rsidR="009F6D8A" w:rsidRDefault="00C50974">
      <w:pPr>
        <w:jc w:val="both"/>
      </w:pPr>
      <w:r>
        <w:rPr>
          <w:rFonts w:ascii="Arial" w:eastAsia="宋体" w:hAnsi="Arial" w:cs="Arial"/>
          <w:b/>
          <w:bCs/>
          <w:color w:val="000000"/>
          <w:sz w:val="20"/>
          <w:szCs w:val="20"/>
        </w:rPr>
        <w:t>Net transaction revenues</w:t>
      </w:r>
      <w:r>
        <w:rPr>
          <w:rFonts w:ascii="Arial" w:eastAsia="宋体" w:hAnsi="Arial" w:cs="Arial"/>
          <w:color w:val="000000"/>
          <w:sz w:val="20"/>
          <w:szCs w:val="20"/>
        </w:rPr>
        <w:t xml:space="preserve"> primarily include final value fees, feature fees, incl</w:t>
      </w:r>
      <w:r>
        <w:rPr>
          <w:rFonts w:ascii="Arial" w:eastAsia="宋体" w:hAnsi="Arial" w:cs="Arial"/>
          <w:color w:val="000000"/>
          <w:sz w:val="20"/>
          <w:szCs w:val="20"/>
        </w:rPr>
        <w:t>uding fees to promote listings, and listing fees from sellers on our platforms. Our net transaction revenues also include store subscription and other fees, often from large enterprise sellers. Our net transaction revenues are reduced by incentives, includ</w:t>
      </w:r>
      <w:r>
        <w:rPr>
          <w:rFonts w:ascii="Arial" w:eastAsia="宋体" w:hAnsi="Arial" w:cs="Arial"/>
          <w:color w:val="000000"/>
          <w:sz w:val="20"/>
          <w:szCs w:val="20"/>
        </w:rPr>
        <w:t>ing discounts, coupons and rewards, provided to our customers.</w:t>
      </w:r>
    </w:p>
    <w:p w14:paraId="64304D7F" w14:textId="77777777" w:rsidR="009F6D8A" w:rsidRDefault="009F6D8A">
      <w:pPr>
        <w:jc w:val="both"/>
      </w:pPr>
    </w:p>
    <w:p w14:paraId="64304D80" w14:textId="77777777" w:rsidR="009F6D8A" w:rsidRDefault="00C50974">
      <w:pPr>
        <w:jc w:val="both"/>
      </w:pPr>
      <w:r>
        <w:rPr>
          <w:rFonts w:ascii="Arial" w:eastAsia="宋体" w:hAnsi="Arial" w:cs="Arial"/>
          <w:b/>
          <w:bCs/>
          <w:color w:val="000000"/>
          <w:sz w:val="20"/>
          <w:szCs w:val="20"/>
        </w:rPr>
        <w:t>Marketing services and other (“MS&amp;O”)</w:t>
      </w:r>
      <w:r>
        <w:rPr>
          <w:rFonts w:ascii="Arial" w:eastAsia="宋体" w:hAnsi="Arial" w:cs="Arial"/>
          <w:color w:val="000000"/>
          <w:sz w:val="20"/>
          <w:szCs w:val="20"/>
        </w:rPr>
        <w:t xml:space="preserve"> </w:t>
      </w:r>
      <w:r>
        <w:rPr>
          <w:rFonts w:ascii="Arial" w:eastAsia="宋体" w:hAnsi="Arial" w:cs="Arial"/>
          <w:b/>
          <w:bCs/>
          <w:color w:val="000000"/>
          <w:sz w:val="20"/>
          <w:szCs w:val="20"/>
        </w:rPr>
        <w:t>revenues</w:t>
      </w:r>
      <w:r>
        <w:rPr>
          <w:rFonts w:ascii="Arial" w:eastAsia="宋体" w:hAnsi="Arial" w:cs="Arial"/>
          <w:color w:val="000000"/>
          <w:sz w:val="20"/>
          <w:szCs w:val="20"/>
        </w:rPr>
        <w:t xml:space="preserve"> consist of revenues principally from the sale of advertisements and revenue sharing arrangements. </w:t>
      </w:r>
    </w:p>
    <w:p w14:paraId="64304D81" w14:textId="77777777" w:rsidR="009F6D8A" w:rsidRDefault="009F6D8A">
      <w:pPr>
        <w:jc w:val="both"/>
      </w:pPr>
    </w:p>
    <w:p w14:paraId="64304D82" w14:textId="77777777" w:rsidR="009F6D8A" w:rsidRDefault="00C50974">
      <w:pPr>
        <w:spacing w:after="120"/>
        <w:ind w:firstLine="540"/>
        <w:jc w:val="both"/>
      </w:pPr>
      <w:r>
        <w:rPr>
          <w:rFonts w:ascii="Arial" w:eastAsia="宋体" w:hAnsi="Arial" w:cs="Arial"/>
          <w:color w:val="000000"/>
          <w:sz w:val="20"/>
          <w:szCs w:val="20"/>
        </w:rPr>
        <w:t xml:space="preserve">The following table presents net revenues by </w:t>
      </w:r>
      <w:r>
        <w:rPr>
          <w:rFonts w:ascii="Arial" w:eastAsia="宋体" w:hAnsi="Arial" w:cs="Arial"/>
          <w:color w:val="000000"/>
          <w:sz w:val="20"/>
          <w:szCs w:val="20"/>
        </w:rPr>
        <w:t>type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9"/>
        <w:gridCol w:w="2536"/>
        <w:gridCol w:w="37"/>
        <w:gridCol w:w="109"/>
        <w:gridCol w:w="743"/>
        <w:gridCol w:w="36"/>
        <w:gridCol w:w="36"/>
        <w:gridCol w:w="36"/>
        <w:gridCol w:w="36"/>
        <w:gridCol w:w="109"/>
        <w:gridCol w:w="694"/>
        <w:gridCol w:w="36"/>
        <w:gridCol w:w="36"/>
        <w:gridCol w:w="36"/>
        <w:gridCol w:w="36"/>
        <w:gridCol w:w="52"/>
        <w:gridCol w:w="672"/>
        <w:gridCol w:w="163"/>
        <w:gridCol w:w="36"/>
        <w:gridCol w:w="36"/>
        <w:gridCol w:w="36"/>
        <w:gridCol w:w="109"/>
        <w:gridCol w:w="696"/>
        <w:gridCol w:w="36"/>
        <w:gridCol w:w="36"/>
        <w:gridCol w:w="36"/>
        <w:gridCol w:w="36"/>
        <w:gridCol w:w="109"/>
        <w:gridCol w:w="696"/>
        <w:gridCol w:w="36"/>
        <w:gridCol w:w="36"/>
        <w:gridCol w:w="36"/>
        <w:gridCol w:w="36"/>
        <w:gridCol w:w="52"/>
        <w:gridCol w:w="673"/>
        <w:gridCol w:w="163"/>
      </w:tblGrid>
      <w:tr w:rsidR="009F6D8A" w14:paraId="64304DA7" w14:textId="77777777">
        <w:tc>
          <w:tcPr>
            <w:tcW w:w="50" w:type="pct"/>
            <w:shd w:val="clear" w:color="auto" w:fill="auto"/>
            <w:vAlign w:val="bottom"/>
          </w:tcPr>
          <w:p w14:paraId="64304D83" w14:textId="77777777" w:rsidR="009F6D8A" w:rsidRDefault="009F6D8A">
            <w:pPr>
              <w:rPr>
                <w:rFonts w:ascii="宋体"/>
              </w:rPr>
            </w:pPr>
          </w:p>
        </w:tc>
        <w:tc>
          <w:tcPr>
            <w:tcW w:w="1560" w:type="pct"/>
            <w:shd w:val="clear" w:color="auto" w:fill="auto"/>
            <w:vAlign w:val="bottom"/>
          </w:tcPr>
          <w:p w14:paraId="64304D84" w14:textId="77777777" w:rsidR="009F6D8A" w:rsidRDefault="009F6D8A">
            <w:pPr>
              <w:rPr>
                <w:rFonts w:ascii="宋体"/>
              </w:rPr>
            </w:pPr>
          </w:p>
        </w:tc>
        <w:tc>
          <w:tcPr>
            <w:tcW w:w="5" w:type="pct"/>
            <w:shd w:val="clear" w:color="auto" w:fill="auto"/>
            <w:vAlign w:val="bottom"/>
          </w:tcPr>
          <w:p w14:paraId="64304D85" w14:textId="77777777" w:rsidR="009F6D8A" w:rsidRDefault="009F6D8A">
            <w:pPr>
              <w:rPr>
                <w:rFonts w:ascii="宋体"/>
              </w:rPr>
            </w:pPr>
          </w:p>
        </w:tc>
        <w:tc>
          <w:tcPr>
            <w:tcW w:w="50" w:type="pct"/>
            <w:shd w:val="clear" w:color="auto" w:fill="auto"/>
            <w:vAlign w:val="bottom"/>
          </w:tcPr>
          <w:p w14:paraId="64304D86" w14:textId="77777777" w:rsidR="009F6D8A" w:rsidRDefault="009F6D8A">
            <w:pPr>
              <w:rPr>
                <w:rFonts w:ascii="宋体"/>
              </w:rPr>
            </w:pPr>
          </w:p>
        </w:tc>
        <w:tc>
          <w:tcPr>
            <w:tcW w:w="478" w:type="pct"/>
            <w:shd w:val="clear" w:color="auto" w:fill="auto"/>
            <w:vAlign w:val="bottom"/>
          </w:tcPr>
          <w:p w14:paraId="64304D87" w14:textId="77777777" w:rsidR="009F6D8A" w:rsidRDefault="009F6D8A">
            <w:pPr>
              <w:rPr>
                <w:rFonts w:ascii="宋体"/>
              </w:rPr>
            </w:pPr>
          </w:p>
        </w:tc>
        <w:tc>
          <w:tcPr>
            <w:tcW w:w="5" w:type="pct"/>
            <w:shd w:val="clear" w:color="auto" w:fill="auto"/>
            <w:vAlign w:val="bottom"/>
          </w:tcPr>
          <w:p w14:paraId="64304D88" w14:textId="77777777" w:rsidR="009F6D8A" w:rsidRDefault="009F6D8A">
            <w:pPr>
              <w:rPr>
                <w:rFonts w:ascii="宋体"/>
              </w:rPr>
            </w:pPr>
          </w:p>
        </w:tc>
        <w:tc>
          <w:tcPr>
            <w:tcW w:w="5" w:type="pct"/>
            <w:shd w:val="clear" w:color="auto" w:fill="auto"/>
            <w:vAlign w:val="bottom"/>
          </w:tcPr>
          <w:p w14:paraId="64304D89" w14:textId="77777777" w:rsidR="009F6D8A" w:rsidRDefault="009F6D8A">
            <w:pPr>
              <w:rPr>
                <w:rFonts w:ascii="宋体"/>
              </w:rPr>
            </w:pPr>
          </w:p>
        </w:tc>
        <w:tc>
          <w:tcPr>
            <w:tcW w:w="26" w:type="pct"/>
            <w:shd w:val="clear" w:color="auto" w:fill="auto"/>
            <w:vAlign w:val="bottom"/>
          </w:tcPr>
          <w:p w14:paraId="64304D8A" w14:textId="77777777" w:rsidR="009F6D8A" w:rsidRDefault="009F6D8A">
            <w:pPr>
              <w:rPr>
                <w:rFonts w:ascii="宋体"/>
              </w:rPr>
            </w:pPr>
          </w:p>
        </w:tc>
        <w:tc>
          <w:tcPr>
            <w:tcW w:w="5" w:type="pct"/>
            <w:shd w:val="clear" w:color="auto" w:fill="auto"/>
            <w:vAlign w:val="bottom"/>
          </w:tcPr>
          <w:p w14:paraId="64304D8B" w14:textId="77777777" w:rsidR="009F6D8A" w:rsidRDefault="009F6D8A">
            <w:pPr>
              <w:rPr>
                <w:rFonts w:ascii="宋体"/>
              </w:rPr>
            </w:pPr>
          </w:p>
        </w:tc>
        <w:tc>
          <w:tcPr>
            <w:tcW w:w="50" w:type="pct"/>
            <w:shd w:val="clear" w:color="auto" w:fill="auto"/>
            <w:vAlign w:val="bottom"/>
          </w:tcPr>
          <w:p w14:paraId="64304D8C" w14:textId="77777777" w:rsidR="009F6D8A" w:rsidRDefault="009F6D8A">
            <w:pPr>
              <w:rPr>
                <w:rFonts w:ascii="宋体"/>
              </w:rPr>
            </w:pPr>
          </w:p>
        </w:tc>
        <w:tc>
          <w:tcPr>
            <w:tcW w:w="478" w:type="pct"/>
            <w:shd w:val="clear" w:color="auto" w:fill="auto"/>
            <w:vAlign w:val="bottom"/>
          </w:tcPr>
          <w:p w14:paraId="64304D8D" w14:textId="77777777" w:rsidR="009F6D8A" w:rsidRDefault="009F6D8A">
            <w:pPr>
              <w:rPr>
                <w:rFonts w:ascii="宋体"/>
              </w:rPr>
            </w:pPr>
          </w:p>
        </w:tc>
        <w:tc>
          <w:tcPr>
            <w:tcW w:w="5" w:type="pct"/>
            <w:shd w:val="clear" w:color="auto" w:fill="auto"/>
            <w:vAlign w:val="bottom"/>
          </w:tcPr>
          <w:p w14:paraId="64304D8E" w14:textId="77777777" w:rsidR="009F6D8A" w:rsidRDefault="009F6D8A">
            <w:pPr>
              <w:rPr>
                <w:rFonts w:ascii="宋体"/>
              </w:rPr>
            </w:pPr>
          </w:p>
        </w:tc>
        <w:tc>
          <w:tcPr>
            <w:tcW w:w="5" w:type="pct"/>
            <w:shd w:val="clear" w:color="auto" w:fill="auto"/>
            <w:vAlign w:val="bottom"/>
          </w:tcPr>
          <w:p w14:paraId="64304D8F" w14:textId="77777777" w:rsidR="009F6D8A" w:rsidRDefault="009F6D8A">
            <w:pPr>
              <w:rPr>
                <w:rFonts w:ascii="宋体"/>
              </w:rPr>
            </w:pPr>
          </w:p>
        </w:tc>
        <w:tc>
          <w:tcPr>
            <w:tcW w:w="26" w:type="pct"/>
            <w:shd w:val="clear" w:color="auto" w:fill="auto"/>
            <w:vAlign w:val="bottom"/>
          </w:tcPr>
          <w:p w14:paraId="64304D90" w14:textId="77777777" w:rsidR="009F6D8A" w:rsidRDefault="009F6D8A">
            <w:pPr>
              <w:rPr>
                <w:rFonts w:ascii="宋体"/>
              </w:rPr>
            </w:pPr>
          </w:p>
        </w:tc>
        <w:tc>
          <w:tcPr>
            <w:tcW w:w="5" w:type="pct"/>
            <w:shd w:val="clear" w:color="auto" w:fill="auto"/>
            <w:vAlign w:val="bottom"/>
          </w:tcPr>
          <w:p w14:paraId="64304D91" w14:textId="77777777" w:rsidR="009F6D8A" w:rsidRDefault="009F6D8A">
            <w:pPr>
              <w:rPr>
                <w:rFonts w:ascii="宋体"/>
              </w:rPr>
            </w:pPr>
          </w:p>
        </w:tc>
        <w:tc>
          <w:tcPr>
            <w:tcW w:w="50" w:type="pct"/>
            <w:shd w:val="clear" w:color="auto" w:fill="auto"/>
            <w:vAlign w:val="bottom"/>
          </w:tcPr>
          <w:p w14:paraId="64304D92" w14:textId="77777777" w:rsidR="009F6D8A" w:rsidRDefault="009F6D8A">
            <w:pPr>
              <w:rPr>
                <w:rFonts w:ascii="宋体"/>
              </w:rPr>
            </w:pPr>
          </w:p>
        </w:tc>
        <w:tc>
          <w:tcPr>
            <w:tcW w:w="478" w:type="pct"/>
            <w:shd w:val="clear" w:color="auto" w:fill="auto"/>
            <w:vAlign w:val="bottom"/>
          </w:tcPr>
          <w:p w14:paraId="64304D93" w14:textId="77777777" w:rsidR="009F6D8A" w:rsidRDefault="009F6D8A">
            <w:pPr>
              <w:rPr>
                <w:rFonts w:ascii="宋体"/>
              </w:rPr>
            </w:pPr>
          </w:p>
        </w:tc>
        <w:tc>
          <w:tcPr>
            <w:tcW w:w="5" w:type="pct"/>
            <w:shd w:val="clear" w:color="auto" w:fill="auto"/>
            <w:vAlign w:val="bottom"/>
          </w:tcPr>
          <w:p w14:paraId="64304D94" w14:textId="77777777" w:rsidR="009F6D8A" w:rsidRDefault="009F6D8A">
            <w:pPr>
              <w:rPr>
                <w:rFonts w:ascii="宋体"/>
              </w:rPr>
            </w:pPr>
          </w:p>
        </w:tc>
        <w:tc>
          <w:tcPr>
            <w:tcW w:w="5" w:type="pct"/>
            <w:shd w:val="clear" w:color="auto" w:fill="auto"/>
            <w:vAlign w:val="bottom"/>
          </w:tcPr>
          <w:p w14:paraId="64304D95" w14:textId="77777777" w:rsidR="009F6D8A" w:rsidRDefault="009F6D8A">
            <w:pPr>
              <w:rPr>
                <w:rFonts w:ascii="宋体"/>
              </w:rPr>
            </w:pPr>
          </w:p>
        </w:tc>
        <w:tc>
          <w:tcPr>
            <w:tcW w:w="26" w:type="pct"/>
            <w:shd w:val="clear" w:color="auto" w:fill="auto"/>
            <w:vAlign w:val="bottom"/>
          </w:tcPr>
          <w:p w14:paraId="64304D96" w14:textId="77777777" w:rsidR="009F6D8A" w:rsidRDefault="009F6D8A">
            <w:pPr>
              <w:rPr>
                <w:rFonts w:ascii="宋体"/>
              </w:rPr>
            </w:pPr>
          </w:p>
        </w:tc>
        <w:tc>
          <w:tcPr>
            <w:tcW w:w="5" w:type="pct"/>
            <w:shd w:val="clear" w:color="auto" w:fill="auto"/>
            <w:vAlign w:val="bottom"/>
          </w:tcPr>
          <w:p w14:paraId="64304D97" w14:textId="77777777" w:rsidR="009F6D8A" w:rsidRDefault="009F6D8A">
            <w:pPr>
              <w:rPr>
                <w:rFonts w:ascii="宋体"/>
              </w:rPr>
            </w:pPr>
          </w:p>
        </w:tc>
        <w:tc>
          <w:tcPr>
            <w:tcW w:w="50" w:type="pct"/>
            <w:shd w:val="clear" w:color="auto" w:fill="auto"/>
            <w:vAlign w:val="bottom"/>
          </w:tcPr>
          <w:p w14:paraId="64304D98" w14:textId="77777777" w:rsidR="009F6D8A" w:rsidRDefault="009F6D8A">
            <w:pPr>
              <w:rPr>
                <w:rFonts w:ascii="宋体"/>
              </w:rPr>
            </w:pPr>
          </w:p>
        </w:tc>
        <w:tc>
          <w:tcPr>
            <w:tcW w:w="478" w:type="pct"/>
            <w:shd w:val="clear" w:color="auto" w:fill="auto"/>
            <w:vAlign w:val="bottom"/>
          </w:tcPr>
          <w:p w14:paraId="64304D99" w14:textId="77777777" w:rsidR="009F6D8A" w:rsidRDefault="009F6D8A">
            <w:pPr>
              <w:rPr>
                <w:rFonts w:ascii="宋体"/>
              </w:rPr>
            </w:pPr>
          </w:p>
        </w:tc>
        <w:tc>
          <w:tcPr>
            <w:tcW w:w="5" w:type="pct"/>
            <w:shd w:val="clear" w:color="auto" w:fill="auto"/>
            <w:vAlign w:val="bottom"/>
          </w:tcPr>
          <w:p w14:paraId="64304D9A" w14:textId="77777777" w:rsidR="009F6D8A" w:rsidRDefault="009F6D8A">
            <w:pPr>
              <w:rPr>
                <w:rFonts w:ascii="宋体"/>
              </w:rPr>
            </w:pPr>
          </w:p>
        </w:tc>
        <w:tc>
          <w:tcPr>
            <w:tcW w:w="5" w:type="pct"/>
            <w:shd w:val="clear" w:color="auto" w:fill="auto"/>
            <w:vAlign w:val="bottom"/>
          </w:tcPr>
          <w:p w14:paraId="64304D9B" w14:textId="77777777" w:rsidR="009F6D8A" w:rsidRDefault="009F6D8A">
            <w:pPr>
              <w:rPr>
                <w:rFonts w:ascii="宋体"/>
              </w:rPr>
            </w:pPr>
          </w:p>
        </w:tc>
        <w:tc>
          <w:tcPr>
            <w:tcW w:w="26" w:type="pct"/>
            <w:shd w:val="clear" w:color="auto" w:fill="auto"/>
            <w:vAlign w:val="bottom"/>
          </w:tcPr>
          <w:p w14:paraId="64304D9C" w14:textId="77777777" w:rsidR="009F6D8A" w:rsidRDefault="009F6D8A">
            <w:pPr>
              <w:rPr>
                <w:rFonts w:ascii="宋体"/>
              </w:rPr>
            </w:pPr>
          </w:p>
        </w:tc>
        <w:tc>
          <w:tcPr>
            <w:tcW w:w="5" w:type="pct"/>
            <w:shd w:val="clear" w:color="auto" w:fill="auto"/>
            <w:vAlign w:val="bottom"/>
          </w:tcPr>
          <w:p w14:paraId="64304D9D" w14:textId="77777777" w:rsidR="009F6D8A" w:rsidRDefault="009F6D8A">
            <w:pPr>
              <w:rPr>
                <w:rFonts w:ascii="宋体"/>
              </w:rPr>
            </w:pPr>
          </w:p>
        </w:tc>
        <w:tc>
          <w:tcPr>
            <w:tcW w:w="50" w:type="pct"/>
            <w:shd w:val="clear" w:color="auto" w:fill="auto"/>
            <w:vAlign w:val="bottom"/>
          </w:tcPr>
          <w:p w14:paraId="64304D9E" w14:textId="77777777" w:rsidR="009F6D8A" w:rsidRDefault="009F6D8A">
            <w:pPr>
              <w:rPr>
                <w:rFonts w:ascii="宋体"/>
              </w:rPr>
            </w:pPr>
          </w:p>
        </w:tc>
        <w:tc>
          <w:tcPr>
            <w:tcW w:w="478" w:type="pct"/>
            <w:shd w:val="clear" w:color="auto" w:fill="auto"/>
            <w:vAlign w:val="bottom"/>
          </w:tcPr>
          <w:p w14:paraId="64304D9F" w14:textId="77777777" w:rsidR="009F6D8A" w:rsidRDefault="009F6D8A">
            <w:pPr>
              <w:rPr>
                <w:rFonts w:ascii="宋体"/>
              </w:rPr>
            </w:pPr>
          </w:p>
        </w:tc>
        <w:tc>
          <w:tcPr>
            <w:tcW w:w="5" w:type="pct"/>
            <w:shd w:val="clear" w:color="auto" w:fill="auto"/>
            <w:vAlign w:val="bottom"/>
          </w:tcPr>
          <w:p w14:paraId="64304DA0" w14:textId="77777777" w:rsidR="009F6D8A" w:rsidRDefault="009F6D8A">
            <w:pPr>
              <w:rPr>
                <w:rFonts w:ascii="宋体"/>
              </w:rPr>
            </w:pPr>
          </w:p>
        </w:tc>
        <w:tc>
          <w:tcPr>
            <w:tcW w:w="5" w:type="pct"/>
            <w:shd w:val="clear" w:color="auto" w:fill="auto"/>
            <w:vAlign w:val="bottom"/>
          </w:tcPr>
          <w:p w14:paraId="64304DA1" w14:textId="77777777" w:rsidR="009F6D8A" w:rsidRDefault="009F6D8A">
            <w:pPr>
              <w:rPr>
                <w:rFonts w:ascii="宋体"/>
              </w:rPr>
            </w:pPr>
          </w:p>
        </w:tc>
        <w:tc>
          <w:tcPr>
            <w:tcW w:w="26" w:type="pct"/>
            <w:shd w:val="clear" w:color="auto" w:fill="auto"/>
            <w:vAlign w:val="bottom"/>
          </w:tcPr>
          <w:p w14:paraId="64304DA2" w14:textId="77777777" w:rsidR="009F6D8A" w:rsidRDefault="009F6D8A">
            <w:pPr>
              <w:rPr>
                <w:rFonts w:ascii="宋体"/>
              </w:rPr>
            </w:pPr>
          </w:p>
        </w:tc>
        <w:tc>
          <w:tcPr>
            <w:tcW w:w="5" w:type="pct"/>
            <w:shd w:val="clear" w:color="auto" w:fill="auto"/>
            <w:vAlign w:val="bottom"/>
          </w:tcPr>
          <w:p w14:paraId="64304DA3" w14:textId="77777777" w:rsidR="009F6D8A" w:rsidRDefault="009F6D8A">
            <w:pPr>
              <w:rPr>
                <w:rFonts w:ascii="宋体"/>
              </w:rPr>
            </w:pPr>
          </w:p>
        </w:tc>
        <w:tc>
          <w:tcPr>
            <w:tcW w:w="50" w:type="pct"/>
            <w:shd w:val="clear" w:color="auto" w:fill="auto"/>
            <w:vAlign w:val="bottom"/>
          </w:tcPr>
          <w:p w14:paraId="64304DA4" w14:textId="77777777" w:rsidR="009F6D8A" w:rsidRDefault="009F6D8A">
            <w:pPr>
              <w:rPr>
                <w:rFonts w:ascii="宋体"/>
              </w:rPr>
            </w:pPr>
          </w:p>
        </w:tc>
        <w:tc>
          <w:tcPr>
            <w:tcW w:w="479" w:type="pct"/>
            <w:shd w:val="clear" w:color="auto" w:fill="auto"/>
            <w:vAlign w:val="bottom"/>
          </w:tcPr>
          <w:p w14:paraId="64304DA5" w14:textId="77777777" w:rsidR="009F6D8A" w:rsidRDefault="009F6D8A">
            <w:pPr>
              <w:rPr>
                <w:rFonts w:ascii="宋体"/>
              </w:rPr>
            </w:pPr>
          </w:p>
        </w:tc>
        <w:tc>
          <w:tcPr>
            <w:tcW w:w="5" w:type="pct"/>
            <w:shd w:val="clear" w:color="auto" w:fill="auto"/>
            <w:vAlign w:val="bottom"/>
          </w:tcPr>
          <w:p w14:paraId="64304DA6" w14:textId="77777777" w:rsidR="009F6D8A" w:rsidRDefault="009F6D8A">
            <w:pPr>
              <w:rPr>
                <w:rFonts w:ascii="宋体"/>
              </w:rPr>
            </w:pPr>
          </w:p>
        </w:tc>
      </w:tr>
      <w:tr w:rsidR="009F6D8A" w14:paraId="64304DB0" w14:textId="77777777">
        <w:tc>
          <w:tcPr>
            <w:tcW w:w="0" w:type="auto"/>
            <w:gridSpan w:val="3"/>
            <w:shd w:val="clear" w:color="auto" w:fill="auto"/>
            <w:tcMar>
              <w:top w:w="40" w:type="dxa"/>
              <w:left w:w="245" w:type="dxa"/>
              <w:bottom w:w="40" w:type="dxa"/>
              <w:right w:w="20" w:type="dxa"/>
            </w:tcMar>
            <w:vAlign w:val="bottom"/>
          </w:tcPr>
          <w:p w14:paraId="64304DA8" w14:textId="77777777" w:rsidR="009F6D8A" w:rsidRDefault="00C50974">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64304DA9" w14:textId="77777777" w:rsidR="009F6D8A" w:rsidRDefault="00C50974">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w:t>
            </w:r>
          </w:p>
        </w:tc>
        <w:tc>
          <w:tcPr>
            <w:tcW w:w="0" w:type="auto"/>
            <w:gridSpan w:val="3"/>
            <w:shd w:val="clear" w:color="auto" w:fill="auto"/>
            <w:tcMar>
              <w:top w:w="0" w:type="dxa"/>
              <w:left w:w="20" w:type="dxa"/>
              <w:bottom w:w="0" w:type="dxa"/>
              <w:right w:w="20" w:type="dxa"/>
            </w:tcMar>
            <w:vAlign w:val="bottom"/>
          </w:tcPr>
          <w:p w14:paraId="64304DAA"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4DAB"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4DAC"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4DAD" w14:textId="77777777" w:rsidR="009F6D8A" w:rsidRDefault="00C50974">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w:t>
            </w:r>
          </w:p>
        </w:tc>
        <w:tc>
          <w:tcPr>
            <w:tcW w:w="0" w:type="auto"/>
            <w:gridSpan w:val="3"/>
            <w:shd w:val="clear" w:color="auto" w:fill="auto"/>
            <w:tcMar>
              <w:top w:w="0" w:type="dxa"/>
              <w:left w:w="20" w:type="dxa"/>
              <w:bottom w:w="0" w:type="dxa"/>
              <w:right w:w="20" w:type="dxa"/>
            </w:tcMar>
            <w:vAlign w:val="bottom"/>
          </w:tcPr>
          <w:p w14:paraId="64304DAE"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4DAF" w14:textId="77777777" w:rsidR="009F6D8A" w:rsidRDefault="009F6D8A">
            <w:pPr>
              <w:rPr>
                <w:rFonts w:ascii="宋体"/>
              </w:rPr>
            </w:pPr>
          </w:p>
        </w:tc>
      </w:tr>
      <w:tr w:rsidR="009F6D8A" w14:paraId="64304DBD" w14:textId="77777777">
        <w:tc>
          <w:tcPr>
            <w:tcW w:w="0" w:type="auto"/>
            <w:gridSpan w:val="3"/>
            <w:shd w:val="clear" w:color="auto" w:fill="auto"/>
            <w:tcMar>
              <w:top w:w="40" w:type="dxa"/>
              <w:left w:w="20" w:type="dxa"/>
              <w:bottom w:w="40" w:type="dxa"/>
              <w:right w:w="20" w:type="dxa"/>
            </w:tcMar>
            <w:vAlign w:val="bottom"/>
          </w:tcPr>
          <w:p w14:paraId="64304DB1" w14:textId="77777777" w:rsidR="009F6D8A" w:rsidRDefault="00C50974">
            <w:pPr>
              <w:jc w:val="cente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DB2" w14:textId="77777777" w:rsidR="009F6D8A" w:rsidRDefault="00C50974">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DB3"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DB4" w14:textId="77777777" w:rsidR="009F6D8A" w:rsidRDefault="00C50974">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64304DB5"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DB6" w14:textId="77777777" w:rsidR="009F6D8A" w:rsidRDefault="00C50974">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vAlign w:val="bottom"/>
          </w:tcPr>
          <w:p w14:paraId="64304DB7"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DB8" w14:textId="77777777" w:rsidR="009F6D8A" w:rsidRDefault="00C50974">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DB9"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DBA" w14:textId="77777777" w:rsidR="009F6D8A" w:rsidRDefault="00C50974">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64304DBB"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4DBC" w14:textId="77777777" w:rsidR="009F6D8A" w:rsidRDefault="00C50974">
            <w:pPr>
              <w:jc w:val="center"/>
              <w:textAlignment w:val="bottom"/>
            </w:pPr>
            <w:r>
              <w:rPr>
                <w:rFonts w:ascii="Arial" w:eastAsia="宋体" w:hAnsi="Arial" w:cs="Arial"/>
                <w:b/>
                <w:bCs/>
                <w:color w:val="000000"/>
                <w:sz w:val="14"/>
                <w:szCs w:val="14"/>
              </w:rPr>
              <w:t xml:space="preserve">% </w:t>
            </w:r>
            <w:r>
              <w:rPr>
                <w:rFonts w:ascii="Arial" w:eastAsia="宋体" w:hAnsi="Arial" w:cs="Arial"/>
                <w:b/>
                <w:bCs/>
                <w:color w:val="000000"/>
                <w:sz w:val="14"/>
                <w:szCs w:val="14"/>
              </w:rPr>
              <w:t>Change</w:t>
            </w:r>
          </w:p>
        </w:tc>
      </w:tr>
      <w:tr w:rsidR="009F6D8A" w14:paraId="64304DCA" w14:textId="77777777">
        <w:trPr>
          <w:trHeight w:val="240"/>
        </w:trPr>
        <w:tc>
          <w:tcPr>
            <w:tcW w:w="0" w:type="auto"/>
            <w:gridSpan w:val="3"/>
            <w:shd w:val="clear" w:color="auto" w:fill="FFFFFF"/>
            <w:tcMar>
              <w:top w:w="0" w:type="dxa"/>
              <w:left w:w="20" w:type="dxa"/>
              <w:bottom w:w="0" w:type="dxa"/>
              <w:right w:w="20" w:type="dxa"/>
            </w:tcMar>
            <w:vAlign w:val="bottom"/>
          </w:tcPr>
          <w:p w14:paraId="64304DBE"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DBF"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DC0"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DC1"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DC2"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DC3"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DC4"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DC5"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DC6"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DC7"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DC8" w14:textId="77777777" w:rsidR="009F6D8A" w:rsidRDefault="009F6D8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4304DC9" w14:textId="77777777" w:rsidR="009F6D8A" w:rsidRDefault="009F6D8A">
            <w:pPr>
              <w:rPr>
                <w:rFonts w:ascii="宋体"/>
              </w:rPr>
            </w:pPr>
          </w:p>
        </w:tc>
      </w:tr>
      <w:tr w:rsidR="009F6D8A" w14:paraId="64304DE1" w14:textId="77777777">
        <w:tc>
          <w:tcPr>
            <w:tcW w:w="0" w:type="auto"/>
            <w:gridSpan w:val="3"/>
            <w:shd w:val="clear" w:color="auto" w:fill="E2E2E2"/>
            <w:tcMar>
              <w:top w:w="40" w:type="dxa"/>
              <w:left w:w="155" w:type="dxa"/>
              <w:bottom w:w="40" w:type="dxa"/>
              <w:right w:w="20" w:type="dxa"/>
            </w:tcMar>
            <w:vAlign w:val="bottom"/>
          </w:tcPr>
          <w:p w14:paraId="64304DCB" w14:textId="77777777" w:rsidR="009F6D8A" w:rsidRDefault="00C50974">
            <w:pPr>
              <w:textAlignment w:val="bottom"/>
            </w:pPr>
            <w:r>
              <w:rPr>
                <w:rFonts w:ascii="Arial" w:eastAsia="宋体" w:hAnsi="Arial" w:cs="Arial"/>
                <w:color w:val="000000"/>
                <w:sz w:val="16"/>
                <w:szCs w:val="16"/>
              </w:rPr>
              <w:t>Net transaction revenue</w:t>
            </w:r>
          </w:p>
        </w:tc>
        <w:tc>
          <w:tcPr>
            <w:tcW w:w="0" w:type="auto"/>
            <w:shd w:val="clear" w:color="auto" w:fill="E2E2E2"/>
            <w:tcMar>
              <w:top w:w="40" w:type="dxa"/>
              <w:left w:w="20" w:type="dxa"/>
              <w:bottom w:w="40" w:type="dxa"/>
              <w:right w:w="0" w:type="dxa"/>
            </w:tcMar>
            <w:vAlign w:val="bottom"/>
          </w:tcPr>
          <w:p w14:paraId="64304DCC"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64304DCD" w14:textId="77777777" w:rsidR="009F6D8A" w:rsidRDefault="00C50974">
            <w:pPr>
              <w:jc w:val="right"/>
              <w:textAlignment w:val="bottom"/>
            </w:pPr>
            <w:r>
              <w:rPr>
                <w:rFonts w:ascii="Arial" w:eastAsia="宋体" w:hAnsi="Arial" w:cs="Arial"/>
                <w:color w:val="000000"/>
                <w:sz w:val="16"/>
                <w:szCs w:val="16"/>
              </w:rPr>
              <w:t>2,496 </w:t>
            </w:r>
          </w:p>
        </w:tc>
        <w:tc>
          <w:tcPr>
            <w:tcW w:w="0" w:type="auto"/>
            <w:shd w:val="clear" w:color="auto" w:fill="E2E2E2"/>
            <w:tcMar>
              <w:top w:w="40" w:type="dxa"/>
              <w:left w:w="0" w:type="dxa"/>
              <w:bottom w:w="40" w:type="dxa"/>
              <w:right w:w="20" w:type="dxa"/>
            </w:tcMar>
            <w:vAlign w:val="bottom"/>
          </w:tcPr>
          <w:p w14:paraId="64304DC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DCF"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4DD0"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64304DD1" w14:textId="77777777" w:rsidR="009F6D8A" w:rsidRDefault="00C50974">
            <w:pPr>
              <w:jc w:val="right"/>
              <w:textAlignment w:val="bottom"/>
            </w:pPr>
            <w:r>
              <w:rPr>
                <w:rFonts w:ascii="Arial" w:eastAsia="宋体" w:hAnsi="Arial" w:cs="Arial"/>
                <w:color w:val="000000"/>
                <w:sz w:val="16"/>
                <w:szCs w:val="16"/>
              </w:rPr>
              <w:t>2,185 </w:t>
            </w:r>
          </w:p>
        </w:tc>
        <w:tc>
          <w:tcPr>
            <w:tcW w:w="0" w:type="auto"/>
            <w:shd w:val="clear" w:color="auto" w:fill="E2E2E2"/>
            <w:tcMar>
              <w:top w:w="40" w:type="dxa"/>
              <w:left w:w="0" w:type="dxa"/>
              <w:bottom w:w="40" w:type="dxa"/>
              <w:right w:w="20" w:type="dxa"/>
            </w:tcMar>
            <w:vAlign w:val="bottom"/>
          </w:tcPr>
          <w:p w14:paraId="64304DD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DD3"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DD4" w14:textId="77777777" w:rsidR="009F6D8A" w:rsidRDefault="00C50974">
            <w:pPr>
              <w:jc w:val="right"/>
              <w:textAlignment w:val="bottom"/>
            </w:pPr>
            <w:r>
              <w:rPr>
                <w:rFonts w:ascii="Arial" w:eastAsia="宋体" w:hAnsi="Arial" w:cs="Arial"/>
                <w:color w:val="000000"/>
                <w:sz w:val="16"/>
                <w:szCs w:val="16"/>
              </w:rPr>
              <w:t>14 </w:t>
            </w:r>
          </w:p>
        </w:tc>
        <w:tc>
          <w:tcPr>
            <w:tcW w:w="0" w:type="auto"/>
            <w:shd w:val="clear" w:color="auto" w:fill="E2E2E2"/>
            <w:tcMar>
              <w:top w:w="40" w:type="dxa"/>
              <w:left w:w="0" w:type="dxa"/>
              <w:bottom w:w="40" w:type="dxa"/>
              <w:right w:w="20" w:type="dxa"/>
            </w:tcMar>
            <w:vAlign w:val="bottom"/>
          </w:tcPr>
          <w:p w14:paraId="64304DD5"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DD6"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4DD7"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64304DD8" w14:textId="77777777" w:rsidR="009F6D8A" w:rsidRDefault="00C50974">
            <w:pPr>
              <w:jc w:val="right"/>
              <w:textAlignment w:val="bottom"/>
            </w:pPr>
            <w:r>
              <w:rPr>
                <w:rFonts w:ascii="Arial" w:eastAsia="宋体" w:hAnsi="Arial" w:cs="Arial"/>
                <w:color w:val="000000"/>
                <w:sz w:val="16"/>
                <w:szCs w:val="16"/>
              </w:rPr>
              <w:t>4,972 </w:t>
            </w:r>
          </w:p>
        </w:tc>
        <w:tc>
          <w:tcPr>
            <w:tcW w:w="0" w:type="auto"/>
            <w:shd w:val="clear" w:color="auto" w:fill="E2E2E2"/>
            <w:tcMar>
              <w:top w:w="40" w:type="dxa"/>
              <w:left w:w="0" w:type="dxa"/>
              <w:bottom w:w="40" w:type="dxa"/>
              <w:right w:w="20" w:type="dxa"/>
            </w:tcMar>
            <w:vAlign w:val="bottom"/>
          </w:tcPr>
          <w:p w14:paraId="64304DD9"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DDA"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4DDB"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64304DDC" w14:textId="77777777" w:rsidR="009F6D8A" w:rsidRDefault="00C50974">
            <w:pPr>
              <w:jc w:val="right"/>
              <w:textAlignment w:val="bottom"/>
            </w:pPr>
            <w:r>
              <w:rPr>
                <w:rFonts w:ascii="Arial" w:eastAsia="宋体" w:hAnsi="Arial" w:cs="Arial"/>
                <w:color w:val="000000"/>
                <w:sz w:val="16"/>
                <w:szCs w:val="16"/>
              </w:rPr>
              <w:t>3,837 </w:t>
            </w:r>
          </w:p>
        </w:tc>
        <w:tc>
          <w:tcPr>
            <w:tcW w:w="0" w:type="auto"/>
            <w:shd w:val="clear" w:color="auto" w:fill="E2E2E2"/>
            <w:tcMar>
              <w:top w:w="40" w:type="dxa"/>
              <w:left w:w="0" w:type="dxa"/>
              <w:bottom w:w="40" w:type="dxa"/>
              <w:right w:w="20" w:type="dxa"/>
            </w:tcMar>
            <w:vAlign w:val="bottom"/>
          </w:tcPr>
          <w:p w14:paraId="64304DD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DDE"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DDF" w14:textId="77777777" w:rsidR="009F6D8A" w:rsidRDefault="00C50974">
            <w:pPr>
              <w:jc w:val="right"/>
              <w:textAlignment w:val="bottom"/>
            </w:pPr>
            <w:r>
              <w:rPr>
                <w:rFonts w:ascii="Arial" w:eastAsia="宋体" w:hAnsi="Arial" w:cs="Arial"/>
                <w:color w:val="000000"/>
                <w:sz w:val="16"/>
                <w:szCs w:val="16"/>
              </w:rPr>
              <w:t>30 </w:t>
            </w:r>
          </w:p>
        </w:tc>
        <w:tc>
          <w:tcPr>
            <w:tcW w:w="0" w:type="auto"/>
            <w:shd w:val="clear" w:color="auto" w:fill="E2E2E2"/>
            <w:tcMar>
              <w:top w:w="40" w:type="dxa"/>
              <w:left w:w="0" w:type="dxa"/>
              <w:bottom w:w="40" w:type="dxa"/>
              <w:right w:w="20" w:type="dxa"/>
            </w:tcMar>
            <w:vAlign w:val="bottom"/>
          </w:tcPr>
          <w:p w14:paraId="64304DE0" w14:textId="77777777" w:rsidR="009F6D8A" w:rsidRDefault="00C50974">
            <w:pPr>
              <w:jc w:val="right"/>
              <w:textAlignment w:val="bottom"/>
            </w:pPr>
            <w:r>
              <w:rPr>
                <w:rFonts w:ascii="Arial" w:eastAsia="宋体" w:hAnsi="Arial" w:cs="Arial"/>
                <w:color w:val="000000"/>
                <w:sz w:val="16"/>
                <w:szCs w:val="16"/>
              </w:rPr>
              <w:t>%</w:t>
            </w:r>
          </w:p>
        </w:tc>
      </w:tr>
      <w:tr w:rsidR="009F6D8A" w14:paraId="64304DEE" w14:textId="77777777">
        <w:trPr>
          <w:hidden/>
        </w:trPr>
        <w:tc>
          <w:tcPr>
            <w:tcW w:w="0" w:type="auto"/>
            <w:gridSpan w:val="3"/>
            <w:shd w:val="clear" w:color="auto" w:fill="auto"/>
            <w:vAlign w:val="bottom"/>
          </w:tcPr>
          <w:p w14:paraId="64304DE2" w14:textId="77777777" w:rsidR="009F6D8A" w:rsidRDefault="009F6D8A">
            <w:pPr>
              <w:rPr>
                <w:rFonts w:ascii="宋体"/>
                <w:vanish/>
              </w:rPr>
            </w:pPr>
          </w:p>
        </w:tc>
        <w:tc>
          <w:tcPr>
            <w:tcW w:w="0" w:type="auto"/>
            <w:gridSpan w:val="3"/>
            <w:shd w:val="clear" w:color="auto" w:fill="auto"/>
            <w:vAlign w:val="bottom"/>
          </w:tcPr>
          <w:p w14:paraId="64304DE3" w14:textId="77777777" w:rsidR="009F6D8A" w:rsidRDefault="009F6D8A">
            <w:pPr>
              <w:rPr>
                <w:rFonts w:ascii="宋体"/>
                <w:vanish/>
              </w:rPr>
            </w:pPr>
          </w:p>
        </w:tc>
        <w:tc>
          <w:tcPr>
            <w:tcW w:w="0" w:type="auto"/>
            <w:gridSpan w:val="3"/>
            <w:shd w:val="clear" w:color="auto" w:fill="auto"/>
            <w:vAlign w:val="bottom"/>
          </w:tcPr>
          <w:p w14:paraId="64304DE4" w14:textId="77777777" w:rsidR="009F6D8A" w:rsidRDefault="009F6D8A">
            <w:pPr>
              <w:rPr>
                <w:rFonts w:ascii="宋体"/>
                <w:vanish/>
              </w:rPr>
            </w:pPr>
          </w:p>
        </w:tc>
        <w:tc>
          <w:tcPr>
            <w:tcW w:w="0" w:type="auto"/>
            <w:gridSpan w:val="3"/>
            <w:shd w:val="clear" w:color="auto" w:fill="auto"/>
            <w:vAlign w:val="bottom"/>
          </w:tcPr>
          <w:p w14:paraId="64304DE5" w14:textId="77777777" w:rsidR="009F6D8A" w:rsidRDefault="009F6D8A">
            <w:pPr>
              <w:rPr>
                <w:rFonts w:ascii="宋体"/>
                <w:vanish/>
              </w:rPr>
            </w:pPr>
          </w:p>
        </w:tc>
        <w:tc>
          <w:tcPr>
            <w:tcW w:w="0" w:type="auto"/>
            <w:gridSpan w:val="3"/>
            <w:shd w:val="clear" w:color="auto" w:fill="auto"/>
            <w:vAlign w:val="bottom"/>
          </w:tcPr>
          <w:p w14:paraId="64304DE6" w14:textId="77777777" w:rsidR="009F6D8A" w:rsidRDefault="009F6D8A">
            <w:pPr>
              <w:rPr>
                <w:rFonts w:ascii="宋体"/>
                <w:vanish/>
              </w:rPr>
            </w:pPr>
          </w:p>
        </w:tc>
        <w:tc>
          <w:tcPr>
            <w:tcW w:w="0" w:type="auto"/>
            <w:gridSpan w:val="3"/>
            <w:shd w:val="clear" w:color="auto" w:fill="auto"/>
            <w:vAlign w:val="bottom"/>
          </w:tcPr>
          <w:p w14:paraId="64304DE7" w14:textId="77777777" w:rsidR="009F6D8A" w:rsidRDefault="009F6D8A">
            <w:pPr>
              <w:rPr>
                <w:rFonts w:ascii="宋体"/>
                <w:vanish/>
              </w:rPr>
            </w:pPr>
          </w:p>
        </w:tc>
        <w:tc>
          <w:tcPr>
            <w:tcW w:w="0" w:type="auto"/>
            <w:gridSpan w:val="3"/>
            <w:shd w:val="clear" w:color="auto" w:fill="auto"/>
            <w:vAlign w:val="bottom"/>
          </w:tcPr>
          <w:p w14:paraId="64304DE8" w14:textId="77777777" w:rsidR="009F6D8A" w:rsidRDefault="009F6D8A">
            <w:pPr>
              <w:rPr>
                <w:rFonts w:ascii="宋体"/>
                <w:vanish/>
              </w:rPr>
            </w:pPr>
          </w:p>
        </w:tc>
        <w:tc>
          <w:tcPr>
            <w:tcW w:w="0" w:type="auto"/>
            <w:gridSpan w:val="3"/>
            <w:shd w:val="clear" w:color="auto" w:fill="auto"/>
            <w:vAlign w:val="bottom"/>
          </w:tcPr>
          <w:p w14:paraId="64304DE9" w14:textId="77777777" w:rsidR="009F6D8A" w:rsidRDefault="009F6D8A">
            <w:pPr>
              <w:rPr>
                <w:rFonts w:ascii="宋体"/>
                <w:vanish/>
              </w:rPr>
            </w:pPr>
          </w:p>
        </w:tc>
        <w:tc>
          <w:tcPr>
            <w:tcW w:w="0" w:type="auto"/>
            <w:gridSpan w:val="3"/>
            <w:shd w:val="clear" w:color="auto" w:fill="auto"/>
            <w:vAlign w:val="bottom"/>
          </w:tcPr>
          <w:p w14:paraId="64304DEA" w14:textId="77777777" w:rsidR="009F6D8A" w:rsidRDefault="009F6D8A">
            <w:pPr>
              <w:rPr>
                <w:rFonts w:ascii="宋体"/>
                <w:vanish/>
              </w:rPr>
            </w:pPr>
          </w:p>
        </w:tc>
        <w:tc>
          <w:tcPr>
            <w:tcW w:w="0" w:type="auto"/>
            <w:gridSpan w:val="3"/>
            <w:shd w:val="clear" w:color="auto" w:fill="auto"/>
            <w:vAlign w:val="bottom"/>
          </w:tcPr>
          <w:p w14:paraId="64304DEB" w14:textId="77777777" w:rsidR="009F6D8A" w:rsidRDefault="009F6D8A">
            <w:pPr>
              <w:rPr>
                <w:rFonts w:ascii="宋体"/>
                <w:vanish/>
              </w:rPr>
            </w:pPr>
          </w:p>
        </w:tc>
        <w:tc>
          <w:tcPr>
            <w:tcW w:w="0" w:type="auto"/>
            <w:gridSpan w:val="3"/>
            <w:shd w:val="clear" w:color="auto" w:fill="auto"/>
            <w:vAlign w:val="bottom"/>
          </w:tcPr>
          <w:p w14:paraId="64304DEC" w14:textId="77777777" w:rsidR="009F6D8A" w:rsidRDefault="009F6D8A">
            <w:pPr>
              <w:rPr>
                <w:rFonts w:ascii="宋体"/>
                <w:vanish/>
              </w:rPr>
            </w:pPr>
          </w:p>
        </w:tc>
        <w:tc>
          <w:tcPr>
            <w:tcW w:w="0" w:type="auto"/>
            <w:gridSpan w:val="3"/>
            <w:shd w:val="clear" w:color="auto" w:fill="auto"/>
            <w:vAlign w:val="bottom"/>
          </w:tcPr>
          <w:p w14:paraId="64304DED" w14:textId="77777777" w:rsidR="009F6D8A" w:rsidRDefault="009F6D8A">
            <w:pPr>
              <w:rPr>
                <w:rFonts w:ascii="宋体"/>
                <w:vanish/>
              </w:rPr>
            </w:pPr>
          </w:p>
        </w:tc>
      </w:tr>
      <w:tr w:rsidR="009F6D8A" w14:paraId="64304DFB" w14:textId="77777777">
        <w:trPr>
          <w:hidden/>
        </w:trPr>
        <w:tc>
          <w:tcPr>
            <w:tcW w:w="0" w:type="auto"/>
            <w:gridSpan w:val="3"/>
            <w:shd w:val="clear" w:color="auto" w:fill="auto"/>
            <w:vAlign w:val="bottom"/>
          </w:tcPr>
          <w:p w14:paraId="64304DEF" w14:textId="77777777" w:rsidR="009F6D8A" w:rsidRDefault="009F6D8A">
            <w:pPr>
              <w:rPr>
                <w:rFonts w:ascii="宋体"/>
                <w:vanish/>
              </w:rPr>
            </w:pPr>
          </w:p>
        </w:tc>
        <w:tc>
          <w:tcPr>
            <w:tcW w:w="0" w:type="auto"/>
            <w:gridSpan w:val="3"/>
            <w:shd w:val="clear" w:color="auto" w:fill="auto"/>
            <w:vAlign w:val="bottom"/>
          </w:tcPr>
          <w:p w14:paraId="64304DF0" w14:textId="77777777" w:rsidR="009F6D8A" w:rsidRDefault="009F6D8A">
            <w:pPr>
              <w:rPr>
                <w:rFonts w:ascii="宋体"/>
                <w:vanish/>
              </w:rPr>
            </w:pPr>
          </w:p>
        </w:tc>
        <w:tc>
          <w:tcPr>
            <w:tcW w:w="0" w:type="auto"/>
            <w:gridSpan w:val="3"/>
            <w:shd w:val="clear" w:color="auto" w:fill="auto"/>
            <w:vAlign w:val="bottom"/>
          </w:tcPr>
          <w:p w14:paraId="64304DF1" w14:textId="77777777" w:rsidR="009F6D8A" w:rsidRDefault="009F6D8A">
            <w:pPr>
              <w:rPr>
                <w:rFonts w:ascii="宋体"/>
                <w:vanish/>
              </w:rPr>
            </w:pPr>
          </w:p>
        </w:tc>
        <w:tc>
          <w:tcPr>
            <w:tcW w:w="0" w:type="auto"/>
            <w:gridSpan w:val="3"/>
            <w:shd w:val="clear" w:color="auto" w:fill="auto"/>
            <w:vAlign w:val="bottom"/>
          </w:tcPr>
          <w:p w14:paraId="64304DF2" w14:textId="77777777" w:rsidR="009F6D8A" w:rsidRDefault="009F6D8A">
            <w:pPr>
              <w:rPr>
                <w:rFonts w:ascii="宋体"/>
                <w:vanish/>
              </w:rPr>
            </w:pPr>
          </w:p>
        </w:tc>
        <w:tc>
          <w:tcPr>
            <w:tcW w:w="0" w:type="auto"/>
            <w:gridSpan w:val="3"/>
            <w:shd w:val="clear" w:color="auto" w:fill="auto"/>
            <w:vAlign w:val="bottom"/>
          </w:tcPr>
          <w:p w14:paraId="64304DF3" w14:textId="77777777" w:rsidR="009F6D8A" w:rsidRDefault="009F6D8A">
            <w:pPr>
              <w:rPr>
                <w:rFonts w:ascii="宋体"/>
                <w:vanish/>
              </w:rPr>
            </w:pPr>
          </w:p>
        </w:tc>
        <w:tc>
          <w:tcPr>
            <w:tcW w:w="0" w:type="auto"/>
            <w:gridSpan w:val="3"/>
            <w:shd w:val="clear" w:color="auto" w:fill="auto"/>
            <w:vAlign w:val="bottom"/>
          </w:tcPr>
          <w:p w14:paraId="64304DF4" w14:textId="77777777" w:rsidR="009F6D8A" w:rsidRDefault="009F6D8A">
            <w:pPr>
              <w:rPr>
                <w:rFonts w:ascii="宋体"/>
                <w:vanish/>
              </w:rPr>
            </w:pPr>
          </w:p>
        </w:tc>
        <w:tc>
          <w:tcPr>
            <w:tcW w:w="0" w:type="auto"/>
            <w:gridSpan w:val="3"/>
            <w:shd w:val="clear" w:color="auto" w:fill="auto"/>
            <w:vAlign w:val="bottom"/>
          </w:tcPr>
          <w:p w14:paraId="64304DF5" w14:textId="77777777" w:rsidR="009F6D8A" w:rsidRDefault="009F6D8A">
            <w:pPr>
              <w:rPr>
                <w:rFonts w:ascii="宋体"/>
                <w:vanish/>
              </w:rPr>
            </w:pPr>
          </w:p>
        </w:tc>
        <w:tc>
          <w:tcPr>
            <w:tcW w:w="0" w:type="auto"/>
            <w:gridSpan w:val="3"/>
            <w:shd w:val="clear" w:color="auto" w:fill="auto"/>
            <w:vAlign w:val="bottom"/>
          </w:tcPr>
          <w:p w14:paraId="64304DF6" w14:textId="77777777" w:rsidR="009F6D8A" w:rsidRDefault="009F6D8A">
            <w:pPr>
              <w:rPr>
                <w:rFonts w:ascii="宋体"/>
                <w:vanish/>
              </w:rPr>
            </w:pPr>
          </w:p>
        </w:tc>
        <w:tc>
          <w:tcPr>
            <w:tcW w:w="0" w:type="auto"/>
            <w:gridSpan w:val="3"/>
            <w:shd w:val="clear" w:color="auto" w:fill="auto"/>
            <w:vAlign w:val="bottom"/>
          </w:tcPr>
          <w:p w14:paraId="64304DF7" w14:textId="77777777" w:rsidR="009F6D8A" w:rsidRDefault="009F6D8A">
            <w:pPr>
              <w:rPr>
                <w:rFonts w:ascii="宋体"/>
                <w:vanish/>
              </w:rPr>
            </w:pPr>
          </w:p>
        </w:tc>
        <w:tc>
          <w:tcPr>
            <w:tcW w:w="0" w:type="auto"/>
            <w:gridSpan w:val="3"/>
            <w:shd w:val="clear" w:color="auto" w:fill="auto"/>
            <w:vAlign w:val="bottom"/>
          </w:tcPr>
          <w:p w14:paraId="64304DF8" w14:textId="77777777" w:rsidR="009F6D8A" w:rsidRDefault="009F6D8A">
            <w:pPr>
              <w:rPr>
                <w:rFonts w:ascii="宋体"/>
                <w:vanish/>
              </w:rPr>
            </w:pPr>
          </w:p>
        </w:tc>
        <w:tc>
          <w:tcPr>
            <w:tcW w:w="0" w:type="auto"/>
            <w:gridSpan w:val="3"/>
            <w:shd w:val="clear" w:color="auto" w:fill="auto"/>
            <w:vAlign w:val="bottom"/>
          </w:tcPr>
          <w:p w14:paraId="64304DF9" w14:textId="77777777" w:rsidR="009F6D8A" w:rsidRDefault="009F6D8A">
            <w:pPr>
              <w:rPr>
                <w:rFonts w:ascii="宋体"/>
                <w:vanish/>
              </w:rPr>
            </w:pPr>
          </w:p>
        </w:tc>
        <w:tc>
          <w:tcPr>
            <w:tcW w:w="0" w:type="auto"/>
            <w:gridSpan w:val="3"/>
            <w:shd w:val="clear" w:color="auto" w:fill="auto"/>
            <w:vAlign w:val="bottom"/>
          </w:tcPr>
          <w:p w14:paraId="64304DFA" w14:textId="77777777" w:rsidR="009F6D8A" w:rsidRDefault="009F6D8A">
            <w:pPr>
              <w:rPr>
                <w:rFonts w:ascii="宋体"/>
                <w:vanish/>
              </w:rPr>
            </w:pPr>
          </w:p>
        </w:tc>
      </w:tr>
      <w:tr w:rsidR="009F6D8A" w14:paraId="64304E0E" w14:textId="77777777">
        <w:tc>
          <w:tcPr>
            <w:tcW w:w="0" w:type="auto"/>
            <w:gridSpan w:val="3"/>
            <w:shd w:val="clear" w:color="auto" w:fill="FFFFFF"/>
            <w:tcMar>
              <w:top w:w="40" w:type="dxa"/>
              <w:left w:w="155" w:type="dxa"/>
              <w:bottom w:w="40" w:type="dxa"/>
              <w:right w:w="20" w:type="dxa"/>
            </w:tcMar>
            <w:vAlign w:val="bottom"/>
          </w:tcPr>
          <w:p w14:paraId="64304DFC" w14:textId="77777777" w:rsidR="009F6D8A" w:rsidRDefault="00C50974">
            <w:pPr>
              <w:textAlignment w:val="bottom"/>
            </w:pPr>
            <w:r>
              <w:rPr>
                <w:rFonts w:ascii="Arial" w:eastAsia="宋体" w:hAnsi="Arial" w:cs="Arial"/>
                <w:color w:val="000000"/>
                <w:sz w:val="16"/>
                <w:szCs w:val="16"/>
              </w:rPr>
              <w:t>Marketing services and other revenues</w:t>
            </w:r>
          </w:p>
        </w:tc>
        <w:tc>
          <w:tcPr>
            <w:tcW w:w="0" w:type="auto"/>
            <w:gridSpan w:val="2"/>
            <w:shd w:val="clear" w:color="auto" w:fill="FFFFFF"/>
            <w:tcMar>
              <w:top w:w="40" w:type="dxa"/>
              <w:left w:w="20" w:type="dxa"/>
              <w:bottom w:w="40" w:type="dxa"/>
              <w:right w:w="0" w:type="dxa"/>
            </w:tcMar>
            <w:vAlign w:val="bottom"/>
          </w:tcPr>
          <w:p w14:paraId="64304DFD" w14:textId="77777777" w:rsidR="009F6D8A" w:rsidRDefault="00C50974">
            <w:pPr>
              <w:jc w:val="right"/>
              <w:textAlignment w:val="bottom"/>
            </w:pPr>
            <w:r>
              <w:rPr>
                <w:rFonts w:ascii="Arial" w:eastAsia="宋体" w:hAnsi="Arial" w:cs="Arial"/>
                <w:color w:val="000000"/>
                <w:sz w:val="16"/>
                <w:szCs w:val="16"/>
              </w:rPr>
              <w:t>172 </w:t>
            </w:r>
          </w:p>
        </w:tc>
        <w:tc>
          <w:tcPr>
            <w:tcW w:w="0" w:type="auto"/>
            <w:shd w:val="clear" w:color="auto" w:fill="FFFFFF"/>
            <w:tcMar>
              <w:top w:w="40" w:type="dxa"/>
              <w:left w:w="0" w:type="dxa"/>
              <w:bottom w:w="40" w:type="dxa"/>
              <w:right w:w="20" w:type="dxa"/>
            </w:tcMar>
            <w:vAlign w:val="bottom"/>
          </w:tcPr>
          <w:p w14:paraId="64304DF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DFF"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E00" w14:textId="77777777" w:rsidR="009F6D8A" w:rsidRDefault="00C50974">
            <w:pPr>
              <w:jc w:val="right"/>
              <w:textAlignment w:val="bottom"/>
            </w:pPr>
            <w:r>
              <w:rPr>
                <w:rFonts w:ascii="Arial" w:eastAsia="宋体" w:hAnsi="Arial" w:cs="Arial"/>
                <w:color w:val="000000"/>
                <w:sz w:val="16"/>
                <w:szCs w:val="16"/>
              </w:rPr>
              <w:t>152 </w:t>
            </w:r>
          </w:p>
        </w:tc>
        <w:tc>
          <w:tcPr>
            <w:tcW w:w="0" w:type="auto"/>
            <w:shd w:val="clear" w:color="auto" w:fill="FFFFFF"/>
            <w:tcMar>
              <w:top w:w="40" w:type="dxa"/>
              <w:left w:w="0" w:type="dxa"/>
              <w:bottom w:w="40" w:type="dxa"/>
              <w:right w:w="20" w:type="dxa"/>
            </w:tcMar>
            <w:vAlign w:val="bottom"/>
          </w:tcPr>
          <w:p w14:paraId="64304E0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E0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E03" w14:textId="77777777" w:rsidR="009F6D8A" w:rsidRDefault="00C50974">
            <w:pPr>
              <w:jc w:val="right"/>
              <w:textAlignment w:val="bottom"/>
            </w:pPr>
            <w:r>
              <w:rPr>
                <w:rFonts w:ascii="Arial" w:eastAsia="宋体" w:hAnsi="Arial" w:cs="Arial"/>
                <w:color w:val="000000"/>
                <w:sz w:val="16"/>
                <w:szCs w:val="16"/>
              </w:rPr>
              <w:t>13 </w:t>
            </w:r>
          </w:p>
        </w:tc>
        <w:tc>
          <w:tcPr>
            <w:tcW w:w="0" w:type="auto"/>
            <w:shd w:val="clear" w:color="auto" w:fill="FFFFFF"/>
            <w:tcMar>
              <w:top w:w="40" w:type="dxa"/>
              <w:left w:w="0" w:type="dxa"/>
              <w:bottom w:w="40" w:type="dxa"/>
              <w:right w:w="20" w:type="dxa"/>
            </w:tcMar>
            <w:vAlign w:val="bottom"/>
          </w:tcPr>
          <w:p w14:paraId="64304E04"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4E0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E06" w14:textId="77777777" w:rsidR="009F6D8A" w:rsidRDefault="00C50974">
            <w:pPr>
              <w:jc w:val="right"/>
              <w:textAlignment w:val="bottom"/>
            </w:pPr>
            <w:r>
              <w:rPr>
                <w:rFonts w:ascii="Arial" w:eastAsia="宋体" w:hAnsi="Arial" w:cs="Arial"/>
                <w:color w:val="000000"/>
                <w:sz w:val="16"/>
                <w:szCs w:val="16"/>
              </w:rPr>
              <w:t>334 </w:t>
            </w:r>
          </w:p>
        </w:tc>
        <w:tc>
          <w:tcPr>
            <w:tcW w:w="0" w:type="auto"/>
            <w:shd w:val="clear" w:color="auto" w:fill="FFFFFF"/>
            <w:tcMar>
              <w:top w:w="40" w:type="dxa"/>
              <w:left w:w="0" w:type="dxa"/>
              <w:bottom w:w="40" w:type="dxa"/>
              <w:right w:w="20" w:type="dxa"/>
            </w:tcMar>
            <w:vAlign w:val="bottom"/>
          </w:tcPr>
          <w:p w14:paraId="64304E0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E0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E09" w14:textId="77777777" w:rsidR="009F6D8A" w:rsidRDefault="00C50974">
            <w:pPr>
              <w:jc w:val="right"/>
              <w:textAlignment w:val="bottom"/>
            </w:pPr>
            <w:r>
              <w:rPr>
                <w:rFonts w:ascii="Arial" w:eastAsia="宋体" w:hAnsi="Arial" w:cs="Arial"/>
                <w:color w:val="000000"/>
                <w:sz w:val="16"/>
                <w:szCs w:val="16"/>
              </w:rPr>
              <w:t>321 </w:t>
            </w:r>
          </w:p>
        </w:tc>
        <w:tc>
          <w:tcPr>
            <w:tcW w:w="0" w:type="auto"/>
            <w:shd w:val="clear" w:color="auto" w:fill="FFFFFF"/>
            <w:tcMar>
              <w:top w:w="40" w:type="dxa"/>
              <w:left w:w="0" w:type="dxa"/>
              <w:bottom w:w="40" w:type="dxa"/>
              <w:right w:w="20" w:type="dxa"/>
            </w:tcMar>
            <w:vAlign w:val="bottom"/>
          </w:tcPr>
          <w:p w14:paraId="64304E0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E0B"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E0C" w14:textId="77777777" w:rsidR="009F6D8A" w:rsidRDefault="00C50974">
            <w:pPr>
              <w:jc w:val="right"/>
              <w:textAlignment w:val="bottom"/>
            </w:pPr>
            <w:r>
              <w:rPr>
                <w:rFonts w:ascii="Arial" w:eastAsia="宋体" w:hAnsi="Arial" w:cs="Arial"/>
                <w:color w:val="000000"/>
                <w:sz w:val="16"/>
                <w:szCs w:val="16"/>
              </w:rPr>
              <w:t>4 </w:t>
            </w:r>
          </w:p>
        </w:tc>
        <w:tc>
          <w:tcPr>
            <w:tcW w:w="0" w:type="auto"/>
            <w:shd w:val="clear" w:color="auto" w:fill="FFFFFF"/>
            <w:tcMar>
              <w:top w:w="40" w:type="dxa"/>
              <w:left w:w="0" w:type="dxa"/>
              <w:bottom w:w="40" w:type="dxa"/>
              <w:right w:w="20" w:type="dxa"/>
            </w:tcMar>
            <w:vAlign w:val="bottom"/>
          </w:tcPr>
          <w:p w14:paraId="64304E0D" w14:textId="77777777" w:rsidR="009F6D8A" w:rsidRDefault="00C50974">
            <w:pPr>
              <w:jc w:val="right"/>
              <w:textAlignment w:val="bottom"/>
            </w:pPr>
            <w:r>
              <w:rPr>
                <w:rFonts w:ascii="Arial" w:eastAsia="宋体" w:hAnsi="Arial" w:cs="Arial"/>
                <w:color w:val="000000"/>
                <w:sz w:val="16"/>
                <w:szCs w:val="16"/>
              </w:rPr>
              <w:t>%</w:t>
            </w:r>
          </w:p>
        </w:tc>
      </w:tr>
      <w:tr w:rsidR="009F6D8A" w14:paraId="64304E1B" w14:textId="77777777">
        <w:trPr>
          <w:hidden/>
        </w:trPr>
        <w:tc>
          <w:tcPr>
            <w:tcW w:w="0" w:type="auto"/>
            <w:gridSpan w:val="3"/>
            <w:shd w:val="clear" w:color="auto" w:fill="auto"/>
            <w:vAlign w:val="bottom"/>
          </w:tcPr>
          <w:p w14:paraId="64304E0F" w14:textId="77777777" w:rsidR="009F6D8A" w:rsidRDefault="009F6D8A">
            <w:pPr>
              <w:rPr>
                <w:rFonts w:ascii="宋体"/>
                <w:vanish/>
              </w:rPr>
            </w:pPr>
          </w:p>
        </w:tc>
        <w:tc>
          <w:tcPr>
            <w:tcW w:w="0" w:type="auto"/>
            <w:gridSpan w:val="3"/>
            <w:shd w:val="clear" w:color="auto" w:fill="auto"/>
            <w:vAlign w:val="bottom"/>
          </w:tcPr>
          <w:p w14:paraId="64304E10" w14:textId="77777777" w:rsidR="009F6D8A" w:rsidRDefault="009F6D8A">
            <w:pPr>
              <w:rPr>
                <w:rFonts w:ascii="宋体"/>
                <w:vanish/>
              </w:rPr>
            </w:pPr>
          </w:p>
        </w:tc>
        <w:tc>
          <w:tcPr>
            <w:tcW w:w="0" w:type="auto"/>
            <w:gridSpan w:val="3"/>
            <w:shd w:val="clear" w:color="auto" w:fill="auto"/>
            <w:vAlign w:val="bottom"/>
          </w:tcPr>
          <w:p w14:paraId="64304E11" w14:textId="77777777" w:rsidR="009F6D8A" w:rsidRDefault="009F6D8A">
            <w:pPr>
              <w:rPr>
                <w:rFonts w:ascii="宋体"/>
                <w:vanish/>
              </w:rPr>
            </w:pPr>
          </w:p>
        </w:tc>
        <w:tc>
          <w:tcPr>
            <w:tcW w:w="0" w:type="auto"/>
            <w:gridSpan w:val="3"/>
            <w:shd w:val="clear" w:color="auto" w:fill="auto"/>
            <w:vAlign w:val="bottom"/>
          </w:tcPr>
          <w:p w14:paraId="64304E12" w14:textId="77777777" w:rsidR="009F6D8A" w:rsidRDefault="009F6D8A">
            <w:pPr>
              <w:rPr>
                <w:rFonts w:ascii="宋体"/>
                <w:vanish/>
              </w:rPr>
            </w:pPr>
          </w:p>
        </w:tc>
        <w:tc>
          <w:tcPr>
            <w:tcW w:w="0" w:type="auto"/>
            <w:gridSpan w:val="3"/>
            <w:shd w:val="clear" w:color="auto" w:fill="auto"/>
            <w:vAlign w:val="bottom"/>
          </w:tcPr>
          <w:p w14:paraId="64304E13" w14:textId="77777777" w:rsidR="009F6D8A" w:rsidRDefault="009F6D8A">
            <w:pPr>
              <w:rPr>
                <w:rFonts w:ascii="宋体"/>
                <w:vanish/>
              </w:rPr>
            </w:pPr>
          </w:p>
        </w:tc>
        <w:tc>
          <w:tcPr>
            <w:tcW w:w="0" w:type="auto"/>
            <w:gridSpan w:val="3"/>
            <w:shd w:val="clear" w:color="auto" w:fill="auto"/>
            <w:vAlign w:val="bottom"/>
          </w:tcPr>
          <w:p w14:paraId="64304E14" w14:textId="77777777" w:rsidR="009F6D8A" w:rsidRDefault="009F6D8A">
            <w:pPr>
              <w:rPr>
                <w:rFonts w:ascii="宋体"/>
                <w:vanish/>
              </w:rPr>
            </w:pPr>
          </w:p>
        </w:tc>
        <w:tc>
          <w:tcPr>
            <w:tcW w:w="0" w:type="auto"/>
            <w:gridSpan w:val="3"/>
            <w:shd w:val="clear" w:color="auto" w:fill="auto"/>
            <w:vAlign w:val="bottom"/>
          </w:tcPr>
          <w:p w14:paraId="64304E15" w14:textId="77777777" w:rsidR="009F6D8A" w:rsidRDefault="009F6D8A">
            <w:pPr>
              <w:rPr>
                <w:rFonts w:ascii="宋体"/>
                <w:vanish/>
              </w:rPr>
            </w:pPr>
          </w:p>
        </w:tc>
        <w:tc>
          <w:tcPr>
            <w:tcW w:w="0" w:type="auto"/>
            <w:gridSpan w:val="3"/>
            <w:shd w:val="clear" w:color="auto" w:fill="auto"/>
            <w:vAlign w:val="bottom"/>
          </w:tcPr>
          <w:p w14:paraId="64304E16" w14:textId="77777777" w:rsidR="009F6D8A" w:rsidRDefault="009F6D8A">
            <w:pPr>
              <w:rPr>
                <w:rFonts w:ascii="宋体"/>
                <w:vanish/>
              </w:rPr>
            </w:pPr>
          </w:p>
        </w:tc>
        <w:tc>
          <w:tcPr>
            <w:tcW w:w="0" w:type="auto"/>
            <w:gridSpan w:val="3"/>
            <w:shd w:val="clear" w:color="auto" w:fill="auto"/>
            <w:vAlign w:val="bottom"/>
          </w:tcPr>
          <w:p w14:paraId="64304E17" w14:textId="77777777" w:rsidR="009F6D8A" w:rsidRDefault="009F6D8A">
            <w:pPr>
              <w:rPr>
                <w:rFonts w:ascii="宋体"/>
                <w:vanish/>
              </w:rPr>
            </w:pPr>
          </w:p>
        </w:tc>
        <w:tc>
          <w:tcPr>
            <w:tcW w:w="0" w:type="auto"/>
            <w:gridSpan w:val="3"/>
            <w:shd w:val="clear" w:color="auto" w:fill="auto"/>
            <w:vAlign w:val="bottom"/>
          </w:tcPr>
          <w:p w14:paraId="64304E18" w14:textId="77777777" w:rsidR="009F6D8A" w:rsidRDefault="009F6D8A">
            <w:pPr>
              <w:rPr>
                <w:rFonts w:ascii="宋体"/>
                <w:vanish/>
              </w:rPr>
            </w:pPr>
          </w:p>
        </w:tc>
        <w:tc>
          <w:tcPr>
            <w:tcW w:w="0" w:type="auto"/>
            <w:gridSpan w:val="3"/>
            <w:shd w:val="clear" w:color="auto" w:fill="auto"/>
            <w:vAlign w:val="bottom"/>
          </w:tcPr>
          <w:p w14:paraId="64304E19" w14:textId="77777777" w:rsidR="009F6D8A" w:rsidRDefault="009F6D8A">
            <w:pPr>
              <w:rPr>
                <w:rFonts w:ascii="宋体"/>
                <w:vanish/>
              </w:rPr>
            </w:pPr>
          </w:p>
        </w:tc>
        <w:tc>
          <w:tcPr>
            <w:tcW w:w="0" w:type="auto"/>
            <w:gridSpan w:val="3"/>
            <w:shd w:val="clear" w:color="auto" w:fill="auto"/>
            <w:vAlign w:val="bottom"/>
          </w:tcPr>
          <w:p w14:paraId="64304E1A" w14:textId="77777777" w:rsidR="009F6D8A" w:rsidRDefault="009F6D8A">
            <w:pPr>
              <w:rPr>
                <w:rFonts w:ascii="宋体"/>
                <w:vanish/>
              </w:rPr>
            </w:pPr>
          </w:p>
        </w:tc>
      </w:tr>
      <w:tr w:rsidR="009F6D8A" w14:paraId="64304E28" w14:textId="77777777">
        <w:trPr>
          <w:hidden/>
        </w:trPr>
        <w:tc>
          <w:tcPr>
            <w:tcW w:w="0" w:type="auto"/>
            <w:gridSpan w:val="3"/>
            <w:shd w:val="clear" w:color="auto" w:fill="auto"/>
            <w:vAlign w:val="bottom"/>
          </w:tcPr>
          <w:p w14:paraId="64304E1C" w14:textId="77777777" w:rsidR="009F6D8A" w:rsidRDefault="009F6D8A">
            <w:pPr>
              <w:rPr>
                <w:rFonts w:ascii="宋体"/>
                <w:vanish/>
              </w:rPr>
            </w:pPr>
          </w:p>
        </w:tc>
        <w:tc>
          <w:tcPr>
            <w:tcW w:w="0" w:type="auto"/>
            <w:gridSpan w:val="3"/>
            <w:shd w:val="clear" w:color="auto" w:fill="auto"/>
            <w:vAlign w:val="bottom"/>
          </w:tcPr>
          <w:p w14:paraId="64304E1D" w14:textId="77777777" w:rsidR="009F6D8A" w:rsidRDefault="009F6D8A">
            <w:pPr>
              <w:rPr>
                <w:rFonts w:ascii="宋体"/>
                <w:vanish/>
              </w:rPr>
            </w:pPr>
          </w:p>
        </w:tc>
        <w:tc>
          <w:tcPr>
            <w:tcW w:w="0" w:type="auto"/>
            <w:gridSpan w:val="3"/>
            <w:shd w:val="clear" w:color="auto" w:fill="auto"/>
            <w:vAlign w:val="bottom"/>
          </w:tcPr>
          <w:p w14:paraId="64304E1E" w14:textId="77777777" w:rsidR="009F6D8A" w:rsidRDefault="009F6D8A">
            <w:pPr>
              <w:rPr>
                <w:rFonts w:ascii="宋体"/>
                <w:vanish/>
              </w:rPr>
            </w:pPr>
          </w:p>
        </w:tc>
        <w:tc>
          <w:tcPr>
            <w:tcW w:w="0" w:type="auto"/>
            <w:gridSpan w:val="3"/>
            <w:shd w:val="clear" w:color="auto" w:fill="auto"/>
            <w:vAlign w:val="bottom"/>
          </w:tcPr>
          <w:p w14:paraId="64304E1F" w14:textId="77777777" w:rsidR="009F6D8A" w:rsidRDefault="009F6D8A">
            <w:pPr>
              <w:rPr>
                <w:rFonts w:ascii="宋体"/>
                <w:vanish/>
              </w:rPr>
            </w:pPr>
          </w:p>
        </w:tc>
        <w:tc>
          <w:tcPr>
            <w:tcW w:w="0" w:type="auto"/>
            <w:gridSpan w:val="3"/>
            <w:shd w:val="clear" w:color="auto" w:fill="auto"/>
            <w:vAlign w:val="bottom"/>
          </w:tcPr>
          <w:p w14:paraId="64304E20" w14:textId="77777777" w:rsidR="009F6D8A" w:rsidRDefault="009F6D8A">
            <w:pPr>
              <w:rPr>
                <w:rFonts w:ascii="宋体"/>
                <w:vanish/>
              </w:rPr>
            </w:pPr>
          </w:p>
        </w:tc>
        <w:tc>
          <w:tcPr>
            <w:tcW w:w="0" w:type="auto"/>
            <w:gridSpan w:val="3"/>
            <w:shd w:val="clear" w:color="auto" w:fill="auto"/>
            <w:vAlign w:val="bottom"/>
          </w:tcPr>
          <w:p w14:paraId="64304E21" w14:textId="77777777" w:rsidR="009F6D8A" w:rsidRDefault="009F6D8A">
            <w:pPr>
              <w:rPr>
                <w:rFonts w:ascii="宋体"/>
                <w:vanish/>
              </w:rPr>
            </w:pPr>
          </w:p>
        </w:tc>
        <w:tc>
          <w:tcPr>
            <w:tcW w:w="0" w:type="auto"/>
            <w:gridSpan w:val="3"/>
            <w:shd w:val="clear" w:color="auto" w:fill="auto"/>
            <w:vAlign w:val="bottom"/>
          </w:tcPr>
          <w:p w14:paraId="64304E22" w14:textId="77777777" w:rsidR="009F6D8A" w:rsidRDefault="009F6D8A">
            <w:pPr>
              <w:rPr>
                <w:rFonts w:ascii="宋体"/>
                <w:vanish/>
              </w:rPr>
            </w:pPr>
          </w:p>
        </w:tc>
        <w:tc>
          <w:tcPr>
            <w:tcW w:w="0" w:type="auto"/>
            <w:gridSpan w:val="3"/>
            <w:shd w:val="clear" w:color="auto" w:fill="auto"/>
            <w:vAlign w:val="bottom"/>
          </w:tcPr>
          <w:p w14:paraId="64304E23" w14:textId="77777777" w:rsidR="009F6D8A" w:rsidRDefault="009F6D8A">
            <w:pPr>
              <w:rPr>
                <w:rFonts w:ascii="宋体"/>
                <w:vanish/>
              </w:rPr>
            </w:pPr>
          </w:p>
        </w:tc>
        <w:tc>
          <w:tcPr>
            <w:tcW w:w="0" w:type="auto"/>
            <w:gridSpan w:val="3"/>
            <w:shd w:val="clear" w:color="auto" w:fill="auto"/>
            <w:vAlign w:val="bottom"/>
          </w:tcPr>
          <w:p w14:paraId="64304E24" w14:textId="77777777" w:rsidR="009F6D8A" w:rsidRDefault="009F6D8A">
            <w:pPr>
              <w:rPr>
                <w:rFonts w:ascii="宋体"/>
                <w:vanish/>
              </w:rPr>
            </w:pPr>
          </w:p>
        </w:tc>
        <w:tc>
          <w:tcPr>
            <w:tcW w:w="0" w:type="auto"/>
            <w:gridSpan w:val="3"/>
            <w:shd w:val="clear" w:color="auto" w:fill="auto"/>
            <w:vAlign w:val="bottom"/>
          </w:tcPr>
          <w:p w14:paraId="64304E25" w14:textId="77777777" w:rsidR="009F6D8A" w:rsidRDefault="009F6D8A">
            <w:pPr>
              <w:rPr>
                <w:rFonts w:ascii="宋体"/>
                <w:vanish/>
              </w:rPr>
            </w:pPr>
          </w:p>
        </w:tc>
        <w:tc>
          <w:tcPr>
            <w:tcW w:w="0" w:type="auto"/>
            <w:gridSpan w:val="3"/>
            <w:shd w:val="clear" w:color="auto" w:fill="auto"/>
            <w:vAlign w:val="bottom"/>
          </w:tcPr>
          <w:p w14:paraId="64304E26" w14:textId="77777777" w:rsidR="009F6D8A" w:rsidRDefault="009F6D8A">
            <w:pPr>
              <w:rPr>
                <w:rFonts w:ascii="宋体"/>
                <w:vanish/>
              </w:rPr>
            </w:pPr>
          </w:p>
        </w:tc>
        <w:tc>
          <w:tcPr>
            <w:tcW w:w="0" w:type="auto"/>
            <w:gridSpan w:val="3"/>
            <w:shd w:val="clear" w:color="auto" w:fill="auto"/>
            <w:vAlign w:val="bottom"/>
          </w:tcPr>
          <w:p w14:paraId="64304E27" w14:textId="77777777" w:rsidR="009F6D8A" w:rsidRDefault="009F6D8A">
            <w:pPr>
              <w:rPr>
                <w:rFonts w:ascii="宋体"/>
                <w:vanish/>
              </w:rPr>
            </w:pPr>
          </w:p>
        </w:tc>
      </w:tr>
      <w:tr w:rsidR="009F6D8A" w14:paraId="64304E35" w14:textId="77777777">
        <w:trPr>
          <w:hidden/>
        </w:trPr>
        <w:tc>
          <w:tcPr>
            <w:tcW w:w="0" w:type="auto"/>
            <w:gridSpan w:val="3"/>
            <w:shd w:val="clear" w:color="auto" w:fill="auto"/>
            <w:vAlign w:val="bottom"/>
          </w:tcPr>
          <w:p w14:paraId="64304E29" w14:textId="77777777" w:rsidR="009F6D8A" w:rsidRDefault="009F6D8A">
            <w:pPr>
              <w:rPr>
                <w:rFonts w:ascii="宋体"/>
                <w:vanish/>
              </w:rPr>
            </w:pPr>
          </w:p>
        </w:tc>
        <w:tc>
          <w:tcPr>
            <w:tcW w:w="0" w:type="auto"/>
            <w:gridSpan w:val="3"/>
            <w:shd w:val="clear" w:color="auto" w:fill="auto"/>
            <w:vAlign w:val="bottom"/>
          </w:tcPr>
          <w:p w14:paraId="64304E2A" w14:textId="77777777" w:rsidR="009F6D8A" w:rsidRDefault="009F6D8A">
            <w:pPr>
              <w:rPr>
                <w:rFonts w:ascii="宋体"/>
                <w:vanish/>
              </w:rPr>
            </w:pPr>
          </w:p>
        </w:tc>
        <w:tc>
          <w:tcPr>
            <w:tcW w:w="0" w:type="auto"/>
            <w:gridSpan w:val="3"/>
            <w:shd w:val="clear" w:color="auto" w:fill="auto"/>
            <w:vAlign w:val="bottom"/>
          </w:tcPr>
          <w:p w14:paraId="64304E2B" w14:textId="77777777" w:rsidR="009F6D8A" w:rsidRDefault="009F6D8A">
            <w:pPr>
              <w:rPr>
                <w:rFonts w:ascii="宋体"/>
                <w:vanish/>
              </w:rPr>
            </w:pPr>
          </w:p>
        </w:tc>
        <w:tc>
          <w:tcPr>
            <w:tcW w:w="0" w:type="auto"/>
            <w:gridSpan w:val="3"/>
            <w:shd w:val="clear" w:color="auto" w:fill="auto"/>
            <w:vAlign w:val="bottom"/>
          </w:tcPr>
          <w:p w14:paraId="64304E2C" w14:textId="77777777" w:rsidR="009F6D8A" w:rsidRDefault="009F6D8A">
            <w:pPr>
              <w:rPr>
                <w:rFonts w:ascii="宋体"/>
                <w:vanish/>
              </w:rPr>
            </w:pPr>
          </w:p>
        </w:tc>
        <w:tc>
          <w:tcPr>
            <w:tcW w:w="0" w:type="auto"/>
            <w:gridSpan w:val="3"/>
            <w:shd w:val="clear" w:color="auto" w:fill="auto"/>
            <w:vAlign w:val="bottom"/>
          </w:tcPr>
          <w:p w14:paraId="64304E2D" w14:textId="77777777" w:rsidR="009F6D8A" w:rsidRDefault="009F6D8A">
            <w:pPr>
              <w:rPr>
                <w:rFonts w:ascii="宋体"/>
                <w:vanish/>
              </w:rPr>
            </w:pPr>
          </w:p>
        </w:tc>
        <w:tc>
          <w:tcPr>
            <w:tcW w:w="0" w:type="auto"/>
            <w:gridSpan w:val="3"/>
            <w:shd w:val="clear" w:color="auto" w:fill="auto"/>
            <w:vAlign w:val="bottom"/>
          </w:tcPr>
          <w:p w14:paraId="64304E2E" w14:textId="77777777" w:rsidR="009F6D8A" w:rsidRDefault="009F6D8A">
            <w:pPr>
              <w:rPr>
                <w:rFonts w:ascii="宋体"/>
                <w:vanish/>
              </w:rPr>
            </w:pPr>
          </w:p>
        </w:tc>
        <w:tc>
          <w:tcPr>
            <w:tcW w:w="0" w:type="auto"/>
            <w:gridSpan w:val="3"/>
            <w:shd w:val="clear" w:color="auto" w:fill="auto"/>
            <w:vAlign w:val="bottom"/>
          </w:tcPr>
          <w:p w14:paraId="64304E2F" w14:textId="77777777" w:rsidR="009F6D8A" w:rsidRDefault="009F6D8A">
            <w:pPr>
              <w:rPr>
                <w:rFonts w:ascii="宋体"/>
                <w:vanish/>
              </w:rPr>
            </w:pPr>
          </w:p>
        </w:tc>
        <w:tc>
          <w:tcPr>
            <w:tcW w:w="0" w:type="auto"/>
            <w:gridSpan w:val="3"/>
            <w:shd w:val="clear" w:color="auto" w:fill="auto"/>
            <w:vAlign w:val="bottom"/>
          </w:tcPr>
          <w:p w14:paraId="64304E30" w14:textId="77777777" w:rsidR="009F6D8A" w:rsidRDefault="009F6D8A">
            <w:pPr>
              <w:rPr>
                <w:rFonts w:ascii="宋体"/>
                <w:vanish/>
              </w:rPr>
            </w:pPr>
          </w:p>
        </w:tc>
        <w:tc>
          <w:tcPr>
            <w:tcW w:w="0" w:type="auto"/>
            <w:gridSpan w:val="3"/>
            <w:shd w:val="clear" w:color="auto" w:fill="auto"/>
            <w:vAlign w:val="bottom"/>
          </w:tcPr>
          <w:p w14:paraId="64304E31" w14:textId="77777777" w:rsidR="009F6D8A" w:rsidRDefault="009F6D8A">
            <w:pPr>
              <w:rPr>
                <w:rFonts w:ascii="宋体"/>
                <w:vanish/>
              </w:rPr>
            </w:pPr>
          </w:p>
        </w:tc>
        <w:tc>
          <w:tcPr>
            <w:tcW w:w="0" w:type="auto"/>
            <w:gridSpan w:val="3"/>
            <w:shd w:val="clear" w:color="auto" w:fill="auto"/>
            <w:vAlign w:val="bottom"/>
          </w:tcPr>
          <w:p w14:paraId="64304E32" w14:textId="77777777" w:rsidR="009F6D8A" w:rsidRDefault="009F6D8A">
            <w:pPr>
              <w:rPr>
                <w:rFonts w:ascii="宋体"/>
                <w:vanish/>
              </w:rPr>
            </w:pPr>
          </w:p>
        </w:tc>
        <w:tc>
          <w:tcPr>
            <w:tcW w:w="0" w:type="auto"/>
            <w:gridSpan w:val="3"/>
            <w:shd w:val="clear" w:color="auto" w:fill="auto"/>
            <w:vAlign w:val="bottom"/>
          </w:tcPr>
          <w:p w14:paraId="64304E33" w14:textId="77777777" w:rsidR="009F6D8A" w:rsidRDefault="009F6D8A">
            <w:pPr>
              <w:rPr>
                <w:rFonts w:ascii="宋体"/>
                <w:vanish/>
              </w:rPr>
            </w:pPr>
          </w:p>
        </w:tc>
        <w:tc>
          <w:tcPr>
            <w:tcW w:w="0" w:type="auto"/>
            <w:gridSpan w:val="3"/>
            <w:shd w:val="clear" w:color="auto" w:fill="auto"/>
            <w:vAlign w:val="bottom"/>
          </w:tcPr>
          <w:p w14:paraId="64304E34" w14:textId="77777777" w:rsidR="009F6D8A" w:rsidRDefault="009F6D8A">
            <w:pPr>
              <w:rPr>
                <w:rFonts w:ascii="宋体"/>
                <w:vanish/>
              </w:rPr>
            </w:pPr>
          </w:p>
        </w:tc>
      </w:tr>
      <w:tr w:rsidR="009F6D8A" w14:paraId="64304E42" w14:textId="77777777">
        <w:trPr>
          <w:hidden/>
        </w:trPr>
        <w:tc>
          <w:tcPr>
            <w:tcW w:w="0" w:type="auto"/>
            <w:gridSpan w:val="3"/>
            <w:shd w:val="clear" w:color="auto" w:fill="auto"/>
            <w:vAlign w:val="bottom"/>
          </w:tcPr>
          <w:p w14:paraId="64304E36" w14:textId="77777777" w:rsidR="009F6D8A" w:rsidRDefault="009F6D8A">
            <w:pPr>
              <w:rPr>
                <w:rFonts w:ascii="宋体"/>
                <w:vanish/>
              </w:rPr>
            </w:pPr>
          </w:p>
        </w:tc>
        <w:tc>
          <w:tcPr>
            <w:tcW w:w="0" w:type="auto"/>
            <w:gridSpan w:val="3"/>
            <w:shd w:val="clear" w:color="auto" w:fill="auto"/>
            <w:vAlign w:val="bottom"/>
          </w:tcPr>
          <w:p w14:paraId="64304E37" w14:textId="77777777" w:rsidR="009F6D8A" w:rsidRDefault="009F6D8A">
            <w:pPr>
              <w:rPr>
                <w:rFonts w:ascii="宋体"/>
                <w:vanish/>
              </w:rPr>
            </w:pPr>
          </w:p>
        </w:tc>
        <w:tc>
          <w:tcPr>
            <w:tcW w:w="0" w:type="auto"/>
            <w:gridSpan w:val="3"/>
            <w:shd w:val="clear" w:color="auto" w:fill="auto"/>
            <w:vAlign w:val="bottom"/>
          </w:tcPr>
          <w:p w14:paraId="64304E38" w14:textId="77777777" w:rsidR="009F6D8A" w:rsidRDefault="009F6D8A">
            <w:pPr>
              <w:rPr>
                <w:rFonts w:ascii="宋体"/>
                <w:vanish/>
              </w:rPr>
            </w:pPr>
          </w:p>
        </w:tc>
        <w:tc>
          <w:tcPr>
            <w:tcW w:w="0" w:type="auto"/>
            <w:gridSpan w:val="3"/>
            <w:shd w:val="clear" w:color="auto" w:fill="auto"/>
            <w:vAlign w:val="bottom"/>
          </w:tcPr>
          <w:p w14:paraId="64304E39" w14:textId="77777777" w:rsidR="009F6D8A" w:rsidRDefault="009F6D8A">
            <w:pPr>
              <w:rPr>
                <w:rFonts w:ascii="宋体"/>
                <w:vanish/>
              </w:rPr>
            </w:pPr>
          </w:p>
        </w:tc>
        <w:tc>
          <w:tcPr>
            <w:tcW w:w="0" w:type="auto"/>
            <w:gridSpan w:val="3"/>
            <w:shd w:val="clear" w:color="auto" w:fill="auto"/>
            <w:vAlign w:val="bottom"/>
          </w:tcPr>
          <w:p w14:paraId="64304E3A" w14:textId="77777777" w:rsidR="009F6D8A" w:rsidRDefault="009F6D8A">
            <w:pPr>
              <w:rPr>
                <w:rFonts w:ascii="宋体"/>
                <w:vanish/>
              </w:rPr>
            </w:pPr>
          </w:p>
        </w:tc>
        <w:tc>
          <w:tcPr>
            <w:tcW w:w="0" w:type="auto"/>
            <w:gridSpan w:val="3"/>
            <w:shd w:val="clear" w:color="auto" w:fill="auto"/>
            <w:vAlign w:val="bottom"/>
          </w:tcPr>
          <w:p w14:paraId="64304E3B" w14:textId="77777777" w:rsidR="009F6D8A" w:rsidRDefault="009F6D8A">
            <w:pPr>
              <w:rPr>
                <w:rFonts w:ascii="宋体"/>
                <w:vanish/>
              </w:rPr>
            </w:pPr>
          </w:p>
        </w:tc>
        <w:tc>
          <w:tcPr>
            <w:tcW w:w="0" w:type="auto"/>
            <w:gridSpan w:val="3"/>
            <w:shd w:val="clear" w:color="auto" w:fill="auto"/>
            <w:vAlign w:val="bottom"/>
          </w:tcPr>
          <w:p w14:paraId="64304E3C" w14:textId="77777777" w:rsidR="009F6D8A" w:rsidRDefault="009F6D8A">
            <w:pPr>
              <w:rPr>
                <w:rFonts w:ascii="宋体"/>
                <w:vanish/>
              </w:rPr>
            </w:pPr>
          </w:p>
        </w:tc>
        <w:tc>
          <w:tcPr>
            <w:tcW w:w="0" w:type="auto"/>
            <w:gridSpan w:val="3"/>
            <w:shd w:val="clear" w:color="auto" w:fill="auto"/>
            <w:vAlign w:val="bottom"/>
          </w:tcPr>
          <w:p w14:paraId="64304E3D" w14:textId="77777777" w:rsidR="009F6D8A" w:rsidRDefault="009F6D8A">
            <w:pPr>
              <w:rPr>
                <w:rFonts w:ascii="宋体"/>
                <w:vanish/>
              </w:rPr>
            </w:pPr>
          </w:p>
        </w:tc>
        <w:tc>
          <w:tcPr>
            <w:tcW w:w="0" w:type="auto"/>
            <w:gridSpan w:val="3"/>
            <w:shd w:val="clear" w:color="auto" w:fill="auto"/>
            <w:vAlign w:val="bottom"/>
          </w:tcPr>
          <w:p w14:paraId="64304E3E" w14:textId="77777777" w:rsidR="009F6D8A" w:rsidRDefault="009F6D8A">
            <w:pPr>
              <w:rPr>
                <w:rFonts w:ascii="宋体"/>
                <w:vanish/>
              </w:rPr>
            </w:pPr>
          </w:p>
        </w:tc>
        <w:tc>
          <w:tcPr>
            <w:tcW w:w="0" w:type="auto"/>
            <w:gridSpan w:val="3"/>
            <w:shd w:val="clear" w:color="auto" w:fill="auto"/>
            <w:vAlign w:val="bottom"/>
          </w:tcPr>
          <w:p w14:paraId="64304E3F" w14:textId="77777777" w:rsidR="009F6D8A" w:rsidRDefault="009F6D8A">
            <w:pPr>
              <w:rPr>
                <w:rFonts w:ascii="宋体"/>
                <w:vanish/>
              </w:rPr>
            </w:pPr>
          </w:p>
        </w:tc>
        <w:tc>
          <w:tcPr>
            <w:tcW w:w="0" w:type="auto"/>
            <w:gridSpan w:val="3"/>
            <w:shd w:val="clear" w:color="auto" w:fill="auto"/>
            <w:vAlign w:val="bottom"/>
          </w:tcPr>
          <w:p w14:paraId="64304E40" w14:textId="77777777" w:rsidR="009F6D8A" w:rsidRDefault="009F6D8A">
            <w:pPr>
              <w:rPr>
                <w:rFonts w:ascii="宋体"/>
                <w:vanish/>
              </w:rPr>
            </w:pPr>
          </w:p>
        </w:tc>
        <w:tc>
          <w:tcPr>
            <w:tcW w:w="0" w:type="auto"/>
            <w:gridSpan w:val="3"/>
            <w:shd w:val="clear" w:color="auto" w:fill="auto"/>
            <w:vAlign w:val="bottom"/>
          </w:tcPr>
          <w:p w14:paraId="64304E41" w14:textId="77777777" w:rsidR="009F6D8A" w:rsidRDefault="009F6D8A">
            <w:pPr>
              <w:rPr>
                <w:rFonts w:ascii="宋体"/>
                <w:vanish/>
              </w:rPr>
            </w:pPr>
          </w:p>
        </w:tc>
      </w:tr>
      <w:tr w:rsidR="009F6D8A" w14:paraId="64304E59" w14:textId="77777777">
        <w:tc>
          <w:tcPr>
            <w:tcW w:w="0" w:type="auto"/>
            <w:gridSpan w:val="3"/>
            <w:shd w:val="clear" w:color="auto" w:fill="E2E2E2"/>
            <w:tcMar>
              <w:top w:w="40" w:type="dxa"/>
              <w:left w:w="380" w:type="dxa"/>
              <w:bottom w:w="40" w:type="dxa"/>
              <w:right w:w="20" w:type="dxa"/>
            </w:tcMar>
            <w:vAlign w:val="bottom"/>
          </w:tcPr>
          <w:p w14:paraId="64304E43" w14:textId="77777777" w:rsidR="009F6D8A" w:rsidRDefault="00C50974">
            <w:pPr>
              <w:textAlignment w:val="bottom"/>
            </w:pPr>
            <w:r>
              <w:rPr>
                <w:rFonts w:ascii="Arial" w:eastAsia="宋体" w:hAnsi="Arial" w:cs="Arial"/>
                <w:color w:val="000000"/>
                <w:sz w:val="16"/>
                <w:szCs w:val="16"/>
              </w:rPr>
              <w:t>Total net revenues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E44"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E45" w14:textId="77777777" w:rsidR="009F6D8A" w:rsidRDefault="00C50974">
            <w:pPr>
              <w:jc w:val="right"/>
              <w:textAlignment w:val="bottom"/>
            </w:pPr>
            <w:r>
              <w:rPr>
                <w:rFonts w:ascii="Arial" w:eastAsia="宋体" w:hAnsi="Arial" w:cs="Arial"/>
                <w:color w:val="000000"/>
                <w:sz w:val="16"/>
                <w:szCs w:val="16"/>
              </w:rPr>
              <w:t>2,668 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E4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E47"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E48"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E49" w14:textId="77777777" w:rsidR="009F6D8A" w:rsidRDefault="00C50974">
            <w:pPr>
              <w:jc w:val="right"/>
              <w:textAlignment w:val="bottom"/>
            </w:pPr>
            <w:r>
              <w:rPr>
                <w:rFonts w:ascii="Arial" w:eastAsia="宋体" w:hAnsi="Arial" w:cs="Arial"/>
                <w:color w:val="000000"/>
                <w:sz w:val="16"/>
                <w:szCs w:val="16"/>
              </w:rPr>
              <w:t>2,337 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E4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E4B"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E4C" w14:textId="77777777" w:rsidR="009F6D8A" w:rsidRDefault="00C50974">
            <w:pPr>
              <w:jc w:val="right"/>
              <w:textAlignment w:val="bottom"/>
            </w:pPr>
            <w:r>
              <w:rPr>
                <w:rFonts w:ascii="Arial" w:eastAsia="宋体" w:hAnsi="Arial" w:cs="Arial"/>
                <w:color w:val="000000"/>
                <w:sz w:val="16"/>
                <w:szCs w:val="16"/>
              </w:rPr>
              <w:t>14 </w:t>
            </w:r>
          </w:p>
        </w:tc>
        <w:tc>
          <w:tcPr>
            <w:tcW w:w="0" w:type="auto"/>
            <w:shd w:val="clear" w:color="auto" w:fill="E2E2E2"/>
            <w:tcMar>
              <w:top w:w="40" w:type="dxa"/>
              <w:left w:w="0" w:type="dxa"/>
              <w:bottom w:w="40" w:type="dxa"/>
              <w:right w:w="20" w:type="dxa"/>
            </w:tcMar>
            <w:vAlign w:val="bottom"/>
          </w:tcPr>
          <w:p w14:paraId="64304E4D"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E4E"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E4F"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E50" w14:textId="77777777" w:rsidR="009F6D8A" w:rsidRDefault="00C50974">
            <w:pPr>
              <w:jc w:val="right"/>
              <w:textAlignment w:val="bottom"/>
            </w:pPr>
            <w:r>
              <w:rPr>
                <w:rFonts w:ascii="Arial" w:eastAsia="宋体" w:hAnsi="Arial" w:cs="Arial"/>
                <w:color w:val="000000"/>
                <w:sz w:val="16"/>
                <w:szCs w:val="16"/>
              </w:rPr>
              <w:t>5,306 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E5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E52"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4E53"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4E54" w14:textId="77777777" w:rsidR="009F6D8A" w:rsidRDefault="00C50974">
            <w:pPr>
              <w:jc w:val="right"/>
              <w:textAlignment w:val="bottom"/>
            </w:pPr>
            <w:r>
              <w:rPr>
                <w:rFonts w:ascii="Arial" w:eastAsia="宋体" w:hAnsi="Arial" w:cs="Arial"/>
                <w:color w:val="000000"/>
                <w:sz w:val="16"/>
                <w:szCs w:val="16"/>
              </w:rPr>
              <w:t>4,158 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4E5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E56"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E57" w14:textId="77777777" w:rsidR="009F6D8A" w:rsidRDefault="00C50974">
            <w:pPr>
              <w:jc w:val="right"/>
              <w:textAlignment w:val="bottom"/>
            </w:pPr>
            <w:r>
              <w:rPr>
                <w:rFonts w:ascii="Arial" w:eastAsia="宋体" w:hAnsi="Arial" w:cs="Arial"/>
                <w:color w:val="000000"/>
                <w:sz w:val="16"/>
                <w:szCs w:val="16"/>
              </w:rPr>
              <w:t>28 </w:t>
            </w:r>
          </w:p>
        </w:tc>
        <w:tc>
          <w:tcPr>
            <w:tcW w:w="0" w:type="auto"/>
            <w:shd w:val="clear" w:color="auto" w:fill="E2E2E2"/>
            <w:tcMar>
              <w:top w:w="40" w:type="dxa"/>
              <w:left w:w="0" w:type="dxa"/>
              <w:bottom w:w="40" w:type="dxa"/>
              <w:right w:w="20" w:type="dxa"/>
            </w:tcMar>
            <w:vAlign w:val="bottom"/>
          </w:tcPr>
          <w:p w14:paraId="64304E58" w14:textId="77777777" w:rsidR="009F6D8A" w:rsidRDefault="00C50974">
            <w:pPr>
              <w:jc w:val="right"/>
              <w:textAlignment w:val="bottom"/>
            </w:pPr>
            <w:r>
              <w:rPr>
                <w:rFonts w:ascii="Arial" w:eastAsia="宋体" w:hAnsi="Arial" w:cs="Arial"/>
                <w:color w:val="000000"/>
                <w:sz w:val="16"/>
                <w:szCs w:val="16"/>
              </w:rPr>
              <w:t>%</w:t>
            </w:r>
          </w:p>
        </w:tc>
      </w:tr>
    </w:tbl>
    <w:p w14:paraId="64304E5A" w14:textId="77777777" w:rsidR="009F6D8A" w:rsidRDefault="009F6D8A">
      <w:pPr>
        <w:jc w:val="both"/>
      </w:pPr>
    </w:p>
    <w:p w14:paraId="64304E5B" w14:textId="77777777" w:rsidR="009F6D8A" w:rsidRDefault="00C50974">
      <w:pPr>
        <w:ind w:firstLine="270"/>
        <w:jc w:val="both"/>
      </w:pPr>
      <w:r>
        <w:rPr>
          <w:rFonts w:ascii="Arial" w:eastAsia="宋体" w:hAnsi="Arial" w:cs="Arial"/>
          <w:b/>
          <w:bCs/>
          <w:i/>
          <w:iCs/>
          <w:color w:val="000000"/>
          <w:sz w:val="20"/>
          <w:szCs w:val="20"/>
        </w:rPr>
        <w:t>Net Transaction Revenues</w:t>
      </w:r>
    </w:p>
    <w:p w14:paraId="64304E5C" w14:textId="77777777" w:rsidR="009F6D8A" w:rsidRDefault="009F6D8A">
      <w:pPr>
        <w:ind w:firstLine="540"/>
        <w:jc w:val="both"/>
      </w:pPr>
    </w:p>
    <w:p w14:paraId="64304E5D" w14:textId="77777777" w:rsidR="009F6D8A" w:rsidRDefault="00C50974">
      <w:pPr>
        <w:ind w:firstLine="270"/>
        <w:jc w:val="both"/>
      </w:pPr>
      <w:r>
        <w:rPr>
          <w:rFonts w:ascii="Arial" w:eastAsia="宋体" w:hAnsi="Arial" w:cs="Arial"/>
          <w:i/>
          <w:iCs/>
          <w:color w:val="000000"/>
          <w:sz w:val="20"/>
          <w:szCs w:val="20"/>
        </w:rPr>
        <w:t>Key Operating Metrics</w:t>
      </w:r>
    </w:p>
    <w:p w14:paraId="64304E5E" w14:textId="77777777" w:rsidR="009F6D8A" w:rsidRDefault="009F6D8A">
      <w:pPr>
        <w:ind w:firstLine="540"/>
        <w:jc w:val="both"/>
      </w:pPr>
    </w:p>
    <w:p w14:paraId="64304E5F" w14:textId="77777777" w:rsidR="009F6D8A" w:rsidRDefault="00C50974">
      <w:pPr>
        <w:ind w:firstLine="540"/>
        <w:jc w:val="both"/>
      </w:pPr>
      <w:r>
        <w:rPr>
          <w:rFonts w:ascii="Arial" w:eastAsia="宋体" w:hAnsi="Arial" w:cs="Arial"/>
          <w:color w:val="000000"/>
          <w:sz w:val="20"/>
          <w:szCs w:val="20"/>
        </w:rPr>
        <w:t>Gross Merchandise Volume (“GMV”) and take rate are significant factors that we believe affect our net transaction revenues.</w:t>
      </w:r>
    </w:p>
    <w:p w14:paraId="64304E60" w14:textId="77777777" w:rsidR="009F6D8A" w:rsidRDefault="009F6D8A"/>
    <w:p w14:paraId="64304E61" w14:textId="77777777" w:rsidR="009F6D8A" w:rsidRDefault="00C50974">
      <w:pPr>
        <w:jc w:val="both"/>
      </w:pPr>
      <w:r>
        <w:rPr>
          <w:rFonts w:ascii="Arial" w:eastAsia="宋体" w:hAnsi="Arial" w:cs="Arial"/>
          <w:b/>
          <w:bCs/>
          <w:color w:val="000000"/>
          <w:sz w:val="20"/>
          <w:szCs w:val="20"/>
        </w:rPr>
        <w:t>GMV</w:t>
      </w:r>
      <w:r>
        <w:rPr>
          <w:rFonts w:ascii="Arial" w:eastAsia="宋体" w:hAnsi="Arial" w:cs="Arial"/>
          <w:color w:val="000000"/>
          <w:sz w:val="20"/>
          <w:szCs w:val="20"/>
        </w:rPr>
        <w:t xml:space="preserve"> consists of the total value of all successfully closed transactions between users on our platforms during the applicable period, regardless of whether the buyer and seller actually consummated the transaction. Despite GMV’s divergence from revenue, we sti</w:t>
      </w:r>
      <w:r>
        <w:rPr>
          <w:rFonts w:ascii="Arial" w:eastAsia="宋体" w:hAnsi="Arial" w:cs="Arial"/>
          <w:color w:val="000000"/>
          <w:sz w:val="20"/>
          <w:szCs w:val="20"/>
        </w:rPr>
        <w:t>ll believe that GMV provides a useful measure of the overall volume of closed transactions that flow through our platforms in a given period, notwithstanding the inclusion in GMV of closed transactions that are not ultimately consummated.</w:t>
      </w:r>
    </w:p>
    <w:p w14:paraId="64304E62" w14:textId="77777777" w:rsidR="009F6D8A" w:rsidRDefault="009F6D8A">
      <w:pPr>
        <w:ind w:hanging="540"/>
        <w:jc w:val="both"/>
      </w:pPr>
    </w:p>
    <w:p w14:paraId="64304E63" w14:textId="77777777" w:rsidR="009F6D8A" w:rsidRDefault="009F6D8A">
      <w:pPr>
        <w:jc w:val="center"/>
      </w:pPr>
    </w:p>
    <w:p w14:paraId="64304E64" w14:textId="77777777" w:rsidR="009F6D8A" w:rsidRDefault="00C50974">
      <w:pPr>
        <w:jc w:val="center"/>
      </w:pPr>
      <w:r>
        <w:rPr>
          <w:rFonts w:ascii="Arial" w:eastAsia="宋体" w:hAnsi="Arial" w:cs="Arial"/>
          <w:color w:val="000000"/>
          <w:sz w:val="20"/>
          <w:szCs w:val="20"/>
        </w:rPr>
        <w:t>41</w:t>
      </w:r>
    </w:p>
    <w:p w14:paraId="64304E65" w14:textId="77777777" w:rsidR="009F6D8A" w:rsidRDefault="00C50974">
      <w:r>
        <w:pict w14:anchorId="6430582C">
          <v:rect id="_x0000_i1065" style="width:415.3pt;height:1.5pt" o:hralign="center" o:hrstd="t" o:hr="t" fillcolor="#a0a0a0" stroked="f"/>
        </w:pict>
      </w:r>
    </w:p>
    <w:p w14:paraId="64304E66" w14:textId="77777777" w:rsidR="009F6D8A" w:rsidRDefault="009F6D8A"/>
    <w:p w14:paraId="64304E67" w14:textId="77777777" w:rsidR="009F6D8A" w:rsidRDefault="00C50974">
      <w:pPr>
        <w:jc w:val="both"/>
      </w:pPr>
      <w:r>
        <w:rPr>
          <w:rFonts w:ascii="Arial" w:eastAsia="宋体" w:hAnsi="Arial" w:cs="Arial"/>
          <w:b/>
          <w:bCs/>
          <w:color w:val="000000"/>
          <w:sz w:val="20"/>
          <w:szCs w:val="20"/>
        </w:rPr>
        <w:t xml:space="preserve">Take </w:t>
      </w:r>
      <w:r>
        <w:rPr>
          <w:rFonts w:ascii="Arial" w:eastAsia="宋体" w:hAnsi="Arial" w:cs="Arial"/>
          <w:b/>
          <w:bCs/>
          <w:color w:val="000000"/>
          <w:sz w:val="20"/>
          <w:szCs w:val="20"/>
        </w:rPr>
        <w:t>rate</w:t>
      </w:r>
      <w:r>
        <w:rPr>
          <w:rFonts w:ascii="Arial" w:eastAsia="宋体" w:hAnsi="Arial" w:cs="Arial"/>
          <w:color w:val="000000"/>
          <w:sz w:val="20"/>
          <w:szCs w:val="20"/>
        </w:rPr>
        <w:t xml:space="preserve"> is defined as net transaction revenues divided by GMV and represents net transaction revenue as a percentage of overall volume on our platforms. We believe that take rate provides a useful measure of our ability to monetize volume through marketplace </w:t>
      </w:r>
      <w:r>
        <w:rPr>
          <w:rFonts w:ascii="Arial" w:eastAsia="宋体" w:hAnsi="Arial" w:cs="Arial"/>
          <w:color w:val="000000"/>
          <w:sz w:val="20"/>
          <w:szCs w:val="20"/>
        </w:rPr>
        <w:t>services on our platforms in a given period. We use take rate to identify key revenue drivers on our marketplace.</w:t>
      </w:r>
    </w:p>
    <w:p w14:paraId="64304E68" w14:textId="77777777" w:rsidR="009F6D8A" w:rsidRDefault="009F6D8A">
      <w:pPr>
        <w:jc w:val="both"/>
      </w:pPr>
    </w:p>
    <w:p w14:paraId="64304E69" w14:textId="77777777" w:rsidR="009F6D8A" w:rsidRDefault="00C50974">
      <w:pPr>
        <w:spacing w:after="160"/>
        <w:ind w:firstLine="270"/>
        <w:jc w:val="both"/>
      </w:pPr>
      <w:r>
        <w:rPr>
          <w:rFonts w:ascii="Arial" w:eastAsia="宋体" w:hAnsi="Arial" w:cs="Arial"/>
          <w:i/>
          <w:iCs/>
          <w:color w:val="000000"/>
          <w:sz w:val="20"/>
          <w:szCs w:val="20"/>
        </w:rPr>
        <w:t>Net Transaction Revenues</w:t>
      </w:r>
    </w:p>
    <w:tbl>
      <w:tblPr>
        <w:tblW w:w="5000" w:type="pct"/>
        <w:tblCellMar>
          <w:top w:w="15" w:type="dxa"/>
          <w:left w:w="15" w:type="dxa"/>
          <w:bottom w:w="15" w:type="dxa"/>
          <w:right w:w="15" w:type="dxa"/>
        </w:tblCellMar>
        <w:tblLook w:val="04A0" w:firstRow="1" w:lastRow="0" w:firstColumn="1" w:lastColumn="0" w:noHBand="0" w:noVBand="1"/>
      </w:tblPr>
      <w:tblGrid>
        <w:gridCol w:w="51"/>
        <w:gridCol w:w="949"/>
        <w:gridCol w:w="36"/>
        <w:gridCol w:w="107"/>
        <w:gridCol w:w="524"/>
        <w:gridCol w:w="160"/>
        <w:gridCol w:w="36"/>
        <w:gridCol w:w="35"/>
        <w:gridCol w:w="36"/>
        <w:gridCol w:w="108"/>
        <w:gridCol w:w="525"/>
        <w:gridCol w:w="161"/>
        <w:gridCol w:w="36"/>
        <w:gridCol w:w="36"/>
        <w:gridCol w:w="36"/>
        <w:gridCol w:w="71"/>
        <w:gridCol w:w="566"/>
        <w:gridCol w:w="161"/>
        <w:gridCol w:w="36"/>
        <w:gridCol w:w="36"/>
        <w:gridCol w:w="36"/>
        <w:gridCol w:w="81"/>
        <w:gridCol w:w="646"/>
        <w:gridCol w:w="161"/>
        <w:gridCol w:w="36"/>
        <w:gridCol w:w="36"/>
        <w:gridCol w:w="36"/>
        <w:gridCol w:w="108"/>
        <w:gridCol w:w="525"/>
        <w:gridCol w:w="161"/>
        <w:gridCol w:w="36"/>
        <w:gridCol w:w="36"/>
        <w:gridCol w:w="36"/>
        <w:gridCol w:w="108"/>
        <w:gridCol w:w="525"/>
        <w:gridCol w:w="161"/>
        <w:gridCol w:w="36"/>
        <w:gridCol w:w="36"/>
        <w:gridCol w:w="36"/>
        <w:gridCol w:w="71"/>
        <w:gridCol w:w="566"/>
        <w:gridCol w:w="161"/>
        <w:gridCol w:w="36"/>
        <w:gridCol w:w="36"/>
        <w:gridCol w:w="36"/>
        <w:gridCol w:w="81"/>
        <w:gridCol w:w="646"/>
        <w:gridCol w:w="161"/>
      </w:tblGrid>
      <w:tr w:rsidR="009F6D8A" w14:paraId="64304E9A" w14:textId="77777777">
        <w:tc>
          <w:tcPr>
            <w:tcW w:w="50" w:type="pct"/>
            <w:shd w:val="clear" w:color="auto" w:fill="auto"/>
            <w:vAlign w:val="bottom"/>
          </w:tcPr>
          <w:p w14:paraId="64304E6A" w14:textId="77777777" w:rsidR="009F6D8A" w:rsidRDefault="009F6D8A">
            <w:pPr>
              <w:rPr>
                <w:rFonts w:ascii="宋体"/>
              </w:rPr>
            </w:pPr>
          </w:p>
        </w:tc>
        <w:tc>
          <w:tcPr>
            <w:tcW w:w="1004" w:type="pct"/>
            <w:shd w:val="clear" w:color="auto" w:fill="auto"/>
            <w:vAlign w:val="bottom"/>
          </w:tcPr>
          <w:p w14:paraId="64304E6B" w14:textId="77777777" w:rsidR="009F6D8A" w:rsidRDefault="009F6D8A">
            <w:pPr>
              <w:rPr>
                <w:rFonts w:ascii="宋体"/>
              </w:rPr>
            </w:pPr>
          </w:p>
        </w:tc>
        <w:tc>
          <w:tcPr>
            <w:tcW w:w="5" w:type="pct"/>
            <w:shd w:val="clear" w:color="auto" w:fill="auto"/>
            <w:vAlign w:val="bottom"/>
          </w:tcPr>
          <w:p w14:paraId="64304E6C" w14:textId="77777777" w:rsidR="009F6D8A" w:rsidRDefault="009F6D8A">
            <w:pPr>
              <w:rPr>
                <w:rFonts w:ascii="宋体"/>
              </w:rPr>
            </w:pPr>
          </w:p>
        </w:tc>
        <w:tc>
          <w:tcPr>
            <w:tcW w:w="50" w:type="pct"/>
            <w:shd w:val="clear" w:color="auto" w:fill="auto"/>
            <w:vAlign w:val="bottom"/>
          </w:tcPr>
          <w:p w14:paraId="64304E6D" w14:textId="77777777" w:rsidR="009F6D8A" w:rsidRDefault="009F6D8A">
            <w:pPr>
              <w:rPr>
                <w:rFonts w:ascii="宋体"/>
              </w:rPr>
            </w:pPr>
          </w:p>
        </w:tc>
        <w:tc>
          <w:tcPr>
            <w:tcW w:w="405" w:type="pct"/>
            <w:shd w:val="clear" w:color="auto" w:fill="auto"/>
            <w:vAlign w:val="bottom"/>
          </w:tcPr>
          <w:p w14:paraId="64304E6E" w14:textId="77777777" w:rsidR="009F6D8A" w:rsidRDefault="009F6D8A">
            <w:pPr>
              <w:rPr>
                <w:rFonts w:ascii="宋体"/>
              </w:rPr>
            </w:pPr>
          </w:p>
        </w:tc>
        <w:tc>
          <w:tcPr>
            <w:tcW w:w="5" w:type="pct"/>
            <w:shd w:val="clear" w:color="auto" w:fill="auto"/>
            <w:vAlign w:val="bottom"/>
          </w:tcPr>
          <w:p w14:paraId="64304E6F" w14:textId="77777777" w:rsidR="009F6D8A" w:rsidRDefault="009F6D8A">
            <w:pPr>
              <w:rPr>
                <w:rFonts w:ascii="宋体"/>
              </w:rPr>
            </w:pPr>
          </w:p>
        </w:tc>
        <w:tc>
          <w:tcPr>
            <w:tcW w:w="5" w:type="pct"/>
            <w:shd w:val="clear" w:color="auto" w:fill="auto"/>
            <w:vAlign w:val="bottom"/>
          </w:tcPr>
          <w:p w14:paraId="64304E70" w14:textId="77777777" w:rsidR="009F6D8A" w:rsidRDefault="009F6D8A">
            <w:pPr>
              <w:rPr>
                <w:rFonts w:ascii="宋体"/>
              </w:rPr>
            </w:pPr>
          </w:p>
        </w:tc>
        <w:tc>
          <w:tcPr>
            <w:tcW w:w="26" w:type="pct"/>
            <w:shd w:val="clear" w:color="auto" w:fill="auto"/>
            <w:vAlign w:val="bottom"/>
          </w:tcPr>
          <w:p w14:paraId="64304E71" w14:textId="77777777" w:rsidR="009F6D8A" w:rsidRDefault="009F6D8A">
            <w:pPr>
              <w:rPr>
                <w:rFonts w:ascii="宋体"/>
              </w:rPr>
            </w:pPr>
          </w:p>
        </w:tc>
        <w:tc>
          <w:tcPr>
            <w:tcW w:w="5" w:type="pct"/>
            <w:shd w:val="clear" w:color="auto" w:fill="auto"/>
            <w:vAlign w:val="bottom"/>
          </w:tcPr>
          <w:p w14:paraId="64304E72" w14:textId="77777777" w:rsidR="009F6D8A" w:rsidRDefault="009F6D8A">
            <w:pPr>
              <w:rPr>
                <w:rFonts w:ascii="宋体"/>
              </w:rPr>
            </w:pPr>
          </w:p>
        </w:tc>
        <w:tc>
          <w:tcPr>
            <w:tcW w:w="50" w:type="pct"/>
            <w:shd w:val="clear" w:color="auto" w:fill="auto"/>
            <w:vAlign w:val="bottom"/>
          </w:tcPr>
          <w:p w14:paraId="64304E73" w14:textId="77777777" w:rsidR="009F6D8A" w:rsidRDefault="009F6D8A">
            <w:pPr>
              <w:rPr>
                <w:rFonts w:ascii="宋体"/>
              </w:rPr>
            </w:pPr>
          </w:p>
        </w:tc>
        <w:tc>
          <w:tcPr>
            <w:tcW w:w="405" w:type="pct"/>
            <w:shd w:val="clear" w:color="auto" w:fill="auto"/>
            <w:vAlign w:val="bottom"/>
          </w:tcPr>
          <w:p w14:paraId="64304E74" w14:textId="77777777" w:rsidR="009F6D8A" w:rsidRDefault="009F6D8A">
            <w:pPr>
              <w:rPr>
                <w:rFonts w:ascii="宋体"/>
              </w:rPr>
            </w:pPr>
          </w:p>
        </w:tc>
        <w:tc>
          <w:tcPr>
            <w:tcW w:w="5" w:type="pct"/>
            <w:shd w:val="clear" w:color="auto" w:fill="auto"/>
            <w:vAlign w:val="bottom"/>
          </w:tcPr>
          <w:p w14:paraId="64304E75" w14:textId="77777777" w:rsidR="009F6D8A" w:rsidRDefault="009F6D8A">
            <w:pPr>
              <w:rPr>
                <w:rFonts w:ascii="宋体"/>
              </w:rPr>
            </w:pPr>
          </w:p>
        </w:tc>
        <w:tc>
          <w:tcPr>
            <w:tcW w:w="5" w:type="pct"/>
            <w:shd w:val="clear" w:color="auto" w:fill="auto"/>
            <w:vAlign w:val="bottom"/>
          </w:tcPr>
          <w:p w14:paraId="64304E76" w14:textId="77777777" w:rsidR="009F6D8A" w:rsidRDefault="009F6D8A">
            <w:pPr>
              <w:rPr>
                <w:rFonts w:ascii="宋体"/>
              </w:rPr>
            </w:pPr>
          </w:p>
        </w:tc>
        <w:tc>
          <w:tcPr>
            <w:tcW w:w="26" w:type="pct"/>
            <w:shd w:val="clear" w:color="auto" w:fill="auto"/>
            <w:vAlign w:val="bottom"/>
          </w:tcPr>
          <w:p w14:paraId="64304E77" w14:textId="77777777" w:rsidR="009F6D8A" w:rsidRDefault="009F6D8A">
            <w:pPr>
              <w:rPr>
                <w:rFonts w:ascii="宋体"/>
              </w:rPr>
            </w:pPr>
          </w:p>
        </w:tc>
        <w:tc>
          <w:tcPr>
            <w:tcW w:w="5" w:type="pct"/>
            <w:shd w:val="clear" w:color="auto" w:fill="auto"/>
            <w:vAlign w:val="bottom"/>
          </w:tcPr>
          <w:p w14:paraId="64304E78" w14:textId="77777777" w:rsidR="009F6D8A" w:rsidRDefault="009F6D8A">
            <w:pPr>
              <w:rPr>
                <w:rFonts w:ascii="宋体"/>
              </w:rPr>
            </w:pPr>
          </w:p>
        </w:tc>
        <w:tc>
          <w:tcPr>
            <w:tcW w:w="50" w:type="pct"/>
            <w:shd w:val="clear" w:color="auto" w:fill="auto"/>
            <w:vAlign w:val="bottom"/>
          </w:tcPr>
          <w:p w14:paraId="64304E79" w14:textId="77777777" w:rsidR="009F6D8A" w:rsidRDefault="009F6D8A">
            <w:pPr>
              <w:rPr>
                <w:rFonts w:ascii="宋体"/>
              </w:rPr>
            </w:pPr>
          </w:p>
        </w:tc>
        <w:tc>
          <w:tcPr>
            <w:tcW w:w="405" w:type="pct"/>
            <w:shd w:val="clear" w:color="auto" w:fill="auto"/>
            <w:vAlign w:val="bottom"/>
          </w:tcPr>
          <w:p w14:paraId="64304E7A" w14:textId="77777777" w:rsidR="009F6D8A" w:rsidRDefault="009F6D8A">
            <w:pPr>
              <w:rPr>
                <w:rFonts w:ascii="宋体"/>
              </w:rPr>
            </w:pPr>
          </w:p>
        </w:tc>
        <w:tc>
          <w:tcPr>
            <w:tcW w:w="5" w:type="pct"/>
            <w:shd w:val="clear" w:color="auto" w:fill="auto"/>
            <w:vAlign w:val="bottom"/>
          </w:tcPr>
          <w:p w14:paraId="64304E7B" w14:textId="77777777" w:rsidR="009F6D8A" w:rsidRDefault="009F6D8A">
            <w:pPr>
              <w:rPr>
                <w:rFonts w:ascii="宋体"/>
              </w:rPr>
            </w:pPr>
          </w:p>
        </w:tc>
        <w:tc>
          <w:tcPr>
            <w:tcW w:w="5" w:type="pct"/>
            <w:shd w:val="clear" w:color="auto" w:fill="auto"/>
            <w:vAlign w:val="bottom"/>
          </w:tcPr>
          <w:p w14:paraId="64304E7C" w14:textId="77777777" w:rsidR="009F6D8A" w:rsidRDefault="009F6D8A">
            <w:pPr>
              <w:rPr>
                <w:rFonts w:ascii="宋体"/>
              </w:rPr>
            </w:pPr>
          </w:p>
        </w:tc>
        <w:tc>
          <w:tcPr>
            <w:tcW w:w="26" w:type="pct"/>
            <w:shd w:val="clear" w:color="auto" w:fill="auto"/>
            <w:vAlign w:val="bottom"/>
          </w:tcPr>
          <w:p w14:paraId="64304E7D" w14:textId="77777777" w:rsidR="009F6D8A" w:rsidRDefault="009F6D8A">
            <w:pPr>
              <w:rPr>
                <w:rFonts w:ascii="宋体"/>
              </w:rPr>
            </w:pPr>
          </w:p>
        </w:tc>
        <w:tc>
          <w:tcPr>
            <w:tcW w:w="5" w:type="pct"/>
            <w:shd w:val="clear" w:color="auto" w:fill="auto"/>
            <w:vAlign w:val="bottom"/>
          </w:tcPr>
          <w:p w14:paraId="64304E7E" w14:textId="77777777" w:rsidR="009F6D8A" w:rsidRDefault="009F6D8A">
            <w:pPr>
              <w:rPr>
                <w:rFonts w:ascii="宋体"/>
              </w:rPr>
            </w:pPr>
          </w:p>
        </w:tc>
        <w:tc>
          <w:tcPr>
            <w:tcW w:w="50" w:type="pct"/>
            <w:shd w:val="clear" w:color="auto" w:fill="auto"/>
            <w:vAlign w:val="bottom"/>
          </w:tcPr>
          <w:p w14:paraId="64304E7F" w14:textId="77777777" w:rsidR="009F6D8A" w:rsidRDefault="009F6D8A">
            <w:pPr>
              <w:rPr>
                <w:rFonts w:ascii="宋体"/>
              </w:rPr>
            </w:pPr>
          </w:p>
        </w:tc>
        <w:tc>
          <w:tcPr>
            <w:tcW w:w="405" w:type="pct"/>
            <w:shd w:val="clear" w:color="auto" w:fill="auto"/>
            <w:vAlign w:val="bottom"/>
          </w:tcPr>
          <w:p w14:paraId="64304E80" w14:textId="77777777" w:rsidR="009F6D8A" w:rsidRDefault="009F6D8A">
            <w:pPr>
              <w:rPr>
                <w:rFonts w:ascii="宋体"/>
              </w:rPr>
            </w:pPr>
          </w:p>
        </w:tc>
        <w:tc>
          <w:tcPr>
            <w:tcW w:w="5" w:type="pct"/>
            <w:shd w:val="clear" w:color="auto" w:fill="auto"/>
            <w:vAlign w:val="bottom"/>
          </w:tcPr>
          <w:p w14:paraId="64304E81" w14:textId="77777777" w:rsidR="009F6D8A" w:rsidRDefault="009F6D8A">
            <w:pPr>
              <w:rPr>
                <w:rFonts w:ascii="宋体"/>
              </w:rPr>
            </w:pPr>
          </w:p>
        </w:tc>
        <w:tc>
          <w:tcPr>
            <w:tcW w:w="5" w:type="pct"/>
            <w:shd w:val="clear" w:color="auto" w:fill="auto"/>
            <w:vAlign w:val="bottom"/>
          </w:tcPr>
          <w:p w14:paraId="64304E82" w14:textId="77777777" w:rsidR="009F6D8A" w:rsidRDefault="009F6D8A">
            <w:pPr>
              <w:rPr>
                <w:rFonts w:ascii="宋体"/>
              </w:rPr>
            </w:pPr>
          </w:p>
        </w:tc>
        <w:tc>
          <w:tcPr>
            <w:tcW w:w="26" w:type="pct"/>
            <w:shd w:val="clear" w:color="auto" w:fill="auto"/>
            <w:vAlign w:val="bottom"/>
          </w:tcPr>
          <w:p w14:paraId="64304E83" w14:textId="77777777" w:rsidR="009F6D8A" w:rsidRDefault="009F6D8A">
            <w:pPr>
              <w:rPr>
                <w:rFonts w:ascii="宋体"/>
              </w:rPr>
            </w:pPr>
          </w:p>
        </w:tc>
        <w:tc>
          <w:tcPr>
            <w:tcW w:w="5" w:type="pct"/>
            <w:shd w:val="clear" w:color="auto" w:fill="auto"/>
            <w:vAlign w:val="bottom"/>
          </w:tcPr>
          <w:p w14:paraId="64304E84" w14:textId="77777777" w:rsidR="009F6D8A" w:rsidRDefault="009F6D8A">
            <w:pPr>
              <w:rPr>
                <w:rFonts w:ascii="宋体"/>
              </w:rPr>
            </w:pPr>
          </w:p>
        </w:tc>
        <w:tc>
          <w:tcPr>
            <w:tcW w:w="50" w:type="pct"/>
            <w:shd w:val="clear" w:color="auto" w:fill="auto"/>
            <w:vAlign w:val="bottom"/>
          </w:tcPr>
          <w:p w14:paraId="64304E85" w14:textId="77777777" w:rsidR="009F6D8A" w:rsidRDefault="009F6D8A">
            <w:pPr>
              <w:rPr>
                <w:rFonts w:ascii="宋体"/>
              </w:rPr>
            </w:pPr>
          </w:p>
        </w:tc>
        <w:tc>
          <w:tcPr>
            <w:tcW w:w="405" w:type="pct"/>
            <w:shd w:val="clear" w:color="auto" w:fill="auto"/>
            <w:vAlign w:val="bottom"/>
          </w:tcPr>
          <w:p w14:paraId="64304E86" w14:textId="77777777" w:rsidR="009F6D8A" w:rsidRDefault="009F6D8A">
            <w:pPr>
              <w:rPr>
                <w:rFonts w:ascii="宋体"/>
              </w:rPr>
            </w:pPr>
          </w:p>
        </w:tc>
        <w:tc>
          <w:tcPr>
            <w:tcW w:w="5" w:type="pct"/>
            <w:shd w:val="clear" w:color="auto" w:fill="auto"/>
            <w:vAlign w:val="bottom"/>
          </w:tcPr>
          <w:p w14:paraId="64304E87" w14:textId="77777777" w:rsidR="009F6D8A" w:rsidRDefault="009F6D8A">
            <w:pPr>
              <w:rPr>
                <w:rFonts w:ascii="宋体"/>
              </w:rPr>
            </w:pPr>
          </w:p>
        </w:tc>
        <w:tc>
          <w:tcPr>
            <w:tcW w:w="5" w:type="pct"/>
            <w:shd w:val="clear" w:color="auto" w:fill="auto"/>
            <w:vAlign w:val="bottom"/>
          </w:tcPr>
          <w:p w14:paraId="64304E88" w14:textId="77777777" w:rsidR="009F6D8A" w:rsidRDefault="009F6D8A">
            <w:pPr>
              <w:rPr>
                <w:rFonts w:ascii="宋体"/>
              </w:rPr>
            </w:pPr>
          </w:p>
        </w:tc>
        <w:tc>
          <w:tcPr>
            <w:tcW w:w="26" w:type="pct"/>
            <w:shd w:val="clear" w:color="auto" w:fill="auto"/>
            <w:vAlign w:val="bottom"/>
          </w:tcPr>
          <w:p w14:paraId="64304E89" w14:textId="77777777" w:rsidR="009F6D8A" w:rsidRDefault="009F6D8A">
            <w:pPr>
              <w:rPr>
                <w:rFonts w:ascii="宋体"/>
              </w:rPr>
            </w:pPr>
          </w:p>
        </w:tc>
        <w:tc>
          <w:tcPr>
            <w:tcW w:w="5" w:type="pct"/>
            <w:shd w:val="clear" w:color="auto" w:fill="auto"/>
            <w:vAlign w:val="bottom"/>
          </w:tcPr>
          <w:p w14:paraId="64304E8A" w14:textId="77777777" w:rsidR="009F6D8A" w:rsidRDefault="009F6D8A">
            <w:pPr>
              <w:rPr>
                <w:rFonts w:ascii="宋体"/>
              </w:rPr>
            </w:pPr>
          </w:p>
        </w:tc>
        <w:tc>
          <w:tcPr>
            <w:tcW w:w="50" w:type="pct"/>
            <w:shd w:val="clear" w:color="auto" w:fill="auto"/>
            <w:vAlign w:val="bottom"/>
          </w:tcPr>
          <w:p w14:paraId="64304E8B" w14:textId="77777777" w:rsidR="009F6D8A" w:rsidRDefault="009F6D8A">
            <w:pPr>
              <w:rPr>
                <w:rFonts w:ascii="宋体"/>
              </w:rPr>
            </w:pPr>
          </w:p>
        </w:tc>
        <w:tc>
          <w:tcPr>
            <w:tcW w:w="405" w:type="pct"/>
            <w:shd w:val="clear" w:color="auto" w:fill="auto"/>
            <w:vAlign w:val="bottom"/>
          </w:tcPr>
          <w:p w14:paraId="64304E8C" w14:textId="77777777" w:rsidR="009F6D8A" w:rsidRDefault="009F6D8A">
            <w:pPr>
              <w:rPr>
                <w:rFonts w:ascii="宋体"/>
              </w:rPr>
            </w:pPr>
          </w:p>
        </w:tc>
        <w:tc>
          <w:tcPr>
            <w:tcW w:w="5" w:type="pct"/>
            <w:shd w:val="clear" w:color="auto" w:fill="auto"/>
            <w:vAlign w:val="bottom"/>
          </w:tcPr>
          <w:p w14:paraId="64304E8D" w14:textId="77777777" w:rsidR="009F6D8A" w:rsidRDefault="009F6D8A">
            <w:pPr>
              <w:rPr>
                <w:rFonts w:ascii="宋体"/>
              </w:rPr>
            </w:pPr>
          </w:p>
        </w:tc>
        <w:tc>
          <w:tcPr>
            <w:tcW w:w="5" w:type="pct"/>
            <w:shd w:val="clear" w:color="auto" w:fill="auto"/>
            <w:vAlign w:val="bottom"/>
          </w:tcPr>
          <w:p w14:paraId="64304E8E" w14:textId="77777777" w:rsidR="009F6D8A" w:rsidRDefault="009F6D8A">
            <w:pPr>
              <w:rPr>
                <w:rFonts w:ascii="宋体"/>
              </w:rPr>
            </w:pPr>
          </w:p>
        </w:tc>
        <w:tc>
          <w:tcPr>
            <w:tcW w:w="26" w:type="pct"/>
            <w:shd w:val="clear" w:color="auto" w:fill="auto"/>
            <w:vAlign w:val="bottom"/>
          </w:tcPr>
          <w:p w14:paraId="64304E8F" w14:textId="77777777" w:rsidR="009F6D8A" w:rsidRDefault="009F6D8A">
            <w:pPr>
              <w:rPr>
                <w:rFonts w:ascii="宋体"/>
              </w:rPr>
            </w:pPr>
          </w:p>
        </w:tc>
        <w:tc>
          <w:tcPr>
            <w:tcW w:w="5" w:type="pct"/>
            <w:shd w:val="clear" w:color="auto" w:fill="auto"/>
            <w:vAlign w:val="bottom"/>
          </w:tcPr>
          <w:p w14:paraId="64304E90" w14:textId="77777777" w:rsidR="009F6D8A" w:rsidRDefault="009F6D8A">
            <w:pPr>
              <w:rPr>
                <w:rFonts w:ascii="宋体"/>
              </w:rPr>
            </w:pPr>
          </w:p>
        </w:tc>
        <w:tc>
          <w:tcPr>
            <w:tcW w:w="50" w:type="pct"/>
            <w:shd w:val="clear" w:color="auto" w:fill="auto"/>
            <w:vAlign w:val="bottom"/>
          </w:tcPr>
          <w:p w14:paraId="64304E91" w14:textId="77777777" w:rsidR="009F6D8A" w:rsidRDefault="009F6D8A">
            <w:pPr>
              <w:rPr>
                <w:rFonts w:ascii="宋体"/>
              </w:rPr>
            </w:pPr>
          </w:p>
        </w:tc>
        <w:tc>
          <w:tcPr>
            <w:tcW w:w="405" w:type="pct"/>
            <w:shd w:val="clear" w:color="auto" w:fill="auto"/>
            <w:vAlign w:val="bottom"/>
          </w:tcPr>
          <w:p w14:paraId="64304E92" w14:textId="77777777" w:rsidR="009F6D8A" w:rsidRDefault="009F6D8A">
            <w:pPr>
              <w:rPr>
                <w:rFonts w:ascii="宋体"/>
              </w:rPr>
            </w:pPr>
          </w:p>
        </w:tc>
        <w:tc>
          <w:tcPr>
            <w:tcW w:w="5" w:type="pct"/>
            <w:shd w:val="clear" w:color="auto" w:fill="auto"/>
            <w:vAlign w:val="bottom"/>
          </w:tcPr>
          <w:p w14:paraId="64304E93" w14:textId="77777777" w:rsidR="009F6D8A" w:rsidRDefault="009F6D8A">
            <w:pPr>
              <w:rPr>
                <w:rFonts w:ascii="宋体"/>
              </w:rPr>
            </w:pPr>
          </w:p>
        </w:tc>
        <w:tc>
          <w:tcPr>
            <w:tcW w:w="5" w:type="pct"/>
            <w:shd w:val="clear" w:color="auto" w:fill="auto"/>
            <w:vAlign w:val="bottom"/>
          </w:tcPr>
          <w:p w14:paraId="64304E94" w14:textId="77777777" w:rsidR="009F6D8A" w:rsidRDefault="009F6D8A">
            <w:pPr>
              <w:rPr>
                <w:rFonts w:ascii="宋体"/>
              </w:rPr>
            </w:pPr>
          </w:p>
        </w:tc>
        <w:tc>
          <w:tcPr>
            <w:tcW w:w="26" w:type="pct"/>
            <w:shd w:val="clear" w:color="auto" w:fill="auto"/>
            <w:vAlign w:val="bottom"/>
          </w:tcPr>
          <w:p w14:paraId="64304E95" w14:textId="77777777" w:rsidR="009F6D8A" w:rsidRDefault="009F6D8A">
            <w:pPr>
              <w:rPr>
                <w:rFonts w:ascii="宋体"/>
              </w:rPr>
            </w:pPr>
          </w:p>
        </w:tc>
        <w:tc>
          <w:tcPr>
            <w:tcW w:w="5" w:type="pct"/>
            <w:shd w:val="clear" w:color="auto" w:fill="auto"/>
            <w:vAlign w:val="bottom"/>
          </w:tcPr>
          <w:p w14:paraId="64304E96" w14:textId="77777777" w:rsidR="009F6D8A" w:rsidRDefault="009F6D8A">
            <w:pPr>
              <w:rPr>
                <w:rFonts w:ascii="宋体"/>
              </w:rPr>
            </w:pPr>
          </w:p>
        </w:tc>
        <w:tc>
          <w:tcPr>
            <w:tcW w:w="50" w:type="pct"/>
            <w:shd w:val="clear" w:color="auto" w:fill="auto"/>
            <w:vAlign w:val="bottom"/>
          </w:tcPr>
          <w:p w14:paraId="64304E97" w14:textId="77777777" w:rsidR="009F6D8A" w:rsidRDefault="009F6D8A">
            <w:pPr>
              <w:rPr>
                <w:rFonts w:ascii="宋体"/>
              </w:rPr>
            </w:pPr>
          </w:p>
        </w:tc>
        <w:tc>
          <w:tcPr>
            <w:tcW w:w="406" w:type="pct"/>
            <w:shd w:val="clear" w:color="auto" w:fill="auto"/>
            <w:vAlign w:val="bottom"/>
          </w:tcPr>
          <w:p w14:paraId="64304E98" w14:textId="77777777" w:rsidR="009F6D8A" w:rsidRDefault="009F6D8A">
            <w:pPr>
              <w:rPr>
                <w:rFonts w:ascii="宋体"/>
              </w:rPr>
            </w:pPr>
          </w:p>
        </w:tc>
        <w:tc>
          <w:tcPr>
            <w:tcW w:w="5" w:type="pct"/>
            <w:shd w:val="clear" w:color="auto" w:fill="auto"/>
            <w:vAlign w:val="bottom"/>
          </w:tcPr>
          <w:p w14:paraId="64304E99" w14:textId="77777777" w:rsidR="009F6D8A" w:rsidRDefault="009F6D8A">
            <w:pPr>
              <w:rPr>
                <w:rFonts w:ascii="宋体"/>
              </w:rPr>
            </w:pPr>
          </w:p>
        </w:tc>
      </w:tr>
      <w:tr w:rsidR="009F6D8A" w14:paraId="64304EA3" w14:textId="77777777">
        <w:tc>
          <w:tcPr>
            <w:tcW w:w="0" w:type="auto"/>
            <w:gridSpan w:val="3"/>
            <w:shd w:val="clear" w:color="auto" w:fill="auto"/>
            <w:tcMar>
              <w:top w:w="0" w:type="dxa"/>
              <w:left w:w="20" w:type="dxa"/>
              <w:bottom w:w="0" w:type="dxa"/>
              <w:right w:w="20" w:type="dxa"/>
            </w:tcMar>
            <w:vAlign w:val="bottom"/>
          </w:tcPr>
          <w:p w14:paraId="64304E9B"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4E9C" w14:textId="77777777" w:rsidR="009F6D8A" w:rsidRDefault="00C50974">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w:t>
            </w:r>
          </w:p>
        </w:tc>
        <w:tc>
          <w:tcPr>
            <w:tcW w:w="0" w:type="auto"/>
            <w:gridSpan w:val="3"/>
            <w:shd w:val="clear" w:color="auto" w:fill="auto"/>
            <w:tcMar>
              <w:top w:w="0" w:type="dxa"/>
              <w:left w:w="20" w:type="dxa"/>
              <w:bottom w:w="0" w:type="dxa"/>
              <w:right w:w="20" w:type="dxa"/>
            </w:tcMar>
            <w:vAlign w:val="bottom"/>
          </w:tcPr>
          <w:p w14:paraId="64304E9D"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4E9E" w14:textId="77777777" w:rsidR="009F6D8A" w:rsidRDefault="00C50974">
            <w:pPr>
              <w:jc w:val="center"/>
              <w:textAlignment w:val="bottom"/>
            </w:pPr>
            <w:r>
              <w:rPr>
                <w:rFonts w:ascii="Arial" w:eastAsia="宋体" w:hAnsi="Arial" w:cs="Arial"/>
                <w:b/>
                <w:bCs/>
                <w:color w:val="000000"/>
                <w:sz w:val="14"/>
                <w:szCs w:val="14"/>
              </w:rPr>
              <w:t>Change</w:t>
            </w:r>
          </w:p>
        </w:tc>
        <w:tc>
          <w:tcPr>
            <w:tcW w:w="0" w:type="auto"/>
            <w:gridSpan w:val="3"/>
            <w:shd w:val="clear" w:color="auto" w:fill="auto"/>
            <w:tcMar>
              <w:top w:w="0" w:type="dxa"/>
              <w:left w:w="20" w:type="dxa"/>
              <w:bottom w:w="0" w:type="dxa"/>
              <w:right w:w="20" w:type="dxa"/>
            </w:tcMar>
            <w:vAlign w:val="bottom"/>
          </w:tcPr>
          <w:p w14:paraId="64304E9F"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4EA0" w14:textId="77777777" w:rsidR="009F6D8A" w:rsidRDefault="00C50974">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w:t>
            </w:r>
          </w:p>
        </w:tc>
        <w:tc>
          <w:tcPr>
            <w:tcW w:w="0" w:type="auto"/>
            <w:gridSpan w:val="3"/>
            <w:shd w:val="clear" w:color="auto" w:fill="auto"/>
            <w:tcMar>
              <w:top w:w="0" w:type="dxa"/>
              <w:left w:w="20" w:type="dxa"/>
              <w:bottom w:w="0" w:type="dxa"/>
              <w:right w:w="20" w:type="dxa"/>
            </w:tcMar>
            <w:vAlign w:val="bottom"/>
          </w:tcPr>
          <w:p w14:paraId="64304EA1"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4EA2" w14:textId="77777777" w:rsidR="009F6D8A" w:rsidRDefault="00C50974">
            <w:pPr>
              <w:jc w:val="center"/>
              <w:textAlignment w:val="bottom"/>
            </w:pPr>
            <w:r>
              <w:rPr>
                <w:rFonts w:ascii="Arial" w:eastAsia="宋体" w:hAnsi="Arial" w:cs="Arial"/>
                <w:b/>
                <w:bCs/>
                <w:color w:val="000000"/>
                <w:sz w:val="14"/>
                <w:szCs w:val="14"/>
              </w:rPr>
              <w:t>Change</w:t>
            </w:r>
          </w:p>
        </w:tc>
      </w:tr>
      <w:tr w:rsidR="009F6D8A" w14:paraId="64304EB4" w14:textId="77777777">
        <w:tc>
          <w:tcPr>
            <w:tcW w:w="0" w:type="auto"/>
            <w:gridSpan w:val="3"/>
            <w:shd w:val="clear" w:color="auto" w:fill="auto"/>
            <w:tcMar>
              <w:top w:w="40" w:type="dxa"/>
              <w:left w:w="20" w:type="dxa"/>
              <w:bottom w:w="40" w:type="dxa"/>
              <w:right w:w="20" w:type="dxa"/>
            </w:tcMar>
            <w:vAlign w:val="center"/>
          </w:tcPr>
          <w:p w14:paraId="64304EA4" w14:textId="77777777" w:rsidR="009F6D8A" w:rsidRDefault="00C50974">
            <w:pPr>
              <w:textAlignment w:val="center"/>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EA5" w14:textId="77777777" w:rsidR="009F6D8A" w:rsidRDefault="00C50974">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EA6"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4EA7" w14:textId="77777777" w:rsidR="009F6D8A" w:rsidRDefault="00C50974">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64304EA8"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4EA9" w14:textId="77777777" w:rsidR="009F6D8A" w:rsidRDefault="00C50974">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EAA"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4EAB" w14:textId="77777777" w:rsidR="009F6D8A" w:rsidRDefault="00C50974">
            <w:pPr>
              <w:jc w:val="center"/>
              <w:textAlignment w:val="bottom"/>
            </w:pPr>
            <w:r>
              <w:rPr>
                <w:rFonts w:ascii="Arial" w:eastAsia="宋体" w:hAnsi="Arial" w:cs="Arial"/>
                <w:b/>
                <w:bCs/>
                <w:color w:val="000000"/>
                <w:sz w:val="14"/>
                <w:szCs w:val="14"/>
              </w:rPr>
              <w:t>FX-Neutral</w:t>
            </w:r>
          </w:p>
        </w:tc>
        <w:tc>
          <w:tcPr>
            <w:tcW w:w="0" w:type="auto"/>
            <w:gridSpan w:val="3"/>
            <w:shd w:val="clear" w:color="auto" w:fill="auto"/>
            <w:tcMar>
              <w:top w:w="0" w:type="dxa"/>
              <w:left w:w="20" w:type="dxa"/>
              <w:bottom w:w="0" w:type="dxa"/>
              <w:right w:w="20" w:type="dxa"/>
            </w:tcMar>
            <w:vAlign w:val="bottom"/>
          </w:tcPr>
          <w:p w14:paraId="64304EAC"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4EAD" w14:textId="77777777" w:rsidR="009F6D8A" w:rsidRDefault="00C50974">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EAE"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4EAF" w14:textId="77777777" w:rsidR="009F6D8A" w:rsidRDefault="00C50974">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64304EB0"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4EB1" w14:textId="77777777" w:rsidR="009F6D8A" w:rsidRDefault="00C50974">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EB2"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4EB3" w14:textId="77777777" w:rsidR="009F6D8A" w:rsidRDefault="00C50974">
            <w:pPr>
              <w:jc w:val="center"/>
              <w:textAlignment w:val="bottom"/>
            </w:pPr>
            <w:r>
              <w:rPr>
                <w:rFonts w:ascii="Arial" w:eastAsia="宋体" w:hAnsi="Arial" w:cs="Arial"/>
                <w:b/>
                <w:bCs/>
                <w:color w:val="000000"/>
                <w:sz w:val="14"/>
                <w:szCs w:val="14"/>
              </w:rPr>
              <w:t>FX-Neutral</w:t>
            </w:r>
          </w:p>
        </w:tc>
      </w:tr>
      <w:tr w:rsidR="009F6D8A" w14:paraId="64304EB7" w14:textId="77777777">
        <w:tc>
          <w:tcPr>
            <w:tcW w:w="0" w:type="auto"/>
            <w:gridSpan w:val="3"/>
            <w:shd w:val="clear" w:color="auto" w:fill="auto"/>
            <w:tcMar>
              <w:top w:w="0" w:type="dxa"/>
              <w:left w:w="20" w:type="dxa"/>
              <w:bottom w:w="0" w:type="dxa"/>
              <w:right w:w="20" w:type="dxa"/>
            </w:tcMar>
            <w:vAlign w:val="bottom"/>
          </w:tcPr>
          <w:p w14:paraId="64304EB5" w14:textId="77777777" w:rsidR="009F6D8A" w:rsidRDefault="009F6D8A">
            <w:pPr>
              <w:rPr>
                <w:rFonts w:ascii="宋体"/>
              </w:rPr>
            </w:pPr>
          </w:p>
        </w:tc>
        <w:tc>
          <w:tcPr>
            <w:tcW w:w="0" w:type="auto"/>
            <w:gridSpan w:val="45"/>
            <w:tcBorders>
              <w:top w:val="single" w:sz="8" w:space="0" w:color="000000"/>
            </w:tcBorders>
            <w:shd w:val="clear" w:color="auto" w:fill="FFFFFF"/>
            <w:tcMar>
              <w:top w:w="40" w:type="dxa"/>
              <w:left w:w="20" w:type="dxa"/>
              <w:bottom w:w="40" w:type="dxa"/>
              <w:right w:w="20" w:type="dxa"/>
            </w:tcMar>
            <w:vAlign w:val="bottom"/>
          </w:tcPr>
          <w:p w14:paraId="64304EB6" w14:textId="77777777" w:rsidR="009F6D8A" w:rsidRDefault="00C50974">
            <w:pPr>
              <w:jc w:val="center"/>
              <w:textAlignment w:val="bottom"/>
            </w:pPr>
            <w:r>
              <w:rPr>
                <w:rFonts w:ascii="Arial" w:eastAsia="宋体" w:hAnsi="Arial" w:cs="Arial"/>
                <w:color w:val="000000"/>
                <w:sz w:val="16"/>
                <w:szCs w:val="16"/>
              </w:rPr>
              <w:t>(In millions, except percentages)</w:t>
            </w:r>
          </w:p>
        </w:tc>
      </w:tr>
      <w:tr w:rsidR="009F6D8A" w14:paraId="64304ED4" w14:textId="77777777">
        <w:tc>
          <w:tcPr>
            <w:tcW w:w="0" w:type="auto"/>
            <w:gridSpan w:val="3"/>
            <w:shd w:val="clear" w:color="auto" w:fill="E2E2E2"/>
            <w:tcMar>
              <w:top w:w="40" w:type="dxa"/>
              <w:left w:w="20" w:type="dxa"/>
              <w:bottom w:w="40" w:type="dxa"/>
              <w:right w:w="20" w:type="dxa"/>
            </w:tcMar>
            <w:vAlign w:val="bottom"/>
          </w:tcPr>
          <w:p w14:paraId="64304EB8" w14:textId="77777777" w:rsidR="009F6D8A" w:rsidRDefault="00C50974">
            <w:pPr>
              <w:textAlignment w:val="bottom"/>
            </w:pPr>
            <w:r>
              <w:rPr>
                <w:rFonts w:ascii="Arial" w:eastAsia="宋体" w:hAnsi="Arial" w:cs="Arial"/>
                <w:color w:val="000000"/>
                <w:sz w:val="16"/>
                <w:szCs w:val="16"/>
              </w:rPr>
              <w:t xml:space="preserve">Net transaction revenues </w:t>
            </w:r>
            <w:r>
              <w:rPr>
                <w:rFonts w:ascii="Arial" w:eastAsia="宋体" w:hAnsi="Arial" w:cs="Arial"/>
                <w:color w:val="000000"/>
                <w:sz w:val="10"/>
                <w:szCs w:val="10"/>
              </w:rPr>
              <w:t>(1)</w:t>
            </w:r>
          </w:p>
        </w:tc>
        <w:tc>
          <w:tcPr>
            <w:tcW w:w="0" w:type="auto"/>
            <w:shd w:val="clear" w:color="auto" w:fill="E2E2E2"/>
            <w:tcMar>
              <w:top w:w="40" w:type="dxa"/>
              <w:left w:w="20" w:type="dxa"/>
              <w:bottom w:w="40" w:type="dxa"/>
              <w:right w:w="0" w:type="dxa"/>
            </w:tcMar>
            <w:vAlign w:val="bottom"/>
          </w:tcPr>
          <w:p w14:paraId="64304EB9"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64304EBA" w14:textId="77777777" w:rsidR="009F6D8A" w:rsidRDefault="00C50974">
            <w:pPr>
              <w:jc w:val="right"/>
              <w:textAlignment w:val="bottom"/>
            </w:pPr>
            <w:r>
              <w:rPr>
                <w:rFonts w:ascii="Arial" w:eastAsia="宋体" w:hAnsi="Arial" w:cs="Arial"/>
                <w:color w:val="000000"/>
                <w:sz w:val="16"/>
                <w:szCs w:val="16"/>
              </w:rPr>
              <w:t>2,496 </w:t>
            </w:r>
          </w:p>
        </w:tc>
        <w:tc>
          <w:tcPr>
            <w:tcW w:w="0" w:type="auto"/>
            <w:shd w:val="clear" w:color="auto" w:fill="E2E2E2"/>
            <w:tcMar>
              <w:top w:w="40" w:type="dxa"/>
              <w:left w:w="0" w:type="dxa"/>
              <w:bottom w:w="40" w:type="dxa"/>
              <w:right w:w="20" w:type="dxa"/>
            </w:tcMar>
            <w:vAlign w:val="bottom"/>
          </w:tcPr>
          <w:p w14:paraId="64304EB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EBC"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4EBD"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64304EBE" w14:textId="77777777" w:rsidR="009F6D8A" w:rsidRDefault="00C50974">
            <w:pPr>
              <w:jc w:val="right"/>
              <w:textAlignment w:val="bottom"/>
            </w:pPr>
            <w:r>
              <w:rPr>
                <w:rFonts w:ascii="Arial" w:eastAsia="宋体" w:hAnsi="Arial" w:cs="Arial"/>
                <w:color w:val="000000"/>
                <w:sz w:val="16"/>
                <w:szCs w:val="16"/>
              </w:rPr>
              <w:t>2,185 </w:t>
            </w:r>
          </w:p>
        </w:tc>
        <w:tc>
          <w:tcPr>
            <w:tcW w:w="0" w:type="auto"/>
            <w:shd w:val="clear" w:color="auto" w:fill="E2E2E2"/>
            <w:tcMar>
              <w:top w:w="40" w:type="dxa"/>
              <w:left w:w="0" w:type="dxa"/>
              <w:bottom w:w="40" w:type="dxa"/>
              <w:right w:w="20" w:type="dxa"/>
            </w:tcMar>
            <w:vAlign w:val="bottom"/>
          </w:tcPr>
          <w:p w14:paraId="64304EB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EC0"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EC1" w14:textId="77777777" w:rsidR="009F6D8A" w:rsidRDefault="00C50974">
            <w:pPr>
              <w:jc w:val="right"/>
              <w:textAlignment w:val="bottom"/>
            </w:pPr>
            <w:r>
              <w:rPr>
                <w:rFonts w:ascii="Arial" w:eastAsia="宋体" w:hAnsi="Arial" w:cs="Arial"/>
                <w:color w:val="000000"/>
                <w:sz w:val="16"/>
                <w:szCs w:val="16"/>
              </w:rPr>
              <w:t>14 </w:t>
            </w:r>
          </w:p>
        </w:tc>
        <w:tc>
          <w:tcPr>
            <w:tcW w:w="0" w:type="auto"/>
            <w:shd w:val="clear" w:color="auto" w:fill="E2E2E2"/>
            <w:tcMar>
              <w:top w:w="40" w:type="dxa"/>
              <w:left w:w="0" w:type="dxa"/>
              <w:bottom w:w="40" w:type="dxa"/>
              <w:right w:w="20" w:type="dxa"/>
            </w:tcMar>
            <w:vAlign w:val="bottom"/>
          </w:tcPr>
          <w:p w14:paraId="64304EC2"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EC3"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EC4" w14:textId="77777777" w:rsidR="009F6D8A" w:rsidRDefault="00C50974">
            <w:pPr>
              <w:jc w:val="right"/>
              <w:textAlignment w:val="bottom"/>
            </w:pPr>
            <w:r>
              <w:rPr>
                <w:rFonts w:ascii="Arial" w:eastAsia="宋体" w:hAnsi="Arial" w:cs="Arial"/>
                <w:color w:val="000000"/>
                <w:sz w:val="16"/>
                <w:szCs w:val="16"/>
              </w:rPr>
              <w:t>11 </w:t>
            </w:r>
          </w:p>
        </w:tc>
        <w:tc>
          <w:tcPr>
            <w:tcW w:w="0" w:type="auto"/>
            <w:shd w:val="clear" w:color="auto" w:fill="E2E2E2"/>
            <w:tcMar>
              <w:top w:w="40" w:type="dxa"/>
              <w:left w:w="0" w:type="dxa"/>
              <w:bottom w:w="40" w:type="dxa"/>
              <w:right w:w="20" w:type="dxa"/>
            </w:tcMar>
            <w:vAlign w:val="bottom"/>
          </w:tcPr>
          <w:p w14:paraId="64304EC5"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EC6"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4EC7"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64304EC8" w14:textId="77777777" w:rsidR="009F6D8A" w:rsidRDefault="00C50974">
            <w:pPr>
              <w:jc w:val="right"/>
              <w:textAlignment w:val="bottom"/>
            </w:pPr>
            <w:r>
              <w:rPr>
                <w:rFonts w:ascii="Arial" w:eastAsia="宋体" w:hAnsi="Arial" w:cs="Arial"/>
                <w:color w:val="000000"/>
                <w:sz w:val="16"/>
                <w:szCs w:val="16"/>
              </w:rPr>
              <w:t>4,972 </w:t>
            </w:r>
          </w:p>
        </w:tc>
        <w:tc>
          <w:tcPr>
            <w:tcW w:w="0" w:type="auto"/>
            <w:shd w:val="clear" w:color="auto" w:fill="E2E2E2"/>
            <w:tcMar>
              <w:top w:w="40" w:type="dxa"/>
              <w:left w:w="0" w:type="dxa"/>
              <w:bottom w:w="40" w:type="dxa"/>
              <w:right w:w="20" w:type="dxa"/>
            </w:tcMar>
            <w:vAlign w:val="bottom"/>
          </w:tcPr>
          <w:p w14:paraId="64304EC9"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ECA"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4ECB"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64304ECC" w14:textId="77777777" w:rsidR="009F6D8A" w:rsidRDefault="00C50974">
            <w:pPr>
              <w:jc w:val="right"/>
              <w:textAlignment w:val="bottom"/>
            </w:pPr>
            <w:r>
              <w:rPr>
                <w:rFonts w:ascii="Arial" w:eastAsia="宋体" w:hAnsi="Arial" w:cs="Arial"/>
                <w:color w:val="000000"/>
                <w:sz w:val="16"/>
                <w:szCs w:val="16"/>
              </w:rPr>
              <w:t>3,837 </w:t>
            </w:r>
          </w:p>
        </w:tc>
        <w:tc>
          <w:tcPr>
            <w:tcW w:w="0" w:type="auto"/>
            <w:shd w:val="clear" w:color="auto" w:fill="E2E2E2"/>
            <w:tcMar>
              <w:top w:w="40" w:type="dxa"/>
              <w:left w:w="0" w:type="dxa"/>
              <w:bottom w:w="40" w:type="dxa"/>
              <w:right w:w="20" w:type="dxa"/>
            </w:tcMar>
            <w:vAlign w:val="bottom"/>
          </w:tcPr>
          <w:p w14:paraId="64304EC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ECE"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ECF" w14:textId="77777777" w:rsidR="009F6D8A" w:rsidRDefault="00C50974">
            <w:pPr>
              <w:jc w:val="right"/>
              <w:textAlignment w:val="bottom"/>
            </w:pPr>
            <w:r>
              <w:rPr>
                <w:rFonts w:ascii="Arial" w:eastAsia="宋体" w:hAnsi="Arial" w:cs="Arial"/>
                <w:color w:val="000000"/>
                <w:sz w:val="16"/>
                <w:szCs w:val="16"/>
              </w:rPr>
              <w:t>30 </w:t>
            </w:r>
          </w:p>
        </w:tc>
        <w:tc>
          <w:tcPr>
            <w:tcW w:w="0" w:type="auto"/>
            <w:shd w:val="clear" w:color="auto" w:fill="E2E2E2"/>
            <w:tcMar>
              <w:top w:w="40" w:type="dxa"/>
              <w:left w:w="0" w:type="dxa"/>
              <w:bottom w:w="40" w:type="dxa"/>
              <w:right w:w="20" w:type="dxa"/>
            </w:tcMar>
            <w:vAlign w:val="bottom"/>
          </w:tcPr>
          <w:p w14:paraId="64304ED0"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ED1"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ED2" w14:textId="77777777" w:rsidR="009F6D8A" w:rsidRDefault="00C50974">
            <w:pPr>
              <w:jc w:val="right"/>
              <w:textAlignment w:val="bottom"/>
            </w:pPr>
            <w:r>
              <w:rPr>
                <w:rFonts w:ascii="Arial" w:eastAsia="宋体" w:hAnsi="Arial" w:cs="Arial"/>
                <w:color w:val="000000"/>
                <w:sz w:val="16"/>
                <w:szCs w:val="16"/>
              </w:rPr>
              <w:t>26 </w:t>
            </w:r>
          </w:p>
        </w:tc>
        <w:tc>
          <w:tcPr>
            <w:tcW w:w="0" w:type="auto"/>
            <w:shd w:val="clear" w:color="auto" w:fill="E2E2E2"/>
            <w:tcMar>
              <w:top w:w="40" w:type="dxa"/>
              <w:left w:w="0" w:type="dxa"/>
              <w:bottom w:w="40" w:type="dxa"/>
              <w:right w:w="20" w:type="dxa"/>
            </w:tcMar>
            <w:vAlign w:val="bottom"/>
          </w:tcPr>
          <w:p w14:paraId="64304ED3" w14:textId="77777777" w:rsidR="009F6D8A" w:rsidRDefault="00C50974">
            <w:pPr>
              <w:jc w:val="right"/>
              <w:textAlignment w:val="bottom"/>
            </w:pPr>
            <w:r>
              <w:rPr>
                <w:rFonts w:ascii="Arial" w:eastAsia="宋体" w:hAnsi="Arial" w:cs="Arial"/>
                <w:color w:val="000000"/>
                <w:sz w:val="16"/>
                <w:szCs w:val="16"/>
              </w:rPr>
              <w:t>%</w:t>
            </w:r>
          </w:p>
        </w:tc>
      </w:tr>
      <w:tr w:rsidR="009F6D8A" w14:paraId="64304EE5" w14:textId="77777777">
        <w:trPr>
          <w:trHeight w:val="280"/>
        </w:trPr>
        <w:tc>
          <w:tcPr>
            <w:tcW w:w="0" w:type="auto"/>
            <w:gridSpan w:val="3"/>
            <w:shd w:val="clear" w:color="auto" w:fill="FFFFFF"/>
            <w:tcMar>
              <w:top w:w="0" w:type="dxa"/>
              <w:left w:w="20" w:type="dxa"/>
              <w:bottom w:w="0" w:type="dxa"/>
              <w:right w:w="20" w:type="dxa"/>
            </w:tcMar>
            <w:vAlign w:val="bottom"/>
          </w:tcPr>
          <w:p w14:paraId="64304ED5"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ED6"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ED7"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ED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ED9"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EDA"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EDB"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EDC"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EDD"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EDE"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EDF"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EE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EE1"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EE2"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EE3"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4EE4" w14:textId="77777777" w:rsidR="009F6D8A" w:rsidRDefault="009F6D8A">
            <w:pPr>
              <w:rPr>
                <w:rFonts w:ascii="宋体"/>
              </w:rPr>
            </w:pPr>
          </w:p>
        </w:tc>
      </w:tr>
      <w:tr w:rsidR="009F6D8A" w14:paraId="64304EF6" w14:textId="77777777">
        <w:tc>
          <w:tcPr>
            <w:tcW w:w="0" w:type="auto"/>
            <w:gridSpan w:val="3"/>
            <w:shd w:val="clear" w:color="auto" w:fill="E2E2E2"/>
            <w:tcMar>
              <w:top w:w="40" w:type="dxa"/>
              <w:left w:w="20" w:type="dxa"/>
              <w:bottom w:w="40" w:type="dxa"/>
              <w:right w:w="20" w:type="dxa"/>
            </w:tcMar>
            <w:vAlign w:val="bottom"/>
          </w:tcPr>
          <w:p w14:paraId="64304EE6" w14:textId="77777777" w:rsidR="009F6D8A" w:rsidRDefault="00C50974">
            <w:pPr>
              <w:textAlignment w:val="bottom"/>
            </w:pPr>
            <w:r>
              <w:rPr>
                <w:rFonts w:ascii="Arial" w:eastAsia="宋体" w:hAnsi="Arial" w:cs="Arial"/>
                <w:color w:val="000000"/>
                <w:sz w:val="16"/>
                <w:szCs w:val="16"/>
              </w:rPr>
              <w:t>Supplemental data:</w:t>
            </w:r>
          </w:p>
        </w:tc>
        <w:tc>
          <w:tcPr>
            <w:tcW w:w="0" w:type="auto"/>
            <w:gridSpan w:val="3"/>
            <w:shd w:val="clear" w:color="auto" w:fill="E2E2E2"/>
            <w:tcMar>
              <w:top w:w="0" w:type="dxa"/>
              <w:left w:w="20" w:type="dxa"/>
              <w:bottom w:w="0" w:type="dxa"/>
              <w:right w:w="20" w:type="dxa"/>
            </w:tcMar>
            <w:vAlign w:val="bottom"/>
          </w:tcPr>
          <w:p w14:paraId="64304EE7"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EE8"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EE9"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EEA"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EEB"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EEC"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EED"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EEE"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EEF"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EF0"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EF1"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EF2"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EF3"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EF4"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EF5" w14:textId="77777777" w:rsidR="009F6D8A" w:rsidRDefault="009F6D8A">
            <w:pPr>
              <w:rPr>
                <w:rFonts w:ascii="宋体"/>
              </w:rPr>
            </w:pPr>
          </w:p>
        </w:tc>
      </w:tr>
      <w:tr w:rsidR="009F6D8A" w14:paraId="64304F13" w14:textId="77777777">
        <w:tc>
          <w:tcPr>
            <w:tcW w:w="0" w:type="auto"/>
            <w:gridSpan w:val="3"/>
            <w:shd w:val="clear" w:color="auto" w:fill="FFFFFF"/>
            <w:tcMar>
              <w:top w:w="40" w:type="dxa"/>
              <w:left w:w="155" w:type="dxa"/>
              <w:bottom w:w="40" w:type="dxa"/>
              <w:right w:w="20" w:type="dxa"/>
            </w:tcMar>
            <w:vAlign w:val="bottom"/>
          </w:tcPr>
          <w:p w14:paraId="64304EF7" w14:textId="77777777" w:rsidR="009F6D8A" w:rsidRDefault="00C50974">
            <w:pPr>
              <w:textAlignment w:val="bottom"/>
            </w:pPr>
            <w:r>
              <w:rPr>
                <w:rFonts w:ascii="Arial" w:eastAsia="宋体" w:hAnsi="Arial" w:cs="Arial"/>
                <w:color w:val="000000"/>
                <w:sz w:val="16"/>
                <w:szCs w:val="16"/>
              </w:rPr>
              <w:t>GMV</w:t>
            </w:r>
          </w:p>
        </w:tc>
        <w:tc>
          <w:tcPr>
            <w:tcW w:w="0" w:type="auto"/>
            <w:shd w:val="clear" w:color="auto" w:fill="FFFFFF"/>
            <w:tcMar>
              <w:top w:w="40" w:type="dxa"/>
              <w:left w:w="20" w:type="dxa"/>
              <w:bottom w:w="40" w:type="dxa"/>
              <w:right w:w="0" w:type="dxa"/>
            </w:tcMar>
            <w:vAlign w:val="bottom"/>
          </w:tcPr>
          <w:p w14:paraId="64304EF8" w14:textId="77777777" w:rsidR="009F6D8A" w:rsidRDefault="00C50974">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64304EF9" w14:textId="77777777" w:rsidR="009F6D8A" w:rsidRDefault="00C50974">
            <w:pPr>
              <w:jc w:val="right"/>
              <w:textAlignment w:val="bottom"/>
            </w:pPr>
            <w:r>
              <w:rPr>
                <w:rFonts w:ascii="Arial" w:eastAsia="宋体" w:hAnsi="Arial" w:cs="Arial"/>
                <w:color w:val="000000"/>
                <w:sz w:val="16"/>
                <w:szCs w:val="16"/>
              </w:rPr>
              <w:t>22,107 </w:t>
            </w:r>
          </w:p>
        </w:tc>
        <w:tc>
          <w:tcPr>
            <w:tcW w:w="0" w:type="auto"/>
            <w:shd w:val="clear" w:color="auto" w:fill="FFFFFF"/>
            <w:tcMar>
              <w:top w:w="40" w:type="dxa"/>
              <w:left w:w="0" w:type="dxa"/>
              <w:bottom w:w="40" w:type="dxa"/>
              <w:right w:w="20" w:type="dxa"/>
            </w:tcMar>
            <w:vAlign w:val="bottom"/>
          </w:tcPr>
          <w:p w14:paraId="64304EFA"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EFB"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4EFC" w14:textId="77777777" w:rsidR="009F6D8A" w:rsidRDefault="00C50974">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64304EFD" w14:textId="77777777" w:rsidR="009F6D8A" w:rsidRDefault="00C50974">
            <w:pPr>
              <w:jc w:val="right"/>
              <w:textAlignment w:val="bottom"/>
            </w:pPr>
            <w:r>
              <w:rPr>
                <w:rFonts w:ascii="Arial" w:eastAsia="宋体" w:hAnsi="Arial" w:cs="Arial"/>
                <w:color w:val="000000"/>
                <w:sz w:val="16"/>
                <w:szCs w:val="16"/>
              </w:rPr>
              <w:t>23,653 </w:t>
            </w:r>
          </w:p>
        </w:tc>
        <w:tc>
          <w:tcPr>
            <w:tcW w:w="0" w:type="auto"/>
            <w:shd w:val="clear" w:color="auto" w:fill="FFFFFF"/>
            <w:tcMar>
              <w:top w:w="40" w:type="dxa"/>
              <w:left w:w="0" w:type="dxa"/>
              <w:bottom w:w="40" w:type="dxa"/>
              <w:right w:w="20" w:type="dxa"/>
            </w:tcMar>
            <w:vAlign w:val="bottom"/>
          </w:tcPr>
          <w:p w14:paraId="64304EF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EFF"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F00" w14:textId="77777777" w:rsidR="009F6D8A" w:rsidRDefault="00C50974">
            <w:pPr>
              <w:jc w:val="right"/>
              <w:textAlignment w:val="bottom"/>
            </w:pPr>
            <w:r>
              <w:rPr>
                <w:rFonts w:ascii="Arial" w:eastAsia="宋体" w:hAnsi="Arial" w:cs="Arial"/>
                <w:color w:val="000000"/>
                <w:sz w:val="16"/>
                <w:szCs w:val="16"/>
              </w:rPr>
              <w:t>(7)</w:t>
            </w:r>
          </w:p>
        </w:tc>
        <w:tc>
          <w:tcPr>
            <w:tcW w:w="0" w:type="auto"/>
            <w:shd w:val="clear" w:color="auto" w:fill="FFFFFF"/>
            <w:tcMar>
              <w:top w:w="40" w:type="dxa"/>
              <w:left w:w="0" w:type="dxa"/>
              <w:bottom w:w="40" w:type="dxa"/>
              <w:right w:w="20" w:type="dxa"/>
            </w:tcMar>
            <w:vAlign w:val="bottom"/>
          </w:tcPr>
          <w:p w14:paraId="64304F01"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4F0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F03" w14:textId="77777777" w:rsidR="009F6D8A" w:rsidRDefault="00C50974">
            <w:pPr>
              <w:jc w:val="right"/>
              <w:textAlignment w:val="bottom"/>
            </w:pPr>
            <w:r>
              <w:rPr>
                <w:rFonts w:ascii="Arial" w:eastAsia="宋体" w:hAnsi="Arial" w:cs="Arial"/>
                <w:color w:val="000000"/>
                <w:sz w:val="16"/>
                <w:szCs w:val="16"/>
              </w:rPr>
              <w:t>(11)</w:t>
            </w:r>
          </w:p>
        </w:tc>
        <w:tc>
          <w:tcPr>
            <w:tcW w:w="0" w:type="auto"/>
            <w:shd w:val="clear" w:color="auto" w:fill="FFFFFF"/>
            <w:tcMar>
              <w:top w:w="40" w:type="dxa"/>
              <w:left w:w="0" w:type="dxa"/>
              <w:bottom w:w="40" w:type="dxa"/>
              <w:right w:w="20" w:type="dxa"/>
            </w:tcMar>
            <w:vAlign w:val="bottom"/>
          </w:tcPr>
          <w:p w14:paraId="64304F04"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4F05"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4F06" w14:textId="77777777" w:rsidR="009F6D8A" w:rsidRDefault="00C50974">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64304F07" w14:textId="77777777" w:rsidR="009F6D8A" w:rsidRDefault="00C50974">
            <w:pPr>
              <w:jc w:val="right"/>
              <w:textAlignment w:val="bottom"/>
            </w:pPr>
            <w:r>
              <w:rPr>
                <w:rFonts w:ascii="Arial" w:eastAsia="宋体" w:hAnsi="Arial" w:cs="Arial"/>
                <w:color w:val="000000"/>
                <w:sz w:val="16"/>
                <w:szCs w:val="16"/>
              </w:rPr>
              <w:t>45,725 </w:t>
            </w:r>
          </w:p>
        </w:tc>
        <w:tc>
          <w:tcPr>
            <w:tcW w:w="0" w:type="auto"/>
            <w:shd w:val="clear" w:color="auto" w:fill="FFFFFF"/>
            <w:tcMar>
              <w:top w:w="40" w:type="dxa"/>
              <w:left w:w="0" w:type="dxa"/>
              <w:bottom w:w="40" w:type="dxa"/>
              <w:right w:w="20" w:type="dxa"/>
            </w:tcMar>
            <w:vAlign w:val="bottom"/>
          </w:tcPr>
          <w:p w14:paraId="64304F0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F09"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4F0A" w14:textId="77777777" w:rsidR="009F6D8A" w:rsidRDefault="00C50974">
            <w:pPr>
              <w:textAlignment w:val="bottom"/>
            </w:pPr>
            <w:r>
              <w:rPr>
                <w:rFonts w:ascii="Arial" w:eastAsia="宋体" w:hAnsi="Arial" w:cs="Arial"/>
                <w:color w:val="000000"/>
                <w:sz w:val="16"/>
                <w:szCs w:val="16"/>
              </w:rPr>
              <w:t>$</w:t>
            </w:r>
          </w:p>
        </w:tc>
        <w:tc>
          <w:tcPr>
            <w:tcW w:w="0" w:type="auto"/>
            <w:shd w:val="clear" w:color="auto" w:fill="FFFFFF"/>
            <w:tcMar>
              <w:top w:w="40" w:type="dxa"/>
              <w:left w:w="0" w:type="dxa"/>
              <w:bottom w:w="40" w:type="dxa"/>
              <w:right w:w="0" w:type="dxa"/>
            </w:tcMar>
            <w:vAlign w:val="bottom"/>
          </w:tcPr>
          <w:p w14:paraId="64304F0B" w14:textId="77777777" w:rsidR="009F6D8A" w:rsidRDefault="00C50974">
            <w:pPr>
              <w:jc w:val="right"/>
              <w:textAlignment w:val="bottom"/>
            </w:pPr>
            <w:r>
              <w:rPr>
                <w:rFonts w:ascii="Arial" w:eastAsia="宋体" w:hAnsi="Arial" w:cs="Arial"/>
                <w:color w:val="000000"/>
                <w:sz w:val="16"/>
                <w:szCs w:val="16"/>
              </w:rPr>
              <w:t>41,474 </w:t>
            </w:r>
          </w:p>
        </w:tc>
        <w:tc>
          <w:tcPr>
            <w:tcW w:w="0" w:type="auto"/>
            <w:shd w:val="clear" w:color="auto" w:fill="FFFFFF"/>
            <w:tcMar>
              <w:top w:w="40" w:type="dxa"/>
              <w:left w:w="0" w:type="dxa"/>
              <w:bottom w:w="40" w:type="dxa"/>
              <w:right w:w="20" w:type="dxa"/>
            </w:tcMar>
            <w:vAlign w:val="bottom"/>
          </w:tcPr>
          <w:p w14:paraId="64304F0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4F0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F0E" w14:textId="77777777" w:rsidR="009F6D8A" w:rsidRDefault="00C50974">
            <w:pPr>
              <w:jc w:val="right"/>
              <w:textAlignment w:val="bottom"/>
            </w:pPr>
            <w:r>
              <w:rPr>
                <w:rFonts w:ascii="Arial" w:eastAsia="宋体" w:hAnsi="Arial" w:cs="Arial"/>
                <w:color w:val="000000"/>
                <w:sz w:val="16"/>
                <w:szCs w:val="16"/>
              </w:rPr>
              <w:t>10 </w:t>
            </w:r>
          </w:p>
        </w:tc>
        <w:tc>
          <w:tcPr>
            <w:tcW w:w="0" w:type="auto"/>
            <w:shd w:val="clear" w:color="auto" w:fill="FFFFFF"/>
            <w:tcMar>
              <w:top w:w="40" w:type="dxa"/>
              <w:left w:w="0" w:type="dxa"/>
              <w:bottom w:w="40" w:type="dxa"/>
              <w:right w:w="20" w:type="dxa"/>
            </w:tcMar>
            <w:vAlign w:val="bottom"/>
          </w:tcPr>
          <w:p w14:paraId="64304F0F"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4F10"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4F11" w14:textId="77777777" w:rsidR="009F6D8A" w:rsidRDefault="00C50974">
            <w:pPr>
              <w:jc w:val="right"/>
              <w:textAlignment w:val="bottom"/>
            </w:pPr>
            <w:r>
              <w:rPr>
                <w:rFonts w:ascii="Arial" w:eastAsia="宋体" w:hAnsi="Arial" w:cs="Arial"/>
                <w:color w:val="000000"/>
                <w:sz w:val="16"/>
                <w:szCs w:val="16"/>
              </w:rPr>
              <w:t>6 </w:t>
            </w:r>
          </w:p>
        </w:tc>
        <w:tc>
          <w:tcPr>
            <w:tcW w:w="0" w:type="auto"/>
            <w:shd w:val="clear" w:color="auto" w:fill="FFFFFF"/>
            <w:tcMar>
              <w:top w:w="40" w:type="dxa"/>
              <w:left w:w="0" w:type="dxa"/>
              <w:bottom w:w="40" w:type="dxa"/>
              <w:right w:w="20" w:type="dxa"/>
            </w:tcMar>
            <w:vAlign w:val="bottom"/>
          </w:tcPr>
          <w:p w14:paraId="64304F12" w14:textId="77777777" w:rsidR="009F6D8A" w:rsidRDefault="00C50974">
            <w:pPr>
              <w:jc w:val="right"/>
              <w:textAlignment w:val="bottom"/>
            </w:pPr>
            <w:r>
              <w:rPr>
                <w:rFonts w:ascii="Arial" w:eastAsia="宋体" w:hAnsi="Arial" w:cs="Arial"/>
                <w:color w:val="000000"/>
                <w:sz w:val="16"/>
                <w:szCs w:val="16"/>
              </w:rPr>
              <w:t>%</w:t>
            </w:r>
          </w:p>
        </w:tc>
      </w:tr>
      <w:tr w:rsidR="009F6D8A" w14:paraId="64304F2A" w14:textId="77777777">
        <w:tc>
          <w:tcPr>
            <w:tcW w:w="0" w:type="auto"/>
            <w:gridSpan w:val="3"/>
            <w:shd w:val="clear" w:color="auto" w:fill="E2E2E2"/>
            <w:tcMar>
              <w:top w:w="40" w:type="dxa"/>
              <w:left w:w="155" w:type="dxa"/>
              <w:bottom w:w="40" w:type="dxa"/>
              <w:right w:w="20" w:type="dxa"/>
            </w:tcMar>
            <w:vAlign w:val="bottom"/>
          </w:tcPr>
          <w:p w14:paraId="64304F14" w14:textId="77777777" w:rsidR="009F6D8A" w:rsidRDefault="00C50974">
            <w:pPr>
              <w:textAlignment w:val="bottom"/>
            </w:pPr>
            <w:r>
              <w:rPr>
                <w:rFonts w:ascii="Arial" w:eastAsia="宋体" w:hAnsi="Arial" w:cs="Arial"/>
                <w:color w:val="000000"/>
                <w:sz w:val="16"/>
                <w:szCs w:val="16"/>
              </w:rPr>
              <w:t>Take rate</w:t>
            </w:r>
          </w:p>
        </w:tc>
        <w:tc>
          <w:tcPr>
            <w:tcW w:w="0" w:type="auto"/>
            <w:gridSpan w:val="2"/>
            <w:shd w:val="clear" w:color="auto" w:fill="E2E2E2"/>
            <w:tcMar>
              <w:top w:w="40" w:type="dxa"/>
              <w:left w:w="20" w:type="dxa"/>
              <w:bottom w:w="40" w:type="dxa"/>
              <w:right w:w="0" w:type="dxa"/>
            </w:tcMar>
            <w:vAlign w:val="bottom"/>
          </w:tcPr>
          <w:p w14:paraId="64304F15" w14:textId="77777777" w:rsidR="009F6D8A" w:rsidRDefault="00C50974">
            <w:pPr>
              <w:jc w:val="right"/>
              <w:textAlignment w:val="bottom"/>
            </w:pPr>
            <w:r>
              <w:rPr>
                <w:rFonts w:ascii="Arial" w:eastAsia="宋体" w:hAnsi="Arial" w:cs="Arial"/>
                <w:color w:val="000000"/>
                <w:sz w:val="16"/>
                <w:szCs w:val="16"/>
              </w:rPr>
              <w:t>11.29 </w:t>
            </w:r>
          </w:p>
        </w:tc>
        <w:tc>
          <w:tcPr>
            <w:tcW w:w="0" w:type="auto"/>
            <w:shd w:val="clear" w:color="auto" w:fill="E2E2E2"/>
            <w:tcMar>
              <w:top w:w="40" w:type="dxa"/>
              <w:left w:w="0" w:type="dxa"/>
              <w:bottom w:w="40" w:type="dxa"/>
              <w:right w:w="20" w:type="dxa"/>
            </w:tcMar>
            <w:vAlign w:val="bottom"/>
          </w:tcPr>
          <w:p w14:paraId="64304F16"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F17"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F18" w14:textId="77777777" w:rsidR="009F6D8A" w:rsidRDefault="00C50974">
            <w:pPr>
              <w:jc w:val="right"/>
              <w:textAlignment w:val="bottom"/>
            </w:pPr>
            <w:r>
              <w:rPr>
                <w:rFonts w:ascii="Arial" w:eastAsia="宋体" w:hAnsi="Arial" w:cs="Arial"/>
                <w:color w:val="000000"/>
                <w:sz w:val="16"/>
                <w:szCs w:val="16"/>
              </w:rPr>
              <w:t>9.24 </w:t>
            </w:r>
          </w:p>
        </w:tc>
        <w:tc>
          <w:tcPr>
            <w:tcW w:w="0" w:type="auto"/>
            <w:shd w:val="clear" w:color="auto" w:fill="E2E2E2"/>
            <w:tcMar>
              <w:top w:w="40" w:type="dxa"/>
              <w:left w:w="0" w:type="dxa"/>
              <w:bottom w:w="40" w:type="dxa"/>
              <w:right w:w="20" w:type="dxa"/>
            </w:tcMar>
            <w:vAlign w:val="bottom"/>
          </w:tcPr>
          <w:p w14:paraId="64304F19"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F1A"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F1B" w14:textId="77777777" w:rsidR="009F6D8A" w:rsidRDefault="00C50974">
            <w:pPr>
              <w:jc w:val="right"/>
              <w:textAlignment w:val="bottom"/>
            </w:pPr>
            <w:r>
              <w:rPr>
                <w:rFonts w:ascii="Arial" w:eastAsia="宋体" w:hAnsi="Arial" w:cs="Arial"/>
                <w:color w:val="000000"/>
                <w:sz w:val="16"/>
                <w:szCs w:val="16"/>
              </w:rPr>
              <w:t>2.05 </w:t>
            </w:r>
          </w:p>
        </w:tc>
        <w:tc>
          <w:tcPr>
            <w:tcW w:w="0" w:type="auto"/>
            <w:shd w:val="clear" w:color="auto" w:fill="E2E2E2"/>
            <w:tcMar>
              <w:top w:w="40" w:type="dxa"/>
              <w:left w:w="0" w:type="dxa"/>
              <w:bottom w:w="40" w:type="dxa"/>
              <w:right w:w="20" w:type="dxa"/>
            </w:tcMar>
            <w:vAlign w:val="bottom"/>
          </w:tcPr>
          <w:p w14:paraId="64304F1C"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F1D"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F1E"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F1F"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F20" w14:textId="77777777" w:rsidR="009F6D8A" w:rsidRDefault="00C50974">
            <w:pPr>
              <w:jc w:val="right"/>
              <w:textAlignment w:val="bottom"/>
            </w:pPr>
            <w:r>
              <w:rPr>
                <w:rFonts w:ascii="Arial" w:eastAsia="宋体" w:hAnsi="Arial" w:cs="Arial"/>
                <w:color w:val="000000"/>
                <w:sz w:val="16"/>
                <w:szCs w:val="16"/>
              </w:rPr>
              <w:t>10.88 </w:t>
            </w:r>
          </w:p>
        </w:tc>
        <w:tc>
          <w:tcPr>
            <w:tcW w:w="0" w:type="auto"/>
            <w:shd w:val="clear" w:color="auto" w:fill="E2E2E2"/>
            <w:tcMar>
              <w:top w:w="40" w:type="dxa"/>
              <w:left w:w="0" w:type="dxa"/>
              <w:bottom w:w="40" w:type="dxa"/>
              <w:right w:w="20" w:type="dxa"/>
            </w:tcMar>
            <w:vAlign w:val="bottom"/>
          </w:tcPr>
          <w:p w14:paraId="64304F21"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F22"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F23" w14:textId="77777777" w:rsidR="009F6D8A" w:rsidRDefault="00C50974">
            <w:pPr>
              <w:jc w:val="right"/>
              <w:textAlignment w:val="bottom"/>
            </w:pPr>
            <w:r>
              <w:rPr>
                <w:rFonts w:ascii="Arial" w:eastAsia="宋体" w:hAnsi="Arial" w:cs="Arial"/>
                <w:color w:val="000000"/>
                <w:sz w:val="16"/>
                <w:szCs w:val="16"/>
              </w:rPr>
              <w:t>9.25 </w:t>
            </w:r>
          </w:p>
        </w:tc>
        <w:tc>
          <w:tcPr>
            <w:tcW w:w="0" w:type="auto"/>
            <w:shd w:val="clear" w:color="auto" w:fill="E2E2E2"/>
            <w:tcMar>
              <w:top w:w="40" w:type="dxa"/>
              <w:left w:w="0" w:type="dxa"/>
              <w:bottom w:w="40" w:type="dxa"/>
              <w:right w:w="20" w:type="dxa"/>
            </w:tcMar>
            <w:vAlign w:val="bottom"/>
          </w:tcPr>
          <w:p w14:paraId="64304F24"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F25"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F26" w14:textId="77777777" w:rsidR="009F6D8A" w:rsidRDefault="00C50974">
            <w:pPr>
              <w:jc w:val="right"/>
              <w:textAlignment w:val="bottom"/>
            </w:pPr>
            <w:r>
              <w:rPr>
                <w:rFonts w:ascii="Arial" w:eastAsia="宋体" w:hAnsi="Arial" w:cs="Arial"/>
                <w:color w:val="000000"/>
                <w:sz w:val="16"/>
                <w:szCs w:val="16"/>
              </w:rPr>
              <w:t>1.63 </w:t>
            </w:r>
          </w:p>
        </w:tc>
        <w:tc>
          <w:tcPr>
            <w:tcW w:w="0" w:type="auto"/>
            <w:shd w:val="clear" w:color="auto" w:fill="E2E2E2"/>
            <w:tcMar>
              <w:top w:w="40" w:type="dxa"/>
              <w:left w:w="0" w:type="dxa"/>
              <w:bottom w:w="40" w:type="dxa"/>
              <w:right w:w="20" w:type="dxa"/>
            </w:tcMar>
            <w:vAlign w:val="bottom"/>
          </w:tcPr>
          <w:p w14:paraId="64304F27"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F28"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4F29" w14:textId="77777777" w:rsidR="009F6D8A" w:rsidRDefault="009F6D8A">
            <w:pPr>
              <w:rPr>
                <w:rFonts w:ascii="宋体"/>
              </w:rPr>
            </w:pPr>
          </w:p>
        </w:tc>
      </w:tr>
    </w:tbl>
    <w:p w14:paraId="64304F2B" w14:textId="77777777" w:rsidR="009F6D8A" w:rsidRDefault="00C50974">
      <w:pPr>
        <w:spacing w:before="60"/>
        <w:ind w:hanging="360"/>
        <w:jc w:val="both"/>
      </w:pPr>
      <w:r>
        <w:rPr>
          <w:rFonts w:ascii="Arial" w:eastAsia="宋体" w:hAnsi="Arial" w:cs="Arial"/>
          <w:color w:val="000000"/>
          <w:sz w:val="16"/>
          <w:szCs w:val="16"/>
        </w:rPr>
        <w:t>(1)Net transaction revenues were net of $18 million and $46 million h</w:t>
      </w:r>
      <w:r>
        <w:rPr>
          <w:rFonts w:ascii="Arial" w:eastAsia="宋体" w:hAnsi="Arial" w:cs="Arial"/>
          <w:color w:val="000000"/>
          <w:sz w:val="16"/>
          <w:szCs w:val="16"/>
        </w:rPr>
        <w:t xml:space="preserve">edging activity during the three and six months ended June 30, 2021 and $17 million hedging activity during the three and six months ended June 30, 2020, respectively. </w:t>
      </w:r>
    </w:p>
    <w:p w14:paraId="64304F2C" w14:textId="77777777" w:rsidR="009F6D8A" w:rsidRDefault="009F6D8A">
      <w:pPr>
        <w:spacing w:before="60"/>
        <w:jc w:val="both"/>
      </w:pPr>
    </w:p>
    <w:p w14:paraId="64304F2D" w14:textId="77777777" w:rsidR="009F6D8A" w:rsidRDefault="00C50974">
      <w:pPr>
        <w:ind w:firstLine="540"/>
        <w:jc w:val="both"/>
      </w:pPr>
      <w:r>
        <w:rPr>
          <w:rFonts w:ascii="Arial" w:eastAsia="宋体" w:hAnsi="Arial" w:cs="Arial"/>
          <w:color w:val="000000"/>
          <w:sz w:val="20"/>
          <w:szCs w:val="20"/>
        </w:rPr>
        <w:t>Net transaction revenues increased $311 million during the three months ended June 30,</w:t>
      </w:r>
      <w:r>
        <w:rPr>
          <w:rFonts w:ascii="Arial" w:eastAsia="宋体" w:hAnsi="Arial" w:cs="Arial"/>
          <w:color w:val="000000"/>
          <w:sz w:val="20"/>
          <w:szCs w:val="20"/>
        </w:rPr>
        <w:t xml:space="preserve"> 2021 compared to the same period in 2020 primarily due to the migration of managed payments on a global basis and the associated higher take rate. GMV decline during the three months ended June 30, 2021 compared to the same period in 2020 was primarily du</w:t>
      </w:r>
      <w:r>
        <w:rPr>
          <w:rFonts w:ascii="Arial" w:eastAsia="宋体" w:hAnsi="Arial" w:cs="Arial"/>
          <w:color w:val="000000"/>
          <w:sz w:val="20"/>
          <w:szCs w:val="20"/>
        </w:rPr>
        <w:t xml:space="preserve">e to a decline in traffic experienced as mobility restrictions eased or lifted around the world. </w:t>
      </w:r>
    </w:p>
    <w:p w14:paraId="64304F2E" w14:textId="77777777" w:rsidR="009F6D8A" w:rsidRDefault="009F6D8A">
      <w:pPr>
        <w:ind w:firstLine="540"/>
        <w:jc w:val="both"/>
      </w:pPr>
    </w:p>
    <w:p w14:paraId="64304F2F" w14:textId="77777777" w:rsidR="009F6D8A" w:rsidRDefault="00C50974">
      <w:pPr>
        <w:ind w:firstLine="540"/>
        <w:jc w:val="both"/>
      </w:pPr>
      <w:r>
        <w:rPr>
          <w:rFonts w:ascii="Arial" w:eastAsia="宋体" w:hAnsi="Arial" w:cs="Arial"/>
          <w:color w:val="000000"/>
          <w:sz w:val="20"/>
          <w:szCs w:val="20"/>
        </w:rPr>
        <w:t>Net transaction revenues increased $1.1 billion during the six months ended June 30, 2021 compared to the same period in 2020. This growth corresponds with t</w:t>
      </w:r>
      <w:r>
        <w:rPr>
          <w:rFonts w:ascii="Arial" w:eastAsia="宋体" w:hAnsi="Arial" w:cs="Arial"/>
          <w:color w:val="000000"/>
          <w:sz w:val="20"/>
          <w:szCs w:val="20"/>
        </w:rPr>
        <w:t>he increase in GMV and take rate during the same period. Net transaction revenues increased at a faster rate than GMV primarily due to the migration of managed payments on a global basis as well as the growth of promoted listings. GMV growth during the six</w:t>
      </w:r>
      <w:r>
        <w:rPr>
          <w:rFonts w:ascii="Arial" w:eastAsia="宋体" w:hAnsi="Arial" w:cs="Arial"/>
          <w:color w:val="000000"/>
          <w:sz w:val="20"/>
          <w:szCs w:val="20"/>
        </w:rPr>
        <w:t xml:space="preserve"> months ended was due to improved traffic and buyer acquisition due to global restrictions implemented to contain the spread of COVID-19 which resulted in consumers engaging in more online shopping during the pandemic.</w:t>
      </w:r>
    </w:p>
    <w:p w14:paraId="64304F30" w14:textId="77777777" w:rsidR="009F6D8A" w:rsidRDefault="009F6D8A">
      <w:pPr>
        <w:ind w:firstLine="540"/>
        <w:jc w:val="both"/>
      </w:pPr>
    </w:p>
    <w:p w14:paraId="64304F31" w14:textId="77777777" w:rsidR="009F6D8A" w:rsidRDefault="00C50974">
      <w:pPr>
        <w:ind w:firstLine="540"/>
        <w:jc w:val="both"/>
      </w:pPr>
      <w:r>
        <w:rPr>
          <w:rFonts w:ascii="Arial" w:eastAsia="宋体" w:hAnsi="Arial" w:cs="Arial"/>
          <w:color w:val="000000"/>
          <w:sz w:val="20"/>
          <w:szCs w:val="20"/>
        </w:rPr>
        <w:t>Transaction take rate was higher dur</w:t>
      </w:r>
      <w:r>
        <w:rPr>
          <w:rFonts w:ascii="Arial" w:eastAsia="宋体" w:hAnsi="Arial" w:cs="Arial"/>
          <w:color w:val="000000"/>
          <w:sz w:val="20"/>
          <w:szCs w:val="20"/>
        </w:rPr>
        <w:t xml:space="preserve">ing the three and six months ended June 30, 2021 compared to the same periods in 2020, as a result of revenue initiatives such as global payments which resulted in over 71% share of global on-platform volume processed through managed payments and promoted </w:t>
      </w:r>
      <w:r>
        <w:rPr>
          <w:rFonts w:ascii="Arial" w:eastAsia="宋体" w:hAnsi="Arial" w:cs="Arial"/>
          <w:color w:val="000000"/>
          <w:sz w:val="20"/>
          <w:szCs w:val="20"/>
        </w:rPr>
        <w:t>listings which along with final value fees are calculated as a percentage of an item’s sale price and category mix. Through June 30, 2021, over 80% of the managed payments migration was completed. The take rate for the three months ended June 30, 2021 also</w:t>
      </w:r>
      <w:r>
        <w:rPr>
          <w:rFonts w:ascii="Arial" w:eastAsia="宋体" w:hAnsi="Arial" w:cs="Arial"/>
          <w:color w:val="000000"/>
          <w:sz w:val="20"/>
          <w:szCs w:val="20"/>
        </w:rPr>
        <w:t xml:space="preserve"> increased as a result of lower credit reserves taken compared to the same period in 2020. The increase in take rate for the three and six months ended June 30, 2021 was partially offset by category mix and hedging activities. </w:t>
      </w:r>
    </w:p>
    <w:p w14:paraId="64304F32" w14:textId="77777777" w:rsidR="009F6D8A" w:rsidRDefault="009F6D8A"/>
    <w:p w14:paraId="64304F33" w14:textId="77777777" w:rsidR="009F6D8A" w:rsidRDefault="00C50974">
      <w:pPr>
        <w:spacing w:after="120"/>
        <w:ind w:firstLine="270"/>
        <w:jc w:val="both"/>
      </w:pPr>
      <w:r>
        <w:rPr>
          <w:rFonts w:ascii="Arial" w:eastAsia="宋体" w:hAnsi="Arial" w:cs="Arial"/>
          <w:b/>
          <w:bCs/>
          <w:i/>
          <w:iCs/>
          <w:color w:val="000000"/>
          <w:sz w:val="20"/>
          <w:szCs w:val="20"/>
        </w:rPr>
        <w:t>Marketing Services and Othe</w:t>
      </w:r>
      <w:r>
        <w:rPr>
          <w:rFonts w:ascii="Arial" w:eastAsia="宋体" w:hAnsi="Arial" w:cs="Arial"/>
          <w:b/>
          <w:bCs/>
          <w:i/>
          <w:iCs/>
          <w:color w:val="000000"/>
          <w:sz w:val="20"/>
          <w:szCs w:val="20"/>
        </w:rPr>
        <w:t>r Revenues</w:t>
      </w:r>
    </w:p>
    <w:tbl>
      <w:tblPr>
        <w:tblW w:w="5000" w:type="pct"/>
        <w:tblCellMar>
          <w:top w:w="15" w:type="dxa"/>
          <w:left w:w="15" w:type="dxa"/>
          <w:bottom w:w="15" w:type="dxa"/>
          <w:right w:w="15" w:type="dxa"/>
        </w:tblCellMar>
        <w:tblLook w:val="04A0" w:firstRow="1" w:lastRow="0" w:firstColumn="1" w:lastColumn="0" w:noHBand="0" w:noVBand="1"/>
      </w:tblPr>
      <w:tblGrid>
        <w:gridCol w:w="37"/>
        <w:gridCol w:w="1561"/>
        <w:gridCol w:w="36"/>
        <w:gridCol w:w="109"/>
        <w:gridCol w:w="576"/>
        <w:gridCol w:w="36"/>
        <w:gridCol w:w="36"/>
        <w:gridCol w:w="36"/>
        <w:gridCol w:w="36"/>
        <w:gridCol w:w="109"/>
        <w:gridCol w:w="523"/>
        <w:gridCol w:w="36"/>
        <w:gridCol w:w="36"/>
        <w:gridCol w:w="36"/>
        <w:gridCol w:w="36"/>
        <w:gridCol w:w="72"/>
        <w:gridCol w:w="576"/>
        <w:gridCol w:w="163"/>
        <w:gridCol w:w="36"/>
        <w:gridCol w:w="36"/>
        <w:gridCol w:w="36"/>
        <w:gridCol w:w="82"/>
        <w:gridCol w:w="658"/>
        <w:gridCol w:w="163"/>
        <w:gridCol w:w="36"/>
        <w:gridCol w:w="36"/>
        <w:gridCol w:w="36"/>
        <w:gridCol w:w="109"/>
        <w:gridCol w:w="314"/>
        <w:gridCol w:w="36"/>
        <w:gridCol w:w="36"/>
        <w:gridCol w:w="36"/>
        <w:gridCol w:w="36"/>
        <w:gridCol w:w="109"/>
        <w:gridCol w:w="525"/>
        <w:gridCol w:w="36"/>
        <w:gridCol w:w="36"/>
        <w:gridCol w:w="36"/>
        <w:gridCol w:w="36"/>
        <w:gridCol w:w="72"/>
        <w:gridCol w:w="576"/>
        <w:gridCol w:w="163"/>
        <w:gridCol w:w="36"/>
        <w:gridCol w:w="36"/>
        <w:gridCol w:w="36"/>
        <w:gridCol w:w="82"/>
        <w:gridCol w:w="658"/>
        <w:gridCol w:w="163"/>
      </w:tblGrid>
      <w:tr w:rsidR="009F6D8A" w14:paraId="64304F64" w14:textId="77777777">
        <w:tc>
          <w:tcPr>
            <w:tcW w:w="50" w:type="pct"/>
            <w:shd w:val="clear" w:color="auto" w:fill="auto"/>
            <w:vAlign w:val="bottom"/>
          </w:tcPr>
          <w:p w14:paraId="64304F34" w14:textId="77777777" w:rsidR="009F6D8A" w:rsidRDefault="009F6D8A">
            <w:pPr>
              <w:rPr>
                <w:rFonts w:ascii="宋体"/>
              </w:rPr>
            </w:pPr>
          </w:p>
        </w:tc>
        <w:tc>
          <w:tcPr>
            <w:tcW w:w="1004" w:type="pct"/>
            <w:shd w:val="clear" w:color="auto" w:fill="auto"/>
            <w:vAlign w:val="bottom"/>
          </w:tcPr>
          <w:p w14:paraId="64304F35" w14:textId="77777777" w:rsidR="009F6D8A" w:rsidRDefault="009F6D8A">
            <w:pPr>
              <w:rPr>
                <w:rFonts w:ascii="宋体"/>
              </w:rPr>
            </w:pPr>
          </w:p>
        </w:tc>
        <w:tc>
          <w:tcPr>
            <w:tcW w:w="5" w:type="pct"/>
            <w:shd w:val="clear" w:color="auto" w:fill="auto"/>
            <w:vAlign w:val="bottom"/>
          </w:tcPr>
          <w:p w14:paraId="64304F36" w14:textId="77777777" w:rsidR="009F6D8A" w:rsidRDefault="009F6D8A">
            <w:pPr>
              <w:rPr>
                <w:rFonts w:ascii="宋体"/>
              </w:rPr>
            </w:pPr>
          </w:p>
        </w:tc>
        <w:tc>
          <w:tcPr>
            <w:tcW w:w="50" w:type="pct"/>
            <w:shd w:val="clear" w:color="auto" w:fill="auto"/>
            <w:vAlign w:val="bottom"/>
          </w:tcPr>
          <w:p w14:paraId="64304F37" w14:textId="77777777" w:rsidR="009F6D8A" w:rsidRDefault="009F6D8A">
            <w:pPr>
              <w:rPr>
                <w:rFonts w:ascii="宋体"/>
              </w:rPr>
            </w:pPr>
          </w:p>
        </w:tc>
        <w:tc>
          <w:tcPr>
            <w:tcW w:w="405" w:type="pct"/>
            <w:shd w:val="clear" w:color="auto" w:fill="auto"/>
            <w:vAlign w:val="bottom"/>
          </w:tcPr>
          <w:p w14:paraId="64304F38" w14:textId="77777777" w:rsidR="009F6D8A" w:rsidRDefault="009F6D8A">
            <w:pPr>
              <w:rPr>
                <w:rFonts w:ascii="宋体"/>
              </w:rPr>
            </w:pPr>
          </w:p>
        </w:tc>
        <w:tc>
          <w:tcPr>
            <w:tcW w:w="5" w:type="pct"/>
            <w:shd w:val="clear" w:color="auto" w:fill="auto"/>
            <w:vAlign w:val="bottom"/>
          </w:tcPr>
          <w:p w14:paraId="64304F39" w14:textId="77777777" w:rsidR="009F6D8A" w:rsidRDefault="009F6D8A">
            <w:pPr>
              <w:rPr>
                <w:rFonts w:ascii="宋体"/>
              </w:rPr>
            </w:pPr>
          </w:p>
        </w:tc>
        <w:tc>
          <w:tcPr>
            <w:tcW w:w="5" w:type="pct"/>
            <w:shd w:val="clear" w:color="auto" w:fill="auto"/>
            <w:vAlign w:val="bottom"/>
          </w:tcPr>
          <w:p w14:paraId="64304F3A" w14:textId="77777777" w:rsidR="009F6D8A" w:rsidRDefault="009F6D8A">
            <w:pPr>
              <w:rPr>
                <w:rFonts w:ascii="宋体"/>
              </w:rPr>
            </w:pPr>
          </w:p>
        </w:tc>
        <w:tc>
          <w:tcPr>
            <w:tcW w:w="26" w:type="pct"/>
            <w:shd w:val="clear" w:color="auto" w:fill="auto"/>
            <w:vAlign w:val="bottom"/>
          </w:tcPr>
          <w:p w14:paraId="64304F3B" w14:textId="77777777" w:rsidR="009F6D8A" w:rsidRDefault="009F6D8A">
            <w:pPr>
              <w:rPr>
                <w:rFonts w:ascii="宋体"/>
              </w:rPr>
            </w:pPr>
          </w:p>
        </w:tc>
        <w:tc>
          <w:tcPr>
            <w:tcW w:w="5" w:type="pct"/>
            <w:shd w:val="clear" w:color="auto" w:fill="auto"/>
            <w:vAlign w:val="bottom"/>
          </w:tcPr>
          <w:p w14:paraId="64304F3C" w14:textId="77777777" w:rsidR="009F6D8A" w:rsidRDefault="009F6D8A">
            <w:pPr>
              <w:rPr>
                <w:rFonts w:ascii="宋体"/>
              </w:rPr>
            </w:pPr>
          </w:p>
        </w:tc>
        <w:tc>
          <w:tcPr>
            <w:tcW w:w="50" w:type="pct"/>
            <w:shd w:val="clear" w:color="auto" w:fill="auto"/>
            <w:vAlign w:val="bottom"/>
          </w:tcPr>
          <w:p w14:paraId="64304F3D" w14:textId="77777777" w:rsidR="009F6D8A" w:rsidRDefault="009F6D8A">
            <w:pPr>
              <w:rPr>
                <w:rFonts w:ascii="宋体"/>
              </w:rPr>
            </w:pPr>
          </w:p>
        </w:tc>
        <w:tc>
          <w:tcPr>
            <w:tcW w:w="405" w:type="pct"/>
            <w:shd w:val="clear" w:color="auto" w:fill="auto"/>
            <w:vAlign w:val="bottom"/>
          </w:tcPr>
          <w:p w14:paraId="64304F3E" w14:textId="77777777" w:rsidR="009F6D8A" w:rsidRDefault="009F6D8A">
            <w:pPr>
              <w:rPr>
                <w:rFonts w:ascii="宋体"/>
              </w:rPr>
            </w:pPr>
          </w:p>
        </w:tc>
        <w:tc>
          <w:tcPr>
            <w:tcW w:w="5" w:type="pct"/>
            <w:shd w:val="clear" w:color="auto" w:fill="auto"/>
            <w:vAlign w:val="bottom"/>
          </w:tcPr>
          <w:p w14:paraId="64304F3F" w14:textId="77777777" w:rsidR="009F6D8A" w:rsidRDefault="009F6D8A">
            <w:pPr>
              <w:rPr>
                <w:rFonts w:ascii="宋体"/>
              </w:rPr>
            </w:pPr>
          </w:p>
        </w:tc>
        <w:tc>
          <w:tcPr>
            <w:tcW w:w="5" w:type="pct"/>
            <w:shd w:val="clear" w:color="auto" w:fill="auto"/>
            <w:vAlign w:val="bottom"/>
          </w:tcPr>
          <w:p w14:paraId="64304F40" w14:textId="77777777" w:rsidR="009F6D8A" w:rsidRDefault="009F6D8A">
            <w:pPr>
              <w:rPr>
                <w:rFonts w:ascii="宋体"/>
              </w:rPr>
            </w:pPr>
          </w:p>
        </w:tc>
        <w:tc>
          <w:tcPr>
            <w:tcW w:w="26" w:type="pct"/>
            <w:shd w:val="clear" w:color="auto" w:fill="auto"/>
            <w:vAlign w:val="bottom"/>
          </w:tcPr>
          <w:p w14:paraId="64304F41" w14:textId="77777777" w:rsidR="009F6D8A" w:rsidRDefault="009F6D8A">
            <w:pPr>
              <w:rPr>
                <w:rFonts w:ascii="宋体"/>
              </w:rPr>
            </w:pPr>
          </w:p>
        </w:tc>
        <w:tc>
          <w:tcPr>
            <w:tcW w:w="5" w:type="pct"/>
            <w:shd w:val="clear" w:color="auto" w:fill="auto"/>
            <w:vAlign w:val="bottom"/>
          </w:tcPr>
          <w:p w14:paraId="64304F42" w14:textId="77777777" w:rsidR="009F6D8A" w:rsidRDefault="009F6D8A">
            <w:pPr>
              <w:rPr>
                <w:rFonts w:ascii="宋体"/>
              </w:rPr>
            </w:pPr>
          </w:p>
        </w:tc>
        <w:tc>
          <w:tcPr>
            <w:tcW w:w="50" w:type="pct"/>
            <w:shd w:val="clear" w:color="auto" w:fill="auto"/>
            <w:vAlign w:val="bottom"/>
          </w:tcPr>
          <w:p w14:paraId="64304F43" w14:textId="77777777" w:rsidR="009F6D8A" w:rsidRDefault="009F6D8A">
            <w:pPr>
              <w:rPr>
                <w:rFonts w:ascii="宋体"/>
              </w:rPr>
            </w:pPr>
          </w:p>
        </w:tc>
        <w:tc>
          <w:tcPr>
            <w:tcW w:w="405" w:type="pct"/>
            <w:shd w:val="clear" w:color="auto" w:fill="auto"/>
            <w:vAlign w:val="bottom"/>
          </w:tcPr>
          <w:p w14:paraId="64304F44" w14:textId="77777777" w:rsidR="009F6D8A" w:rsidRDefault="009F6D8A">
            <w:pPr>
              <w:rPr>
                <w:rFonts w:ascii="宋体"/>
              </w:rPr>
            </w:pPr>
          </w:p>
        </w:tc>
        <w:tc>
          <w:tcPr>
            <w:tcW w:w="5" w:type="pct"/>
            <w:shd w:val="clear" w:color="auto" w:fill="auto"/>
            <w:vAlign w:val="bottom"/>
          </w:tcPr>
          <w:p w14:paraId="64304F45" w14:textId="77777777" w:rsidR="009F6D8A" w:rsidRDefault="009F6D8A">
            <w:pPr>
              <w:rPr>
                <w:rFonts w:ascii="宋体"/>
              </w:rPr>
            </w:pPr>
          </w:p>
        </w:tc>
        <w:tc>
          <w:tcPr>
            <w:tcW w:w="5" w:type="pct"/>
            <w:shd w:val="clear" w:color="auto" w:fill="auto"/>
            <w:vAlign w:val="bottom"/>
          </w:tcPr>
          <w:p w14:paraId="64304F46" w14:textId="77777777" w:rsidR="009F6D8A" w:rsidRDefault="009F6D8A">
            <w:pPr>
              <w:rPr>
                <w:rFonts w:ascii="宋体"/>
              </w:rPr>
            </w:pPr>
          </w:p>
        </w:tc>
        <w:tc>
          <w:tcPr>
            <w:tcW w:w="26" w:type="pct"/>
            <w:shd w:val="clear" w:color="auto" w:fill="auto"/>
            <w:vAlign w:val="bottom"/>
          </w:tcPr>
          <w:p w14:paraId="64304F47" w14:textId="77777777" w:rsidR="009F6D8A" w:rsidRDefault="009F6D8A">
            <w:pPr>
              <w:rPr>
                <w:rFonts w:ascii="宋体"/>
              </w:rPr>
            </w:pPr>
          </w:p>
        </w:tc>
        <w:tc>
          <w:tcPr>
            <w:tcW w:w="5" w:type="pct"/>
            <w:shd w:val="clear" w:color="auto" w:fill="auto"/>
            <w:vAlign w:val="bottom"/>
          </w:tcPr>
          <w:p w14:paraId="64304F48" w14:textId="77777777" w:rsidR="009F6D8A" w:rsidRDefault="009F6D8A">
            <w:pPr>
              <w:rPr>
                <w:rFonts w:ascii="宋体"/>
              </w:rPr>
            </w:pPr>
          </w:p>
        </w:tc>
        <w:tc>
          <w:tcPr>
            <w:tcW w:w="50" w:type="pct"/>
            <w:shd w:val="clear" w:color="auto" w:fill="auto"/>
            <w:vAlign w:val="bottom"/>
          </w:tcPr>
          <w:p w14:paraId="64304F49" w14:textId="77777777" w:rsidR="009F6D8A" w:rsidRDefault="009F6D8A">
            <w:pPr>
              <w:rPr>
                <w:rFonts w:ascii="宋体"/>
              </w:rPr>
            </w:pPr>
          </w:p>
        </w:tc>
        <w:tc>
          <w:tcPr>
            <w:tcW w:w="405" w:type="pct"/>
            <w:shd w:val="clear" w:color="auto" w:fill="auto"/>
            <w:vAlign w:val="bottom"/>
          </w:tcPr>
          <w:p w14:paraId="64304F4A" w14:textId="77777777" w:rsidR="009F6D8A" w:rsidRDefault="009F6D8A">
            <w:pPr>
              <w:rPr>
                <w:rFonts w:ascii="宋体"/>
              </w:rPr>
            </w:pPr>
          </w:p>
        </w:tc>
        <w:tc>
          <w:tcPr>
            <w:tcW w:w="5" w:type="pct"/>
            <w:shd w:val="clear" w:color="auto" w:fill="auto"/>
            <w:vAlign w:val="bottom"/>
          </w:tcPr>
          <w:p w14:paraId="64304F4B" w14:textId="77777777" w:rsidR="009F6D8A" w:rsidRDefault="009F6D8A">
            <w:pPr>
              <w:rPr>
                <w:rFonts w:ascii="宋体"/>
              </w:rPr>
            </w:pPr>
          </w:p>
        </w:tc>
        <w:tc>
          <w:tcPr>
            <w:tcW w:w="5" w:type="pct"/>
            <w:shd w:val="clear" w:color="auto" w:fill="auto"/>
            <w:vAlign w:val="bottom"/>
          </w:tcPr>
          <w:p w14:paraId="64304F4C" w14:textId="77777777" w:rsidR="009F6D8A" w:rsidRDefault="009F6D8A">
            <w:pPr>
              <w:rPr>
                <w:rFonts w:ascii="宋体"/>
              </w:rPr>
            </w:pPr>
          </w:p>
        </w:tc>
        <w:tc>
          <w:tcPr>
            <w:tcW w:w="26" w:type="pct"/>
            <w:shd w:val="clear" w:color="auto" w:fill="auto"/>
            <w:vAlign w:val="bottom"/>
          </w:tcPr>
          <w:p w14:paraId="64304F4D" w14:textId="77777777" w:rsidR="009F6D8A" w:rsidRDefault="009F6D8A">
            <w:pPr>
              <w:rPr>
                <w:rFonts w:ascii="宋体"/>
              </w:rPr>
            </w:pPr>
          </w:p>
        </w:tc>
        <w:tc>
          <w:tcPr>
            <w:tcW w:w="5" w:type="pct"/>
            <w:shd w:val="clear" w:color="auto" w:fill="auto"/>
            <w:vAlign w:val="bottom"/>
          </w:tcPr>
          <w:p w14:paraId="64304F4E" w14:textId="77777777" w:rsidR="009F6D8A" w:rsidRDefault="009F6D8A">
            <w:pPr>
              <w:rPr>
                <w:rFonts w:ascii="宋体"/>
              </w:rPr>
            </w:pPr>
          </w:p>
        </w:tc>
        <w:tc>
          <w:tcPr>
            <w:tcW w:w="50" w:type="pct"/>
            <w:shd w:val="clear" w:color="auto" w:fill="auto"/>
            <w:vAlign w:val="bottom"/>
          </w:tcPr>
          <w:p w14:paraId="64304F4F" w14:textId="77777777" w:rsidR="009F6D8A" w:rsidRDefault="009F6D8A">
            <w:pPr>
              <w:rPr>
                <w:rFonts w:ascii="宋体"/>
              </w:rPr>
            </w:pPr>
          </w:p>
        </w:tc>
        <w:tc>
          <w:tcPr>
            <w:tcW w:w="405" w:type="pct"/>
            <w:shd w:val="clear" w:color="auto" w:fill="auto"/>
            <w:vAlign w:val="bottom"/>
          </w:tcPr>
          <w:p w14:paraId="64304F50" w14:textId="77777777" w:rsidR="009F6D8A" w:rsidRDefault="009F6D8A">
            <w:pPr>
              <w:rPr>
                <w:rFonts w:ascii="宋体"/>
              </w:rPr>
            </w:pPr>
          </w:p>
        </w:tc>
        <w:tc>
          <w:tcPr>
            <w:tcW w:w="5" w:type="pct"/>
            <w:shd w:val="clear" w:color="auto" w:fill="auto"/>
            <w:vAlign w:val="bottom"/>
          </w:tcPr>
          <w:p w14:paraId="64304F51" w14:textId="77777777" w:rsidR="009F6D8A" w:rsidRDefault="009F6D8A">
            <w:pPr>
              <w:rPr>
                <w:rFonts w:ascii="宋体"/>
              </w:rPr>
            </w:pPr>
          </w:p>
        </w:tc>
        <w:tc>
          <w:tcPr>
            <w:tcW w:w="5" w:type="pct"/>
            <w:shd w:val="clear" w:color="auto" w:fill="auto"/>
            <w:vAlign w:val="bottom"/>
          </w:tcPr>
          <w:p w14:paraId="64304F52" w14:textId="77777777" w:rsidR="009F6D8A" w:rsidRDefault="009F6D8A">
            <w:pPr>
              <w:rPr>
                <w:rFonts w:ascii="宋体"/>
              </w:rPr>
            </w:pPr>
          </w:p>
        </w:tc>
        <w:tc>
          <w:tcPr>
            <w:tcW w:w="26" w:type="pct"/>
            <w:shd w:val="clear" w:color="auto" w:fill="auto"/>
            <w:vAlign w:val="bottom"/>
          </w:tcPr>
          <w:p w14:paraId="64304F53" w14:textId="77777777" w:rsidR="009F6D8A" w:rsidRDefault="009F6D8A">
            <w:pPr>
              <w:rPr>
                <w:rFonts w:ascii="宋体"/>
              </w:rPr>
            </w:pPr>
          </w:p>
        </w:tc>
        <w:tc>
          <w:tcPr>
            <w:tcW w:w="5" w:type="pct"/>
            <w:shd w:val="clear" w:color="auto" w:fill="auto"/>
            <w:vAlign w:val="bottom"/>
          </w:tcPr>
          <w:p w14:paraId="64304F54" w14:textId="77777777" w:rsidR="009F6D8A" w:rsidRDefault="009F6D8A">
            <w:pPr>
              <w:rPr>
                <w:rFonts w:ascii="宋体"/>
              </w:rPr>
            </w:pPr>
          </w:p>
        </w:tc>
        <w:tc>
          <w:tcPr>
            <w:tcW w:w="50" w:type="pct"/>
            <w:shd w:val="clear" w:color="auto" w:fill="auto"/>
            <w:vAlign w:val="bottom"/>
          </w:tcPr>
          <w:p w14:paraId="64304F55" w14:textId="77777777" w:rsidR="009F6D8A" w:rsidRDefault="009F6D8A">
            <w:pPr>
              <w:rPr>
                <w:rFonts w:ascii="宋体"/>
              </w:rPr>
            </w:pPr>
          </w:p>
        </w:tc>
        <w:tc>
          <w:tcPr>
            <w:tcW w:w="405" w:type="pct"/>
            <w:shd w:val="clear" w:color="auto" w:fill="auto"/>
            <w:vAlign w:val="bottom"/>
          </w:tcPr>
          <w:p w14:paraId="64304F56" w14:textId="77777777" w:rsidR="009F6D8A" w:rsidRDefault="009F6D8A">
            <w:pPr>
              <w:rPr>
                <w:rFonts w:ascii="宋体"/>
              </w:rPr>
            </w:pPr>
          </w:p>
        </w:tc>
        <w:tc>
          <w:tcPr>
            <w:tcW w:w="5" w:type="pct"/>
            <w:shd w:val="clear" w:color="auto" w:fill="auto"/>
            <w:vAlign w:val="bottom"/>
          </w:tcPr>
          <w:p w14:paraId="64304F57" w14:textId="77777777" w:rsidR="009F6D8A" w:rsidRDefault="009F6D8A">
            <w:pPr>
              <w:rPr>
                <w:rFonts w:ascii="宋体"/>
              </w:rPr>
            </w:pPr>
          </w:p>
        </w:tc>
        <w:tc>
          <w:tcPr>
            <w:tcW w:w="5" w:type="pct"/>
            <w:shd w:val="clear" w:color="auto" w:fill="auto"/>
            <w:vAlign w:val="bottom"/>
          </w:tcPr>
          <w:p w14:paraId="64304F58" w14:textId="77777777" w:rsidR="009F6D8A" w:rsidRDefault="009F6D8A">
            <w:pPr>
              <w:rPr>
                <w:rFonts w:ascii="宋体"/>
              </w:rPr>
            </w:pPr>
          </w:p>
        </w:tc>
        <w:tc>
          <w:tcPr>
            <w:tcW w:w="26" w:type="pct"/>
            <w:shd w:val="clear" w:color="auto" w:fill="auto"/>
            <w:vAlign w:val="bottom"/>
          </w:tcPr>
          <w:p w14:paraId="64304F59" w14:textId="77777777" w:rsidR="009F6D8A" w:rsidRDefault="009F6D8A">
            <w:pPr>
              <w:rPr>
                <w:rFonts w:ascii="宋体"/>
              </w:rPr>
            </w:pPr>
          </w:p>
        </w:tc>
        <w:tc>
          <w:tcPr>
            <w:tcW w:w="5" w:type="pct"/>
            <w:shd w:val="clear" w:color="auto" w:fill="auto"/>
            <w:vAlign w:val="bottom"/>
          </w:tcPr>
          <w:p w14:paraId="64304F5A" w14:textId="77777777" w:rsidR="009F6D8A" w:rsidRDefault="009F6D8A">
            <w:pPr>
              <w:rPr>
                <w:rFonts w:ascii="宋体"/>
              </w:rPr>
            </w:pPr>
          </w:p>
        </w:tc>
        <w:tc>
          <w:tcPr>
            <w:tcW w:w="50" w:type="pct"/>
            <w:shd w:val="clear" w:color="auto" w:fill="auto"/>
            <w:vAlign w:val="bottom"/>
          </w:tcPr>
          <w:p w14:paraId="64304F5B" w14:textId="77777777" w:rsidR="009F6D8A" w:rsidRDefault="009F6D8A">
            <w:pPr>
              <w:rPr>
                <w:rFonts w:ascii="宋体"/>
              </w:rPr>
            </w:pPr>
          </w:p>
        </w:tc>
        <w:tc>
          <w:tcPr>
            <w:tcW w:w="405" w:type="pct"/>
            <w:shd w:val="clear" w:color="auto" w:fill="auto"/>
            <w:vAlign w:val="bottom"/>
          </w:tcPr>
          <w:p w14:paraId="64304F5C" w14:textId="77777777" w:rsidR="009F6D8A" w:rsidRDefault="009F6D8A">
            <w:pPr>
              <w:rPr>
                <w:rFonts w:ascii="宋体"/>
              </w:rPr>
            </w:pPr>
          </w:p>
        </w:tc>
        <w:tc>
          <w:tcPr>
            <w:tcW w:w="5" w:type="pct"/>
            <w:shd w:val="clear" w:color="auto" w:fill="auto"/>
            <w:vAlign w:val="bottom"/>
          </w:tcPr>
          <w:p w14:paraId="64304F5D" w14:textId="77777777" w:rsidR="009F6D8A" w:rsidRDefault="009F6D8A">
            <w:pPr>
              <w:rPr>
                <w:rFonts w:ascii="宋体"/>
              </w:rPr>
            </w:pPr>
          </w:p>
        </w:tc>
        <w:tc>
          <w:tcPr>
            <w:tcW w:w="5" w:type="pct"/>
            <w:shd w:val="clear" w:color="auto" w:fill="auto"/>
            <w:vAlign w:val="bottom"/>
          </w:tcPr>
          <w:p w14:paraId="64304F5E" w14:textId="77777777" w:rsidR="009F6D8A" w:rsidRDefault="009F6D8A">
            <w:pPr>
              <w:rPr>
                <w:rFonts w:ascii="宋体"/>
              </w:rPr>
            </w:pPr>
          </w:p>
        </w:tc>
        <w:tc>
          <w:tcPr>
            <w:tcW w:w="26" w:type="pct"/>
            <w:shd w:val="clear" w:color="auto" w:fill="auto"/>
            <w:vAlign w:val="bottom"/>
          </w:tcPr>
          <w:p w14:paraId="64304F5F" w14:textId="77777777" w:rsidR="009F6D8A" w:rsidRDefault="009F6D8A">
            <w:pPr>
              <w:rPr>
                <w:rFonts w:ascii="宋体"/>
              </w:rPr>
            </w:pPr>
          </w:p>
        </w:tc>
        <w:tc>
          <w:tcPr>
            <w:tcW w:w="5" w:type="pct"/>
            <w:shd w:val="clear" w:color="auto" w:fill="auto"/>
            <w:vAlign w:val="bottom"/>
          </w:tcPr>
          <w:p w14:paraId="64304F60" w14:textId="77777777" w:rsidR="009F6D8A" w:rsidRDefault="009F6D8A">
            <w:pPr>
              <w:rPr>
                <w:rFonts w:ascii="宋体"/>
              </w:rPr>
            </w:pPr>
          </w:p>
        </w:tc>
        <w:tc>
          <w:tcPr>
            <w:tcW w:w="50" w:type="pct"/>
            <w:shd w:val="clear" w:color="auto" w:fill="auto"/>
            <w:vAlign w:val="bottom"/>
          </w:tcPr>
          <w:p w14:paraId="64304F61" w14:textId="77777777" w:rsidR="009F6D8A" w:rsidRDefault="009F6D8A">
            <w:pPr>
              <w:rPr>
                <w:rFonts w:ascii="宋体"/>
              </w:rPr>
            </w:pPr>
          </w:p>
        </w:tc>
        <w:tc>
          <w:tcPr>
            <w:tcW w:w="406" w:type="pct"/>
            <w:shd w:val="clear" w:color="auto" w:fill="auto"/>
            <w:vAlign w:val="bottom"/>
          </w:tcPr>
          <w:p w14:paraId="64304F62" w14:textId="77777777" w:rsidR="009F6D8A" w:rsidRDefault="009F6D8A">
            <w:pPr>
              <w:rPr>
                <w:rFonts w:ascii="宋体"/>
              </w:rPr>
            </w:pPr>
          </w:p>
        </w:tc>
        <w:tc>
          <w:tcPr>
            <w:tcW w:w="5" w:type="pct"/>
            <w:shd w:val="clear" w:color="auto" w:fill="auto"/>
            <w:vAlign w:val="bottom"/>
          </w:tcPr>
          <w:p w14:paraId="64304F63" w14:textId="77777777" w:rsidR="009F6D8A" w:rsidRDefault="009F6D8A">
            <w:pPr>
              <w:rPr>
                <w:rFonts w:ascii="宋体"/>
              </w:rPr>
            </w:pPr>
          </w:p>
        </w:tc>
      </w:tr>
      <w:tr w:rsidR="009F6D8A" w14:paraId="64304F6D" w14:textId="77777777">
        <w:tc>
          <w:tcPr>
            <w:tcW w:w="0" w:type="auto"/>
            <w:gridSpan w:val="3"/>
            <w:shd w:val="clear" w:color="auto" w:fill="auto"/>
            <w:tcMar>
              <w:top w:w="0" w:type="dxa"/>
              <w:left w:w="20" w:type="dxa"/>
              <w:bottom w:w="0" w:type="dxa"/>
              <w:right w:w="20" w:type="dxa"/>
            </w:tcMar>
            <w:vAlign w:val="bottom"/>
          </w:tcPr>
          <w:p w14:paraId="64304F65"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4F66" w14:textId="77777777" w:rsidR="009F6D8A" w:rsidRDefault="00C50974">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w:t>
            </w:r>
          </w:p>
        </w:tc>
        <w:tc>
          <w:tcPr>
            <w:tcW w:w="0" w:type="auto"/>
            <w:gridSpan w:val="3"/>
            <w:shd w:val="clear" w:color="auto" w:fill="auto"/>
            <w:tcMar>
              <w:top w:w="0" w:type="dxa"/>
              <w:left w:w="20" w:type="dxa"/>
              <w:bottom w:w="0" w:type="dxa"/>
              <w:right w:w="20" w:type="dxa"/>
            </w:tcMar>
            <w:vAlign w:val="bottom"/>
          </w:tcPr>
          <w:p w14:paraId="64304F67"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4F68" w14:textId="77777777" w:rsidR="009F6D8A" w:rsidRDefault="00C50974">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vAlign w:val="bottom"/>
          </w:tcPr>
          <w:p w14:paraId="64304F69"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4F6A" w14:textId="77777777" w:rsidR="009F6D8A" w:rsidRDefault="00C50974">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w:t>
            </w:r>
          </w:p>
        </w:tc>
        <w:tc>
          <w:tcPr>
            <w:tcW w:w="0" w:type="auto"/>
            <w:gridSpan w:val="3"/>
            <w:shd w:val="clear" w:color="auto" w:fill="auto"/>
            <w:tcMar>
              <w:top w:w="0" w:type="dxa"/>
              <w:left w:w="20" w:type="dxa"/>
              <w:bottom w:w="0" w:type="dxa"/>
              <w:right w:w="20" w:type="dxa"/>
            </w:tcMar>
            <w:vAlign w:val="bottom"/>
          </w:tcPr>
          <w:p w14:paraId="64304F6B"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4F6C" w14:textId="77777777" w:rsidR="009F6D8A" w:rsidRDefault="00C50974">
            <w:pPr>
              <w:jc w:val="center"/>
              <w:textAlignment w:val="bottom"/>
            </w:pPr>
            <w:r>
              <w:rPr>
                <w:rFonts w:ascii="Arial" w:eastAsia="宋体" w:hAnsi="Arial" w:cs="Arial"/>
                <w:b/>
                <w:bCs/>
                <w:color w:val="000000"/>
                <w:sz w:val="14"/>
                <w:szCs w:val="14"/>
              </w:rPr>
              <w:t>% Change</w:t>
            </w:r>
          </w:p>
        </w:tc>
      </w:tr>
      <w:tr w:rsidR="009F6D8A" w14:paraId="64304F7E" w14:textId="77777777">
        <w:tc>
          <w:tcPr>
            <w:tcW w:w="0" w:type="auto"/>
            <w:gridSpan w:val="3"/>
            <w:shd w:val="clear" w:color="auto" w:fill="auto"/>
            <w:tcMar>
              <w:top w:w="40" w:type="dxa"/>
              <w:left w:w="20" w:type="dxa"/>
              <w:bottom w:w="40" w:type="dxa"/>
              <w:right w:w="20" w:type="dxa"/>
            </w:tcMar>
            <w:vAlign w:val="center"/>
          </w:tcPr>
          <w:p w14:paraId="64304F6E" w14:textId="77777777" w:rsidR="009F6D8A" w:rsidRDefault="00C50974">
            <w:pPr>
              <w:textAlignment w:val="center"/>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4F6F" w14:textId="77777777" w:rsidR="009F6D8A" w:rsidRDefault="00C50974">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F70"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4F71" w14:textId="77777777" w:rsidR="009F6D8A" w:rsidRDefault="00C50974">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64304F72"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4F73" w14:textId="77777777" w:rsidR="009F6D8A" w:rsidRDefault="00C50974">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4304F74"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4F75" w14:textId="77777777" w:rsidR="009F6D8A" w:rsidRDefault="00C50974">
            <w:pPr>
              <w:jc w:val="center"/>
              <w:textAlignment w:val="bottom"/>
            </w:pPr>
            <w:r>
              <w:rPr>
                <w:rFonts w:ascii="Arial" w:eastAsia="宋体" w:hAnsi="Arial" w:cs="Arial"/>
                <w:b/>
                <w:bCs/>
                <w:color w:val="000000"/>
                <w:sz w:val="14"/>
                <w:szCs w:val="14"/>
              </w:rPr>
              <w:t>FX-Neutral</w:t>
            </w:r>
          </w:p>
        </w:tc>
        <w:tc>
          <w:tcPr>
            <w:tcW w:w="0" w:type="auto"/>
            <w:gridSpan w:val="3"/>
            <w:shd w:val="clear" w:color="auto" w:fill="auto"/>
            <w:tcMar>
              <w:top w:w="0" w:type="dxa"/>
              <w:left w:w="20" w:type="dxa"/>
              <w:bottom w:w="0" w:type="dxa"/>
              <w:right w:w="20" w:type="dxa"/>
            </w:tcMar>
            <w:vAlign w:val="bottom"/>
          </w:tcPr>
          <w:p w14:paraId="64304F76"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4F77" w14:textId="77777777" w:rsidR="009F6D8A" w:rsidRDefault="00C50974">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4F78"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4F79" w14:textId="77777777" w:rsidR="009F6D8A" w:rsidRDefault="00C50974">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64304F7A"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4F7B" w14:textId="77777777" w:rsidR="009F6D8A" w:rsidRDefault="00C50974">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4304F7C"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4F7D" w14:textId="77777777" w:rsidR="009F6D8A" w:rsidRDefault="00C50974">
            <w:pPr>
              <w:jc w:val="center"/>
              <w:textAlignment w:val="bottom"/>
            </w:pPr>
            <w:r>
              <w:rPr>
                <w:rFonts w:ascii="Arial" w:eastAsia="宋体" w:hAnsi="Arial" w:cs="Arial"/>
                <w:b/>
                <w:bCs/>
                <w:color w:val="000000"/>
                <w:sz w:val="14"/>
                <w:szCs w:val="14"/>
              </w:rPr>
              <w:t>FX-Neutral</w:t>
            </w:r>
          </w:p>
        </w:tc>
      </w:tr>
      <w:tr w:rsidR="009F6D8A" w14:paraId="64304F81" w14:textId="77777777">
        <w:tc>
          <w:tcPr>
            <w:tcW w:w="0" w:type="auto"/>
            <w:gridSpan w:val="3"/>
            <w:shd w:val="clear" w:color="auto" w:fill="FFFFFF"/>
            <w:tcMar>
              <w:top w:w="0" w:type="dxa"/>
              <w:left w:w="20" w:type="dxa"/>
              <w:bottom w:w="0" w:type="dxa"/>
              <w:right w:w="20" w:type="dxa"/>
            </w:tcMar>
            <w:vAlign w:val="bottom"/>
          </w:tcPr>
          <w:p w14:paraId="64304F7F" w14:textId="77777777" w:rsidR="009F6D8A" w:rsidRDefault="009F6D8A">
            <w:pPr>
              <w:rPr>
                <w:rFonts w:ascii="宋体"/>
              </w:rPr>
            </w:pPr>
          </w:p>
        </w:tc>
        <w:tc>
          <w:tcPr>
            <w:tcW w:w="0" w:type="auto"/>
            <w:gridSpan w:val="45"/>
            <w:tcBorders>
              <w:top w:val="single" w:sz="8" w:space="0" w:color="000000"/>
            </w:tcBorders>
            <w:shd w:val="clear" w:color="auto" w:fill="auto"/>
            <w:tcMar>
              <w:top w:w="40" w:type="dxa"/>
              <w:left w:w="20" w:type="dxa"/>
              <w:bottom w:w="40" w:type="dxa"/>
              <w:right w:w="20" w:type="dxa"/>
            </w:tcMar>
            <w:vAlign w:val="bottom"/>
          </w:tcPr>
          <w:p w14:paraId="64304F80" w14:textId="77777777" w:rsidR="009F6D8A" w:rsidRDefault="00C50974">
            <w:pPr>
              <w:jc w:val="center"/>
              <w:textAlignment w:val="bottom"/>
            </w:pPr>
            <w:r>
              <w:rPr>
                <w:rFonts w:ascii="Arial" w:eastAsia="宋体" w:hAnsi="Arial" w:cs="Arial"/>
                <w:color w:val="000000"/>
                <w:sz w:val="16"/>
                <w:szCs w:val="16"/>
              </w:rPr>
              <w:t>(In millions, except percentages)</w:t>
            </w:r>
          </w:p>
        </w:tc>
      </w:tr>
      <w:tr w:rsidR="009F6D8A" w14:paraId="64304F9E" w14:textId="77777777">
        <w:tc>
          <w:tcPr>
            <w:tcW w:w="0" w:type="auto"/>
            <w:gridSpan w:val="3"/>
            <w:shd w:val="clear" w:color="auto" w:fill="E2E2E2"/>
            <w:tcMar>
              <w:top w:w="40" w:type="dxa"/>
              <w:left w:w="20" w:type="dxa"/>
              <w:bottom w:w="40" w:type="dxa"/>
              <w:right w:w="20" w:type="dxa"/>
            </w:tcMar>
            <w:vAlign w:val="bottom"/>
          </w:tcPr>
          <w:p w14:paraId="64304F82" w14:textId="77777777" w:rsidR="009F6D8A" w:rsidRDefault="00C50974">
            <w:pPr>
              <w:textAlignment w:val="bottom"/>
            </w:pPr>
            <w:r>
              <w:rPr>
                <w:rFonts w:ascii="Arial" w:eastAsia="宋体" w:hAnsi="Arial" w:cs="Arial"/>
                <w:color w:val="000000"/>
                <w:sz w:val="16"/>
                <w:szCs w:val="16"/>
              </w:rPr>
              <w:t>MS&amp;O</w:t>
            </w:r>
          </w:p>
        </w:tc>
        <w:tc>
          <w:tcPr>
            <w:tcW w:w="0" w:type="auto"/>
            <w:shd w:val="clear" w:color="auto" w:fill="E2E2E2"/>
            <w:tcMar>
              <w:top w:w="40" w:type="dxa"/>
              <w:left w:w="20" w:type="dxa"/>
              <w:bottom w:w="40" w:type="dxa"/>
              <w:right w:w="0" w:type="dxa"/>
            </w:tcMar>
            <w:vAlign w:val="bottom"/>
          </w:tcPr>
          <w:p w14:paraId="64304F83"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64304F84" w14:textId="77777777" w:rsidR="009F6D8A" w:rsidRDefault="00C50974">
            <w:pPr>
              <w:jc w:val="right"/>
              <w:textAlignment w:val="bottom"/>
            </w:pPr>
            <w:r>
              <w:rPr>
                <w:rFonts w:ascii="Arial" w:eastAsia="宋体" w:hAnsi="Arial" w:cs="Arial"/>
                <w:color w:val="000000"/>
                <w:sz w:val="16"/>
                <w:szCs w:val="16"/>
              </w:rPr>
              <w:t>172 </w:t>
            </w:r>
          </w:p>
        </w:tc>
        <w:tc>
          <w:tcPr>
            <w:tcW w:w="0" w:type="auto"/>
            <w:shd w:val="clear" w:color="auto" w:fill="E2E2E2"/>
            <w:tcMar>
              <w:top w:w="40" w:type="dxa"/>
              <w:left w:w="0" w:type="dxa"/>
              <w:bottom w:w="40" w:type="dxa"/>
              <w:right w:w="20" w:type="dxa"/>
            </w:tcMar>
            <w:vAlign w:val="bottom"/>
          </w:tcPr>
          <w:p w14:paraId="64304F8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F86"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4F87"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64304F88" w14:textId="77777777" w:rsidR="009F6D8A" w:rsidRDefault="00C50974">
            <w:pPr>
              <w:jc w:val="right"/>
              <w:textAlignment w:val="bottom"/>
            </w:pPr>
            <w:r>
              <w:rPr>
                <w:rFonts w:ascii="Arial" w:eastAsia="宋体" w:hAnsi="Arial" w:cs="Arial"/>
                <w:color w:val="000000"/>
                <w:sz w:val="16"/>
                <w:szCs w:val="16"/>
              </w:rPr>
              <w:t>152 </w:t>
            </w:r>
          </w:p>
        </w:tc>
        <w:tc>
          <w:tcPr>
            <w:tcW w:w="0" w:type="auto"/>
            <w:shd w:val="clear" w:color="auto" w:fill="E2E2E2"/>
            <w:tcMar>
              <w:top w:w="40" w:type="dxa"/>
              <w:left w:w="0" w:type="dxa"/>
              <w:bottom w:w="40" w:type="dxa"/>
              <w:right w:w="20" w:type="dxa"/>
            </w:tcMar>
            <w:vAlign w:val="bottom"/>
          </w:tcPr>
          <w:p w14:paraId="64304F89"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F8A"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F8B" w14:textId="77777777" w:rsidR="009F6D8A" w:rsidRDefault="00C50974">
            <w:pPr>
              <w:jc w:val="right"/>
              <w:textAlignment w:val="bottom"/>
            </w:pPr>
            <w:r>
              <w:rPr>
                <w:rFonts w:ascii="Arial" w:eastAsia="宋体" w:hAnsi="Arial" w:cs="Arial"/>
                <w:color w:val="000000"/>
                <w:sz w:val="16"/>
                <w:szCs w:val="16"/>
              </w:rPr>
              <w:t>13 </w:t>
            </w:r>
          </w:p>
        </w:tc>
        <w:tc>
          <w:tcPr>
            <w:tcW w:w="0" w:type="auto"/>
            <w:shd w:val="clear" w:color="auto" w:fill="E2E2E2"/>
            <w:tcMar>
              <w:top w:w="40" w:type="dxa"/>
              <w:left w:w="0" w:type="dxa"/>
              <w:bottom w:w="40" w:type="dxa"/>
              <w:right w:w="20" w:type="dxa"/>
            </w:tcMar>
            <w:vAlign w:val="bottom"/>
          </w:tcPr>
          <w:p w14:paraId="64304F8C"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F8D"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F8E" w14:textId="77777777" w:rsidR="009F6D8A" w:rsidRDefault="00C50974">
            <w:pPr>
              <w:jc w:val="right"/>
              <w:textAlignment w:val="bottom"/>
            </w:pPr>
            <w:r>
              <w:rPr>
                <w:rFonts w:ascii="Arial" w:eastAsia="宋体" w:hAnsi="Arial" w:cs="Arial"/>
                <w:color w:val="000000"/>
                <w:sz w:val="16"/>
                <w:szCs w:val="16"/>
              </w:rPr>
              <w:t>11 </w:t>
            </w:r>
          </w:p>
        </w:tc>
        <w:tc>
          <w:tcPr>
            <w:tcW w:w="0" w:type="auto"/>
            <w:shd w:val="clear" w:color="auto" w:fill="E2E2E2"/>
            <w:tcMar>
              <w:top w:w="40" w:type="dxa"/>
              <w:left w:w="0" w:type="dxa"/>
              <w:bottom w:w="40" w:type="dxa"/>
              <w:right w:w="20" w:type="dxa"/>
            </w:tcMar>
            <w:vAlign w:val="bottom"/>
          </w:tcPr>
          <w:p w14:paraId="64304F8F"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F90"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4F91"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64304F92" w14:textId="77777777" w:rsidR="009F6D8A" w:rsidRDefault="00C50974">
            <w:pPr>
              <w:jc w:val="right"/>
              <w:textAlignment w:val="bottom"/>
            </w:pPr>
            <w:r>
              <w:rPr>
                <w:rFonts w:ascii="Arial" w:eastAsia="宋体" w:hAnsi="Arial" w:cs="Arial"/>
                <w:color w:val="000000"/>
                <w:sz w:val="16"/>
                <w:szCs w:val="16"/>
              </w:rPr>
              <w:t>334 </w:t>
            </w:r>
          </w:p>
        </w:tc>
        <w:tc>
          <w:tcPr>
            <w:tcW w:w="0" w:type="auto"/>
            <w:shd w:val="clear" w:color="auto" w:fill="E2E2E2"/>
            <w:tcMar>
              <w:top w:w="40" w:type="dxa"/>
              <w:left w:w="0" w:type="dxa"/>
              <w:bottom w:w="40" w:type="dxa"/>
              <w:right w:w="20" w:type="dxa"/>
            </w:tcMar>
            <w:vAlign w:val="bottom"/>
          </w:tcPr>
          <w:p w14:paraId="64304F93"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F94"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4F95"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2E2E2"/>
            <w:tcMar>
              <w:top w:w="40" w:type="dxa"/>
              <w:left w:w="0" w:type="dxa"/>
              <w:bottom w:w="40" w:type="dxa"/>
              <w:right w:w="0" w:type="dxa"/>
            </w:tcMar>
            <w:vAlign w:val="bottom"/>
          </w:tcPr>
          <w:p w14:paraId="64304F96" w14:textId="77777777" w:rsidR="009F6D8A" w:rsidRDefault="00C50974">
            <w:pPr>
              <w:jc w:val="right"/>
              <w:textAlignment w:val="bottom"/>
            </w:pPr>
            <w:r>
              <w:rPr>
                <w:rFonts w:ascii="Arial" w:eastAsia="宋体" w:hAnsi="Arial" w:cs="Arial"/>
                <w:color w:val="000000"/>
                <w:sz w:val="16"/>
                <w:szCs w:val="16"/>
              </w:rPr>
              <w:t>321 </w:t>
            </w:r>
          </w:p>
        </w:tc>
        <w:tc>
          <w:tcPr>
            <w:tcW w:w="0" w:type="auto"/>
            <w:shd w:val="clear" w:color="auto" w:fill="E2E2E2"/>
            <w:tcMar>
              <w:top w:w="40" w:type="dxa"/>
              <w:left w:w="0" w:type="dxa"/>
              <w:bottom w:w="40" w:type="dxa"/>
              <w:right w:w="20" w:type="dxa"/>
            </w:tcMar>
            <w:vAlign w:val="bottom"/>
          </w:tcPr>
          <w:p w14:paraId="64304F97"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4F98"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F99" w14:textId="77777777" w:rsidR="009F6D8A" w:rsidRDefault="00C50974">
            <w:pPr>
              <w:jc w:val="right"/>
              <w:textAlignment w:val="bottom"/>
            </w:pPr>
            <w:r>
              <w:rPr>
                <w:rFonts w:ascii="Arial" w:eastAsia="宋体" w:hAnsi="Arial" w:cs="Arial"/>
                <w:color w:val="000000"/>
                <w:sz w:val="16"/>
                <w:szCs w:val="16"/>
              </w:rPr>
              <w:t>4 </w:t>
            </w:r>
          </w:p>
        </w:tc>
        <w:tc>
          <w:tcPr>
            <w:tcW w:w="0" w:type="auto"/>
            <w:shd w:val="clear" w:color="auto" w:fill="E2E2E2"/>
            <w:tcMar>
              <w:top w:w="40" w:type="dxa"/>
              <w:left w:w="0" w:type="dxa"/>
              <w:bottom w:w="40" w:type="dxa"/>
              <w:right w:w="20" w:type="dxa"/>
            </w:tcMar>
            <w:vAlign w:val="bottom"/>
          </w:tcPr>
          <w:p w14:paraId="64304F9A"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4F9B"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4F9C" w14:textId="77777777" w:rsidR="009F6D8A" w:rsidRDefault="00C50974">
            <w:pPr>
              <w:jc w:val="right"/>
              <w:textAlignment w:val="bottom"/>
            </w:pPr>
            <w:r>
              <w:rPr>
                <w:rFonts w:ascii="Arial" w:eastAsia="宋体" w:hAnsi="Arial" w:cs="Arial"/>
                <w:color w:val="000000"/>
                <w:sz w:val="16"/>
                <w:szCs w:val="16"/>
              </w:rPr>
              <w:t>2 </w:t>
            </w:r>
          </w:p>
        </w:tc>
        <w:tc>
          <w:tcPr>
            <w:tcW w:w="0" w:type="auto"/>
            <w:shd w:val="clear" w:color="auto" w:fill="E2E2E2"/>
            <w:tcMar>
              <w:top w:w="40" w:type="dxa"/>
              <w:left w:w="0" w:type="dxa"/>
              <w:bottom w:w="40" w:type="dxa"/>
              <w:right w:w="20" w:type="dxa"/>
            </w:tcMar>
            <w:vAlign w:val="bottom"/>
          </w:tcPr>
          <w:p w14:paraId="64304F9D" w14:textId="77777777" w:rsidR="009F6D8A" w:rsidRDefault="00C50974">
            <w:pPr>
              <w:jc w:val="right"/>
              <w:textAlignment w:val="bottom"/>
            </w:pPr>
            <w:r>
              <w:rPr>
                <w:rFonts w:ascii="Arial" w:eastAsia="宋体" w:hAnsi="Arial" w:cs="Arial"/>
                <w:color w:val="000000"/>
                <w:sz w:val="16"/>
                <w:szCs w:val="16"/>
              </w:rPr>
              <w:t>%</w:t>
            </w:r>
          </w:p>
        </w:tc>
      </w:tr>
      <w:tr w:rsidR="009F6D8A" w14:paraId="64304FAF" w14:textId="77777777">
        <w:trPr>
          <w:hidden/>
        </w:trPr>
        <w:tc>
          <w:tcPr>
            <w:tcW w:w="0" w:type="auto"/>
            <w:gridSpan w:val="3"/>
            <w:shd w:val="clear" w:color="auto" w:fill="auto"/>
            <w:vAlign w:val="bottom"/>
          </w:tcPr>
          <w:p w14:paraId="64304F9F" w14:textId="77777777" w:rsidR="009F6D8A" w:rsidRDefault="009F6D8A">
            <w:pPr>
              <w:rPr>
                <w:rFonts w:ascii="宋体"/>
                <w:vanish/>
              </w:rPr>
            </w:pPr>
          </w:p>
        </w:tc>
        <w:tc>
          <w:tcPr>
            <w:tcW w:w="0" w:type="auto"/>
            <w:gridSpan w:val="3"/>
            <w:shd w:val="clear" w:color="auto" w:fill="auto"/>
            <w:vAlign w:val="bottom"/>
          </w:tcPr>
          <w:p w14:paraId="64304FA0" w14:textId="77777777" w:rsidR="009F6D8A" w:rsidRDefault="009F6D8A">
            <w:pPr>
              <w:rPr>
                <w:rFonts w:ascii="宋体"/>
                <w:vanish/>
              </w:rPr>
            </w:pPr>
          </w:p>
        </w:tc>
        <w:tc>
          <w:tcPr>
            <w:tcW w:w="0" w:type="auto"/>
            <w:gridSpan w:val="3"/>
            <w:shd w:val="clear" w:color="auto" w:fill="auto"/>
            <w:vAlign w:val="bottom"/>
          </w:tcPr>
          <w:p w14:paraId="64304FA1" w14:textId="77777777" w:rsidR="009F6D8A" w:rsidRDefault="009F6D8A">
            <w:pPr>
              <w:rPr>
                <w:rFonts w:ascii="宋体"/>
                <w:vanish/>
              </w:rPr>
            </w:pPr>
          </w:p>
        </w:tc>
        <w:tc>
          <w:tcPr>
            <w:tcW w:w="0" w:type="auto"/>
            <w:gridSpan w:val="3"/>
            <w:shd w:val="clear" w:color="auto" w:fill="auto"/>
            <w:vAlign w:val="bottom"/>
          </w:tcPr>
          <w:p w14:paraId="64304FA2" w14:textId="77777777" w:rsidR="009F6D8A" w:rsidRDefault="009F6D8A">
            <w:pPr>
              <w:rPr>
                <w:rFonts w:ascii="宋体"/>
                <w:vanish/>
              </w:rPr>
            </w:pPr>
          </w:p>
        </w:tc>
        <w:tc>
          <w:tcPr>
            <w:tcW w:w="0" w:type="auto"/>
            <w:gridSpan w:val="3"/>
            <w:shd w:val="clear" w:color="auto" w:fill="auto"/>
            <w:vAlign w:val="bottom"/>
          </w:tcPr>
          <w:p w14:paraId="64304FA3" w14:textId="77777777" w:rsidR="009F6D8A" w:rsidRDefault="009F6D8A">
            <w:pPr>
              <w:rPr>
                <w:rFonts w:ascii="宋体"/>
                <w:vanish/>
              </w:rPr>
            </w:pPr>
          </w:p>
        </w:tc>
        <w:tc>
          <w:tcPr>
            <w:tcW w:w="0" w:type="auto"/>
            <w:gridSpan w:val="3"/>
            <w:shd w:val="clear" w:color="auto" w:fill="auto"/>
            <w:vAlign w:val="bottom"/>
          </w:tcPr>
          <w:p w14:paraId="64304FA4" w14:textId="77777777" w:rsidR="009F6D8A" w:rsidRDefault="009F6D8A">
            <w:pPr>
              <w:rPr>
                <w:rFonts w:ascii="宋体"/>
                <w:vanish/>
              </w:rPr>
            </w:pPr>
          </w:p>
        </w:tc>
        <w:tc>
          <w:tcPr>
            <w:tcW w:w="0" w:type="auto"/>
            <w:gridSpan w:val="3"/>
            <w:shd w:val="clear" w:color="auto" w:fill="auto"/>
            <w:vAlign w:val="bottom"/>
          </w:tcPr>
          <w:p w14:paraId="64304FA5" w14:textId="77777777" w:rsidR="009F6D8A" w:rsidRDefault="009F6D8A">
            <w:pPr>
              <w:rPr>
                <w:rFonts w:ascii="宋体"/>
                <w:vanish/>
              </w:rPr>
            </w:pPr>
          </w:p>
        </w:tc>
        <w:tc>
          <w:tcPr>
            <w:tcW w:w="0" w:type="auto"/>
            <w:gridSpan w:val="3"/>
            <w:shd w:val="clear" w:color="auto" w:fill="auto"/>
            <w:vAlign w:val="bottom"/>
          </w:tcPr>
          <w:p w14:paraId="64304FA6" w14:textId="77777777" w:rsidR="009F6D8A" w:rsidRDefault="009F6D8A">
            <w:pPr>
              <w:rPr>
                <w:rFonts w:ascii="宋体"/>
                <w:vanish/>
              </w:rPr>
            </w:pPr>
          </w:p>
        </w:tc>
        <w:tc>
          <w:tcPr>
            <w:tcW w:w="0" w:type="auto"/>
            <w:gridSpan w:val="3"/>
            <w:shd w:val="clear" w:color="auto" w:fill="auto"/>
            <w:vAlign w:val="bottom"/>
          </w:tcPr>
          <w:p w14:paraId="64304FA7" w14:textId="77777777" w:rsidR="009F6D8A" w:rsidRDefault="009F6D8A">
            <w:pPr>
              <w:rPr>
                <w:rFonts w:ascii="宋体"/>
                <w:vanish/>
              </w:rPr>
            </w:pPr>
          </w:p>
        </w:tc>
        <w:tc>
          <w:tcPr>
            <w:tcW w:w="0" w:type="auto"/>
            <w:gridSpan w:val="3"/>
            <w:shd w:val="clear" w:color="auto" w:fill="auto"/>
            <w:vAlign w:val="bottom"/>
          </w:tcPr>
          <w:p w14:paraId="64304FA8" w14:textId="77777777" w:rsidR="009F6D8A" w:rsidRDefault="009F6D8A">
            <w:pPr>
              <w:rPr>
                <w:rFonts w:ascii="宋体"/>
                <w:vanish/>
              </w:rPr>
            </w:pPr>
          </w:p>
        </w:tc>
        <w:tc>
          <w:tcPr>
            <w:tcW w:w="0" w:type="auto"/>
            <w:gridSpan w:val="3"/>
            <w:shd w:val="clear" w:color="auto" w:fill="auto"/>
            <w:vAlign w:val="bottom"/>
          </w:tcPr>
          <w:p w14:paraId="64304FA9" w14:textId="77777777" w:rsidR="009F6D8A" w:rsidRDefault="009F6D8A">
            <w:pPr>
              <w:rPr>
                <w:rFonts w:ascii="宋体"/>
                <w:vanish/>
              </w:rPr>
            </w:pPr>
          </w:p>
        </w:tc>
        <w:tc>
          <w:tcPr>
            <w:tcW w:w="0" w:type="auto"/>
            <w:gridSpan w:val="3"/>
            <w:shd w:val="clear" w:color="auto" w:fill="auto"/>
            <w:vAlign w:val="bottom"/>
          </w:tcPr>
          <w:p w14:paraId="64304FAA" w14:textId="77777777" w:rsidR="009F6D8A" w:rsidRDefault="009F6D8A">
            <w:pPr>
              <w:rPr>
                <w:rFonts w:ascii="宋体"/>
                <w:vanish/>
              </w:rPr>
            </w:pPr>
          </w:p>
        </w:tc>
        <w:tc>
          <w:tcPr>
            <w:tcW w:w="0" w:type="auto"/>
            <w:gridSpan w:val="3"/>
            <w:shd w:val="clear" w:color="auto" w:fill="auto"/>
            <w:vAlign w:val="bottom"/>
          </w:tcPr>
          <w:p w14:paraId="64304FAB" w14:textId="77777777" w:rsidR="009F6D8A" w:rsidRDefault="009F6D8A">
            <w:pPr>
              <w:rPr>
                <w:rFonts w:ascii="宋体"/>
                <w:vanish/>
              </w:rPr>
            </w:pPr>
          </w:p>
        </w:tc>
        <w:tc>
          <w:tcPr>
            <w:tcW w:w="0" w:type="auto"/>
            <w:gridSpan w:val="3"/>
            <w:shd w:val="clear" w:color="auto" w:fill="auto"/>
            <w:vAlign w:val="bottom"/>
          </w:tcPr>
          <w:p w14:paraId="64304FAC" w14:textId="77777777" w:rsidR="009F6D8A" w:rsidRDefault="009F6D8A">
            <w:pPr>
              <w:rPr>
                <w:rFonts w:ascii="宋体"/>
                <w:vanish/>
              </w:rPr>
            </w:pPr>
          </w:p>
        </w:tc>
        <w:tc>
          <w:tcPr>
            <w:tcW w:w="0" w:type="auto"/>
            <w:gridSpan w:val="3"/>
            <w:shd w:val="clear" w:color="auto" w:fill="auto"/>
            <w:vAlign w:val="bottom"/>
          </w:tcPr>
          <w:p w14:paraId="64304FAD" w14:textId="77777777" w:rsidR="009F6D8A" w:rsidRDefault="009F6D8A">
            <w:pPr>
              <w:rPr>
                <w:rFonts w:ascii="宋体"/>
                <w:vanish/>
              </w:rPr>
            </w:pPr>
          </w:p>
        </w:tc>
        <w:tc>
          <w:tcPr>
            <w:tcW w:w="0" w:type="auto"/>
            <w:gridSpan w:val="3"/>
            <w:shd w:val="clear" w:color="auto" w:fill="auto"/>
            <w:vAlign w:val="bottom"/>
          </w:tcPr>
          <w:p w14:paraId="64304FAE" w14:textId="77777777" w:rsidR="009F6D8A" w:rsidRDefault="009F6D8A">
            <w:pPr>
              <w:rPr>
                <w:rFonts w:ascii="宋体"/>
                <w:vanish/>
              </w:rPr>
            </w:pPr>
          </w:p>
        </w:tc>
      </w:tr>
      <w:tr w:rsidR="009F6D8A" w14:paraId="64304FC0" w14:textId="77777777">
        <w:trPr>
          <w:hidden/>
        </w:trPr>
        <w:tc>
          <w:tcPr>
            <w:tcW w:w="0" w:type="auto"/>
            <w:gridSpan w:val="3"/>
            <w:shd w:val="clear" w:color="auto" w:fill="auto"/>
            <w:vAlign w:val="bottom"/>
          </w:tcPr>
          <w:p w14:paraId="64304FB0" w14:textId="77777777" w:rsidR="009F6D8A" w:rsidRDefault="009F6D8A">
            <w:pPr>
              <w:rPr>
                <w:rFonts w:ascii="宋体"/>
                <w:vanish/>
              </w:rPr>
            </w:pPr>
          </w:p>
        </w:tc>
        <w:tc>
          <w:tcPr>
            <w:tcW w:w="0" w:type="auto"/>
            <w:gridSpan w:val="3"/>
            <w:shd w:val="clear" w:color="auto" w:fill="auto"/>
            <w:vAlign w:val="bottom"/>
          </w:tcPr>
          <w:p w14:paraId="64304FB1" w14:textId="77777777" w:rsidR="009F6D8A" w:rsidRDefault="009F6D8A">
            <w:pPr>
              <w:rPr>
                <w:rFonts w:ascii="宋体"/>
                <w:vanish/>
              </w:rPr>
            </w:pPr>
          </w:p>
        </w:tc>
        <w:tc>
          <w:tcPr>
            <w:tcW w:w="0" w:type="auto"/>
            <w:gridSpan w:val="3"/>
            <w:shd w:val="clear" w:color="auto" w:fill="auto"/>
            <w:vAlign w:val="bottom"/>
          </w:tcPr>
          <w:p w14:paraId="64304FB2" w14:textId="77777777" w:rsidR="009F6D8A" w:rsidRDefault="009F6D8A">
            <w:pPr>
              <w:rPr>
                <w:rFonts w:ascii="宋体"/>
                <w:vanish/>
              </w:rPr>
            </w:pPr>
          </w:p>
        </w:tc>
        <w:tc>
          <w:tcPr>
            <w:tcW w:w="0" w:type="auto"/>
            <w:gridSpan w:val="3"/>
            <w:shd w:val="clear" w:color="auto" w:fill="auto"/>
            <w:vAlign w:val="bottom"/>
          </w:tcPr>
          <w:p w14:paraId="64304FB3" w14:textId="77777777" w:rsidR="009F6D8A" w:rsidRDefault="009F6D8A">
            <w:pPr>
              <w:rPr>
                <w:rFonts w:ascii="宋体"/>
                <w:vanish/>
              </w:rPr>
            </w:pPr>
          </w:p>
        </w:tc>
        <w:tc>
          <w:tcPr>
            <w:tcW w:w="0" w:type="auto"/>
            <w:gridSpan w:val="3"/>
            <w:shd w:val="clear" w:color="auto" w:fill="auto"/>
            <w:vAlign w:val="bottom"/>
          </w:tcPr>
          <w:p w14:paraId="64304FB4" w14:textId="77777777" w:rsidR="009F6D8A" w:rsidRDefault="009F6D8A">
            <w:pPr>
              <w:rPr>
                <w:rFonts w:ascii="宋体"/>
                <w:vanish/>
              </w:rPr>
            </w:pPr>
          </w:p>
        </w:tc>
        <w:tc>
          <w:tcPr>
            <w:tcW w:w="0" w:type="auto"/>
            <w:gridSpan w:val="3"/>
            <w:shd w:val="clear" w:color="auto" w:fill="auto"/>
            <w:vAlign w:val="bottom"/>
          </w:tcPr>
          <w:p w14:paraId="64304FB5" w14:textId="77777777" w:rsidR="009F6D8A" w:rsidRDefault="009F6D8A">
            <w:pPr>
              <w:rPr>
                <w:rFonts w:ascii="宋体"/>
                <w:vanish/>
              </w:rPr>
            </w:pPr>
          </w:p>
        </w:tc>
        <w:tc>
          <w:tcPr>
            <w:tcW w:w="0" w:type="auto"/>
            <w:gridSpan w:val="3"/>
            <w:shd w:val="clear" w:color="auto" w:fill="auto"/>
            <w:vAlign w:val="bottom"/>
          </w:tcPr>
          <w:p w14:paraId="64304FB6" w14:textId="77777777" w:rsidR="009F6D8A" w:rsidRDefault="009F6D8A">
            <w:pPr>
              <w:rPr>
                <w:rFonts w:ascii="宋体"/>
                <w:vanish/>
              </w:rPr>
            </w:pPr>
          </w:p>
        </w:tc>
        <w:tc>
          <w:tcPr>
            <w:tcW w:w="0" w:type="auto"/>
            <w:gridSpan w:val="3"/>
            <w:shd w:val="clear" w:color="auto" w:fill="auto"/>
            <w:vAlign w:val="bottom"/>
          </w:tcPr>
          <w:p w14:paraId="64304FB7" w14:textId="77777777" w:rsidR="009F6D8A" w:rsidRDefault="009F6D8A">
            <w:pPr>
              <w:rPr>
                <w:rFonts w:ascii="宋体"/>
                <w:vanish/>
              </w:rPr>
            </w:pPr>
          </w:p>
        </w:tc>
        <w:tc>
          <w:tcPr>
            <w:tcW w:w="0" w:type="auto"/>
            <w:gridSpan w:val="3"/>
            <w:shd w:val="clear" w:color="auto" w:fill="auto"/>
            <w:vAlign w:val="bottom"/>
          </w:tcPr>
          <w:p w14:paraId="64304FB8" w14:textId="77777777" w:rsidR="009F6D8A" w:rsidRDefault="009F6D8A">
            <w:pPr>
              <w:rPr>
                <w:rFonts w:ascii="宋体"/>
                <w:vanish/>
              </w:rPr>
            </w:pPr>
          </w:p>
        </w:tc>
        <w:tc>
          <w:tcPr>
            <w:tcW w:w="0" w:type="auto"/>
            <w:gridSpan w:val="3"/>
            <w:shd w:val="clear" w:color="auto" w:fill="auto"/>
            <w:vAlign w:val="bottom"/>
          </w:tcPr>
          <w:p w14:paraId="64304FB9" w14:textId="77777777" w:rsidR="009F6D8A" w:rsidRDefault="009F6D8A">
            <w:pPr>
              <w:rPr>
                <w:rFonts w:ascii="宋体"/>
                <w:vanish/>
              </w:rPr>
            </w:pPr>
          </w:p>
        </w:tc>
        <w:tc>
          <w:tcPr>
            <w:tcW w:w="0" w:type="auto"/>
            <w:gridSpan w:val="3"/>
            <w:shd w:val="clear" w:color="auto" w:fill="auto"/>
            <w:vAlign w:val="bottom"/>
          </w:tcPr>
          <w:p w14:paraId="64304FBA" w14:textId="77777777" w:rsidR="009F6D8A" w:rsidRDefault="009F6D8A">
            <w:pPr>
              <w:rPr>
                <w:rFonts w:ascii="宋体"/>
                <w:vanish/>
              </w:rPr>
            </w:pPr>
          </w:p>
        </w:tc>
        <w:tc>
          <w:tcPr>
            <w:tcW w:w="0" w:type="auto"/>
            <w:gridSpan w:val="3"/>
            <w:shd w:val="clear" w:color="auto" w:fill="auto"/>
            <w:vAlign w:val="bottom"/>
          </w:tcPr>
          <w:p w14:paraId="64304FBB" w14:textId="77777777" w:rsidR="009F6D8A" w:rsidRDefault="009F6D8A">
            <w:pPr>
              <w:rPr>
                <w:rFonts w:ascii="宋体"/>
                <w:vanish/>
              </w:rPr>
            </w:pPr>
          </w:p>
        </w:tc>
        <w:tc>
          <w:tcPr>
            <w:tcW w:w="0" w:type="auto"/>
            <w:gridSpan w:val="3"/>
            <w:shd w:val="clear" w:color="auto" w:fill="auto"/>
            <w:vAlign w:val="bottom"/>
          </w:tcPr>
          <w:p w14:paraId="64304FBC" w14:textId="77777777" w:rsidR="009F6D8A" w:rsidRDefault="009F6D8A">
            <w:pPr>
              <w:rPr>
                <w:rFonts w:ascii="宋体"/>
                <w:vanish/>
              </w:rPr>
            </w:pPr>
          </w:p>
        </w:tc>
        <w:tc>
          <w:tcPr>
            <w:tcW w:w="0" w:type="auto"/>
            <w:gridSpan w:val="3"/>
            <w:shd w:val="clear" w:color="auto" w:fill="auto"/>
            <w:vAlign w:val="bottom"/>
          </w:tcPr>
          <w:p w14:paraId="64304FBD" w14:textId="77777777" w:rsidR="009F6D8A" w:rsidRDefault="009F6D8A">
            <w:pPr>
              <w:rPr>
                <w:rFonts w:ascii="宋体"/>
                <w:vanish/>
              </w:rPr>
            </w:pPr>
          </w:p>
        </w:tc>
        <w:tc>
          <w:tcPr>
            <w:tcW w:w="0" w:type="auto"/>
            <w:gridSpan w:val="3"/>
            <w:shd w:val="clear" w:color="auto" w:fill="auto"/>
            <w:vAlign w:val="bottom"/>
          </w:tcPr>
          <w:p w14:paraId="64304FBE" w14:textId="77777777" w:rsidR="009F6D8A" w:rsidRDefault="009F6D8A">
            <w:pPr>
              <w:rPr>
                <w:rFonts w:ascii="宋体"/>
                <w:vanish/>
              </w:rPr>
            </w:pPr>
          </w:p>
        </w:tc>
        <w:tc>
          <w:tcPr>
            <w:tcW w:w="0" w:type="auto"/>
            <w:gridSpan w:val="3"/>
            <w:shd w:val="clear" w:color="auto" w:fill="auto"/>
            <w:vAlign w:val="bottom"/>
          </w:tcPr>
          <w:p w14:paraId="64304FBF" w14:textId="77777777" w:rsidR="009F6D8A" w:rsidRDefault="009F6D8A">
            <w:pPr>
              <w:rPr>
                <w:rFonts w:ascii="宋体"/>
                <w:vanish/>
              </w:rPr>
            </w:pPr>
          </w:p>
        </w:tc>
      </w:tr>
      <w:tr w:rsidR="009F6D8A" w14:paraId="64304FD1" w14:textId="77777777">
        <w:trPr>
          <w:hidden/>
        </w:trPr>
        <w:tc>
          <w:tcPr>
            <w:tcW w:w="0" w:type="auto"/>
            <w:gridSpan w:val="3"/>
            <w:shd w:val="clear" w:color="auto" w:fill="auto"/>
            <w:vAlign w:val="bottom"/>
          </w:tcPr>
          <w:p w14:paraId="64304FC1" w14:textId="77777777" w:rsidR="009F6D8A" w:rsidRDefault="009F6D8A">
            <w:pPr>
              <w:rPr>
                <w:rFonts w:ascii="宋体"/>
                <w:vanish/>
              </w:rPr>
            </w:pPr>
          </w:p>
        </w:tc>
        <w:tc>
          <w:tcPr>
            <w:tcW w:w="0" w:type="auto"/>
            <w:gridSpan w:val="3"/>
            <w:shd w:val="clear" w:color="auto" w:fill="auto"/>
            <w:vAlign w:val="bottom"/>
          </w:tcPr>
          <w:p w14:paraId="64304FC2" w14:textId="77777777" w:rsidR="009F6D8A" w:rsidRDefault="009F6D8A">
            <w:pPr>
              <w:rPr>
                <w:rFonts w:ascii="宋体"/>
                <w:vanish/>
              </w:rPr>
            </w:pPr>
          </w:p>
        </w:tc>
        <w:tc>
          <w:tcPr>
            <w:tcW w:w="0" w:type="auto"/>
            <w:gridSpan w:val="3"/>
            <w:shd w:val="clear" w:color="auto" w:fill="auto"/>
            <w:vAlign w:val="bottom"/>
          </w:tcPr>
          <w:p w14:paraId="64304FC3" w14:textId="77777777" w:rsidR="009F6D8A" w:rsidRDefault="009F6D8A">
            <w:pPr>
              <w:rPr>
                <w:rFonts w:ascii="宋体"/>
                <w:vanish/>
              </w:rPr>
            </w:pPr>
          </w:p>
        </w:tc>
        <w:tc>
          <w:tcPr>
            <w:tcW w:w="0" w:type="auto"/>
            <w:gridSpan w:val="3"/>
            <w:shd w:val="clear" w:color="auto" w:fill="auto"/>
            <w:vAlign w:val="bottom"/>
          </w:tcPr>
          <w:p w14:paraId="64304FC4" w14:textId="77777777" w:rsidR="009F6D8A" w:rsidRDefault="009F6D8A">
            <w:pPr>
              <w:rPr>
                <w:rFonts w:ascii="宋体"/>
                <w:vanish/>
              </w:rPr>
            </w:pPr>
          </w:p>
        </w:tc>
        <w:tc>
          <w:tcPr>
            <w:tcW w:w="0" w:type="auto"/>
            <w:gridSpan w:val="3"/>
            <w:shd w:val="clear" w:color="auto" w:fill="auto"/>
            <w:vAlign w:val="bottom"/>
          </w:tcPr>
          <w:p w14:paraId="64304FC5" w14:textId="77777777" w:rsidR="009F6D8A" w:rsidRDefault="009F6D8A">
            <w:pPr>
              <w:rPr>
                <w:rFonts w:ascii="宋体"/>
                <w:vanish/>
              </w:rPr>
            </w:pPr>
          </w:p>
        </w:tc>
        <w:tc>
          <w:tcPr>
            <w:tcW w:w="0" w:type="auto"/>
            <w:gridSpan w:val="3"/>
            <w:shd w:val="clear" w:color="auto" w:fill="auto"/>
            <w:vAlign w:val="bottom"/>
          </w:tcPr>
          <w:p w14:paraId="64304FC6" w14:textId="77777777" w:rsidR="009F6D8A" w:rsidRDefault="009F6D8A">
            <w:pPr>
              <w:rPr>
                <w:rFonts w:ascii="宋体"/>
                <w:vanish/>
              </w:rPr>
            </w:pPr>
          </w:p>
        </w:tc>
        <w:tc>
          <w:tcPr>
            <w:tcW w:w="0" w:type="auto"/>
            <w:gridSpan w:val="3"/>
            <w:shd w:val="clear" w:color="auto" w:fill="auto"/>
            <w:vAlign w:val="bottom"/>
          </w:tcPr>
          <w:p w14:paraId="64304FC7" w14:textId="77777777" w:rsidR="009F6D8A" w:rsidRDefault="009F6D8A">
            <w:pPr>
              <w:rPr>
                <w:rFonts w:ascii="宋体"/>
                <w:vanish/>
              </w:rPr>
            </w:pPr>
          </w:p>
        </w:tc>
        <w:tc>
          <w:tcPr>
            <w:tcW w:w="0" w:type="auto"/>
            <w:gridSpan w:val="3"/>
            <w:shd w:val="clear" w:color="auto" w:fill="auto"/>
            <w:vAlign w:val="bottom"/>
          </w:tcPr>
          <w:p w14:paraId="64304FC8" w14:textId="77777777" w:rsidR="009F6D8A" w:rsidRDefault="009F6D8A">
            <w:pPr>
              <w:rPr>
                <w:rFonts w:ascii="宋体"/>
                <w:vanish/>
              </w:rPr>
            </w:pPr>
          </w:p>
        </w:tc>
        <w:tc>
          <w:tcPr>
            <w:tcW w:w="0" w:type="auto"/>
            <w:gridSpan w:val="3"/>
            <w:shd w:val="clear" w:color="auto" w:fill="auto"/>
            <w:vAlign w:val="bottom"/>
          </w:tcPr>
          <w:p w14:paraId="64304FC9" w14:textId="77777777" w:rsidR="009F6D8A" w:rsidRDefault="009F6D8A">
            <w:pPr>
              <w:rPr>
                <w:rFonts w:ascii="宋体"/>
                <w:vanish/>
              </w:rPr>
            </w:pPr>
          </w:p>
        </w:tc>
        <w:tc>
          <w:tcPr>
            <w:tcW w:w="0" w:type="auto"/>
            <w:gridSpan w:val="3"/>
            <w:shd w:val="clear" w:color="auto" w:fill="auto"/>
            <w:vAlign w:val="bottom"/>
          </w:tcPr>
          <w:p w14:paraId="64304FCA" w14:textId="77777777" w:rsidR="009F6D8A" w:rsidRDefault="009F6D8A">
            <w:pPr>
              <w:rPr>
                <w:rFonts w:ascii="宋体"/>
                <w:vanish/>
              </w:rPr>
            </w:pPr>
          </w:p>
        </w:tc>
        <w:tc>
          <w:tcPr>
            <w:tcW w:w="0" w:type="auto"/>
            <w:gridSpan w:val="3"/>
            <w:shd w:val="clear" w:color="auto" w:fill="auto"/>
            <w:vAlign w:val="bottom"/>
          </w:tcPr>
          <w:p w14:paraId="64304FCB" w14:textId="77777777" w:rsidR="009F6D8A" w:rsidRDefault="009F6D8A">
            <w:pPr>
              <w:rPr>
                <w:rFonts w:ascii="宋体"/>
                <w:vanish/>
              </w:rPr>
            </w:pPr>
          </w:p>
        </w:tc>
        <w:tc>
          <w:tcPr>
            <w:tcW w:w="0" w:type="auto"/>
            <w:gridSpan w:val="3"/>
            <w:shd w:val="clear" w:color="auto" w:fill="auto"/>
            <w:vAlign w:val="bottom"/>
          </w:tcPr>
          <w:p w14:paraId="64304FCC" w14:textId="77777777" w:rsidR="009F6D8A" w:rsidRDefault="009F6D8A">
            <w:pPr>
              <w:rPr>
                <w:rFonts w:ascii="宋体"/>
                <w:vanish/>
              </w:rPr>
            </w:pPr>
          </w:p>
        </w:tc>
        <w:tc>
          <w:tcPr>
            <w:tcW w:w="0" w:type="auto"/>
            <w:gridSpan w:val="3"/>
            <w:shd w:val="clear" w:color="auto" w:fill="auto"/>
            <w:vAlign w:val="bottom"/>
          </w:tcPr>
          <w:p w14:paraId="64304FCD" w14:textId="77777777" w:rsidR="009F6D8A" w:rsidRDefault="009F6D8A">
            <w:pPr>
              <w:rPr>
                <w:rFonts w:ascii="宋体"/>
                <w:vanish/>
              </w:rPr>
            </w:pPr>
          </w:p>
        </w:tc>
        <w:tc>
          <w:tcPr>
            <w:tcW w:w="0" w:type="auto"/>
            <w:gridSpan w:val="3"/>
            <w:shd w:val="clear" w:color="auto" w:fill="auto"/>
            <w:vAlign w:val="bottom"/>
          </w:tcPr>
          <w:p w14:paraId="64304FCE" w14:textId="77777777" w:rsidR="009F6D8A" w:rsidRDefault="009F6D8A">
            <w:pPr>
              <w:rPr>
                <w:rFonts w:ascii="宋体"/>
                <w:vanish/>
              </w:rPr>
            </w:pPr>
          </w:p>
        </w:tc>
        <w:tc>
          <w:tcPr>
            <w:tcW w:w="0" w:type="auto"/>
            <w:gridSpan w:val="3"/>
            <w:shd w:val="clear" w:color="auto" w:fill="auto"/>
            <w:vAlign w:val="bottom"/>
          </w:tcPr>
          <w:p w14:paraId="64304FCF" w14:textId="77777777" w:rsidR="009F6D8A" w:rsidRDefault="009F6D8A">
            <w:pPr>
              <w:rPr>
                <w:rFonts w:ascii="宋体"/>
                <w:vanish/>
              </w:rPr>
            </w:pPr>
          </w:p>
        </w:tc>
        <w:tc>
          <w:tcPr>
            <w:tcW w:w="0" w:type="auto"/>
            <w:gridSpan w:val="3"/>
            <w:shd w:val="clear" w:color="auto" w:fill="auto"/>
            <w:vAlign w:val="bottom"/>
          </w:tcPr>
          <w:p w14:paraId="64304FD0" w14:textId="77777777" w:rsidR="009F6D8A" w:rsidRDefault="009F6D8A">
            <w:pPr>
              <w:rPr>
                <w:rFonts w:ascii="宋体"/>
                <w:vanish/>
              </w:rPr>
            </w:pPr>
          </w:p>
        </w:tc>
      </w:tr>
      <w:tr w:rsidR="009F6D8A" w14:paraId="64304FE2" w14:textId="77777777">
        <w:trPr>
          <w:hidden/>
        </w:trPr>
        <w:tc>
          <w:tcPr>
            <w:tcW w:w="0" w:type="auto"/>
            <w:gridSpan w:val="3"/>
            <w:shd w:val="clear" w:color="auto" w:fill="auto"/>
            <w:vAlign w:val="bottom"/>
          </w:tcPr>
          <w:p w14:paraId="64304FD2" w14:textId="77777777" w:rsidR="009F6D8A" w:rsidRDefault="009F6D8A">
            <w:pPr>
              <w:rPr>
                <w:rFonts w:ascii="宋体"/>
                <w:vanish/>
              </w:rPr>
            </w:pPr>
          </w:p>
        </w:tc>
        <w:tc>
          <w:tcPr>
            <w:tcW w:w="0" w:type="auto"/>
            <w:gridSpan w:val="3"/>
            <w:shd w:val="clear" w:color="auto" w:fill="auto"/>
            <w:vAlign w:val="bottom"/>
          </w:tcPr>
          <w:p w14:paraId="64304FD3" w14:textId="77777777" w:rsidR="009F6D8A" w:rsidRDefault="009F6D8A">
            <w:pPr>
              <w:rPr>
                <w:rFonts w:ascii="宋体"/>
                <w:vanish/>
              </w:rPr>
            </w:pPr>
          </w:p>
        </w:tc>
        <w:tc>
          <w:tcPr>
            <w:tcW w:w="0" w:type="auto"/>
            <w:gridSpan w:val="3"/>
            <w:shd w:val="clear" w:color="auto" w:fill="auto"/>
            <w:vAlign w:val="bottom"/>
          </w:tcPr>
          <w:p w14:paraId="64304FD4" w14:textId="77777777" w:rsidR="009F6D8A" w:rsidRDefault="009F6D8A">
            <w:pPr>
              <w:rPr>
                <w:rFonts w:ascii="宋体"/>
                <w:vanish/>
              </w:rPr>
            </w:pPr>
          </w:p>
        </w:tc>
        <w:tc>
          <w:tcPr>
            <w:tcW w:w="0" w:type="auto"/>
            <w:gridSpan w:val="3"/>
            <w:shd w:val="clear" w:color="auto" w:fill="auto"/>
            <w:vAlign w:val="bottom"/>
          </w:tcPr>
          <w:p w14:paraId="64304FD5" w14:textId="77777777" w:rsidR="009F6D8A" w:rsidRDefault="009F6D8A">
            <w:pPr>
              <w:rPr>
                <w:rFonts w:ascii="宋体"/>
                <w:vanish/>
              </w:rPr>
            </w:pPr>
          </w:p>
        </w:tc>
        <w:tc>
          <w:tcPr>
            <w:tcW w:w="0" w:type="auto"/>
            <w:gridSpan w:val="3"/>
            <w:shd w:val="clear" w:color="auto" w:fill="auto"/>
            <w:vAlign w:val="bottom"/>
          </w:tcPr>
          <w:p w14:paraId="64304FD6" w14:textId="77777777" w:rsidR="009F6D8A" w:rsidRDefault="009F6D8A">
            <w:pPr>
              <w:rPr>
                <w:rFonts w:ascii="宋体"/>
                <w:vanish/>
              </w:rPr>
            </w:pPr>
          </w:p>
        </w:tc>
        <w:tc>
          <w:tcPr>
            <w:tcW w:w="0" w:type="auto"/>
            <w:gridSpan w:val="3"/>
            <w:shd w:val="clear" w:color="auto" w:fill="auto"/>
            <w:vAlign w:val="bottom"/>
          </w:tcPr>
          <w:p w14:paraId="64304FD7" w14:textId="77777777" w:rsidR="009F6D8A" w:rsidRDefault="009F6D8A">
            <w:pPr>
              <w:rPr>
                <w:rFonts w:ascii="宋体"/>
                <w:vanish/>
              </w:rPr>
            </w:pPr>
          </w:p>
        </w:tc>
        <w:tc>
          <w:tcPr>
            <w:tcW w:w="0" w:type="auto"/>
            <w:gridSpan w:val="3"/>
            <w:shd w:val="clear" w:color="auto" w:fill="auto"/>
            <w:vAlign w:val="bottom"/>
          </w:tcPr>
          <w:p w14:paraId="64304FD8" w14:textId="77777777" w:rsidR="009F6D8A" w:rsidRDefault="009F6D8A">
            <w:pPr>
              <w:rPr>
                <w:rFonts w:ascii="宋体"/>
                <w:vanish/>
              </w:rPr>
            </w:pPr>
          </w:p>
        </w:tc>
        <w:tc>
          <w:tcPr>
            <w:tcW w:w="0" w:type="auto"/>
            <w:gridSpan w:val="3"/>
            <w:shd w:val="clear" w:color="auto" w:fill="auto"/>
            <w:vAlign w:val="bottom"/>
          </w:tcPr>
          <w:p w14:paraId="64304FD9" w14:textId="77777777" w:rsidR="009F6D8A" w:rsidRDefault="009F6D8A">
            <w:pPr>
              <w:rPr>
                <w:rFonts w:ascii="宋体"/>
                <w:vanish/>
              </w:rPr>
            </w:pPr>
          </w:p>
        </w:tc>
        <w:tc>
          <w:tcPr>
            <w:tcW w:w="0" w:type="auto"/>
            <w:gridSpan w:val="3"/>
            <w:shd w:val="clear" w:color="auto" w:fill="auto"/>
            <w:vAlign w:val="bottom"/>
          </w:tcPr>
          <w:p w14:paraId="64304FDA" w14:textId="77777777" w:rsidR="009F6D8A" w:rsidRDefault="009F6D8A">
            <w:pPr>
              <w:rPr>
                <w:rFonts w:ascii="宋体"/>
                <w:vanish/>
              </w:rPr>
            </w:pPr>
          </w:p>
        </w:tc>
        <w:tc>
          <w:tcPr>
            <w:tcW w:w="0" w:type="auto"/>
            <w:gridSpan w:val="3"/>
            <w:shd w:val="clear" w:color="auto" w:fill="auto"/>
            <w:vAlign w:val="bottom"/>
          </w:tcPr>
          <w:p w14:paraId="64304FDB" w14:textId="77777777" w:rsidR="009F6D8A" w:rsidRDefault="009F6D8A">
            <w:pPr>
              <w:rPr>
                <w:rFonts w:ascii="宋体"/>
                <w:vanish/>
              </w:rPr>
            </w:pPr>
          </w:p>
        </w:tc>
        <w:tc>
          <w:tcPr>
            <w:tcW w:w="0" w:type="auto"/>
            <w:gridSpan w:val="3"/>
            <w:shd w:val="clear" w:color="auto" w:fill="auto"/>
            <w:vAlign w:val="bottom"/>
          </w:tcPr>
          <w:p w14:paraId="64304FDC" w14:textId="77777777" w:rsidR="009F6D8A" w:rsidRDefault="009F6D8A">
            <w:pPr>
              <w:rPr>
                <w:rFonts w:ascii="宋体"/>
                <w:vanish/>
              </w:rPr>
            </w:pPr>
          </w:p>
        </w:tc>
        <w:tc>
          <w:tcPr>
            <w:tcW w:w="0" w:type="auto"/>
            <w:gridSpan w:val="3"/>
            <w:shd w:val="clear" w:color="auto" w:fill="auto"/>
            <w:vAlign w:val="bottom"/>
          </w:tcPr>
          <w:p w14:paraId="64304FDD" w14:textId="77777777" w:rsidR="009F6D8A" w:rsidRDefault="009F6D8A">
            <w:pPr>
              <w:rPr>
                <w:rFonts w:ascii="宋体"/>
                <w:vanish/>
              </w:rPr>
            </w:pPr>
          </w:p>
        </w:tc>
        <w:tc>
          <w:tcPr>
            <w:tcW w:w="0" w:type="auto"/>
            <w:gridSpan w:val="3"/>
            <w:shd w:val="clear" w:color="auto" w:fill="auto"/>
            <w:vAlign w:val="bottom"/>
          </w:tcPr>
          <w:p w14:paraId="64304FDE" w14:textId="77777777" w:rsidR="009F6D8A" w:rsidRDefault="009F6D8A">
            <w:pPr>
              <w:rPr>
                <w:rFonts w:ascii="宋体"/>
                <w:vanish/>
              </w:rPr>
            </w:pPr>
          </w:p>
        </w:tc>
        <w:tc>
          <w:tcPr>
            <w:tcW w:w="0" w:type="auto"/>
            <w:gridSpan w:val="3"/>
            <w:shd w:val="clear" w:color="auto" w:fill="auto"/>
            <w:vAlign w:val="bottom"/>
          </w:tcPr>
          <w:p w14:paraId="64304FDF" w14:textId="77777777" w:rsidR="009F6D8A" w:rsidRDefault="009F6D8A">
            <w:pPr>
              <w:rPr>
                <w:rFonts w:ascii="宋体"/>
                <w:vanish/>
              </w:rPr>
            </w:pPr>
          </w:p>
        </w:tc>
        <w:tc>
          <w:tcPr>
            <w:tcW w:w="0" w:type="auto"/>
            <w:gridSpan w:val="3"/>
            <w:shd w:val="clear" w:color="auto" w:fill="auto"/>
            <w:vAlign w:val="bottom"/>
          </w:tcPr>
          <w:p w14:paraId="64304FE0" w14:textId="77777777" w:rsidR="009F6D8A" w:rsidRDefault="009F6D8A">
            <w:pPr>
              <w:rPr>
                <w:rFonts w:ascii="宋体"/>
                <w:vanish/>
              </w:rPr>
            </w:pPr>
          </w:p>
        </w:tc>
        <w:tc>
          <w:tcPr>
            <w:tcW w:w="0" w:type="auto"/>
            <w:gridSpan w:val="3"/>
            <w:shd w:val="clear" w:color="auto" w:fill="auto"/>
            <w:vAlign w:val="bottom"/>
          </w:tcPr>
          <w:p w14:paraId="64304FE1" w14:textId="77777777" w:rsidR="009F6D8A" w:rsidRDefault="009F6D8A">
            <w:pPr>
              <w:rPr>
                <w:rFonts w:ascii="宋体"/>
                <w:vanish/>
              </w:rPr>
            </w:pPr>
          </w:p>
        </w:tc>
      </w:tr>
    </w:tbl>
    <w:p w14:paraId="64304FE3" w14:textId="77777777" w:rsidR="009F6D8A" w:rsidRDefault="009F6D8A">
      <w:pPr>
        <w:ind w:firstLine="540"/>
        <w:jc w:val="both"/>
      </w:pPr>
    </w:p>
    <w:p w14:paraId="64304FE4" w14:textId="77777777" w:rsidR="009F6D8A" w:rsidRDefault="00C50974">
      <w:pPr>
        <w:ind w:firstLine="540"/>
        <w:jc w:val="both"/>
      </w:pPr>
      <w:r>
        <w:rPr>
          <w:rFonts w:ascii="Arial" w:eastAsia="宋体" w:hAnsi="Arial" w:cs="Arial"/>
          <w:color w:val="000000"/>
          <w:sz w:val="20"/>
          <w:szCs w:val="20"/>
        </w:rPr>
        <w:t xml:space="preserve">The increase in MS&amp;O revenues during the three and six months ended June 30, 2021 compared to the same </w:t>
      </w:r>
      <w:r>
        <w:rPr>
          <w:rFonts w:ascii="Arial" w:eastAsia="宋体" w:hAnsi="Arial" w:cs="Arial"/>
          <w:color w:val="000000"/>
          <w:sz w:val="20"/>
          <w:szCs w:val="20"/>
        </w:rPr>
        <w:t xml:space="preserve">periods in 2020 was primarily attributable to an increase in revenues from revenue sharing agreements for shipping arrangements. The increase for the six months ended June 30, 2021 compared to the same periods in 2020 was partially offset by a decrease in </w:t>
      </w:r>
      <w:r>
        <w:rPr>
          <w:rFonts w:ascii="Arial" w:eastAsia="宋体" w:hAnsi="Arial" w:cs="Arial"/>
          <w:color w:val="000000"/>
          <w:sz w:val="20"/>
          <w:szCs w:val="20"/>
        </w:rPr>
        <w:t>advertising revenues.</w:t>
      </w:r>
    </w:p>
    <w:p w14:paraId="64304FE5" w14:textId="77777777" w:rsidR="009F6D8A" w:rsidRDefault="009F6D8A">
      <w:pPr>
        <w:ind w:firstLine="540"/>
        <w:jc w:val="both"/>
      </w:pPr>
    </w:p>
    <w:p w14:paraId="64304FE6" w14:textId="77777777" w:rsidR="009F6D8A" w:rsidRDefault="009F6D8A">
      <w:pPr>
        <w:jc w:val="center"/>
      </w:pPr>
    </w:p>
    <w:p w14:paraId="64304FE7" w14:textId="77777777" w:rsidR="009F6D8A" w:rsidRDefault="00C50974">
      <w:pPr>
        <w:jc w:val="center"/>
      </w:pPr>
      <w:r>
        <w:rPr>
          <w:rFonts w:ascii="Arial" w:eastAsia="宋体" w:hAnsi="Arial" w:cs="Arial"/>
          <w:color w:val="000000"/>
          <w:sz w:val="20"/>
          <w:szCs w:val="20"/>
        </w:rPr>
        <w:t>42</w:t>
      </w:r>
    </w:p>
    <w:p w14:paraId="64304FE8" w14:textId="77777777" w:rsidR="009F6D8A" w:rsidRDefault="00C50974">
      <w:r>
        <w:pict w14:anchorId="6430582D">
          <v:rect id="_x0000_i1066" style="width:415.3pt;height:1.5pt" o:hralign="center" o:hrstd="t" o:hr="t" fillcolor="#a0a0a0" stroked="f"/>
        </w:pict>
      </w:r>
    </w:p>
    <w:p w14:paraId="64304FE9" w14:textId="77777777" w:rsidR="009F6D8A" w:rsidRDefault="009F6D8A"/>
    <w:p w14:paraId="64304FEA" w14:textId="77777777" w:rsidR="009F6D8A" w:rsidRDefault="00C50974">
      <w:pPr>
        <w:jc w:val="both"/>
      </w:pPr>
      <w:r>
        <w:rPr>
          <w:rFonts w:ascii="Arial" w:eastAsia="宋体" w:hAnsi="Arial" w:cs="Arial"/>
          <w:b/>
          <w:bCs/>
          <w:i/>
          <w:iCs/>
          <w:color w:val="000000"/>
          <w:sz w:val="20"/>
          <w:szCs w:val="20"/>
        </w:rPr>
        <w:t>Cost of Net Revenues</w:t>
      </w:r>
    </w:p>
    <w:p w14:paraId="64304FEB" w14:textId="77777777" w:rsidR="009F6D8A" w:rsidRDefault="009F6D8A"/>
    <w:p w14:paraId="64304FEC" w14:textId="77777777" w:rsidR="009F6D8A" w:rsidRDefault="00C50974">
      <w:pPr>
        <w:spacing w:after="120"/>
        <w:ind w:firstLine="540"/>
        <w:jc w:val="both"/>
      </w:pPr>
      <w:r>
        <w:rPr>
          <w:rFonts w:ascii="Arial" w:eastAsia="宋体" w:hAnsi="Arial" w:cs="Arial"/>
          <w:color w:val="000000"/>
          <w:sz w:val="20"/>
          <w:szCs w:val="20"/>
        </w:rPr>
        <w:t>Cost of net revenues primarily consists of costs associated with customer support, site operations, costs of goods sold and payment processing. Significant components of these costs include employee compe</w:t>
      </w:r>
      <w:r>
        <w:rPr>
          <w:rFonts w:ascii="Arial" w:eastAsia="宋体" w:hAnsi="Arial" w:cs="Arial"/>
          <w:color w:val="000000"/>
          <w:sz w:val="20"/>
          <w:szCs w:val="20"/>
        </w:rPr>
        <w:t>nsation, contractor costs, facilities costs, depreciation of equipment and amortization expense, bank transaction fees, credit card interchange and assessment fees and digital services tax. The following table presents cost of net revenues (in millions, ex</w:t>
      </w:r>
      <w:r>
        <w:rPr>
          <w:rFonts w:ascii="Arial" w:eastAsia="宋体" w:hAnsi="Arial" w:cs="Arial"/>
          <w:color w:val="000000"/>
          <w:sz w:val="20"/>
          <w:szCs w:val="20"/>
        </w:rPr>
        <w:t>cept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3193"/>
        <w:gridCol w:w="37"/>
        <w:gridCol w:w="109"/>
        <w:gridCol w:w="576"/>
        <w:gridCol w:w="163"/>
        <w:gridCol w:w="36"/>
        <w:gridCol w:w="36"/>
        <w:gridCol w:w="36"/>
        <w:gridCol w:w="109"/>
        <w:gridCol w:w="495"/>
        <w:gridCol w:w="163"/>
        <w:gridCol w:w="36"/>
        <w:gridCol w:w="36"/>
        <w:gridCol w:w="36"/>
        <w:gridCol w:w="61"/>
        <w:gridCol w:w="487"/>
        <w:gridCol w:w="163"/>
        <w:gridCol w:w="36"/>
        <w:gridCol w:w="36"/>
        <w:gridCol w:w="36"/>
        <w:gridCol w:w="109"/>
        <w:gridCol w:w="450"/>
        <w:gridCol w:w="163"/>
        <w:gridCol w:w="36"/>
        <w:gridCol w:w="36"/>
        <w:gridCol w:w="36"/>
        <w:gridCol w:w="109"/>
        <w:gridCol w:w="497"/>
        <w:gridCol w:w="163"/>
        <w:gridCol w:w="36"/>
        <w:gridCol w:w="36"/>
        <w:gridCol w:w="36"/>
        <w:gridCol w:w="61"/>
        <w:gridCol w:w="487"/>
        <w:gridCol w:w="163"/>
      </w:tblGrid>
      <w:tr w:rsidR="009F6D8A" w14:paraId="64305011" w14:textId="77777777">
        <w:tc>
          <w:tcPr>
            <w:tcW w:w="50" w:type="pct"/>
            <w:shd w:val="clear" w:color="auto" w:fill="auto"/>
            <w:vAlign w:val="bottom"/>
          </w:tcPr>
          <w:p w14:paraId="64304FED" w14:textId="77777777" w:rsidR="009F6D8A" w:rsidRDefault="009F6D8A">
            <w:pPr>
              <w:rPr>
                <w:rFonts w:ascii="宋体"/>
              </w:rPr>
            </w:pPr>
          </w:p>
        </w:tc>
        <w:tc>
          <w:tcPr>
            <w:tcW w:w="1999" w:type="pct"/>
            <w:shd w:val="clear" w:color="auto" w:fill="auto"/>
            <w:vAlign w:val="bottom"/>
          </w:tcPr>
          <w:p w14:paraId="64304FEE" w14:textId="77777777" w:rsidR="009F6D8A" w:rsidRDefault="009F6D8A">
            <w:pPr>
              <w:rPr>
                <w:rFonts w:ascii="宋体"/>
              </w:rPr>
            </w:pPr>
          </w:p>
        </w:tc>
        <w:tc>
          <w:tcPr>
            <w:tcW w:w="5" w:type="pct"/>
            <w:shd w:val="clear" w:color="auto" w:fill="auto"/>
            <w:vAlign w:val="bottom"/>
          </w:tcPr>
          <w:p w14:paraId="64304FEF" w14:textId="77777777" w:rsidR="009F6D8A" w:rsidRDefault="009F6D8A">
            <w:pPr>
              <w:rPr>
                <w:rFonts w:ascii="宋体"/>
              </w:rPr>
            </w:pPr>
          </w:p>
        </w:tc>
        <w:tc>
          <w:tcPr>
            <w:tcW w:w="50" w:type="pct"/>
            <w:shd w:val="clear" w:color="auto" w:fill="auto"/>
            <w:vAlign w:val="bottom"/>
          </w:tcPr>
          <w:p w14:paraId="64304FF0" w14:textId="77777777" w:rsidR="009F6D8A" w:rsidRDefault="009F6D8A">
            <w:pPr>
              <w:rPr>
                <w:rFonts w:ascii="宋体"/>
              </w:rPr>
            </w:pPr>
          </w:p>
        </w:tc>
        <w:tc>
          <w:tcPr>
            <w:tcW w:w="405" w:type="pct"/>
            <w:shd w:val="clear" w:color="auto" w:fill="auto"/>
            <w:vAlign w:val="bottom"/>
          </w:tcPr>
          <w:p w14:paraId="64304FF1" w14:textId="77777777" w:rsidR="009F6D8A" w:rsidRDefault="009F6D8A">
            <w:pPr>
              <w:rPr>
                <w:rFonts w:ascii="宋体"/>
              </w:rPr>
            </w:pPr>
          </w:p>
        </w:tc>
        <w:tc>
          <w:tcPr>
            <w:tcW w:w="5" w:type="pct"/>
            <w:shd w:val="clear" w:color="auto" w:fill="auto"/>
            <w:vAlign w:val="bottom"/>
          </w:tcPr>
          <w:p w14:paraId="64304FF2" w14:textId="77777777" w:rsidR="009F6D8A" w:rsidRDefault="009F6D8A">
            <w:pPr>
              <w:rPr>
                <w:rFonts w:ascii="宋体"/>
              </w:rPr>
            </w:pPr>
          </w:p>
        </w:tc>
        <w:tc>
          <w:tcPr>
            <w:tcW w:w="5" w:type="pct"/>
            <w:shd w:val="clear" w:color="auto" w:fill="auto"/>
            <w:vAlign w:val="bottom"/>
          </w:tcPr>
          <w:p w14:paraId="64304FF3" w14:textId="77777777" w:rsidR="009F6D8A" w:rsidRDefault="009F6D8A">
            <w:pPr>
              <w:rPr>
                <w:rFonts w:ascii="宋体"/>
              </w:rPr>
            </w:pPr>
          </w:p>
        </w:tc>
        <w:tc>
          <w:tcPr>
            <w:tcW w:w="26" w:type="pct"/>
            <w:shd w:val="clear" w:color="auto" w:fill="auto"/>
            <w:vAlign w:val="bottom"/>
          </w:tcPr>
          <w:p w14:paraId="64304FF4" w14:textId="77777777" w:rsidR="009F6D8A" w:rsidRDefault="009F6D8A">
            <w:pPr>
              <w:rPr>
                <w:rFonts w:ascii="宋体"/>
              </w:rPr>
            </w:pPr>
          </w:p>
        </w:tc>
        <w:tc>
          <w:tcPr>
            <w:tcW w:w="5" w:type="pct"/>
            <w:shd w:val="clear" w:color="auto" w:fill="auto"/>
            <w:vAlign w:val="bottom"/>
          </w:tcPr>
          <w:p w14:paraId="64304FF5" w14:textId="77777777" w:rsidR="009F6D8A" w:rsidRDefault="009F6D8A">
            <w:pPr>
              <w:rPr>
                <w:rFonts w:ascii="宋体"/>
              </w:rPr>
            </w:pPr>
          </w:p>
        </w:tc>
        <w:tc>
          <w:tcPr>
            <w:tcW w:w="50" w:type="pct"/>
            <w:shd w:val="clear" w:color="auto" w:fill="auto"/>
            <w:vAlign w:val="bottom"/>
          </w:tcPr>
          <w:p w14:paraId="64304FF6" w14:textId="77777777" w:rsidR="009F6D8A" w:rsidRDefault="009F6D8A">
            <w:pPr>
              <w:rPr>
                <w:rFonts w:ascii="宋体"/>
              </w:rPr>
            </w:pPr>
          </w:p>
        </w:tc>
        <w:tc>
          <w:tcPr>
            <w:tcW w:w="405" w:type="pct"/>
            <w:shd w:val="clear" w:color="auto" w:fill="auto"/>
            <w:vAlign w:val="bottom"/>
          </w:tcPr>
          <w:p w14:paraId="64304FF7" w14:textId="77777777" w:rsidR="009F6D8A" w:rsidRDefault="009F6D8A">
            <w:pPr>
              <w:rPr>
                <w:rFonts w:ascii="宋体"/>
              </w:rPr>
            </w:pPr>
          </w:p>
        </w:tc>
        <w:tc>
          <w:tcPr>
            <w:tcW w:w="5" w:type="pct"/>
            <w:shd w:val="clear" w:color="auto" w:fill="auto"/>
            <w:vAlign w:val="bottom"/>
          </w:tcPr>
          <w:p w14:paraId="64304FF8" w14:textId="77777777" w:rsidR="009F6D8A" w:rsidRDefault="009F6D8A">
            <w:pPr>
              <w:rPr>
                <w:rFonts w:ascii="宋体"/>
              </w:rPr>
            </w:pPr>
          </w:p>
        </w:tc>
        <w:tc>
          <w:tcPr>
            <w:tcW w:w="5" w:type="pct"/>
            <w:shd w:val="clear" w:color="auto" w:fill="auto"/>
            <w:vAlign w:val="bottom"/>
          </w:tcPr>
          <w:p w14:paraId="64304FF9" w14:textId="77777777" w:rsidR="009F6D8A" w:rsidRDefault="009F6D8A">
            <w:pPr>
              <w:rPr>
                <w:rFonts w:ascii="宋体"/>
              </w:rPr>
            </w:pPr>
          </w:p>
        </w:tc>
        <w:tc>
          <w:tcPr>
            <w:tcW w:w="26" w:type="pct"/>
            <w:shd w:val="clear" w:color="auto" w:fill="auto"/>
            <w:vAlign w:val="bottom"/>
          </w:tcPr>
          <w:p w14:paraId="64304FFA" w14:textId="77777777" w:rsidR="009F6D8A" w:rsidRDefault="009F6D8A">
            <w:pPr>
              <w:rPr>
                <w:rFonts w:ascii="宋体"/>
              </w:rPr>
            </w:pPr>
          </w:p>
        </w:tc>
        <w:tc>
          <w:tcPr>
            <w:tcW w:w="5" w:type="pct"/>
            <w:shd w:val="clear" w:color="auto" w:fill="auto"/>
            <w:vAlign w:val="bottom"/>
          </w:tcPr>
          <w:p w14:paraId="64304FFB" w14:textId="77777777" w:rsidR="009F6D8A" w:rsidRDefault="009F6D8A">
            <w:pPr>
              <w:rPr>
                <w:rFonts w:ascii="宋体"/>
              </w:rPr>
            </w:pPr>
          </w:p>
        </w:tc>
        <w:tc>
          <w:tcPr>
            <w:tcW w:w="50" w:type="pct"/>
            <w:shd w:val="clear" w:color="auto" w:fill="auto"/>
            <w:vAlign w:val="bottom"/>
          </w:tcPr>
          <w:p w14:paraId="64304FFC" w14:textId="77777777" w:rsidR="009F6D8A" w:rsidRDefault="009F6D8A">
            <w:pPr>
              <w:rPr>
                <w:rFonts w:ascii="宋体"/>
              </w:rPr>
            </w:pPr>
          </w:p>
        </w:tc>
        <w:tc>
          <w:tcPr>
            <w:tcW w:w="405" w:type="pct"/>
            <w:shd w:val="clear" w:color="auto" w:fill="auto"/>
            <w:vAlign w:val="bottom"/>
          </w:tcPr>
          <w:p w14:paraId="64304FFD" w14:textId="77777777" w:rsidR="009F6D8A" w:rsidRDefault="009F6D8A">
            <w:pPr>
              <w:rPr>
                <w:rFonts w:ascii="宋体"/>
              </w:rPr>
            </w:pPr>
          </w:p>
        </w:tc>
        <w:tc>
          <w:tcPr>
            <w:tcW w:w="5" w:type="pct"/>
            <w:shd w:val="clear" w:color="auto" w:fill="auto"/>
            <w:vAlign w:val="bottom"/>
          </w:tcPr>
          <w:p w14:paraId="64304FFE" w14:textId="77777777" w:rsidR="009F6D8A" w:rsidRDefault="009F6D8A">
            <w:pPr>
              <w:rPr>
                <w:rFonts w:ascii="宋体"/>
              </w:rPr>
            </w:pPr>
          </w:p>
        </w:tc>
        <w:tc>
          <w:tcPr>
            <w:tcW w:w="5" w:type="pct"/>
            <w:shd w:val="clear" w:color="auto" w:fill="auto"/>
            <w:vAlign w:val="bottom"/>
          </w:tcPr>
          <w:p w14:paraId="64304FFF" w14:textId="77777777" w:rsidR="009F6D8A" w:rsidRDefault="009F6D8A">
            <w:pPr>
              <w:rPr>
                <w:rFonts w:ascii="宋体"/>
              </w:rPr>
            </w:pPr>
          </w:p>
        </w:tc>
        <w:tc>
          <w:tcPr>
            <w:tcW w:w="26" w:type="pct"/>
            <w:shd w:val="clear" w:color="auto" w:fill="auto"/>
            <w:vAlign w:val="bottom"/>
          </w:tcPr>
          <w:p w14:paraId="64305000" w14:textId="77777777" w:rsidR="009F6D8A" w:rsidRDefault="009F6D8A">
            <w:pPr>
              <w:rPr>
                <w:rFonts w:ascii="宋体"/>
              </w:rPr>
            </w:pPr>
          </w:p>
        </w:tc>
        <w:tc>
          <w:tcPr>
            <w:tcW w:w="5" w:type="pct"/>
            <w:shd w:val="clear" w:color="auto" w:fill="auto"/>
            <w:vAlign w:val="bottom"/>
          </w:tcPr>
          <w:p w14:paraId="64305001" w14:textId="77777777" w:rsidR="009F6D8A" w:rsidRDefault="009F6D8A">
            <w:pPr>
              <w:rPr>
                <w:rFonts w:ascii="宋体"/>
              </w:rPr>
            </w:pPr>
          </w:p>
        </w:tc>
        <w:tc>
          <w:tcPr>
            <w:tcW w:w="50" w:type="pct"/>
            <w:shd w:val="clear" w:color="auto" w:fill="auto"/>
            <w:vAlign w:val="bottom"/>
          </w:tcPr>
          <w:p w14:paraId="64305002" w14:textId="77777777" w:rsidR="009F6D8A" w:rsidRDefault="009F6D8A">
            <w:pPr>
              <w:rPr>
                <w:rFonts w:ascii="宋体"/>
              </w:rPr>
            </w:pPr>
          </w:p>
        </w:tc>
        <w:tc>
          <w:tcPr>
            <w:tcW w:w="405" w:type="pct"/>
            <w:shd w:val="clear" w:color="auto" w:fill="auto"/>
            <w:vAlign w:val="bottom"/>
          </w:tcPr>
          <w:p w14:paraId="64305003" w14:textId="77777777" w:rsidR="009F6D8A" w:rsidRDefault="009F6D8A">
            <w:pPr>
              <w:rPr>
                <w:rFonts w:ascii="宋体"/>
              </w:rPr>
            </w:pPr>
          </w:p>
        </w:tc>
        <w:tc>
          <w:tcPr>
            <w:tcW w:w="5" w:type="pct"/>
            <w:shd w:val="clear" w:color="auto" w:fill="auto"/>
            <w:vAlign w:val="bottom"/>
          </w:tcPr>
          <w:p w14:paraId="64305004" w14:textId="77777777" w:rsidR="009F6D8A" w:rsidRDefault="009F6D8A">
            <w:pPr>
              <w:rPr>
                <w:rFonts w:ascii="宋体"/>
              </w:rPr>
            </w:pPr>
          </w:p>
        </w:tc>
        <w:tc>
          <w:tcPr>
            <w:tcW w:w="5" w:type="pct"/>
            <w:shd w:val="clear" w:color="auto" w:fill="auto"/>
            <w:vAlign w:val="bottom"/>
          </w:tcPr>
          <w:p w14:paraId="64305005" w14:textId="77777777" w:rsidR="009F6D8A" w:rsidRDefault="009F6D8A">
            <w:pPr>
              <w:rPr>
                <w:rFonts w:ascii="宋体"/>
              </w:rPr>
            </w:pPr>
          </w:p>
        </w:tc>
        <w:tc>
          <w:tcPr>
            <w:tcW w:w="26" w:type="pct"/>
            <w:shd w:val="clear" w:color="auto" w:fill="auto"/>
            <w:vAlign w:val="bottom"/>
          </w:tcPr>
          <w:p w14:paraId="64305006" w14:textId="77777777" w:rsidR="009F6D8A" w:rsidRDefault="009F6D8A">
            <w:pPr>
              <w:rPr>
                <w:rFonts w:ascii="宋体"/>
              </w:rPr>
            </w:pPr>
          </w:p>
        </w:tc>
        <w:tc>
          <w:tcPr>
            <w:tcW w:w="5" w:type="pct"/>
            <w:shd w:val="clear" w:color="auto" w:fill="auto"/>
            <w:vAlign w:val="bottom"/>
          </w:tcPr>
          <w:p w14:paraId="64305007" w14:textId="77777777" w:rsidR="009F6D8A" w:rsidRDefault="009F6D8A">
            <w:pPr>
              <w:rPr>
                <w:rFonts w:ascii="宋体"/>
              </w:rPr>
            </w:pPr>
          </w:p>
        </w:tc>
        <w:tc>
          <w:tcPr>
            <w:tcW w:w="50" w:type="pct"/>
            <w:shd w:val="clear" w:color="auto" w:fill="auto"/>
            <w:vAlign w:val="bottom"/>
          </w:tcPr>
          <w:p w14:paraId="64305008" w14:textId="77777777" w:rsidR="009F6D8A" w:rsidRDefault="009F6D8A">
            <w:pPr>
              <w:rPr>
                <w:rFonts w:ascii="宋体"/>
              </w:rPr>
            </w:pPr>
          </w:p>
        </w:tc>
        <w:tc>
          <w:tcPr>
            <w:tcW w:w="405" w:type="pct"/>
            <w:shd w:val="clear" w:color="auto" w:fill="auto"/>
            <w:vAlign w:val="bottom"/>
          </w:tcPr>
          <w:p w14:paraId="64305009" w14:textId="77777777" w:rsidR="009F6D8A" w:rsidRDefault="009F6D8A">
            <w:pPr>
              <w:rPr>
                <w:rFonts w:ascii="宋体"/>
              </w:rPr>
            </w:pPr>
          </w:p>
        </w:tc>
        <w:tc>
          <w:tcPr>
            <w:tcW w:w="5" w:type="pct"/>
            <w:shd w:val="clear" w:color="auto" w:fill="auto"/>
            <w:vAlign w:val="bottom"/>
          </w:tcPr>
          <w:p w14:paraId="6430500A" w14:textId="77777777" w:rsidR="009F6D8A" w:rsidRDefault="009F6D8A">
            <w:pPr>
              <w:rPr>
                <w:rFonts w:ascii="宋体"/>
              </w:rPr>
            </w:pPr>
          </w:p>
        </w:tc>
        <w:tc>
          <w:tcPr>
            <w:tcW w:w="5" w:type="pct"/>
            <w:shd w:val="clear" w:color="auto" w:fill="auto"/>
            <w:vAlign w:val="bottom"/>
          </w:tcPr>
          <w:p w14:paraId="6430500B" w14:textId="77777777" w:rsidR="009F6D8A" w:rsidRDefault="009F6D8A">
            <w:pPr>
              <w:rPr>
                <w:rFonts w:ascii="宋体"/>
              </w:rPr>
            </w:pPr>
          </w:p>
        </w:tc>
        <w:tc>
          <w:tcPr>
            <w:tcW w:w="26" w:type="pct"/>
            <w:shd w:val="clear" w:color="auto" w:fill="auto"/>
            <w:vAlign w:val="bottom"/>
          </w:tcPr>
          <w:p w14:paraId="6430500C" w14:textId="77777777" w:rsidR="009F6D8A" w:rsidRDefault="009F6D8A">
            <w:pPr>
              <w:rPr>
                <w:rFonts w:ascii="宋体"/>
              </w:rPr>
            </w:pPr>
          </w:p>
        </w:tc>
        <w:tc>
          <w:tcPr>
            <w:tcW w:w="5" w:type="pct"/>
            <w:shd w:val="clear" w:color="auto" w:fill="auto"/>
            <w:vAlign w:val="bottom"/>
          </w:tcPr>
          <w:p w14:paraId="6430500D" w14:textId="77777777" w:rsidR="009F6D8A" w:rsidRDefault="009F6D8A">
            <w:pPr>
              <w:rPr>
                <w:rFonts w:ascii="宋体"/>
              </w:rPr>
            </w:pPr>
          </w:p>
        </w:tc>
        <w:tc>
          <w:tcPr>
            <w:tcW w:w="50" w:type="pct"/>
            <w:shd w:val="clear" w:color="auto" w:fill="auto"/>
            <w:vAlign w:val="bottom"/>
          </w:tcPr>
          <w:p w14:paraId="6430500E" w14:textId="77777777" w:rsidR="009F6D8A" w:rsidRDefault="009F6D8A">
            <w:pPr>
              <w:rPr>
                <w:rFonts w:ascii="宋体"/>
              </w:rPr>
            </w:pPr>
          </w:p>
        </w:tc>
        <w:tc>
          <w:tcPr>
            <w:tcW w:w="405" w:type="pct"/>
            <w:shd w:val="clear" w:color="auto" w:fill="auto"/>
            <w:vAlign w:val="bottom"/>
          </w:tcPr>
          <w:p w14:paraId="6430500F" w14:textId="77777777" w:rsidR="009F6D8A" w:rsidRDefault="009F6D8A">
            <w:pPr>
              <w:rPr>
                <w:rFonts w:ascii="宋体"/>
              </w:rPr>
            </w:pPr>
          </w:p>
        </w:tc>
        <w:tc>
          <w:tcPr>
            <w:tcW w:w="5" w:type="pct"/>
            <w:shd w:val="clear" w:color="auto" w:fill="auto"/>
            <w:vAlign w:val="bottom"/>
          </w:tcPr>
          <w:p w14:paraId="64305010" w14:textId="77777777" w:rsidR="009F6D8A" w:rsidRDefault="009F6D8A">
            <w:pPr>
              <w:rPr>
                <w:rFonts w:ascii="宋体"/>
              </w:rPr>
            </w:pPr>
          </w:p>
        </w:tc>
      </w:tr>
      <w:tr w:rsidR="009F6D8A" w14:paraId="6430501A" w14:textId="77777777">
        <w:tc>
          <w:tcPr>
            <w:tcW w:w="0" w:type="auto"/>
            <w:gridSpan w:val="3"/>
            <w:shd w:val="clear" w:color="auto" w:fill="auto"/>
            <w:tcMar>
              <w:top w:w="40" w:type="dxa"/>
              <w:left w:w="20" w:type="dxa"/>
              <w:bottom w:w="40" w:type="dxa"/>
              <w:right w:w="20" w:type="dxa"/>
            </w:tcMar>
            <w:vAlign w:val="bottom"/>
          </w:tcPr>
          <w:p w14:paraId="64305012" w14:textId="77777777" w:rsidR="009F6D8A" w:rsidRDefault="00C50974">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64305013" w14:textId="77777777" w:rsidR="009F6D8A" w:rsidRDefault="00C50974">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w:t>
            </w:r>
          </w:p>
        </w:tc>
        <w:tc>
          <w:tcPr>
            <w:tcW w:w="0" w:type="auto"/>
            <w:gridSpan w:val="3"/>
            <w:shd w:val="clear" w:color="auto" w:fill="auto"/>
            <w:tcMar>
              <w:top w:w="0" w:type="dxa"/>
              <w:left w:w="20" w:type="dxa"/>
              <w:bottom w:w="0" w:type="dxa"/>
              <w:right w:w="20" w:type="dxa"/>
            </w:tcMar>
            <w:vAlign w:val="bottom"/>
          </w:tcPr>
          <w:p w14:paraId="64305014"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015"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016"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5017" w14:textId="77777777" w:rsidR="009F6D8A" w:rsidRDefault="00C50974">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w:t>
            </w:r>
          </w:p>
        </w:tc>
        <w:tc>
          <w:tcPr>
            <w:tcW w:w="0" w:type="auto"/>
            <w:gridSpan w:val="3"/>
            <w:shd w:val="clear" w:color="auto" w:fill="auto"/>
            <w:tcMar>
              <w:top w:w="0" w:type="dxa"/>
              <w:left w:w="20" w:type="dxa"/>
              <w:bottom w:w="0" w:type="dxa"/>
              <w:right w:w="20" w:type="dxa"/>
            </w:tcMar>
            <w:vAlign w:val="bottom"/>
          </w:tcPr>
          <w:p w14:paraId="64305018"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019" w14:textId="77777777" w:rsidR="009F6D8A" w:rsidRDefault="009F6D8A">
            <w:pPr>
              <w:rPr>
                <w:rFonts w:ascii="宋体"/>
              </w:rPr>
            </w:pPr>
          </w:p>
        </w:tc>
      </w:tr>
      <w:tr w:rsidR="009F6D8A" w14:paraId="64305027" w14:textId="77777777">
        <w:tc>
          <w:tcPr>
            <w:tcW w:w="0" w:type="auto"/>
            <w:gridSpan w:val="3"/>
            <w:shd w:val="clear" w:color="auto" w:fill="auto"/>
            <w:tcMar>
              <w:top w:w="40" w:type="dxa"/>
              <w:left w:w="20" w:type="dxa"/>
              <w:bottom w:w="40" w:type="dxa"/>
              <w:right w:w="20" w:type="dxa"/>
            </w:tcMar>
            <w:vAlign w:val="bottom"/>
          </w:tcPr>
          <w:p w14:paraId="6430501B" w14:textId="77777777" w:rsidR="009F6D8A" w:rsidRDefault="00C50974">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01C" w14:textId="77777777" w:rsidR="009F6D8A" w:rsidRDefault="00C50974">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01D"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01E" w14:textId="77777777" w:rsidR="009F6D8A" w:rsidRDefault="00C50974">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6430501F"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020" w14:textId="77777777" w:rsidR="009F6D8A" w:rsidRDefault="00C50974">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vAlign w:val="bottom"/>
          </w:tcPr>
          <w:p w14:paraId="64305021"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022" w14:textId="77777777" w:rsidR="009F6D8A" w:rsidRDefault="00C50974">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023"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024" w14:textId="77777777" w:rsidR="009F6D8A" w:rsidRDefault="00C50974">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64305025"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026" w14:textId="77777777" w:rsidR="009F6D8A" w:rsidRDefault="00C50974">
            <w:pPr>
              <w:jc w:val="center"/>
              <w:textAlignment w:val="bottom"/>
            </w:pPr>
            <w:r>
              <w:rPr>
                <w:rFonts w:ascii="Arial" w:eastAsia="宋体" w:hAnsi="Arial" w:cs="Arial"/>
                <w:b/>
                <w:bCs/>
                <w:color w:val="000000"/>
                <w:sz w:val="14"/>
                <w:szCs w:val="14"/>
              </w:rPr>
              <w:t>% Change</w:t>
            </w:r>
          </w:p>
        </w:tc>
      </w:tr>
      <w:tr w:rsidR="009F6D8A" w14:paraId="6430503E" w14:textId="77777777">
        <w:tc>
          <w:tcPr>
            <w:tcW w:w="0" w:type="auto"/>
            <w:gridSpan w:val="3"/>
            <w:shd w:val="clear" w:color="auto" w:fill="E2E2E2"/>
            <w:tcMar>
              <w:top w:w="40" w:type="dxa"/>
              <w:left w:w="20" w:type="dxa"/>
              <w:bottom w:w="40" w:type="dxa"/>
              <w:right w:w="20" w:type="dxa"/>
            </w:tcMar>
            <w:vAlign w:val="bottom"/>
          </w:tcPr>
          <w:p w14:paraId="64305028" w14:textId="77777777" w:rsidR="009F6D8A" w:rsidRDefault="00C50974">
            <w:pPr>
              <w:textAlignment w:val="bottom"/>
            </w:pPr>
            <w:r>
              <w:rPr>
                <w:rFonts w:ascii="Arial" w:eastAsia="宋体" w:hAnsi="Arial" w:cs="Arial"/>
                <w:color w:val="000000"/>
                <w:sz w:val="16"/>
                <w:szCs w:val="16"/>
              </w:rPr>
              <w:t>Cost of net revenues</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5029"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502A" w14:textId="77777777" w:rsidR="009F6D8A" w:rsidRDefault="00C50974">
            <w:pPr>
              <w:jc w:val="right"/>
              <w:textAlignment w:val="bottom"/>
            </w:pPr>
            <w:r>
              <w:rPr>
                <w:rFonts w:ascii="Arial" w:eastAsia="宋体" w:hAnsi="Arial" w:cs="Arial"/>
                <w:color w:val="000000"/>
                <w:sz w:val="16"/>
                <w:szCs w:val="16"/>
              </w:rPr>
              <w:t>672 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02B"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02C"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502D"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502E" w14:textId="77777777" w:rsidR="009F6D8A" w:rsidRDefault="00C50974">
            <w:pPr>
              <w:jc w:val="right"/>
              <w:textAlignment w:val="bottom"/>
            </w:pPr>
            <w:r>
              <w:rPr>
                <w:rFonts w:ascii="Arial" w:eastAsia="宋体" w:hAnsi="Arial" w:cs="Arial"/>
                <w:color w:val="000000"/>
                <w:sz w:val="16"/>
                <w:szCs w:val="16"/>
              </w:rPr>
              <w:t>417 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02F"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030"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5031" w14:textId="77777777" w:rsidR="009F6D8A" w:rsidRDefault="00C50974">
            <w:pPr>
              <w:jc w:val="right"/>
              <w:textAlignment w:val="bottom"/>
            </w:pPr>
            <w:r>
              <w:rPr>
                <w:rFonts w:ascii="Arial" w:eastAsia="宋体" w:hAnsi="Arial" w:cs="Arial"/>
                <w:color w:val="000000"/>
                <w:sz w:val="16"/>
                <w:szCs w:val="16"/>
              </w:rPr>
              <w:t>61 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032"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5033"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5034"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5035" w14:textId="77777777" w:rsidR="009F6D8A" w:rsidRDefault="00C50974">
            <w:pPr>
              <w:jc w:val="right"/>
              <w:textAlignment w:val="bottom"/>
            </w:pPr>
            <w:r>
              <w:rPr>
                <w:rFonts w:ascii="Arial" w:eastAsia="宋体" w:hAnsi="Arial" w:cs="Arial"/>
                <w:color w:val="000000"/>
                <w:sz w:val="16"/>
                <w:szCs w:val="16"/>
              </w:rPr>
              <w:t>1,278 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03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037"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5038"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5039" w14:textId="77777777" w:rsidR="009F6D8A" w:rsidRDefault="00C50974">
            <w:pPr>
              <w:jc w:val="right"/>
              <w:textAlignment w:val="bottom"/>
            </w:pPr>
            <w:r>
              <w:rPr>
                <w:rFonts w:ascii="Arial" w:eastAsia="宋体" w:hAnsi="Arial" w:cs="Arial"/>
                <w:color w:val="000000"/>
                <w:sz w:val="16"/>
                <w:szCs w:val="16"/>
              </w:rPr>
              <w:t>771 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03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03B"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503C" w14:textId="77777777" w:rsidR="009F6D8A" w:rsidRDefault="00C50974">
            <w:pPr>
              <w:jc w:val="right"/>
              <w:textAlignment w:val="bottom"/>
            </w:pPr>
            <w:r>
              <w:rPr>
                <w:rFonts w:ascii="Arial" w:eastAsia="宋体" w:hAnsi="Arial" w:cs="Arial"/>
                <w:color w:val="000000"/>
                <w:sz w:val="16"/>
                <w:szCs w:val="16"/>
              </w:rPr>
              <w:t>66 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03D" w14:textId="77777777" w:rsidR="009F6D8A" w:rsidRDefault="00C50974">
            <w:pPr>
              <w:jc w:val="right"/>
              <w:textAlignment w:val="bottom"/>
            </w:pPr>
            <w:r>
              <w:rPr>
                <w:rFonts w:ascii="Arial" w:eastAsia="宋体" w:hAnsi="Arial" w:cs="Arial"/>
                <w:color w:val="000000"/>
                <w:sz w:val="16"/>
                <w:szCs w:val="16"/>
              </w:rPr>
              <w:t>%</w:t>
            </w:r>
          </w:p>
        </w:tc>
      </w:tr>
      <w:tr w:rsidR="009F6D8A" w14:paraId="6430504F" w14:textId="77777777">
        <w:tc>
          <w:tcPr>
            <w:tcW w:w="0" w:type="auto"/>
            <w:gridSpan w:val="3"/>
            <w:shd w:val="clear" w:color="auto" w:fill="FFFFFF"/>
            <w:tcMar>
              <w:top w:w="40" w:type="dxa"/>
              <w:left w:w="155" w:type="dxa"/>
              <w:bottom w:w="40" w:type="dxa"/>
              <w:right w:w="20" w:type="dxa"/>
            </w:tcMar>
            <w:vAlign w:val="bottom"/>
          </w:tcPr>
          <w:p w14:paraId="6430503F" w14:textId="77777777" w:rsidR="009F6D8A" w:rsidRDefault="00C50974">
            <w:pPr>
              <w:textAlignment w:val="bottom"/>
            </w:pPr>
            <w:r>
              <w:rPr>
                <w:rFonts w:ascii="Arial" w:eastAsia="宋体" w:hAnsi="Arial" w:cs="Arial"/>
                <w:i/>
                <w:iCs/>
                <w:color w:val="000000"/>
                <w:sz w:val="16"/>
                <w:szCs w:val="16"/>
              </w:rPr>
              <w:t>Perce</w:t>
            </w:r>
            <w:r>
              <w:rPr>
                <w:rFonts w:ascii="Arial" w:eastAsia="宋体" w:hAnsi="Arial" w:cs="Arial"/>
                <w:i/>
                <w:iCs/>
                <w:color w:val="000000"/>
                <w:sz w:val="16"/>
                <w:szCs w:val="16"/>
              </w:rPr>
              <w:t>ntage of net revenues</w:t>
            </w:r>
          </w:p>
        </w:tc>
        <w:tc>
          <w:tcPr>
            <w:tcW w:w="0" w:type="auto"/>
            <w:gridSpan w:val="2"/>
            <w:shd w:val="clear" w:color="auto" w:fill="FFFFFF"/>
            <w:tcMar>
              <w:top w:w="40" w:type="dxa"/>
              <w:left w:w="20" w:type="dxa"/>
              <w:bottom w:w="40" w:type="dxa"/>
              <w:right w:w="0" w:type="dxa"/>
            </w:tcMar>
            <w:vAlign w:val="bottom"/>
          </w:tcPr>
          <w:p w14:paraId="64305040" w14:textId="77777777" w:rsidR="009F6D8A" w:rsidRDefault="00C50974">
            <w:pPr>
              <w:jc w:val="right"/>
              <w:textAlignment w:val="bottom"/>
            </w:pPr>
            <w:r>
              <w:rPr>
                <w:rFonts w:ascii="Arial" w:eastAsia="宋体" w:hAnsi="Arial" w:cs="Arial"/>
                <w:i/>
                <w:iCs/>
                <w:color w:val="000000"/>
                <w:sz w:val="16"/>
                <w:szCs w:val="16"/>
              </w:rPr>
              <w:t>25.2 </w:t>
            </w:r>
          </w:p>
        </w:tc>
        <w:tc>
          <w:tcPr>
            <w:tcW w:w="0" w:type="auto"/>
            <w:shd w:val="clear" w:color="auto" w:fill="FFFFFF"/>
            <w:tcMar>
              <w:top w:w="40" w:type="dxa"/>
              <w:left w:w="0" w:type="dxa"/>
              <w:bottom w:w="40" w:type="dxa"/>
              <w:right w:w="20" w:type="dxa"/>
            </w:tcMar>
            <w:vAlign w:val="bottom"/>
          </w:tcPr>
          <w:p w14:paraId="64305041"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04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043" w14:textId="77777777" w:rsidR="009F6D8A" w:rsidRDefault="00C50974">
            <w:pPr>
              <w:jc w:val="right"/>
              <w:textAlignment w:val="bottom"/>
            </w:pPr>
            <w:r>
              <w:rPr>
                <w:rFonts w:ascii="Arial" w:eastAsia="宋体" w:hAnsi="Arial" w:cs="Arial"/>
                <w:i/>
                <w:iCs/>
                <w:color w:val="000000"/>
                <w:sz w:val="16"/>
                <w:szCs w:val="16"/>
              </w:rPr>
              <w:t>17.9 </w:t>
            </w:r>
          </w:p>
        </w:tc>
        <w:tc>
          <w:tcPr>
            <w:tcW w:w="0" w:type="auto"/>
            <w:shd w:val="clear" w:color="auto" w:fill="FFFFFF"/>
            <w:tcMar>
              <w:top w:w="40" w:type="dxa"/>
              <w:left w:w="0" w:type="dxa"/>
              <w:bottom w:w="40" w:type="dxa"/>
              <w:right w:w="20" w:type="dxa"/>
            </w:tcMar>
            <w:vAlign w:val="bottom"/>
          </w:tcPr>
          <w:p w14:paraId="64305044"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045" w14:textId="77777777" w:rsidR="009F6D8A" w:rsidRDefault="009F6D8A">
            <w:pPr>
              <w:rPr>
                <w:rFonts w:ascii="宋体"/>
              </w:rPr>
            </w:pPr>
          </w:p>
        </w:tc>
        <w:tc>
          <w:tcPr>
            <w:tcW w:w="0" w:type="auto"/>
            <w:gridSpan w:val="3"/>
            <w:shd w:val="clear" w:color="auto" w:fill="FFFFFF"/>
            <w:tcMar>
              <w:top w:w="40" w:type="dxa"/>
              <w:left w:w="20" w:type="dxa"/>
              <w:bottom w:w="40" w:type="dxa"/>
              <w:right w:w="20" w:type="dxa"/>
            </w:tcMar>
            <w:vAlign w:val="bottom"/>
          </w:tcPr>
          <w:p w14:paraId="64305046" w14:textId="77777777" w:rsidR="009F6D8A" w:rsidRDefault="00C50974">
            <w:pPr>
              <w:jc w:val="right"/>
              <w:textAlignment w:val="bottom"/>
            </w:pPr>
            <w:r>
              <w:rPr>
                <w:rFonts w:ascii="Arial" w:eastAsia="宋体" w:hAnsi="Arial" w:cs="Arial"/>
                <w:i/>
                <w:iCs/>
                <w:color w:val="000000"/>
                <w:sz w:val="16"/>
                <w:szCs w:val="16"/>
              </w:rPr>
              <w:t> </w:t>
            </w:r>
          </w:p>
        </w:tc>
        <w:tc>
          <w:tcPr>
            <w:tcW w:w="0" w:type="auto"/>
            <w:gridSpan w:val="3"/>
            <w:shd w:val="clear" w:color="auto" w:fill="FFFFFF"/>
            <w:tcMar>
              <w:top w:w="0" w:type="dxa"/>
              <w:left w:w="20" w:type="dxa"/>
              <w:bottom w:w="0" w:type="dxa"/>
              <w:right w:w="20" w:type="dxa"/>
            </w:tcMar>
            <w:vAlign w:val="bottom"/>
          </w:tcPr>
          <w:p w14:paraId="6430504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048" w14:textId="77777777" w:rsidR="009F6D8A" w:rsidRDefault="00C50974">
            <w:pPr>
              <w:jc w:val="right"/>
              <w:textAlignment w:val="bottom"/>
            </w:pPr>
            <w:r>
              <w:rPr>
                <w:rFonts w:ascii="Arial" w:eastAsia="宋体" w:hAnsi="Arial" w:cs="Arial"/>
                <w:i/>
                <w:iCs/>
                <w:color w:val="000000"/>
                <w:sz w:val="16"/>
                <w:szCs w:val="16"/>
              </w:rPr>
              <w:t>24.1 </w:t>
            </w:r>
          </w:p>
        </w:tc>
        <w:tc>
          <w:tcPr>
            <w:tcW w:w="0" w:type="auto"/>
            <w:shd w:val="clear" w:color="auto" w:fill="FFFFFF"/>
            <w:tcMar>
              <w:top w:w="40" w:type="dxa"/>
              <w:left w:w="0" w:type="dxa"/>
              <w:bottom w:w="40" w:type="dxa"/>
              <w:right w:w="20" w:type="dxa"/>
            </w:tcMar>
            <w:vAlign w:val="bottom"/>
          </w:tcPr>
          <w:p w14:paraId="64305049"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04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04B" w14:textId="77777777" w:rsidR="009F6D8A" w:rsidRDefault="00C50974">
            <w:pPr>
              <w:jc w:val="right"/>
              <w:textAlignment w:val="bottom"/>
            </w:pPr>
            <w:r>
              <w:rPr>
                <w:rFonts w:ascii="Arial" w:eastAsia="宋体" w:hAnsi="Arial" w:cs="Arial"/>
                <w:i/>
                <w:iCs/>
                <w:color w:val="000000"/>
                <w:sz w:val="16"/>
                <w:szCs w:val="16"/>
              </w:rPr>
              <w:t>18.5 </w:t>
            </w:r>
          </w:p>
        </w:tc>
        <w:tc>
          <w:tcPr>
            <w:tcW w:w="0" w:type="auto"/>
            <w:shd w:val="clear" w:color="auto" w:fill="FFFFFF"/>
            <w:tcMar>
              <w:top w:w="40" w:type="dxa"/>
              <w:left w:w="0" w:type="dxa"/>
              <w:bottom w:w="40" w:type="dxa"/>
              <w:right w:w="20" w:type="dxa"/>
            </w:tcMar>
            <w:vAlign w:val="bottom"/>
          </w:tcPr>
          <w:p w14:paraId="6430504C"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04D" w14:textId="77777777" w:rsidR="009F6D8A" w:rsidRDefault="009F6D8A">
            <w:pPr>
              <w:rPr>
                <w:rFonts w:ascii="宋体"/>
              </w:rPr>
            </w:pPr>
          </w:p>
        </w:tc>
        <w:tc>
          <w:tcPr>
            <w:tcW w:w="0" w:type="auto"/>
            <w:gridSpan w:val="3"/>
            <w:shd w:val="clear" w:color="auto" w:fill="FFFFFF"/>
            <w:tcMar>
              <w:top w:w="40" w:type="dxa"/>
              <w:left w:w="20" w:type="dxa"/>
              <w:bottom w:w="40" w:type="dxa"/>
              <w:right w:w="20" w:type="dxa"/>
            </w:tcMar>
            <w:vAlign w:val="bottom"/>
          </w:tcPr>
          <w:p w14:paraId="6430504E" w14:textId="77777777" w:rsidR="009F6D8A" w:rsidRDefault="00C50974">
            <w:pPr>
              <w:jc w:val="right"/>
              <w:textAlignment w:val="bottom"/>
            </w:pPr>
            <w:r>
              <w:rPr>
                <w:rFonts w:ascii="Arial" w:eastAsia="宋体" w:hAnsi="Arial" w:cs="Arial"/>
                <w:i/>
                <w:iCs/>
                <w:color w:val="000000"/>
                <w:sz w:val="16"/>
                <w:szCs w:val="16"/>
              </w:rPr>
              <w:t> </w:t>
            </w:r>
          </w:p>
        </w:tc>
      </w:tr>
    </w:tbl>
    <w:p w14:paraId="64305050" w14:textId="77777777" w:rsidR="009F6D8A" w:rsidRDefault="009F6D8A">
      <w:pPr>
        <w:ind w:firstLine="540"/>
        <w:jc w:val="both"/>
      </w:pPr>
    </w:p>
    <w:p w14:paraId="64305051" w14:textId="77777777" w:rsidR="009F6D8A" w:rsidRDefault="00C50974">
      <w:pPr>
        <w:ind w:firstLine="540"/>
        <w:jc w:val="both"/>
      </w:pPr>
      <w:r>
        <w:rPr>
          <w:rFonts w:ascii="Arial" w:eastAsia="宋体" w:hAnsi="Arial" w:cs="Arial"/>
          <w:color w:val="000000"/>
          <w:sz w:val="20"/>
          <w:szCs w:val="20"/>
        </w:rPr>
        <w:t>Cost of net revenues, net of immaterial hedging activities, was unfavorably impacted by $16 million attributable to foreign currency movements relative to the U.</w:t>
      </w:r>
      <w:r>
        <w:rPr>
          <w:rFonts w:ascii="Arial" w:eastAsia="宋体" w:hAnsi="Arial" w:cs="Arial"/>
          <w:color w:val="000000"/>
          <w:sz w:val="20"/>
          <w:szCs w:val="20"/>
        </w:rPr>
        <w:t>S. dollar during the three months ended June 30, 2021 compared to the same period in 2020. Cost of net revenues, net of immaterial hedging activities, was unfavorably impacted by $27 million attributable to foreign currency movements relative to the U.S. d</w:t>
      </w:r>
      <w:r>
        <w:rPr>
          <w:rFonts w:ascii="Arial" w:eastAsia="宋体" w:hAnsi="Arial" w:cs="Arial"/>
          <w:color w:val="000000"/>
          <w:sz w:val="20"/>
          <w:szCs w:val="20"/>
        </w:rPr>
        <w:t xml:space="preserve">ollar during the six months ended June 30, 2021 compared to the same period in 2020. </w:t>
      </w:r>
    </w:p>
    <w:p w14:paraId="64305052" w14:textId="77777777" w:rsidR="009F6D8A" w:rsidRDefault="009F6D8A">
      <w:pPr>
        <w:ind w:firstLine="540"/>
        <w:jc w:val="both"/>
      </w:pPr>
    </w:p>
    <w:p w14:paraId="64305053" w14:textId="77777777" w:rsidR="009F6D8A" w:rsidRDefault="00C50974">
      <w:pPr>
        <w:ind w:firstLine="540"/>
        <w:jc w:val="both"/>
      </w:pPr>
      <w:r>
        <w:rPr>
          <w:rFonts w:ascii="Arial" w:eastAsia="宋体" w:hAnsi="Arial" w:cs="Arial"/>
          <w:color w:val="000000"/>
          <w:sz w:val="20"/>
          <w:szCs w:val="20"/>
        </w:rPr>
        <w:t>The increase in cost of net revenues during the three and six months ended June 30, 2021 compared to the same periods in 2020 was primarily due to an increase in payment</w:t>
      </w:r>
      <w:r>
        <w:rPr>
          <w:rFonts w:ascii="Arial" w:eastAsia="宋体" w:hAnsi="Arial" w:cs="Arial"/>
          <w:color w:val="000000"/>
          <w:sz w:val="20"/>
          <w:szCs w:val="20"/>
        </w:rPr>
        <w:t xml:space="preserve"> processing costs as we continue to transition customers to our payments platform and an unfavorable impact from foreign currency movements relative to the U.S. dollar.</w:t>
      </w:r>
    </w:p>
    <w:p w14:paraId="64305054" w14:textId="77777777" w:rsidR="009F6D8A" w:rsidRDefault="009F6D8A">
      <w:pPr>
        <w:ind w:firstLine="540"/>
        <w:jc w:val="both"/>
      </w:pPr>
    </w:p>
    <w:p w14:paraId="64305055" w14:textId="77777777" w:rsidR="009F6D8A" w:rsidRDefault="00C50974">
      <w:pPr>
        <w:jc w:val="both"/>
      </w:pPr>
      <w:r>
        <w:rPr>
          <w:rFonts w:ascii="Arial" w:eastAsia="宋体" w:hAnsi="Arial" w:cs="Arial"/>
          <w:b/>
          <w:bCs/>
          <w:i/>
          <w:iCs/>
          <w:color w:val="000000"/>
          <w:sz w:val="20"/>
          <w:szCs w:val="20"/>
        </w:rPr>
        <w:t>Operating Expenses</w:t>
      </w:r>
    </w:p>
    <w:p w14:paraId="64305056" w14:textId="77777777" w:rsidR="009F6D8A" w:rsidRDefault="009F6D8A">
      <w:pPr>
        <w:ind w:firstLine="450"/>
        <w:jc w:val="both"/>
      </w:pPr>
    </w:p>
    <w:p w14:paraId="64305057" w14:textId="77777777" w:rsidR="009F6D8A" w:rsidRDefault="00C50974">
      <w:pPr>
        <w:spacing w:after="120"/>
        <w:ind w:firstLine="540"/>
        <w:jc w:val="both"/>
      </w:pPr>
      <w:r>
        <w:rPr>
          <w:rFonts w:ascii="Arial" w:eastAsia="宋体" w:hAnsi="Arial" w:cs="Arial"/>
          <w:color w:val="000000"/>
          <w:sz w:val="20"/>
          <w:szCs w:val="20"/>
        </w:rPr>
        <w:t xml:space="preserve">The following table presents operating expenses (in </w:t>
      </w:r>
      <w:r>
        <w:rPr>
          <w:rFonts w:ascii="Arial" w:eastAsia="宋体" w:hAnsi="Arial" w:cs="Arial"/>
          <w:color w:val="000000"/>
          <w:sz w:val="20"/>
          <w:szCs w:val="20"/>
        </w:rPr>
        <w:t>millions, except percentages): </w:t>
      </w:r>
    </w:p>
    <w:tbl>
      <w:tblPr>
        <w:tblW w:w="5000" w:type="pct"/>
        <w:tblCellMar>
          <w:top w:w="15" w:type="dxa"/>
          <w:left w:w="15" w:type="dxa"/>
          <w:bottom w:w="15" w:type="dxa"/>
          <w:right w:w="15" w:type="dxa"/>
        </w:tblCellMar>
        <w:tblLook w:val="04A0" w:firstRow="1" w:lastRow="0" w:firstColumn="1" w:lastColumn="0" w:noHBand="0" w:noVBand="1"/>
      </w:tblPr>
      <w:tblGrid>
        <w:gridCol w:w="38"/>
        <w:gridCol w:w="3193"/>
        <w:gridCol w:w="37"/>
        <w:gridCol w:w="109"/>
        <w:gridCol w:w="576"/>
        <w:gridCol w:w="163"/>
        <w:gridCol w:w="36"/>
        <w:gridCol w:w="36"/>
        <w:gridCol w:w="36"/>
        <w:gridCol w:w="109"/>
        <w:gridCol w:w="495"/>
        <w:gridCol w:w="163"/>
        <w:gridCol w:w="36"/>
        <w:gridCol w:w="36"/>
        <w:gridCol w:w="36"/>
        <w:gridCol w:w="61"/>
        <w:gridCol w:w="487"/>
        <w:gridCol w:w="163"/>
        <w:gridCol w:w="36"/>
        <w:gridCol w:w="36"/>
        <w:gridCol w:w="36"/>
        <w:gridCol w:w="109"/>
        <w:gridCol w:w="450"/>
        <w:gridCol w:w="163"/>
        <w:gridCol w:w="36"/>
        <w:gridCol w:w="36"/>
        <w:gridCol w:w="36"/>
        <w:gridCol w:w="109"/>
        <w:gridCol w:w="497"/>
        <w:gridCol w:w="163"/>
        <w:gridCol w:w="36"/>
        <w:gridCol w:w="36"/>
        <w:gridCol w:w="36"/>
        <w:gridCol w:w="61"/>
        <w:gridCol w:w="487"/>
        <w:gridCol w:w="163"/>
      </w:tblGrid>
      <w:tr w:rsidR="009F6D8A" w14:paraId="6430507C" w14:textId="77777777">
        <w:tc>
          <w:tcPr>
            <w:tcW w:w="50" w:type="pct"/>
            <w:shd w:val="clear" w:color="auto" w:fill="auto"/>
            <w:vAlign w:val="bottom"/>
          </w:tcPr>
          <w:p w14:paraId="64305058" w14:textId="77777777" w:rsidR="009F6D8A" w:rsidRDefault="009F6D8A">
            <w:pPr>
              <w:rPr>
                <w:rFonts w:ascii="宋体"/>
              </w:rPr>
            </w:pPr>
          </w:p>
        </w:tc>
        <w:tc>
          <w:tcPr>
            <w:tcW w:w="1999" w:type="pct"/>
            <w:shd w:val="clear" w:color="auto" w:fill="auto"/>
            <w:vAlign w:val="bottom"/>
          </w:tcPr>
          <w:p w14:paraId="64305059" w14:textId="77777777" w:rsidR="009F6D8A" w:rsidRDefault="009F6D8A">
            <w:pPr>
              <w:rPr>
                <w:rFonts w:ascii="宋体"/>
              </w:rPr>
            </w:pPr>
          </w:p>
        </w:tc>
        <w:tc>
          <w:tcPr>
            <w:tcW w:w="5" w:type="pct"/>
            <w:shd w:val="clear" w:color="auto" w:fill="auto"/>
            <w:vAlign w:val="bottom"/>
          </w:tcPr>
          <w:p w14:paraId="6430505A" w14:textId="77777777" w:rsidR="009F6D8A" w:rsidRDefault="009F6D8A">
            <w:pPr>
              <w:rPr>
                <w:rFonts w:ascii="宋体"/>
              </w:rPr>
            </w:pPr>
          </w:p>
        </w:tc>
        <w:tc>
          <w:tcPr>
            <w:tcW w:w="50" w:type="pct"/>
            <w:shd w:val="clear" w:color="auto" w:fill="auto"/>
            <w:vAlign w:val="bottom"/>
          </w:tcPr>
          <w:p w14:paraId="6430505B" w14:textId="77777777" w:rsidR="009F6D8A" w:rsidRDefault="009F6D8A">
            <w:pPr>
              <w:rPr>
                <w:rFonts w:ascii="宋体"/>
              </w:rPr>
            </w:pPr>
          </w:p>
        </w:tc>
        <w:tc>
          <w:tcPr>
            <w:tcW w:w="405" w:type="pct"/>
            <w:shd w:val="clear" w:color="auto" w:fill="auto"/>
            <w:vAlign w:val="bottom"/>
          </w:tcPr>
          <w:p w14:paraId="6430505C" w14:textId="77777777" w:rsidR="009F6D8A" w:rsidRDefault="009F6D8A">
            <w:pPr>
              <w:rPr>
                <w:rFonts w:ascii="宋体"/>
              </w:rPr>
            </w:pPr>
          </w:p>
        </w:tc>
        <w:tc>
          <w:tcPr>
            <w:tcW w:w="5" w:type="pct"/>
            <w:shd w:val="clear" w:color="auto" w:fill="auto"/>
            <w:vAlign w:val="bottom"/>
          </w:tcPr>
          <w:p w14:paraId="6430505D" w14:textId="77777777" w:rsidR="009F6D8A" w:rsidRDefault="009F6D8A">
            <w:pPr>
              <w:rPr>
                <w:rFonts w:ascii="宋体"/>
              </w:rPr>
            </w:pPr>
          </w:p>
        </w:tc>
        <w:tc>
          <w:tcPr>
            <w:tcW w:w="5" w:type="pct"/>
            <w:shd w:val="clear" w:color="auto" w:fill="auto"/>
            <w:vAlign w:val="bottom"/>
          </w:tcPr>
          <w:p w14:paraId="6430505E" w14:textId="77777777" w:rsidR="009F6D8A" w:rsidRDefault="009F6D8A">
            <w:pPr>
              <w:rPr>
                <w:rFonts w:ascii="宋体"/>
              </w:rPr>
            </w:pPr>
          </w:p>
        </w:tc>
        <w:tc>
          <w:tcPr>
            <w:tcW w:w="26" w:type="pct"/>
            <w:shd w:val="clear" w:color="auto" w:fill="auto"/>
            <w:vAlign w:val="bottom"/>
          </w:tcPr>
          <w:p w14:paraId="6430505F" w14:textId="77777777" w:rsidR="009F6D8A" w:rsidRDefault="009F6D8A">
            <w:pPr>
              <w:rPr>
                <w:rFonts w:ascii="宋体"/>
              </w:rPr>
            </w:pPr>
          </w:p>
        </w:tc>
        <w:tc>
          <w:tcPr>
            <w:tcW w:w="5" w:type="pct"/>
            <w:shd w:val="clear" w:color="auto" w:fill="auto"/>
            <w:vAlign w:val="bottom"/>
          </w:tcPr>
          <w:p w14:paraId="64305060" w14:textId="77777777" w:rsidR="009F6D8A" w:rsidRDefault="009F6D8A">
            <w:pPr>
              <w:rPr>
                <w:rFonts w:ascii="宋体"/>
              </w:rPr>
            </w:pPr>
          </w:p>
        </w:tc>
        <w:tc>
          <w:tcPr>
            <w:tcW w:w="50" w:type="pct"/>
            <w:shd w:val="clear" w:color="auto" w:fill="auto"/>
            <w:vAlign w:val="bottom"/>
          </w:tcPr>
          <w:p w14:paraId="64305061" w14:textId="77777777" w:rsidR="009F6D8A" w:rsidRDefault="009F6D8A">
            <w:pPr>
              <w:rPr>
                <w:rFonts w:ascii="宋体"/>
              </w:rPr>
            </w:pPr>
          </w:p>
        </w:tc>
        <w:tc>
          <w:tcPr>
            <w:tcW w:w="405" w:type="pct"/>
            <w:shd w:val="clear" w:color="auto" w:fill="auto"/>
            <w:vAlign w:val="bottom"/>
          </w:tcPr>
          <w:p w14:paraId="64305062" w14:textId="77777777" w:rsidR="009F6D8A" w:rsidRDefault="009F6D8A">
            <w:pPr>
              <w:rPr>
                <w:rFonts w:ascii="宋体"/>
              </w:rPr>
            </w:pPr>
          </w:p>
        </w:tc>
        <w:tc>
          <w:tcPr>
            <w:tcW w:w="5" w:type="pct"/>
            <w:shd w:val="clear" w:color="auto" w:fill="auto"/>
            <w:vAlign w:val="bottom"/>
          </w:tcPr>
          <w:p w14:paraId="64305063" w14:textId="77777777" w:rsidR="009F6D8A" w:rsidRDefault="009F6D8A">
            <w:pPr>
              <w:rPr>
                <w:rFonts w:ascii="宋体"/>
              </w:rPr>
            </w:pPr>
          </w:p>
        </w:tc>
        <w:tc>
          <w:tcPr>
            <w:tcW w:w="5" w:type="pct"/>
            <w:shd w:val="clear" w:color="auto" w:fill="auto"/>
            <w:vAlign w:val="bottom"/>
          </w:tcPr>
          <w:p w14:paraId="64305064" w14:textId="77777777" w:rsidR="009F6D8A" w:rsidRDefault="009F6D8A">
            <w:pPr>
              <w:rPr>
                <w:rFonts w:ascii="宋体"/>
              </w:rPr>
            </w:pPr>
          </w:p>
        </w:tc>
        <w:tc>
          <w:tcPr>
            <w:tcW w:w="26" w:type="pct"/>
            <w:shd w:val="clear" w:color="auto" w:fill="auto"/>
            <w:vAlign w:val="bottom"/>
          </w:tcPr>
          <w:p w14:paraId="64305065" w14:textId="77777777" w:rsidR="009F6D8A" w:rsidRDefault="009F6D8A">
            <w:pPr>
              <w:rPr>
                <w:rFonts w:ascii="宋体"/>
              </w:rPr>
            </w:pPr>
          </w:p>
        </w:tc>
        <w:tc>
          <w:tcPr>
            <w:tcW w:w="5" w:type="pct"/>
            <w:shd w:val="clear" w:color="auto" w:fill="auto"/>
            <w:vAlign w:val="bottom"/>
          </w:tcPr>
          <w:p w14:paraId="64305066" w14:textId="77777777" w:rsidR="009F6D8A" w:rsidRDefault="009F6D8A">
            <w:pPr>
              <w:rPr>
                <w:rFonts w:ascii="宋体"/>
              </w:rPr>
            </w:pPr>
          </w:p>
        </w:tc>
        <w:tc>
          <w:tcPr>
            <w:tcW w:w="50" w:type="pct"/>
            <w:shd w:val="clear" w:color="auto" w:fill="auto"/>
            <w:vAlign w:val="bottom"/>
          </w:tcPr>
          <w:p w14:paraId="64305067" w14:textId="77777777" w:rsidR="009F6D8A" w:rsidRDefault="009F6D8A">
            <w:pPr>
              <w:rPr>
                <w:rFonts w:ascii="宋体"/>
              </w:rPr>
            </w:pPr>
          </w:p>
        </w:tc>
        <w:tc>
          <w:tcPr>
            <w:tcW w:w="405" w:type="pct"/>
            <w:shd w:val="clear" w:color="auto" w:fill="auto"/>
            <w:vAlign w:val="bottom"/>
          </w:tcPr>
          <w:p w14:paraId="64305068" w14:textId="77777777" w:rsidR="009F6D8A" w:rsidRDefault="009F6D8A">
            <w:pPr>
              <w:rPr>
                <w:rFonts w:ascii="宋体"/>
              </w:rPr>
            </w:pPr>
          </w:p>
        </w:tc>
        <w:tc>
          <w:tcPr>
            <w:tcW w:w="5" w:type="pct"/>
            <w:shd w:val="clear" w:color="auto" w:fill="auto"/>
            <w:vAlign w:val="bottom"/>
          </w:tcPr>
          <w:p w14:paraId="64305069" w14:textId="77777777" w:rsidR="009F6D8A" w:rsidRDefault="009F6D8A">
            <w:pPr>
              <w:rPr>
                <w:rFonts w:ascii="宋体"/>
              </w:rPr>
            </w:pPr>
          </w:p>
        </w:tc>
        <w:tc>
          <w:tcPr>
            <w:tcW w:w="5" w:type="pct"/>
            <w:shd w:val="clear" w:color="auto" w:fill="auto"/>
            <w:vAlign w:val="bottom"/>
          </w:tcPr>
          <w:p w14:paraId="6430506A" w14:textId="77777777" w:rsidR="009F6D8A" w:rsidRDefault="009F6D8A">
            <w:pPr>
              <w:rPr>
                <w:rFonts w:ascii="宋体"/>
              </w:rPr>
            </w:pPr>
          </w:p>
        </w:tc>
        <w:tc>
          <w:tcPr>
            <w:tcW w:w="26" w:type="pct"/>
            <w:shd w:val="clear" w:color="auto" w:fill="auto"/>
            <w:vAlign w:val="bottom"/>
          </w:tcPr>
          <w:p w14:paraId="6430506B" w14:textId="77777777" w:rsidR="009F6D8A" w:rsidRDefault="009F6D8A">
            <w:pPr>
              <w:rPr>
                <w:rFonts w:ascii="宋体"/>
              </w:rPr>
            </w:pPr>
          </w:p>
        </w:tc>
        <w:tc>
          <w:tcPr>
            <w:tcW w:w="5" w:type="pct"/>
            <w:shd w:val="clear" w:color="auto" w:fill="auto"/>
            <w:vAlign w:val="bottom"/>
          </w:tcPr>
          <w:p w14:paraId="6430506C" w14:textId="77777777" w:rsidR="009F6D8A" w:rsidRDefault="009F6D8A">
            <w:pPr>
              <w:rPr>
                <w:rFonts w:ascii="宋体"/>
              </w:rPr>
            </w:pPr>
          </w:p>
        </w:tc>
        <w:tc>
          <w:tcPr>
            <w:tcW w:w="50" w:type="pct"/>
            <w:shd w:val="clear" w:color="auto" w:fill="auto"/>
            <w:vAlign w:val="bottom"/>
          </w:tcPr>
          <w:p w14:paraId="6430506D" w14:textId="77777777" w:rsidR="009F6D8A" w:rsidRDefault="009F6D8A">
            <w:pPr>
              <w:rPr>
                <w:rFonts w:ascii="宋体"/>
              </w:rPr>
            </w:pPr>
          </w:p>
        </w:tc>
        <w:tc>
          <w:tcPr>
            <w:tcW w:w="405" w:type="pct"/>
            <w:shd w:val="clear" w:color="auto" w:fill="auto"/>
            <w:vAlign w:val="bottom"/>
          </w:tcPr>
          <w:p w14:paraId="6430506E" w14:textId="77777777" w:rsidR="009F6D8A" w:rsidRDefault="009F6D8A">
            <w:pPr>
              <w:rPr>
                <w:rFonts w:ascii="宋体"/>
              </w:rPr>
            </w:pPr>
          </w:p>
        </w:tc>
        <w:tc>
          <w:tcPr>
            <w:tcW w:w="5" w:type="pct"/>
            <w:shd w:val="clear" w:color="auto" w:fill="auto"/>
            <w:vAlign w:val="bottom"/>
          </w:tcPr>
          <w:p w14:paraId="6430506F" w14:textId="77777777" w:rsidR="009F6D8A" w:rsidRDefault="009F6D8A">
            <w:pPr>
              <w:rPr>
                <w:rFonts w:ascii="宋体"/>
              </w:rPr>
            </w:pPr>
          </w:p>
        </w:tc>
        <w:tc>
          <w:tcPr>
            <w:tcW w:w="5" w:type="pct"/>
            <w:shd w:val="clear" w:color="auto" w:fill="auto"/>
            <w:vAlign w:val="bottom"/>
          </w:tcPr>
          <w:p w14:paraId="64305070" w14:textId="77777777" w:rsidR="009F6D8A" w:rsidRDefault="009F6D8A">
            <w:pPr>
              <w:rPr>
                <w:rFonts w:ascii="宋体"/>
              </w:rPr>
            </w:pPr>
          </w:p>
        </w:tc>
        <w:tc>
          <w:tcPr>
            <w:tcW w:w="26" w:type="pct"/>
            <w:shd w:val="clear" w:color="auto" w:fill="auto"/>
            <w:vAlign w:val="bottom"/>
          </w:tcPr>
          <w:p w14:paraId="64305071" w14:textId="77777777" w:rsidR="009F6D8A" w:rsidRDefault="009F6D8A">
            <w:pPr>
              <w:rPr>
                <w:rFonts w:ascii="宋体"/>
              </w:rPr>
            </w:pPr>
          </w:p>
        </w:tc>
        <w:tc>
          <w:tcPr>
            <w:tcW w:w="5" w:type="pct"/>
            <w:shd w:val="clear" w:color="auto" w:fill="auto"/>
            <w:vAlign w:val="bottom"/>
          </w:tcPr>
          <w:p w14:paraId="64305072" w14:textId="77777777" w:rsidR="009F6D8A" w:rsidRDefault="009F6D8A">
            <w:pPr>
              <w:rPr>
                <w:rFonts w:ascii="宋体"/>
              </w:rPr>
            </w:pPr>
          </w:p>
        </w:tc>
        <w:tc>
          <w:tcPr>
            <w:tcW w:w="50" w:type="pct"/>
            <w:shd w:val="clear" w:color="auto" w:fill="auto"/>
            <w:vAlign w:val="bottom"/>
          </w:tcPr>
          <w:p w14:paraId="64305073" w14:textId="77777777" w:rsidR="009F6D8A" w:rsidRDefault="009F6D8A">
            <w:pPr>
              <w:rPr>
                <w:rFonts w:ascii="宋体"/>
              </w:rPr>
            </w:pPr>
          </w:p>
        </w:tc>
        <w:tc>
          <w:tcPr>
            <w:tcW w:w="405" w:type="pct"/>
            <w:shd w:val="clear" w:color="auto" w:fill="auto"/>
            <w:vAlign w:val="bottom"/>
          </w:tcPr>
          <w:p w14:paraId="64305074" w14:textId="77777777" w:rsidR="009F6D8A" w:rsidRDefault="009F6D8A">
            <w:pPr>
              <w:rPr>
                <w:rFonts w:ascii="宋体"/>
              </w:rPr>
            </w:pPr>
          </w:p>
        </w:tc>
        <w:tc>
          <w:tcPr>
            <w:tcW w:w="5" w:type="pct"/>
            <w:shd w:val="clear" w:color="auto" w:fill="auto"/>
            <w:vAlign w:val="bottom"/>
          </w:tcPr>
          <w:p w14:paraId="64305075" w14:textId="77777777" w:rsidR="009F6D8A" w:rsidRDefault="009F6D8A">
            <w:pPr>
              <w:rPr>
                <w:rFonts w:ascii="宋体"/>
              </w:rPr>
            </w:pPr>
          </w:p>
        </w:tc>
        <w:tc>
          <w:tcPr>
            <w:tcW w:w="5" w:type="pct"/>
            <w:shd w:val="clear" w:color="auto" w:fill="auto"/>
            <w:vAlign w:val="bottom"/>
          </w:tcPr>
          <w:p w14:paraId="64305076" w14:textId="77777777" w:rsidR="009F6D8A" w:rsidRDefault="009F6D8A">
            <w:pPr>
              <w:rPr>
                <w:rFonts w:ascii="宋体"/>
              </w:rPr>
            </w:pPr>
          </w:p>
        </w:tc>
        <w:tc>
          <w:tcPr>
            <w:tcW w:w="26" w:type="pct"/>
            <w:shd w:val="clear" w:color="auto" w:fill="auto"/>
            <w:vAlign w:val="bottom"/>
          </w:tcPr>
          <w:p w14:paraId="64305077" w14:textId="77777777" w:rsidR="009F6D8A" w:rsidRDefault="009F6D8A">
            <w:pPr>
              <w:rPr>
                <w:rFonts w:ascii="宋体"/>
              </w:rPr>
            </w:pPr>
          </w:p>
        </w:tc>
        <w:tc>
          <w:tcPr>
            <w:tcW w:w="5" w:type="pct"/>
            <w:shd w:val="clear" w:color="auto" w:fill="auto"/>
            <w:vAlign w:val="bottom"/>
          </w:tcPr>
          <w:p w14:paraId="64305078" w14:textId="77777777" w:rsidR="009F6D8A" w:rsidRDefault="009F6D8A">
            <w:pPr>
              <w:rPr>
                <w:rFonts w:ascii="宋体"/>
              </w:rPr>
            </w:pPr>
          </w:p>
        </w:tc>
        <w:tc>
          <w:tcPr>
            <w:tcW w:w="50" w:type="pct"/>
            <w:shd w:val="clear" w:color="auto" w:fill="auto"/>
            <w:vAlign w:val="bottom"/>
          </w:tcPr>
          <w:p w14:paraId="64305079" w14:textId="77777777" w:rsidR="009F6D8A" w:rsidRDefault="009F6D8A">
            <w:pPr>
              <w:rPr>
                <w:rFonts w:ascii="宋体"/>
              </w:rPr>
            </w:pPr>
          </w:p>
        </w:tc>
        <w:tc>
          <w:tcPr>
            <w:tcW w:w="405" w:type="pct"/>
            <w:shd w:val="clear" w:color="auto" w:fill="auto"/>
            <w:vAlign w:val="bottom"/>
          </w:tcPr>
          <w:p w14:paraId="6430507A" w14:textId="77777777" w:rsidR="009F6D8A" w:rsidRDefault="009F6D8A">
            <w:pPr>
              <w:rPr>
                <w:rFonts w:ascii="宋体"/>
              </w:rPr>
            </w:pPr>
          </w:p>
        </w:tc>
        <w:tc>
          <w:tcPr>
            <w:tcW w:w="5" w:type="pct"/>
            <w:shd w:val="clear" w:color="auto" w:fill="auto"/>
            <w:vAlign w:val="bottom"/>
          </w:tcPr>
          <w:p w14:paraId="6430507B" w14:textId="77777777" w:rsidR="009F6D8A" w:rsidRDefault="009F6D8A">
            <w:pPr>
              <w:rPr>
                <w:rFonts w:ascii="宋体"/>
              </w:rPr>
            </w:pPr>
          </w:p>
        </w:tc>
      </w:tr>
      <w:tr w:rsidR="009F6D8A" w14:paraId="64305085" w14:textId="77777777">
        <w:tc>
          <w:tcPr>
            <w:tcW w:w="0" w:type="auto"/>
            <w:gridSpan w:val="3"/>
            <w:shd w:val="clear" w:color="auto" w:fill="auto"/>
            <w:tcMar>
              <w:top w:w="40" w:type="dxa"/>
              <w:left w:w="20" w:type="dxa"/>
              <w:bottom w:w="40" w:type="dxa"/>
              <w:right w:w="20" w:type="dxa"/>
            </w:tcMar>
            <w:vAlign w:val="bottom"/>
          </w:tcPr>
          <w:p w14:paraId="6430507D" w14:textId="77777777" w:rsidR="009F6D8A" w:rsidRDefault="00C50974">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6430507E" w14:textId="77777777" w:rsidR="009F6D8A" w:rsidRDefault="00C50974">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w:t>
            </w:r>
          </w:p>
        </w:tc>
        <w:tc>
          <w:tcPr>
            <w:tcW w:w="0" w:type="auto"/>
            <w:gridSpan w:val="3"/>
            <w:shd w:val="clear" w:color="auto" w:fill="auto"/>
            <w:tcMar>
              <w:top w:w="0" w:type="dxa"/>
              <w:left w:w="20" w:type="dxa"/>
              <w:bottom w:w="0" w:type="dxa"/>
              <w:right w:w="20" w:type="dxa"/>
            </w:tcMar>
            <w:vAlign w:val="bottom"/>
          </w:tcPr>
          <w:p w14:paraId="6430507F"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080"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081"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5082" w14:textId="77777777" w:rsidR="009F6D8A" w:rsidRDefault="00C50974">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w:t>
            </w:r>
          </w:p>
        </w:tc>
        <w:tc>
          <w:tcPr>
            <w:tcW w:w="0" w:type="auto"/>
            <w:gridSpan w:val="3"/>
            <w:shd w:val="clear" w:color="auto" w:fill="auto"/>
            <w:tcMar>
              <w:top w:w="0" w:type="dxa"/>
              <w:left w:w="20" w:type="dxa"/>
              <w:bottom w:w="0" w:type="dxa"/>
              <w:right w:w="20" w:type="dxa"/>
            </w:tcMar>
            <w:vAlign w:val="bottom"/>
          </w:tcPr>
          <w:p w14:paraId="64305083"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084" w14:textId="77777777" w:rsidR="009F6D8A" w:rsidRDefault="009F6D8A">
            <w:pPr>
              <w:rPr>
                <w:rFonts w:ascii="宋体"/>
              </w:rPr>
            </w:pPr>
          </w:p>
        </w:tc>
      </w:tr>
      <w:tr w:rsidR="009F6D8A" w14:paraId="64305092" w14:textId="77777777">
        <w:tc>
          <w:tcPr>
            <w:tcW w:w="0" w:type="auto"/>
            <w:gridSpan w:val="3"/>
            <w:shd w:val="clear" w:color="auto" w:fill="auto"/>
            <w:tcMar>
              <w:top w:w="40" w:type="dxa"/>
              <w:left w:w="20" w:type="dxa"/>
              <w:bottom w:w="40" w:type="dxa"/>
              <w:right w:w="20" w:type="dxa"/>
            </w:tcMar>
            <w:vAlign w:val="bottom"/>
          </w:tcPr>
          <w:p w14:paraId="64305086" w14:textId="77777777" w:rsidR="009F6D8A" w:rsidRDefault="00C50974">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087" w14:textId="77777777" w:rsidR="009F6D8A" w:rsidRDefault="00C50974">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088"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089" w14:textId="77777777" w:rsidR="009F6D8A" w:rsidRDefault="00C50974">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6430508A"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08B" w14:textId="77777777" w:rsidR="009F6D8A" w:rsidRDefault="00C50974">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vAlign w:val="bottom"/>
          </w:tcPr>
          <w:p w14:paraId="6430508C"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08D" w14:textId="77777777" w:rsidR="009F6D8A" w:rsidRDefault="00C50974">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08E"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08F" w14:textId="77777777" w:rsidR="009F6D8A" w:rsidRDefault="00C50974">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64305090"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091" w14:textId="77777777" w:rsidR="009F6D8A" w:rsidRDefault="00C50974">
            <w:pPr>
              <w:jc w:val="center"/>
              <w:textAlignment w:val="bottom"/>
            </w:pPr>
            <w:r>
              <w:rPr>
                <w:rFonts w:ascii="Arial" w:eastAsia="宋体" w:hAnsi="Arial" w:cs="Arial"/>
                <w:b/>
                <w:bCs/>
                <w:color w:val="000000"/>
                <w:sz w:val="14"/>
                <w:szCs w:val="14"/>
              </w:rPr>
              <w:t>% Change</w:t>
            </w:r>
          </w:p>
        </w:tc>
      </w:tr>
      <w:tr w:rsidR="009F6D8A" w14:paraId="643050A9" w14:textId="77777777">
        <w:tc>
          <w:tcPr>
            <w:tcW w:w="0" w:type="auto"/>
            <w:gridSpan w:val="3"/>
            <w:shd w:val="clear" w:color="auto" w:fill="E2E2E2"/>
            <w:tcMar>
              <w:top w:w="40" w:type="dxa"/>
              <w:left w:w="20" w:type="dxa"/>
              <w:bottom w:w="40" w:type="dxa"/>
              <w:right w:w="20" w:type="dxa"/>
            </w:tcMar>
            <w:vAlign w:val="bottom"/>
          </w:tcPr>
          <w:p w14:paraId="64305093" w14:textId="77777777" w:rsidR="009F6D8A" w:rsidRDefault="00C50974">
            <w:pPr>
              <w:textAlignment w:val="bottom"/>
            </w:pPr>
            <w:r>
              <w:rPr>
                <w:rFonts w:ascii="Arial" w:eastAsia="宋体" w:hAnsi="Arial" w:cs="Arial"/>
                <w:color w:val="000000"/>
                <w:sz w:val="16"/>
                <w:szCs w:val="16"/>
              </w:rPr>
              <w:t>Sales and marketing</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5094"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5095" w14:textId="77777777" w:rsidR="009F6D8A" w:rsidRDefault="00C50974">
            <w:pPr>
              <w:jc w:val="right"/>
              <w:textAlignment w:val="bottom"/>
            </w:pPr>
            <w:r>
              <w:rPr>
                <w:rFonts w:ascii="Arial" w:eastAsia="宋体" w:hAnsi="Arial" w:cs="Arial"/>
                <w:color w:val="000000"/>
                <w:sz w:val="16"/>
                <w:szCs w:val="16"/>
              </w:rPr>
              <w:t>559 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09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097"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5098"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5099" w14:textId="77777777" w:rsidR="009F6D8A" w:rsidRDefault="00C50974">
            <w:pPr>
              <w:jc w:val="right"/>
              <w:textAlignment w:val="bottom"/>
            </w:pPr>
            <w:r>
              <w:rPr>
                <w:rFonts w:ascii="Arial" w:eastAsia="宋体" w:hAnsi="Arial" w:cs="Arial"/>
                <w:color w:val="000000"/>
                <w:sz w:val="16"/>
                <w:szCs w:val="16"/>
              </w:rPr>
              <w:t>523 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09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09B"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509C" w14:textId="77777777" w:rsidR="009F6D8A" w:rsidRDefault="00C50974">
            <w:pPr>
              <w:jc w:val="right"/>
              <w:textAlignment w:val="bottom"/>
            </w:pPr>
            <w:r>
              <w:rPr>
                <w:rFonts w:ascii="Arial" w:eastAsia="宋体" w:hAnsi="Arial" w:cs="Arial"/>
                <w:color w:val="000000"/>
                <w:sz w:val="16"/>
                <w:szCs w:val="16"/>
              </w:rPr>
              <w:t>7 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09D"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509E"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509F"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50A0" w14:textId="77777777" w:rsidR="009F6D8A" w:rsidRDefault="00C50974">
            <w:pPr>
              <w:jc w:val="right"/>
              <w:textAlignment w:val="bottom"/>
            </w:pPr>
            <w:r>
              <w:rPr>
                <w:rFonts w:ascii="Arial" w:eastAsia="宋体" w:hAnsi="Arial" w:cs="Arial"/>
                <w:color w:val="000000"/>
                <w:sz w:val="16"/>
                <w:szCs w:val="16"/>
              </w:rPr>
              <w:t>1,105 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0A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0A2"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50A3"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50A4" w14:textId="77777777" w:rsidR="009F6D8A" w:rsidRDefault="00C50974">
            <w:pPr>
              <w:jc w:val="right"/>
              <w:textAlignment w:val="bottom"/>
            </w:pPr>
            <w:r>
              <w:rPr>
                <w:rFonts w:ascii="Arial" w:eastAsia="宋体" w:hAnsi="Arial" w:cs="Arial"/>
                <w:color w:val="000000"/>
                <w:sz w:val="16"/>
                <w:szCs w:val="16"/>
              </w:rPr>
              <w:t>917 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0A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0A6"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50A7" w14:textId="77777777" w:rsidR="009F6D8A" w:rsidRDefault="00C50974">
            <w:pPr>
              <w:jc w:val="right"/>
              <w:textAlignment w:val="bottom"/>
            </w:pPr>
            <w:r>
              <w:rPr>
                <w:rFonts w:ascii="Arial" w:eastAsia="宋体" w:hAnsi="Arial" w:cs="Arial"/>
                <w:color w:val="000000"/>
                <w:sz w:val="16"/>
                <w:szCs w:val="16"/>
              </w:rPr>
              <w:t>21 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0A8" w14:textId="77777777" w:rsidR="009F6D8A" w:rsidRDefault="00C50974">
            <w:pPr>
              <w:jc w:val="right"/>
              <w:textAlignment w:val="bottom"/>
            </w:pPr>
            <w:r>
              <w:rPr>
                <w:rFonts w:ascii="Arial" w:eastAsia="宋体" w:hAnsi="Arial" w:cs="Arial"/>
                <w:color w:val="000000"/>
                <w:sz w:val="16"/>
                <w:szCs w:val="16"/>
              </w:rPr>
              <w:t>%</w:t>
            </w:r>
          </w:p>
        </w:tc>
      </w:tr>
      <w:tr w:rsidR="009F6D8A" w14:paraId="643050BA" w14:textId="77777777">
        <w:tc>
          <w:tcPr>
            <w:tcW w:w="0" w:type="auto"/>
            <w:gridSpan w:val="3"/>
            <w:shd w:val="clear" w:color="auto" w:fill="FFFFFF"/>
            <w:tcMar>
              <w:top w:w="40" w:type="dxa"/>
              <w:left w:w="155" w:type="dxa"/>
              <w:bottom w:w="40" w:type="dxa"/>
              <w:right w:w="20" w:type="dxa"/>
            </w:tcMar>
            <w:vAlign w:val="bottom"/>
          </w:tcPr>
          <w:p w14:paraId="643050AA" w14:textId="77777777" w:rsidR="009F6D8A" w:rsidRDefault="00C50974">
            <w:pPr>
              <w:textAlignment w:val="bottom"/>
            </w:pPr>
            <w:r>
              <w:rPr>
                <w:rFonts w:ascii="Arial" w:eastAsia="宋体" w:hAnsi="Arial" w:cs="Arial"/>
                <w:i/>
                <w:iCs/>
                <w:color w:val="000000"/>
                <w:sz w:val="16"/>
                <w:szCs w:val="16"/>
              </w:rPr>
              <w:t>Perce</w:t>
            </w:r>
            <w:r>
              <w:rPr>
                <w:rFonts w:ascii="Arial" w:eastAsia="宋体" w:hAnsi="Arial" w:cs="Arial"/>
                <w:i/>
                <w:iCs/>
                <w:color w:val="000000"/>
                <w:sz w:val="16"/>
                <w:szCs w:val="16"/>
              </w:rPr>
              <w:t>ntage of net revenues</w:t>
            </w:r>
          </w:p>
        </w:tc>
        <w:tc>
          <w:tcPr>
            <w:tcW w:w="0" w:type="auto"/>
            <w:gridSpan w:val="2"/>
            <w:shd w:val="clear" w:color="auto" w:fill="FFFFFF"/>
            <w:tcMar>
              <w:top w:w="40" w:type="dxa"/>
              <w:left w:w="20" w:type="dxa"/>
              <w:bottom w:w="40" w:type="dxa"/>
              <w:right w:w="0" w:type="dxa"/>
            </w:tcMar>
            <w:vAlign w:val="bottom"/>
          </w:tcPr>
          <w:p w14:paraId="643050AB" w14:textId="77777777" w:rsidR="009F6D8A" w:rsidRDefault="00C50974">
            <w:pPr>
              <w:jc w:val="right"/>
              <w:textAlignment w:val="bottom"/>
            </w:pPr>
            <w:r>
              <w:rPr>
                <w:rFonts w:ascii="Arial" w:eastAsia="宋体" w:hAnsi="Arial" w:cs="Arial"/>
                <w:i/>
                <w:iCs/>
                <w:color w:val="000000"/>
                <w:sz w:val="16"/>
                <w:szCs w:val="16"/>
              </w:rPr>
              <w:t>21 </w:t>
            </w:r>
          </w:p>
        </w:tc>
        <w:tc>
          <w:tcPr>
            <w:tcW w:w="0" w:type="auto"/>
            <w:shd w:val="clear" w:color="auto" w:fill="FFFFFF"/>
            <w:tcMar>
              <w:top w:w="40" w:type="dxa"/>
              <w:left w:w="0" w:type="dxa"/>
              <w:bottom w:w="40" w:type="dxa"/>
              <w:right w:w="20" w:type="dxa"/>
            </w:tcMar>
            <w:vAlign w:val="bottom"/>
          </w:tcPr>
          <w:p w14:paraId="643050AC"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0A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0AE" w14:textId="77777777" w:rsidR="009F6D8A" w:rsidRDefault="00C50974">
            <w:pPr>
              <w:jc w:val="right"/>
              <w:textAlignment w:val="bottom"/>
            </w:pPr>
            <w:r>
              <w:rPr>
                <w:rFonts w:ascii="Arial" w:eastAsia="宋体" w:hAnsi="Arial" w:cs="Arial"/>
                <w:i/>
                <w:iCs/>
                <w:color w:val="000000"/>
                <w:sz w:val="16"/>
                <w:szCs w:val="16"/>
              </w:rPr>
              <w:t>22 </w:t>
            </w:r>
          </w:p>
        </w:tc>
        <w:tc>
          <w:tcPr>
            <w:tcW w:w="0" w:type="auto"/>
            <w:shd w:val="clear" w:color="auto" w:fill="FFFFFF"/>
            <w:tcMar>
              <w:top w:w="40" w:type="dxa"/>
              <w:left w:w="0" w:type="dxa"/>
              <w:bottom w:w="40" w:type="dxa"/>
              <w:right w:w="20" w:type="dxa"/>
            </w:tcMar>
            <w:vAlign w:val="bottom"/>
          </w:tcPr>
          <w:p w14:paraId="643050AF"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0B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0B1"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0B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0B3" w14:textId="77777777" w:rsidR="009F6D8A" w:rsidRDefault="00C50974">
            <w:pPr>
              <w:jc w:val="right"/>
              <w:textAlignment w:val="bottom"/>
            </w:pPr>
            <w:r>
              <w:rPr>
                <w:rFonts w:ascii="Arial" w:eastAsia="宋体" w:hAnsi="Arial" w:cs="Arial"/>
                <w:i/>
                <w:iCs/>
                <w:color w:val="000000"/>
                <w:sz w:val="16"/>
                <w:szCs w:val="16"/>
              </w:rPr>
              <w:t>21 </w:t>
            </w:r>
          </w:p>
        </w:tc>
        <w:tc>
          <w:tcPr>
            <w:tcW w:w="0" w:type="auto"/>
            <w:shd w:val="clear" w:color="auto" w:fill="FFFFFF"/>
            <w:tcMar>
              <w:top w:w="40" w:type="dxa"/>
              <w:left w:w="0" w:type="dxa"/>
              <w:bottom w:w="40" w:type="dxa"/>
              <w:right w:w="20" w:type="dxa"/>
            </w:tcMar>
            <w:vAlign w:val="bottom"/>
          </w:tcPr>
          <w:p w14:paraId="643050B4"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0B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0B6" w14:textId="77777777" w:rsidR="009F6D8A" w:rsidRDefault="00C50974">
            <w:pPr>
              <w:jc w:val="right"/>
              <w:textAlignment w:val="bottom"/>
            </w:pPr>
            <w:r>
              <w:rPr>
                <w:rFonts w:ascii="Arial" w:eastAsia="宋体" w:hAnsi="Arial" w:cs="Arial"/>
                <w:i/>
                <w:iCs/>
                <w:color w:val="000000"/>
                <w:sz w:val="16"/>
                <w:szCs w:val="16"/>
              </w:rPr>
              <w:t>22 </w:t>
            </w:r>
          </w:p>
        </w:tc>
        <w:tc>
          <w:tcPr>
            <w:tcW w:w="0" w:type="auto"/>
            <w:shd w:val="clear" w:color="auto" w:fill="FFFFFF"/>
            <w:tcMar>
              <w:top w:w="40" w:type="dxa"/>
              <w:left w:w="0" w:type="dxa"/>
              <w:bottom w:w="40" w:type="dxa"/>
              <w:right w:w="20" w:type="dxa"/>
            </w:tcMar>
            <w:vAlign w:val="bottom"/>
          </w:tcPr>
          <w:p w14:paraId="643050B7"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0B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0B9" w14:textId="77777777" w:rsidR="009F6D8A" w:rsidRDefault="009F6D8A">
            <w:pPr>
              <w:rPr>
                <w:rFonts w:ascii="宋体"/>
              </w:rPr>
            </w:pPr>
          </w:p>
        </w:tc>
      </w:tr>
      <w:tr w:rsidR="009F6D8A" w14:paraId="643050CD" w14:textId="77777777">
        <w:tc>
          <w:tcPr>
            <w:tcW w:w="0" w:type="auto"/>
            <w:gridSpan w:val="3"/>
            <w:shd w:val="clear" w:color="auto" w:fill="E2E2E2"/>
            <w:tcMar>
              <w:top w:w="40" w:type="dxa"/>
              <w:left w:w="20" w:type="dxa"/>
              <w:bottom w:w="40" w:type="dxa"/>
              <w:right w:w="20" w:type="dxa"/>
            </w:tcMar>
            <w:vAlign w:val="bottom"/>
          </w:tcPr>
          <w:p w14:paraId="643050BB" w14:textId="77777777" w:rsidR="009F6D8A" w:rsidRDefault="00C50974">
            <w:pPr>
              <w:textAlignment w:val="bottom"/>
            </w:pPr>
            <w:r>
              <w:rPr>
                <w:rFonts w:ascii="Arial" w:eastAsia="宋体" w:hAnsi="Arial" w:cs="Arial"/>
                <w:color w:val="000000"/>
                <w:sz w:val="16"/>
                <w:szCs w:val="16"/>
              </w:rPr>
              <w:t>Product development</w:t>
            </w:r>
          </w:p>
        </w:tc>
        <w:tc>
          <w:tcPr>
            <w:tcW w:w="0" w:type="auto"/>
            <w:gridSpan w:val="2"/>
            <w:shd w:val="clear" w:color="auto" w:fill="E2E2E2"/>
            <w:tcMar>
              <w:top w:w="40" w:type="dxa"/>
              <w:left w:w="20" w:type="dxa"/>
              <w:bottom w:w="40" w:type="dxa"/>
              <w:right w:w="0" w:type="dxa"/>
            </w:tcMar>
            <w:vAlign w:val="bottom"/>
          </w:tcPr>
          <w:p w14:paraId="643050BC" w14:textId="77777777" w:rsidR="009F6D8A" w:rsidRDefault="00C50974">
            <w:pPr>
              <w:jc w:val="right"/>
              <w:textAlignment w:val="bottom"/>
            </w:pPr>
            <w:r>
              <w:rPr>
                <w:rFonts w:ascii="Arial" w:eastAsia="宋体" w:hAnsi="Arial" w:cs="Arial"/>
                <w:color w:val="000000"/>
                <w:sz w:val="16"/>
                <w:szCs w:val="16"/>
              </w:rPr>
              <w:t>350 </w:t>
            </w:r>
          </w:p>
        </w:tc>
        <w:tc>
          <w:tcPr>
            <w:tcW w:w="0" w:type="auto"/>
            <w:shd w:val="clear" w:color="auto" w:fill="E2E2E2"/>
            <w:tcMar>
              <w:top w:w="40" w:type="dxa"/>
              <w:left w:w="0" w:type="dxa"/>
              <w:bottom w:w="40" w:type="dxa"/>
              <w:right w:w="20" w:type="dxa"/>
            </w:tcMar>
            <w:vAlign w:val="bottom"/>
          </w:tcPr>
          <w:p w14:paraId="643050B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0BE"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0BF" w14:textId="77777777" w:rsidR="009F6D8A" w:rsidRDefault="00C50974">
            <w:pPr>
              <w:jc w:val="right"/>
              <w:textAlignment w:val="bottom"/>
            </w:pPr>
            <w:r>
              <w:rPr>
                <w:rFonts w:ascii="Arial" w:eastAsia="宋体" w:hAnsi="Arial" w:cs="Arial"/>
                <w:color w:val="000000"/>
                <w:sz w:val="16"/>
                <w:szCs w:val="16"/>
              </w:rPr>
              <w:t>256 </w:t>
            </w:r>
          </w:p>
        </w:tc>
        <w:tc>
          <w:tcPr>
            <w:tcW w:w="0" w:type="auto"/>
            <w:shd w:val="clear" w:color="auto" w:fill="E2E2E2"/>
            <w:tcMar>
              <w:top w:w="40" w:type="dxa"/>
              <w:left w:w="0" w:type="dxa"/>
              <w:bottom w:w="40" w:type="dxa"/>
              <w:right w:w="20" w:type="dxa"/>
            </w:tcMar>
            <w:vAlign w:val="bottom"/>
          </w:tcPr>
          <w:p w14:paraId="643050C0"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0C1"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0C2" w14:textId="77777777" w:rsidR="009F6D8A" w:rsidRDefault="00C50974">
            <w:pPr>
              <w:jc w:val="right"/>
              <w:textAlignment w:val="bottom"/>
            </w:pPr>
            <w:r>
              <w:rPr>
                <w:rFonts w:ascii="Arial" w:eastAsia="宋体" w:hAnsi="Arial" w:cs="Arial"/>
                <w:color w:val="000000"/>
                <w:sz w:val="16"/>
                <w:szCs w:val="16"/>
              </w:rPr>
              <w:t>37 </w:t>
            </w:r>
          </w:p>
        </w:tc>
        <w:tc>
          <w:tcPr>
            <w:tcW w:w="0" w:type="auto"/>
            <w:shd w:val="clear" w:color="auto" w:fill="E2E2E2"/>
            <w:tcMar>
              <w:top w:w="40" w:type="dxa"/>
              <w:left w:w="0" w:type="dxa"/>
              <w:bottom w:w="40" w:type="dxa"/>
              <w:right w:w="20" w:type="dxa"/>
            </w:tcMar>
            <w:vAlign w:val="bottom"/>
          </w:tcPr>
          <w:p w14:paraId="643050C3"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50C4"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0C5" w14:textId="77777777" w:rsidR="009F6D8A" w:rsidRDefault="00C50974">
            <w:pPr>
              <w:jc w:val="right"/>
              <w:textAlignment w:val="bottom"/>
            </w:pPr>
            <w:r>
              <w:rPr>
                <w:rFonts w:ascii="Arial" w:eastAsia="宋体" w:hAnsi="Arial" w:cs="Arial"/>
                <w:color w:val="000000"/>
                <w:sz w:val="16"/>
                <w:szCs w:val="16"/>
              </w:rPr>
              <w:t>654 </w:t>
            </w:r>
          </w:p>
        </w:tc>
        <w:tc>
          <w:tcPr>
            <w:tcW w:w="0" w:type="auto"/>
            <w:shd w:val="clear" w:color="auto" w:fill="E2E2E2"/>
            <w:tcMar>
              <w:top w:w="40" w:type="dxa"/>
              <w:left w:w="0" w:type="dxa"/>
              <w:bottom w:w="40" w:type="dxa"/>
              <w:right w:w="20" w:type="dxa"/>
            </w:tcMar>
            <w:vAlign w:val="bottom"/>
          </w:tcPr>
          <w:p w14:paraId="643050C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0C7"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0C8" w14:textId="77777777" w:rsidR="009F6D8A" w:rsidRDefault="00C50974">
            <w:pPr>
              <w:jc w:val="right"/>
              <w:textAlignment w:val="bottom"/>
            </w:pPr>
            <w:r>
              <w:rPr>
                <w:rFonts w:ascii="Arial" w:eastAsia="宋体" w:hAnsi="Arial" w:cs="Arial"/>
                <w:color w:val="000000"/>
                <w:sz w:val="16"/>
                <w:szCs w:val="16"/>
              </w:rPr>
              <w:t>474 </w:t>
            </w:r>
          </w:p>
        </w:tc>
        <w:tc>
          <w:tcPr>
            <w:tcW w:w="0" w:type="auto"/>
            <w:shd w:val="clear" w:color="auto" w:fill="E2E2E2"/>
            <w:tcMar>
              <w:top w:w="40" w:type="dxa"/>
              <w:left w:w="0" w:type="dxa"/>
              <w:bottom w:w="40" w:type="dxa"/>
              <w:right w:w="20" w:type="dxa"/>
            </w:tcMar>
            <w:vAlign w:val="bottom"/>
          </w:tcPr>
          <w:p w14:paraId="643050C9"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0CA"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0CB" w14:textId="77777777" w:rsidR="009F6D8A" w:rsidRDefault="00C50974">
            <w:pPr>
              <w:jc w:val="right"/>
              <w:textAlignment w:val="bottom"/>
            </w:pPr>
            <w:r>
              <w:rPr>
                <w:rFonts w:ascii="Arial" w:eastAsia="宋体" w:hAnsi="Arial" w:cs="Arial"/>
                <w:color w:val="000000"/>
                <w:sz w:val="16"/>
                <w:szCs w:val="16"/>
              </w:rPr>
              <w:t>38 </w:t>
            </w:r>
          </w:p>
        </w:tc>
        <w:tc>
          <w:tcPr>
            <w:tcW w:w="0" w:type="auto"/>
            <w:shd w:val="clear" w:color="auto" w:fill="E2E2E2"/>
            <w:tcMar>
              <w:top w:w="40" w:type="dxa"/>
              <w:left w:w="0" w:type="dxa"/>
              <w:bottom w:w="40" w:type="dxa"/>
              <w:right w:w="20" w:type="dxa"/>
            </w:tcMar>
            <w:vAlign w:val="bottom"/>
          </w:tcPr>
          <w:p w14:paraId="643050CC" w14:textId="77777777" w:rsidR="009F6D8A" w:rsidRDefault="00C50974">
            <w:pPr>
              <w:jc w:val="right"/>
              <w:textAlignment w:val="bottom"/>
            </w:pPr>
            <w:r>
              <w:rPr>
                <w:rFonts w:ascii="Arial" w:eastAsia="宋体" w:hAnsi="Arial" w:cs="Arial"/>
                <w:color w:val="000000"/>
                <w:sz w:val="16"/>
                <w:szCs w:val="16"/>
              </w:rPr>
              <w:t>%</w:t>
            </w:r>
          </w:p>
        </w:tc>
      </w:tr>
      <w:tr w:rsidR="009F6D8A" w14:paraId="643050DE" w14:textId="77777777">
        <w:tc>
          <w:tcPr>
            <w:tcW w:w="0" w:type="auto"/>
            <w:gridSpan w:val="3"/>
            <w:shd w:val="clear" w:color="auto" w:fill="FFFFFF"/>
            <w:tcMar>
              <w:top w:w="40" w:type="dxa"/>
              <w:left w:w="155" w:type="dxa"/>
              <w:bottom w:w="40" w:type="dxa"/>
              <w:right w:w="20" w:type="dxa"/>
            </w:tcMar>
            <w:vAlign w:val="bottom"/>
          </w:tcPr>
          <w:p w14:paraId="643050CE" w14:textId="77777777" w:rsidR="009F6D8A" w:rsidRDefault="00C50974">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643050CF" w14:textId="77777777" w:rsidR="009F6D8A" w:rsidRDefault="00C50974">
            <w:pPr>
              <w:jc w:val="right"/>
              <w:textAlignment w:val="bottom"/>
            </w:pPr>
            <w:r>
              <w:rPr>
                <w:rFonts w:ascii="Arial" w:eastAsia="宋体" w:hAnsi="Arial" w:cs="Arial"/>
                <w:i/>
                <w:iCs/>
                <w:color w:val="000000"/>
                <w:sz w:val="16"/>
                <w:szCs w:val="16"/>
              </w:rPr>
              <w:t>13 </w:t>
            </w:r>
          </w:p>
        </w:tc>
        <w:tc>
          <w:tcPr>
            <w:tcW w:w="0" w:type="auto"/>
            <w:shd w:val="clear" w:color="auto" w:fill="FFFFFF"/>
            <w:tcMar>
              <w:top w:w="40" w:type="dxa"/>
              <w:left w:w="0" w:type="dxa"/>
              <w:bottom w:w="40" w:type="dxa"/>
              <w:right w:w="20" w:type="dxa"/>
            </w:tcMar>
            <w:vAlign w:val="bottom"/>
          </w:tcPr>
          <w:p w14:paraId="643050D0"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0D1"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0D2" w14:textId="77777777" w:rsidR="009F6D8A" w:rsidRDefault="00C50974">
            <w:pPr>
              <w:jc w:val="right"/>
              <w:textAlignment w:val="bottom"/>
            </w:pPr>
            <w:r>
              <w:rPr>
                <w:rFonts w:ascii="Arial" w:eastAsia="宋体" w:hAnsi="Arial" w:cs="Arial"/>
                <w:i/>
                <w:iCs/>
                <w:color w:val="000000"/>
                <w:sz w:val="16"/>
                <w:szCs w:val="16"/>
              </w:rPr>
              <w:t>11 </w:t>
            </w:r>
          </w:p>
        </w:tc>
        <w:tc>
          <w:tcPr>
            <w:tcW w:w="0" w:type="auto"/>
            <w:shd w:val="clear" w:color="auto" w:fill="FFFFFF"/>
            <w:tcMar>
              <w:top w:w="40" w:type="dxa"/>
              <w:left w:w="0" w:type="dxa"/>
              <w:bottom w:w="40" w:type="dxa"/>
              <w:right w:w="20" w:type="dxa"/>
            </w:tcMar>
            <w:vAlign w:val="bottom"/>
          </w:tcPr>
          <w:p w14:paraId="643050D3"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0D4"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0D5"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0D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0D7" w14:textId="77777777" w:rsidR="009F6D8A" w:rsidRDefault="00C50974">
            <w:pPr>
              <w:jc w:val="right"/>
              <w:textAlignment w:val="bottom"/>
            </w:pPr>
            <w:r>
              <w:rPr>
                <w:rFonts w:ascii="Arial" w:eastAsia="宋体" w:hAnsi="Arial" w:cs="Arial"/>
                <w:i/>
                <w:iCs/>
                <w:color w:val="000000"/>
                <w:sz w:val="16"/>
                <w:szCs w:val="16"/>
              </w:rPr>
              <w:t>12 </w:t>
            </w:r>
          </w:p>
        </w:tc>
        <w:tc>
          <w:tcPr>
            <w:tcW w:w="0" w:type="auto"/>
            <w:shd w:val="clear" w:color="auto" w:fill="FFFFFF"/>
            <w:tcMar>
              <w:top w:w="40" w:type="dxa"/>
              <w:left w:w="0" w:type="dxa"/>
              <w:bottom w:w="40" w:type="dxa"/>
              <w:right w:w="20" w:type="dxa"/>
            </w:tcMar>
            <w:vAlign w:val="bottom"/>
          </w:tcPr>
          <w:p w14:paraId="643050D8"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0D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0DA" w14:textId="77777777" w:rsidR="009F6D8A" w:rsidRDefault="00C50974">
            <w:pPr>
              <w:jc w:val="right"/>
              <w:textAlignment w:val="bottom"/>
            </w:pPr>
            <w:r>
              <w:rPr>
                <w:rFonts w:ascii="Arial" w:eastAsia="宋体" w:hAnsi="Arial" w:cs="Arial"/>
                <w:i/>
                <w:iCs/>
                <w:color w:val="000000"/>
                <w:sz w:val="16"/>
                <w:szCs w:val="16"/>
              </w:rPr>
              <w:t>11 </w:t>
            </w:r>
          </w:p>
        </w:tc>
        <w:tc>
          <w:tcPr>
            <w:tcW w:w="0" w:type="auto"/>
            <w:shd w:val="clear" w:color="auto" w:fill="FFFFFF"/>
            <w:tcMar>
              <w:top w:w="40" w:type="dxa"/>
              <w:left w:w="0" w:type="dxa"/>
              <w:bottom w:w="40" w:type="dxa"/>
              <w:right w:w="20" w:type="dxa"/>
            </w:tcMar>
            <w:vAlign w:val="bottom"/>
          </w:tcPr>
          <w:p w14:paraId="643050DB"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0DC"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0DD" w14:textId="77777777" w:rsidR="009F6D8A" w:rsidRDefault="009F6D8A">
            <w:pPr>
              <w:rPr>
                <w:rFonts w:ascii="宋体"/>
              </w:rPr>
            </w:pPr>
          </w:p>
        </w:tc>
      </w:tr>
      <w:tr w:rsidR="009F6D8A" w14:paraId="643050F1" w14:textId="77777777">
        <w:tc>
          <w:tcPr>
            <w:tcW w:w="0" w:type="auto"/>
            <w:gridSpan w:val="3"/>
            <w:shd w:val="clear" w:color="auto" w:fill="E2E2E2"/>
            <w:tcMar>
              <w:top w:w="40" w:type="dxa"/>
              <w:left w:w="20" w:type="dxa"/>
              <w:bottom w:w="40" w:type="dxa"/>
              <w:right w:w="20" w:type="dxa"/>
            </w:tcMar>
            <w:vAlign w:val="bottom"/>
          </w:tcPr>
          <w:p w14:paraId="643050DF" w14:textId="77777777" w:rsidR="009F6D8A" w:rsidRDefault="00C50974">
            <w:pPr>
              <w:textAlignment w:val="bottom"/>
            </w:pPr>
            <w:r>
              <w:rPr>
                <w:rFonts w:ascii="Arial" w:eastAsia="宋体" w:hAnsi="Arial" w:cs="Arial"/>
                <w:color w:val="000000"/>
                <w:sz w:val="16"/>
                <w:szCs w:val="16"/>
              </w:rPr>
              <w:t>General and administrative</w:t>
            </w:r>
          </w:p>
        </w:tc>
        <w:tc>
          <w:tcPr>
            <w:tcW w:w="0" w:type="auto"/>
            <w:gridSpan w:val="2"/>
            <w:shd w:val="clear" w:color="auto" w:fill="E2E2E2"/>
            <w:tcMar>
              <w:top w:w="40" w:type="dxa"/>
              <w:left w:w="20" w:type="dxa"/>
              <w:bottom w:w="40" w:type="dxa"/>
              <w:right w:w="0" w:type="dxa"/>
            </w:tcMar>
            <w:vAlign w:val="bottom"/>
          </w:tcPr>
          <w:p w14:paraId="643050E0" w14:textId="77777777" w:rsidR="009F6D8A" w:rsidRDefault="00C50974">
            <w:pPr>
              <w:jc w:val="right"/>
              <w:textAlignment w:val="bottom"/>
            </w:pPr>
            <w:r>
              <w:rPr>
                <w:rFonts w:ascii="Arial" w:eastAsia="宋体" w:hAnsi="Arial" w:cs="Arial"/>
                <w:color w:val="000000"/>
                <w:sz w:val="16"/>
                <w:szCs w:val="16"/>
              </w:rPr>
              <w:t>250 </w:t>
            </w:r>
          </w:p>
        </w:tc>
        <w:tc>
          <w:tcPr>
            <w:tcW w:w="0" w:type="auto"/>
            <w:shd w:val="clear" w:color="auto" w:fill="E2E2E2"/>
            <w:tcMar>
              <w:top w:w="40" w:type="dxa"/>
              <w:left w:w="0" w:type="dxa"/>
              <w:bottom w:w="40" w:type="dxa"/>
              <w:right w:w="20" w:type="dxa"/>
            </w:tcMar>
            <w:vAlign w:val="bottom"/>
          </w:tcPr>
          <w:p w14:paraId="643050E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0E2"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0E3" w14:textId="77777777" w:rsidR="009F6D8A" w:rsidRDefault="00C50974">
            <w:pPr>
              <w:jc w:val="right"/>
              <w:textAlignment w:val="bottom"/>
            </w:pPr>
            <w:r>
              <w:rPr>
                <w:rFonts w:ascii="Arial" w:eastAsia="宋体" w:hAnsi="Arial" w:cs="Arial"/>
                <w:color w:val="000000"/>
                <w:sz w:val="16"/>
                <w:szCs w:val="16"/>
              </w:rPr>
              <w:t>281 </w:t>
            </w:r>
          </w:p>
        </w:tc>
        <w:tc>
          <w:tcPr>
            <w:tcW w:w="0" w:type="auto"/>
            <w:shd w:val="clear" w:color="auto" w:fill="E2E2E2"/>
            <w:tcMar>
              <w:top w:w="40" w:type="dxa"/>
              <w:left w:w="0" w:type="dxa"/>
              <w:bottom w:w="40" w:type="dxa"/>
              <w:right w:w="20" w:type="dxa"/>
            </w:tcMar>
            <w:vAlign w:val="bottom"/>
          </w:tcPr>
          <w:p w14:paraId="643050E4"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0E5"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0E6" w14:textId="77777777" w:rsidR="009F6D8A" w:rsidRDefault="00C50974">
            <w:pPr>
              <w:jc w:val="right"/>
              <w:textAlignment w:val="bottom"/>
            </w:pPr>
            <w:r>
              <w:rPr>
                <w:rFonts w:ascii="Arial" w:eastAsia="宋体" w:hAnsi="Arial" w:cs="Arial"/>
                <w:color w:val="000000"/>
                <w:sz w:val="16"/>
                <w:szCs w:val="16"/>
              </w:rPr>
              <w:t>(11)</w:t>
            </w:r>
          </w:p>
        </w:tc>
        <w:tc>
          <w:tcPr>
            <w:tcW w:w="0" w:type="auto"/>
            <w:shd w:val="clear" w:color="auto" w:fill="E2E2E2"/>
            <w:tcMar>
              <w:top w:w="40" w:type="dxa"/>
              <w:left w:w="0" w:type="dxa"/>
              <w:bottom w:w="40" w:type="dxa"/>
              <w:right w:w="20" w:type="dxa"/>
            </w:tcMar>
            <w:vAlign w:val="bottom"/>
          </w:tcPr>
          <w:p w14:paraId="643050E7"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50E8"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0E9" w14:textId="77777777" w:rsidR="009F6D8A" w:rsidRDefault="00C50974">
            <w:pPr>
              <w:jc w:val="right"/>
              <w:textAlignment w:val="bottom"/>
            </w:pPr>
            <w:r>
              <w:rPr>
                <w:rFonts w:ascii="Arial" w:eastAsia="宋体" w:hAnsi="Arial" w:cs="Arial"/>
                <w:color w:val="000000"/>
                <w:sz w:val="16"/>
                <w:szCs w:val="16"/>
              </w:rPr>
              <w:t>496 </w:t>
            </w:r>
          </w:p>
        </w:tc>
        <w:tc>
          <w:tcPr>
            <w:tcW w:w="0" w:type="auto"/>
            <w:shd w:val="clear" w:color="auto" w:fill="E2E2E2"/>
            <w:tcMar>
              <w:top w:w="40" w:type="dxa"/>
              <w:left w:w="0" w:type="dxa"/>
              <w:bottom w:w="40" w:type="dxa"/>
              <w:right w:w="20" w:type="dxa"/>
            </w:tcMar>
            <w:vAlign w:val="bottom"/>
          </w:tcPr>
          <w:p w14:paraId="643050EA"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0EB"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0EC" w14:textId="77777777" w:rsidR="009F6D8A" w:rsidRDefault="00C50974">
            <w:pPr>
              <w:jc w:val="right"/>
              <w:textAlignment w:val="bottom"/>
            </w:pPr>
            <w:r>
              <w:rPr>
                <w:rFonts w:ascii="Arial" w:eastAsia="宋体" w:hAnsi="Arial" w:cs="Arial"/>
                <w:color w:val="000000"/>
                <w:sz w:val="16"/>
                <w:szCs w:val="16"/>
              </w:rPr>
              <w:t>484 </w:t>
            </w:r>
          </w:p>
        </w:tc>
        <w:tc>
          <w:tcPr>
            <w:tcW w:w="0" w:type="auto"/>
            <w:shd w:val="clear" w:color="auto" w:fill="E2E2E2"/>
            <w:tcMar>
              <w:top w:w="40" w:type="dxa"/>
              <w:left w:w="0" w:type="dxa"/>
              <w:bottom w:w="40" w:type="dxa"/>
              <w:right w:w="20" w:type="dxa"/>
            </w:tcMar>
            <w:vAlign w:val="bottom"/>
          </w:tcPr>
          <w:p w14:paraId="643050E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0EE"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0EF" w14:textId="77777777" w:rsidR="009F6D8A" w:rsidRDefault="00C50974">
            <w:pPr>
              <w:jc w:val="right"/>
              <w:textAlignment w:val="bottom"/>
            </w:pPr>
            <w:r>
              <w:rPr>
                <w:rFonts w:ascii="Arial" w:eastAsia="宋体" w:hAnsi="Arial" w:cs="Arial"/>
                <w:color w:val="000000"/>
                <w:sz w:val="16"/>
                <w:szCs w:val="16"/>
              </w:rPr>
              <w:t>2 </w:t>
            </w:r>
          </w:p>
        </w:tc>
        <w:tc>
          <w:tcPr>
            <w:tcW w:w="0" w:type="auto"/>
            <w:shd w:val="clear" w:color="auto" w:fill="E2E2E2"/>
            <w:tcMar>
              <w:top w:w="40" w:type="dxa"/>
              <w:left w:w="0" w:type="dxa"/>
              <w:bottom w:w="40" w:type="dxa"/>
              <w:right w:w="20" w:type="dxa"/>
            </w:tcMar>
            <w:vAlign w:val="bottom"/>
          </w:tcPr>
          <w:p w14:paraId="643050F0" w14:textId="77777777" w:rsidR="009F6D8A" w:rsidRDefault="00C50974">
            <w:pPr>
              <w:jc w:val="right"/>
              <w:textAlignment w:val="bottom"/>
            </w:pPr>
            <w:r>
              <w:rPr>
                <w:rFonts w:ascii="Arial" w:eastAsia="宋体" w:hAnsi="Arial" w:cs="Arial"/>
                <w:color w:val="000000"/>
                <w:sz w:val="16"/>
                <w:szCs w:val="16"/>
              </w:rPr>
              <w:t>%</w:t>
            </w:r>
          </w:p>
        </w:tc>
      </w:tr>
      <w:tr w:rsidR="009F6D8A" w14:paraId="64305102" w14:textId="77777777">
        <w:tc>
          <w:tcPr>
            <w:tcW w:w="0" w:type="auto"/>
            <w:gridSpan w:val="3"/>
            <w:shd w:val="clear" w:color="auto" w:fill="FFFFFF"/>
            <w:tcMar>
              <w:top w:w="40" w:type="dxa"/>
              <w:left w:w="155" w:type="dxa"/>
              <w:bottom w:w="40" w:type="dxa"/>
              <w:right w:w="20" w:type="dxa"/>
            </w:tcMar>
            <w:vAlign w:val="bottom"/>
          </w:tcPr>
          <w:p w14:paraId="643050F2" w14:textId="77777777" w:rsidR="009F6D8A" w:rsidRDefault="00C50974">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643050F3" w14:textId="77777777" w:rsidR="009F6D8A" w:rsidRDefault="00C50974">
            <w:pPr>
              <w:jc w:val="right"/>
              <w:textAlignment w:val="bottom"/>
            </w:pPr>
            <w:r>
              <w:rPr>
                <w:rFonts w:ascii="Arial" w:eastAsia="宋体" w:hAnsi="Arial" w:cs="Arial"/>
                <w:i/>
                <w:iCs/>
                <w:color w:val="000000"/>
                <w:sz w:val="16"/>
                <w:szCs w:val="16"/>
              </w:rPr>
              <w:t>9 </w:t>
            </w:r>
          </w:p>
        </w:tc>
        <w:tc>
          <w:tcPr>
            <w:tcW w:w="0" w:type="auto"/>
            <w:shd w:val="clear" w:color="auto" w:fill="FFFFFF"/>
            <w:tcMar>
              <w:top w:w="40" w:type="dxa"/>
              <w:left w:w="0" w:type="dxa"/>
              <w:bottom w:w="40" w:type="dxa"/>
              <w:right w:w="20" w:type="dxa"/>
            </w:tcMar>
            <w:vAlign w:val="bottom"/>
          </w:tcPr>
          <w:p w14:paraId="643050F4"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0F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0F6" w14:textId="77777777" w:rsidR="009F6D8A" w:rsidRDefault="00C50974">
            <w:pPr>
              <w:jc w:val="right"/>
              <w:textAlignment w:val="bottom"/>
            </w:pPr>
            <w:r>
              <w:rPr>
                <w:rFonts w:ascii="Arial" w:eastAsia="宋体" w:hAnsi="Arial" w:cs="Arial"/>
                <w:i/>
                <w:iCs/>
                <w:color w:val="000000"/>
                <w:sz w:val="16"/>
                <w:szCs w:val="16"/>
              </w:rPr>
              <w:t>12 </w:t>
            </w:r>
          </w:p>
        </w:tc>
        <w:tc>
          <w:tcPr>
            <w:tcW w:w="0" w:type="auto"/>
            <w:shd w:val="clear" w:color="auto" w:fill="FFFFFF"/>
            <w:tcMar>
              <w:top w:w="40" w:type="dxa"/>
              <w:left w:w="0" w:type="dxa"/>
              <w:bottom w:w="40" w:type="dxa"/>
              <w:right w:w="20" w:type="dxa"/>
            </w:tcMar>
            <w:vAlign w:val="bottom"/>
          </w:tcPr>
          <w:p w14:paraId="643050F7"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0F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0F9"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0F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0FB" w14:textId="77777777" w:rsidR="009F6D8A" w:rsidRDefault="00C50974">
            <w:pPr>
              <w:jc w:val="right"/>
              <w:textAlignment w:val="bottom"/>
            </w:pPr>
            <w:r>
              <w:rPr>
                <w:rFonts w:ascii="Arial" w:eastAsia="宋体" w:hAnsi="Arial" w:cs="Arial"/>
                <w:i/>
                <w:iCs/>
                <w:color w:val="000000"/>
                <w:sz w:val="16"/>
                <w:szCs w:val="16"/>
              </w:rPr>
              <w:t>9 </w:t>
            </w:r>
          </w:p>
        </w:tc>
        <w:tc>
          <w:tcPr>
            <w:tcW w:w="0" w:type="auto"/>
            <w:shd w:val="clear" w:color="auto" w:fill="FFFFFF"/>
            <w:tcMar>
              <w:top w:w="40" w:type="dxa"/>
              <w:left w:w="0" w:type="dxa"/>
              <w:bottom w:w="40" w:type="dxa"/>
              <w:right w:w="20" w:type="dxa"/>
            </w:tcMar>
            <w:vAlign w:val="bottom"/>
          </w:tcPr>
          <w:p w14:paraId="643050FC"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0F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0FE" w14:textId="77777777" w:rsidR="009F6D8A" w:rsidRDefault="00C50974">
            <w:pPr>
              <w:jc w:val="right"/>
              <w:textAlignment w:val="bottom"/>
            </w:pPr>
            <w:r>
              <w:rPr>
                <w:rFonts w:ascii="Arial" w:eastAsia="宋体" w:hAnsi="Arial" w:cs="Arial"/>
                <w:i/>
                <w:iCs/>
                <w:color w:val="000000"/>
                <w:sz w:val="16"/>
                <w:szCs w:val="16"/>
              </w:rPr>
              <w:t>12 </w:t>
            </w:r>
          </w:p>
        </w:tc>
        <w:tc>
          <w:tcPr>
            <w:tcW w:w="0" w:type="auto"/>
            <w:shd w:val="clear" w:color="auto" w:fill="FFFFFF"/>
            <w:tcMar>
              <w:top w:w="40" w:type="dxa"/>
              <w:left w:w="0" w:type="dxa"/>
              <w:bottom w:w="40" w:type="dxa"/>
              <w:right w:w="20" w:type="dxa"/>
            </w:tcMar>
            <w:vAlign w:val="bottom"/>
          </w:tcPr>
          <w:p w14:paraId="643050FF"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10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101" w14:textId="77777777" w:rsidR="009F6D8A" w:rsidRDefault="009F6D8A">
            <w:pPr>
              <w:rPr>
                <w:rFonts w:ascii="宋体"/>
              </w:rPr>
            </w:pPr>
          </w:p>
        </w:tc>
      </w:tr>
      <w:tr w:rsidR="009F6D8A" w14:paraId="64305115" w14:textId="77777777">
        <w:tc>
          <w:tcPr>
            <w:tcW w:w="0" w:type="auto"/>
            <w:gridSpan w:val="3"/>
            <w:shd w:val="clear" w:color="auto" w:fill="E2E2E2"/>
            <w:tcMar>
              <w:top w:w="40" w:type="dxa"/>
              <w:left w:w="20" w:type="dxa"/>
              <w:bottom w:w="40" w:type="dxa"/>
              <w:right w:w="20" w:type="dxa"/>
            </w:tcMar>
            <w:vAlign w:val="bottom"/>
          </w:tcPr>
          <w:p w14:paraId="64305103" w14:textId="77777777" w:rsidR="009F6D8A" w:rsidRDefault="00C50974">
            <w:pPr>
              <w:textAlignment w:val="bottom"/>
            </w:pPr>
            <w:r>
              <w:rPr>
                <w:rFonts w:ascii="Arial" w:eastAsia="宋体" w:hAnsi="Arial" w:cs="Arial"/>
                <w:color w:val="000000"/>
                <w:sz w:val="16"/>
                <w:szCs w:val="16"/>
              </w:rPr>
              <w:t>Provision for transaction losses</w:t>
            </w:r>
          </w:p>
        </w:tc>
        <w:tc>
          <w:tcPr>
            <w:tcW w:w="0" w:type="auto"/>
            <w:gridSpan w:val="2"/>
            <w:shd w:val="clear" w:color="auto" w:fill="E2E2E2"/>
            <w:tcMar>
              <w:top w:w="40" w:type="dxa"/>
              <w:left w:w="20" w:type="dxa"/>
              <w:bottom w:w="40" w:type="dxa"/>
              <w:right w:w="0" w:type="dxa"/>
            </w:tcMar>
            <w:vAlign w:val="bottom"/>
          </w:tcPr>
          <w:p w14:paraId="64305104" w14:textId="77777777" w:rsidR="009F6D8A" w:rsidRDefault="00C50974">
            <w:pPr>
              <w:jc w:val="right"/>
              <w:textAlignment w:val="bottom"/>
            </w:pPr>
            <w:r>
              <w:rPr>
                <w:rFonts w:ascii="Arial" w:eastAsia="宋体" w:hAnsi="Arial" w:cs="Arial"/>
                <w:color w:val="000000"/>
                <w:sz w:val="16"/>
                <w:szCs w:val="16"/>
              </w:rPr>
              <w:t>103 </w:t>
            </w:r>
          </w:p>
        </w:tc>
        <w:tc>
          <w:tcPr>
            <w:tcW w:w="0" w:type="auto"/>
            <w:shd w:val="clear" w:color="auto" w:fill="E2E2E2"/>
            <w:tcMar>
              <w:top w:w="40" w:type="dxa"/>
              <w:left w:w="0" w:type="dxa"/>
              <w:bottom w:w="40" w:type="dxa"/>
              <w:right w:w="20" w:type="dxa"/>
            </w:tcMar>
            <w:vAlign w:val="bottom"/>
          </w:tcPr>
          <w:p w14:paraId="6430510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106"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107" w14:textId="77777777" w:rsidR="009F6D8A" w:rsidRDefault="00C50974">
            <w:pPr>
              <w:jc w:val="right"/>
              <w:textAlignment w:val="bottom"/>
            </w:pPr>
            <w:r>
              <w:rPr>
                <w:rFonts w:ascii="Arial" w:eastAsia="宋体" w:hAnsi="Arial" w:cs="Arial"/>
                <w:color w:val="000000"/>
                <w:sz w:val="16"/>
                <w:szCs w:val="16"/>
              </w:rPr>
              <w:t>89 </w:t>
            </w:r>
          </w:p>
        </w:tc>
        <w:tc>
          <w:tcPr>
            <w:tcW w:w="0" w:type="auto"/>
            <w:shd w:val="clear" w:color="auto" w:fill="E2E2E2"/>
            <w:tcMar>
              <w:top w:w="40" w:type="dxa"/>
              <w:left w:w="0" w:type="dxa"/>
              <w:bottom w:w="40" w:type="dxa"/>
              <w:right w:w="20" w:type="dxa"/>
            </w:tcMar>
            <w:vAlign w:val="bottom"/>
          </w:tcPr>
          <w:p w14:paraId="6430510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109"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10A" w14:textId="77777777" w:rsidR="009F6D8A" w:rsidRDefault="00C50974">
            <w:pPr>
              <w:jc w:val="right"/>
              <w:textAlignment w:val="bottom"/>
            </w:pPr>
            <w:r>
              <w:rPr>
                <w:rFonts w:ascii="Arial" w:eastAsia="宋体" w:hAnsi="Arial" w:cs="Arial"/>
                <w:color w:val="000000"/>
                <w:sz w:val="16"/>
                <w:szCs w:val="16"/>
              </w:rPr>
              <w:t>16 </w:t>
            </w:r>
          </w:p>
        </w:tc>
        <w:tc>
          <w:tcPr>
            <w:tcW w:w="0" w:type="auto"/>
            <w:shd w:val="clear" w:color="auto" w:fill="E2E2E2"/>
            <w:tcMar>
              <w:top w:w="40" w:type="dxa"/>
              <w:left w:w="0" w:type="dxa"/>
              <w:bottom w:w="40" w:type="dxa"/>
              <w:right w:w="20" w:type="dxa"/>
            </w:tcMar>
            <w:vAlign w:val="bottom"/>
          </w:tcPr>
          <w:p w14:paraId="6430510B"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510C"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10D" w14:textId="77777777" w:rsidR="009F6D8A" w:rsidRDefault="00C50974">
            <w:pPr>
              <w:jc w:val="right"/>
              <w:textAlignment w:val="bottom"/>
            </w:pPr>
            <w:r>
              <w:rPr>
                <w:rFonts w:ascii="Arial" w:eastAsia="宋体" w:hAnsi="Arial" w:cs="Arial"/>
                <w:color w:val="000000"/>
                <w:sz w:val="16"/>
                <w:szCs w:val="16"/>
              </w:rPr>
              <w:t>191 </w:t>
            </w:r>
          </w:p>
        </w:tc>
        <w:tc>
          <w:tcPr>
            <w:tcW w:w="0" w:type="auto"/>
            <w:shd w:val="clear" w:color="auto" w:fill="E2E2E2"/>
            <w:tcMar>
              <w:top w:w="40" w:type="dxa"/>
              <w:left w:w="0" w:type="dxa"/>
              <w:bottom w:w="40" w:type="dxa"/>
              <w:right w:w="20" w:type="dxa"/>
            </w:tcMar>
            <w:vAlign w:val="bottom"/>
          </w:tcPr>
          <w:p w14:paraId="6430510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10F"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110" w14:textId="77777777" w:rsidR="009F6D8A" w:rsidRDefault="00C50974">
            <w:pPr>
              <w:jc w:val="right"/>
              <w:textAlignment w:val="bottom"/>
            </w:pPr>
            <w:r>
              <w:rPr>
                <w:rFonts w:ascii="Arial" w:eastAsia="宋体" w:hAnsi="Arial" w:cs="Arial"/>
                <w:color w:val="000000"/>
                <w:sz w:val="16"/>
                <w:szCs w:val="16"/>
              </w:rPr>
              <w:t>185 </w:t>
            </w:r>
          </w:p>
        </w:tc>
        <w:tc>
          <w:tcPr>
            <w:tcW w:w="0" w:type="auto"/>
            <w:shd w:val="clear" w:color="auto" w:fill="E2E2E2"/>
            <w:tcMar>
              <w:top w:w="40" w:type="dxa"/>
              <w:left w:w="0" w:type="dxa"/>
              <w:bottom w:w="40" w:type="dxa"/>
              <w:right w:w="20" w:type="dxa"/>
            </w:tcMar>
            <w:vAlign w:val="bottom"/>
          </w:tcPr>
          <w:p w14:paraId="6430511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112"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113" w14:textId="77777777" w:rsidR="009F6D8A" w:rsidRDefault="00C50974">
            <w:pPr>
              <w:jc w:val="right"/>
              <w:textAlignment w:val="bottom"/>
            </w:pPr>
            <w:r>
              <w:rPr>
                <w:rFonts w:ascii="Arial" w:eastAsia="宋体" w:hAnsi="Arial" w:cs="Arial"/>
                <w:color w:val="000000"/>
                <w:sz w:val="16"/>
                <w:szCs w:val="16"/>
              </w:rPr>
              <w:t>3 </w:t>
            </w:r>
          </w:p>
        </w:tc>
        <w:tc>
          <w:tcPr>
            <w:tcW w:w="0" w:type="auto"/>
            <w:shd w:val="clear" w:color="auto" w:fill="E2E2E2"/>
            <w:tcMar>
              <w:top w:w="40" w:type="dxa"/>
              <w:left w:w="0" w:type="dxa"/>
              <w:bottom w:w="40" w:type="dxa"/>
              <w:right w:w="20" w:type="dxa"/>
            </w:tcMar>
            <w:vAlign w:val="bottom"/>
          </w:tcPr>
          <w:p w14:paraId="64305114" w14:textId="77777777" w:rsidR="009F6D8A" w:rsidRDefault="00C50974">
            <w:pPr>
              <w:jc w:val="right"/>
              <w:textAlignment w:val="bottom"/>
            </w:pPr>
            <w:r>
              <w:rPr>
                <w:rFonts w:ascii="Arial" w:eastAsia="宋体" w:hAnsi="Arial" w:cs="Arial"/>
                <w:color w:val="000000"/>
                <w:sz w:val="16"/>
                <w:szCs w:val="16"/>
              </w:rPr>
              <w:t>%</w:t>
            </w:r>
          </w:p>
        </w:tc>
      </w:tr>
      <w:tr w:rsidR="009F6D8A" w14:paraId="64305126" w14:textId="77777777">
        <w:tc>
          <w:tcPr>
            <w:tcW w:w="0" w:type="auto"/>
            <w:gridSpan w:val="3"/>
            <w:shd w:val="clear" w:color="auto" w:fill="FFFFFF"/>
            <w:tcMar>
              <w:top w:w="40" w:type="dxa"/>
              <w:left w:w="155" w:type="dxa"/>
              <w:bottom w:w="40" w:type="dxa"/>
              <w:right w:w="20" w:type="dxa"/>
            </w:tcMar>
            <w:vAlign w:val="bottom"/>
          </w:tcPr>
          <w:p w14:paraId="64305116" w14:textId="77777777" w:rsidR="009F6D8A" w:rsidRDefault="00C50974">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64305117" w14:textId="77777777" w:rsidR="009F6D8A" w:rsidRDefault="00C50974">
            <w:pPr>
              <w:jc w:val="right"/>
              <w:textAlignment w:val="bottom"/>
            </w:pPr>
            <w:r>
              <w:rPr>
                <w:rFonts w:ascii="Arial" w:eastAsia="宋体" w:hAnsi="Arial" w:cs="Arial"/>
                <w:i/>
                <w:iCs/>
                <w:color w:val="000000"/>
                <w:sz w:val="16"/>
                <w:szCs w:val="16"/>
              </w:rPr>
              <w:t>4 </w:t>
            </w:r>
          </w:p>
        </w:tc>
        <w:tc>
          <w:tcPr>
            <w:tcW w:w="0" w:type="auto"/>
            <w:shd w:val="clear" w:color="auto" w:fill="FFFFFF"/>
            <w:tcMar>
              <w:top w:w="40" w:type="dxa"/>
              <w:left w:w="0" w:type="dxa"/>
              <w:bottom w:w="40" w:type="dxa"/>
              <w:right w:w="20" w:type="dxa"/>
            </w:tcMar>
            <w:vAlign w:val="bottom"/>
          </w:tcPr>
          <w:p w14:paraId="64305118"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119"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11A" w14:textId="77777777" w:rsidR="009F6D8A" w:rsidRDefault="00C50974">
            <w:pPr>
              <w:jc w:val="right"/>
              <w:textAlignment w:val="bottom"/>
            </w:pPr>
            <w:r>
              <w:rPr>
                <w:rFonts w:ascii="Arial" w:eastAsia="宋体" w:hAnsi="Arial" w:cs="Arial"/>
                <w:i/>
                <w:iCs/>
                <w:color w:val="000000"/>
                <w:sz w:val="16"/>
                <w:szCs w:val="16"/>
              </w:rPr>
              <w:t>4 </w:t>
            </w:r>
          </w:p>
        </w:tc>
        <w:tc>
          <w:tcPr>
            <w:tcW w:w="0" w:type="auto"/>
            <w:shd w:val="clear" w:color="auto" w:fill="FFFFFF"/>
            <w:tcMar>
              <w:top w:w="40" w:type="dxa"/>
              <w:left w:w="0" w:type="dxa"/>
              <w:bottom w:w="40" w:type="dxa"/>
              <w:right w:w="20" w:type="dxa"/>
            </w:tcMar>
            <w:vAlign w:val="bottom"/>
          </w:tcPr>
          <w:p w14:paraId="6430511B"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11C"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11D"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11E"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11F" w14:textId="77777777" w:rsidR="009F6D8A" w:rsidRDefault="00C50974">
            <w:pPr>
              <w:jc w:val="right"/>
              <w:textAlignment w:val="bottom"/>
            </w:pPr>
            <w:r>
              <w:rPr>
                <w:rFonts w:ascii="Arial" w:eastAsia="宋体" w:hAnsi="Arial" w:cs="Arial"/>
                <w:i/>
                <w:iCs/>
                <w:color w:val="000000"/>
                <w:sz w:val="16"/>
                <w:szCs w:val="16"/>
              </w:rPr>
              <w:t>4 </w:t>
            </w:r>
          </w:p>
        </w:tc>
        <w:tc>
          <w:tcPr>
            <w:tcW w:w="0" w:type="auto"/>
            <w:shd w:val="clear" w:color="auto" w:fill="FFFFFF"/>
            <w:tcMar>
              <w:top w:w="40" w:type="dxa"/>
              <w:left w:w="0" w:type="dxa"/>
              <w:bottom w:w="40" w:type="dxa"/>
              <w:right w:w="20" w:type="dxa"/>
            </w:tcMar>
            <w:vAlign w:val="bottom"/>
          </w:tcPr>
          <w:p w14:paraId="64305120"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121"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122" w14:textId="77777777" w:rsidR="009F6D8A" w:rsidRDefault="00C50974">
            <w:pPr>
              <w:jc w:val="right"/>
              <w:textAlignment w:val="bottom"/>
            </w:pPr>
            <w:r>
              <w:rPr>
                <w:rFonts w:ascii="Arial" w:eastAsia="宋体" w:hAnsi="Arial" w:cs="Arial"/>
                <w:i/>
                <w:iCs/>
                <w:color w:val="000000"/>
                <w:sz w:val="16"/>
                <w:szCs w:val="16"/>
              </w:rPr>
              <w:t>4 </w:t>
            </w:r>
          </w:p>
        </w:tc>
        <w:tc>
          <w:tcPr>
            <w:tcW w:w="0" w:type="auto"/>
            <w:shd w:val="clear" w:color="auto" w:fill="FFFFFF"/>
            <w:tcMar>
              <w:top w:w="40" w:type="dxa"/>
              <w:left w:w="0" w:type="dxa"/>
              <w:bottom w:w="40" w:type="dxa"/>
              <w:right w:w="20" w:type="dxa"/>
            </w:tcMar>
            <w:vAlign w:val="bottom"/>
          </w:tcPr>
          <w:p w14:paraId="64305123"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124"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125" w14:textId="77777777" w:rsidR="009F6D8A" w:rsidRDefault="009F6D8A">
            <w:pPr>
              <w:rPr>
                <w:rFonts w:ascii="宋体"/>
              </w:rPr>
            </w:pPr>
          </w:p>
        </w:tc>
      </w:tr>
      <w:tr w:rsidR="009F6D8A" w14:paraId="64305139" w14:textId="77777777">
        <w:tc>
          <w:tcPr>
            <w:tcW w:w="0" w:type="auto"/>
            <w:gridSpan w:val="3"/>
            <w:shd w:val="clear" w:color="auto" w:fill="E2E2E2"/>
            <w:tcMar>
              <w:top w:w="40" w:type="dxa"/>
              <w:left w:w="20" w:type="dxa"/>
              <w:bottom w:w="40" w:type="dxa"/>
              <w:right w:w="20" w:type="dxa"/>
            </w:tcMar>
            <w:vAlign w:val="bottom"/>
          </w:tcPr>
          <w:p w14:paraId="64305127" w14:textId="77777777" w:rsidR="009F6D8A" w:rsidRDefault="00C50974">
            <w:pPr>
              <w:textAlignment w:val="bottom"/>
            </w:pPr>
            <w:r>
              <w:rPr>
                <w:rFonts w:ascii="Arial" w:eastAsia="宋体" w:hAnsi="Arial" w:cs="Arial"/>
                <w:color w:val="000000"/>
                <w:sz w:val="16"/>
                <w:szCs w:val="16"/>
              </w:rPr>
              <w:t>Amortization of acquired intangible assets</w:t>
            </w:r>
          </w:p>
        </w:tc>
        <w:tc>
          <w:tcPr>
            <w:tcW w:w="0" w:type="auto"/>
            <w:gridSpan w:val="2"/>
            <w:shd w:val="clear" w:color="auto" w:fill="E2E2E2"/>
            <w:tcMar>
              <w:top w:w="40" w:type="dxa"/>
              <w:left w:w="20" w:type="dxa"/>
              <w:bottom w:w="40" w:type="dxa"/>
              <w:right w:w="0" w:type="dxa"/>
            </w:tcMar>
            <w:vAlign w:val="bottom"/>
          </w:tcPr>
          <w:p w14:paraId="64305128" w14:textId="77777777" w:rsidR="009F6D8A" w:rsidRDefault="00C50974">
            <w:pPr>
              <w:jc w:val="right"/>
              <w:textAlignment w:val="bottom"/>
            </w:pPr>
            <w:r>
              <w:rPr>
                <w:rFonts w:ascii="Arial" w:eastAsia="宋体" w:hAnsi="Arial" w:cs="Arial"/>
                <w:color w:val="000000"/>
                <w:sz w:val="16"/>
                <w:szCs w:val="16"/>
              </w:rPr>
              <w:t>2 </w:t>
            </w:r>
          </w:p>
        </w:tc>
        <w:tc>
          <w:tcPr>
            <w:tcW w:w="0" w:type="auto"/>
            <w:shd w:val="clear" w:color="auto" w:fill="E2E2E2"/>
            <w:tcMar>
              <w:top w:w="40" w:type="dxa"/>
              <w:left w:w="0" w:type="dxa"/>
              <w:bottom w:w="40" w:type="dxa"/>
              <w:right w:w="20" w:type="dxa"/>
            </w:tcMar>
            <w:vAlign w:val="bottom"/>
          </w:tcPr>
          <w:p w14:paraId="64305129"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12A"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12B" w14:textId="77777777" w:rsidR="009F6D8A" w:rsidRDefault="00C50974">
            <w:pPr>
              <w:jc w:val="right"/>
              <w:textAlignment w:val="bottom"/>
            </w:pPr>
            <w:r>
              <w:rPr>
                <w:rFonts w:ascii="Arial" w:eastAsia="宋体" w:hAnsi="Arial" w:cs="Arial"/>
                <w:color w:val="000000"/>
                <w:sz w:val="16"/>
                <w:szCs w:val="16"/>
              </w:rPr>
              <w:t>7 </w:t>
            </w:r>
          </w:p>
        </w:tc>
        <w:tc>
          <w:tcPr>
            <w:tcW w:w="0" w:type="auto"/>
            <w:shd w:val="clear" w:color="auto" w:fill="E2E2E2"/>
            <w:tcMar>
              <w:top w:w="40" w:type="dxa"/>
              <w:left w:w="0" w:type="dxa"/>
              <w:bottom w:w="40" w:type="dxa"/>
              <w:right w:w="20" w:type="dxa"/>
            </w:tcMar>
            <w:vAlign w:val="bottom"/>
          </w:tcPr>
          <w:p w14:paraId="6430512C"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12D"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12E" w14:textId="77777777" w:rsidR="009F6D8A" w:rsidRDefault="00C50974">
            <w:pPr>
              <w:jc w:val="right"/>
              <w:textAlignment w:val="bottom"/>
            </w:pPr>
            <w:r>
              <w:rPr>
                <w:rFonts w:ascii="Arial" w:eastAsia="宋体" w:hAnsi="Arial" w:cs="Arial"/>
                <w:color w:val="000000"/>
                <w:sz w:val="16"/>
                <w:szCs w:val="16"/>
              </w:rPr>
              <w:t>(71)</w:t>
            </w:r>
          </w:p>
        </w:tc>
        <w:tc>
          <w:tcPr>
            <w:tcW w:w="0" w:type="auto"/>
            <w:shd w:val="clear" w:color="auto" w:fill="E2E2E2"/>
            <w:tcMar>
              <w:top w:w="40" w:type="dxa"/>
              <w:left w:w="0" w:type="dxa"/>
              <w:bottom w:w="40" w:type="dxa"/>
              <w:right w:w="20" w:type="dxa"/>
            </w:tcMar>
            <w:vAlign w:val="bottom"/>
          </w:tcPr>
          <w:p w14:paraId="6430512F"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5130"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131" w14:textId="77777777" w:rsidR="009F6D8A" w:rsidRDefault="00C50974">
            <w:pPr>
              <w:jc w:val="right"/>
              <w:textAlignment w:val="bottom"/>
            </w:pPr>
            <w:r>
              <w:rPr>
                <w:rFonts w:ascii="Arial" w:eastAsia="宋体" w:hAnsi="Arial" w:cs="Arial"/>
                <w:color w:val="000000"/>
                <w:sz w:val="16"/>
                <w:szCs w:val="16"/>
              </w:rPr>
              <w:t>9 </w:t>
            </w:r>
          </w:p>
        </w:tc>
        <w:tc>
          <w:tcPr>
            <w:tcW w:w="0" w:type="auto"/>
            <w:shd w:val="clear" w:color="auto" w:fill="E2E2E2"/>
            <w:tcMar>
              <w:top w:w="40" w:type="dxa"/>
              <w:left w:w="0" w:type="dxa"/>
              <w:bottom w:w="40" w:type="dxa"/>
              <w:right w:w="20" w:type="dxa"/>
            </w:tcMar>
            <w:vAlign w:val="bottom"/>
          </w:tcPr>
          <w:p w14:paraId="6430513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133"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134" w14:textId="77777777" w:rsidR="009F6D8A" w:rsidRDefault="00C50974">
            <w:pPr>
              <w:jc w:val="right"/>
              <w:textAlignment w:val="bottom"/>
            </w:pPr>
            <w:r>
              <w:rPr>
                <w:rFonts w:ascii="Arial" w:eastAsia="宋体" w:hAnsi="Arial" w:cs="Arial"/>
                <w:color w:val="000000"/>
                <w:sz w:val="16"/>
                <w:szCs w:val="16"/>
              </w:rPr>
              <w:t>14 </w:t>
            </w:r>
          </w:p>
        </w:tc>
        <w:tc>
          <w:tcPr>
            <w:tcW w:w="0" w:type="auto"/>
            <w:shd w:val="clear" w:color="auto" w:fill="E2E2E2"/>
            <w:tcMar>
              <w:top w:w="40" w:type="dxa"/>
              <w:left w:w="0" w:type="dxa"/>
              <w:bottom w:w="40" w:type="dxa"/>
              <w:right w:w="20" w:type="dxa"/>
            </w:tcMar>
            <w:vAlign w:val="bottom"/>
          </w:tcPr>
          <w:p w14:paraId="6430513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136"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137" w14:textId="77777777" w:rsidR="009F6D8A" w:rsidRDefault="00C50974">
            <w:pPr>
              <w:jc w:val="right"/>
              <w:textAlignment w:val="bottom"/>
            </w:pPr>
            <w:r>
              <w:rPr>
                <w:rFonts w:ascii="Arial" w:eastAsia="宋体" w:hAnsi="Arial" w:cs="Arial"/>
                <w:color w:val="000000"/>
                <w:sz w:val="16"/>
                <w:szCs w:val="16"/>
              </w:rPr>
              <w:t>(36)</w:t>
            </w:r>
          </w:p>
        </w:tc>
        <w:tc>
          <w:tcPr>
            <w:tcW w:w="0" w:type="auto"/>
            <w:shd w:val="clear" w:color="auto" w:fill="E2E2E2"/>
            <w:tcMar>
              <w:top w:w="40" w:type="dxa"/>
              <w:left w:w="0" w:type="dxa"/>
              <w:bottom w:w="40" w:type="dxa"/>
              <w:right w:w="20" w:type="dxa"/>
            </w:tcMar>
            <w:vAlign w:val="bottom"/>
          </w:tcPr>
          <w:p w14:paraId="64305138" w14:textId="77777777" w:rsidR="009F6D8A" w:rsidRDefault="00C50974">
            <w:pPr>
              <w:jc w:val="right"/>
              <w:textAlignment w:val="bottom"/>
            </w:pPr>
            <w:r>
              <w:rPr>
                <w:rFonts w:ascii="Arial" w:eastAsia="宋体" w:hAnsi="Arial" w:cs="Arial"/>
                <w:color w:val="000000"/>
                <w:sz w:val="16"/>
                <w:szCs w:val="16"/>
              </w:rPr>
              <w:t>%</w:t>
            </w:r>
          </w:p>
        </w:tc>
      </w:tr>
      <w:tr w:rsidR="009F6D8A" w14:paraId="64305150" w14:textId="77777777">
        <w:tc>
          <w:tcPr>
            <w:tcW w:w="0" w:type="auto"/>
            <w:gridSpan w:val="3"/>
            <w:shd w:val="clear" w:color="auto" w:fill="FFFFFF"/>
            <w:tcMar>
              <w:top w:w="40" w:type="dxa"/>
              <w:left w:w="245" w:type="dxa"/>
              <w:bottom w:w="40" w:type="dxa"/>
              <w:right w:w="20" w:type="dxa"/>
            </w:tcMar>
            <w:vAlign w:val="bottom"/>
          </w:tcPr>
          <w:p w14:paraId="6430513A" w14:textId="77777777" w:rsidR="009F6D8A" w:rsidRDefault="00C50974">
            <w:pPr>
              <w:textAlignment w:val="bottom"/>
            </w:pPr>
            <w:r>
              <w:rPr>
                <w:rFonts w:ascii="Arial" w:eastAsia="宋体" w:hAnsi="Arial" w:cs="Arial"/>
                <w:color w:val="000000"/>
                <w:sz w:val="16"/>
                <w:szCs w:val="16"/>
              </w:rPr>
              <w:t>Total operating expenses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513B"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513C" w14:textId="77777777" w:rsidR="009F6D8A" w:rsidRDefault="00C50974">
            <w:pPr>
              <w:jc w:val="right"/>
              <w:textAlignment w:val="bottom"/>
            </w:pPr>
            <w:r>
              <w:rPr>
                <w:rFonts w:ascii="Arial" w:eastAsia="宋体" w:hAnsi="Arial" w:cs="Arial"/>
                <w:color w:val="000000"/>
                <w:sz w:val="16"/>
                <w:szCs w:val="16"/>
              </w:rPr>
              <w:t>1,264 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513D"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13E"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513F"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5140" w14:textId="77777777" w:rsidR="009F6D8A" w:rsidRDefault="00C50974">
            <w:pPr>
              <w:jc w:val="right"/>
              <w:textAlignment w:val="bottom"/>
            </w:pPr>
            <w:r>
              <w:rPr>
                <w:rFonts w:ascii="Arial" w:eastAsia="宋体" w:hAnsi="Arial" w:cs="Arial"/>
                <w:color w:val="000000"/>
                <w:sz w:val="16"/>
                <w:szCs w:val="16"/>
              </w:rPr>
              <w:t>1,156 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514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14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143" w14:textId="77777777" w:rsidR="009F6D8A" w:rsidRDefault="00C50974">
            <w:pPr>
              <w:jc w:val="right"/>
              <w:textAlignment w:val="bottom"/>
            </w:pPr>
            <w:r>
              <w:rPr>
                <w:rFonts w:ascii="Arial" w:eastAsia="宋体" w:hAnsi="Arial" w:cs="Arial"/>
                <w:color w:val="000000"/>
                <w:sz w:val="16"/>
                <w:szCs w:val="16"/>
              </w:rPr>
              <w:t>9 </w:t>
            </w:r>
          </w:p>
        </w:tc>
        <w:tc>
          <w:tcPr>
            <w:tcW w:w="0" w:type="auto"/>
            <w:shd w:val="clear" w:color="auto" w:fill="FFFFFF"/>
            <w:tcMar>
              <w:top w:w="40" w:type="dxa"/>
              <w:left w:w="0" w:type="dxa"/>
              <w:bottom w:w="40" w:type="dxa"/>
              <w:right w:w="20" w:type="dxa"/>
            </w:tcMar>
            <w:vAlign w:val="bottom"/>
          </w:tcPr>
          <w:p w14:paraId="64305144"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145"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5146"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5147" w14:textId="77777777" w:rsidR="009F6D8A" w:rsidRDefault="00C50974">
            <w:pPr>
              <w:jc w:val="right"/>
              <w:textAlignment w:val="bottom"/>
            </w:pPr>
            <w:r>
              <w:rPr>
                <w:rFonts w:ascii="Arial" w:eastAsia="宋体" w:hAnsi="Arial" w:cs="Arial"/>
                <w:color w:val="000000"/>
                <w:sz w:val="16"/>
                <w:szCs w:val="16"/>
              </w:rPr>
              <w:t>2,455 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514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149" w14:textId="77777777" w:rsidR="009F6D8A" w:rsidRDefault="009F6D8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514A"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430514B" w14:textId="77777777" w:rsidR="009F6D8A" w:rsidRDefault="00C50974">
            <w:pPr>
              <w:jc w:val="right"/>
              <w:textAlignment w:val="bottom"/>
            </w:pPr>
            <w:r>
              <w:rPr>
                <w:rFonts w:ascii="Arial" w:eastAsia="宋体" w:hAnsi="Arial" w:cs="Arial"/>
                <w:color w:val="000000"/>
                <w:sz w:val="16"/>
                <w:szCs w:val="16"/>
              </w:rPr>
              <w:t>2,074 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514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14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14E" w14:textId="77777777" w:rsidR="009F6D8A" w:rsidRDefault="00C50974">
            <w:pPr>
              <w:jc w:val="right"/>
              <w:textAlignment w:val="bottom"/>
            </w:pPr>
            <w:r>
              <w:rPr>
                <w:rFonts w:ascii="Arial" w:eastAsia="宋体" w:hAnsi="Arial" w:cs="Arial"/>
                <w:color w:val="000000"/>
                <w:sz w:val="16"/>
                <w:szCs w:val="16"/>
              </w:rPr>
              <w:t>18 </w:t>
            </w:r>
          </w:p>
        </w:tc>
        <w:tc>
          <w:tcPr>
            <w:tcW w:w="0" w:type="auto"/>
            <w:shd w:val="clear" w:color="auto" w:fill="FFFFFF"/>
            <w:tcMar>
              <w:top w:w="40" w:type="dxa"/>
              <w:left w:w="0" w:type="dxa"/>
              <w:bottom w:w="40" w:type="dxa"/>
              <w:right w:w="20" w:type="dxa"/>
            </w:tcMar>
            <w:vAlign w:val="bottom"/>
          </w:tcPr>
          <w:p w14:paraId="6430514F" w14:textId="77777777" w:rsidR="009F6D8A" w:rsidRDefault="00C50974">
            <w:pPr>
              <w:jc w:val="right"/>
              <w:textAlignment w:val="bottom"/>
            </w:pPr>
            <w:r>
              <w:rPr>
                <w:rFonts w:ascii="Arial" w:eastAsia="宋体" w:hAnsi="Arial" w:cs="Arial"/>
                <w:color w:val="000000"/>
                <w:sz w:val="16"/>
                <w:szCs w:val="16"/>
              </w:rPr>
              <w:t>%</w:t>
            </w:r>
          </w:p>
        </w:tc>
      </w:tr>
    </w:tbl>
    <w:p w14:paraId="64305151" w14:textId="77777777" w:rsidR="009F6D8A" w:rsidRDefault="009F6D8A">
      <w:pPr>
        <w:ind w:firstLine="540"/>
        <w:jc w:val="both"/>
      </w:pPr>
    </w:p>
    <w:p w14:paraId="64305152" w14:textId="77777777" w:rsidR="009F6D8A" w:rsidRDefault="00C50974">
      <w:pPr>
        <w:ind w:firstLine="540"/>
        <w:jc w:val="both"/>
      </w:pPr>
      <w:r>
        <w:rPr>
          <w:rFonts w:ascii="Arial" w:eastAsia="宋体" w:hAnsi="Arial" w:cs="Arial"/>
          <w:color w:val="000000"/>
          <w:sz w:val="20"/>
          <w:szCs w:val="20"/>
        </w:rPr>
        <w:t>Foreign currency movements relative to the U.S. dollar had an unfavorable impact of $40 million on operating expenses during the three months ended June 30, 2021 compared to the same period in 2020, and an unfavorable impact of $68 million on operating exp</w:t>
      </w:r>
      <w:r>
        <w:rPr>
          <w:rFonts w:ascii="Arial" w:eastAsia="宋体" w:hAnsi="Arial" w:cs="Arial"/>
          <w:color w:val="000000"/>
          <w:sz w:val="20"/>
          <w:szCs w:val="20"/>
        </w:rPr>
        <w:t xml:space="preserve">enses during the six months ended June 30, 2021 compared to the same period in 2020. There was no hedging activity within operating expenses during the three and six months ended June 30, 2021. </w:t>
      </w:r>
    </w:p>
    <w:p w14:paraId="64305153" w14:textId="77777777" w:rsidR="009F6D8A" w:rsidRDefault="009F6D8A">
      <w:pPr>
        <w:jc w:val="both"/>
      </w:pPr>
    </w:p>
    <w:p w14:paraId="64305154" w14:textId="77777777" w:rsidR="009F6D8A" w:rsidRDefault="009F6D8A">
      <w:pPr>
        <w:jc w:val="center"/>
      </w:pPr>
    </w:p>
    <w:p w14:paraId="64305155" w14:textId="77777777" w:rsidR="009F6D8A" w:rsidRDefault="00C50974">
      <w:pPr>
        <w:jc w:val="center"/>
      </w:pPr>
      <w:r>
        <w:rPr>
          <w:rFonts w:ascii="Arial" w:eastAsia="宋体" w:hAnsi="Arial" w:cs="Arial"/>
          <w:color w:val="000000"/>
          <w:sz w:val="20"/>
          <w:szCs w:val="20"/>
        </w:rPr>
        <w:t>43</w:t>
      </w:r>
    </w:p>
    <w:p w14:paraId="64305156" w14:textId="77777777" w:rsidR="009F6D8A" w:rsidRDefault="00C50974">
      <w:r>
        <w:pict w14:anchorId="6430582E">
          <v:rect id="_x0000_i1067" style="width:415.3pt;height:1.5pt" o:hralign="center" o:hrstd="t" o:hr="t" fillcolor="#a0a0a0" stroked="f"/>
        </w:pict>
      </w:r>
    </w:p>
    <w:p w14:paraId="64305157" w14:textId="77777777" w:rsidR="009F6D8A" w:rsidRDefault="009F6D8A"/>
    <w:p w14:paraId="64305158" w14:textId="77777777" w:rsidR="009F6D8A" w:rsidRDefault="00C50974">
      <w:r>
        <w:rPr>
          <w:rFonts w:ascii="Arial" w:eastAsia="宋体" w:hAnsi="Arial" w:cs="Arial"/>
          <w:b/>
          <w:bCs/>
          <w:i/>
          <w:iCs/>
          <w:color w:val="000000"/>
          <w:sz w:val="20"/>
          <w:szCs w:val="20"/>
        </w:rPr>
        <w:t>Sales and Marketing</w:t>
      </w:r>
    </w:p>
    <w:p w14:paraId="64305159" w14:textId="77777777" w:rsidR="009F6D8A" w:rsidRDefault="00C50974">
      <w:pPr>
        <w:jc w:val="both"/>
      </w:pPr>
      <w:r>
        <w:rPr>
          <w:rFonts w:ascii="Arial" w:eastAsia="宋体" w:hAnsi="Arial" w:cs="Arial"/>
          <w:color w:val="000000"/>
          <w:sz w:val="20"/>
          <w:szCs w:val="20"/>
        </w:rPr>
        <w:t> </w:t>
      </w:r>
    </w:p>
    <w:p w14:paraId="6430515A" w14:textId="77777777" w:rsidR="009F6D8A" w:rsidRDefault="00C50974">
      <w:pPr>
        <w:ind w:firstLine="540"/>
        <w:jc w:val="both"/>
      </w:pPr>
      <w:r>
        <w:rPr>
          <w:rFonts w:ascii="Arial" w:eastAsia="宋体" w:hAnsi="Arial" w:cs="Arial"/>
          <w:color w:val="000000"/>
          <w:sz w:val="20"/>
          <w:szCs w:val="20"/>
        </w:rPr>
        <w:t>Sales and marketing expenses pr</w:t>
      </w:r>
      <w:r>
        <w:rPr>
          <w:rFonts w:ascii="Arial" w:eastAsia="宋体" w:hAnsi="Arial" w:cs="Arial"/>
          <w:color w:val="000000"/>
          <w:sz w:val="20"/>
          <w:szCs w:val="20"/>
        </w:rPr>
        <w:t>imarily consist of advertising and marketing program costs (both online and offline), employee compensation, certain user coupons and rewards, contractor costs, facilities costs and depreciation on equipment. Online marketing expenses represent traffic acq</w:t>
      </w:r>
      <w:r>
        <w:rPr>
          <w:rFonts w:ascii="Arial" w:eastAsia="宋体" w:hAnsi="Arial" w:cs="Arial"/>
          <w:color w:val="000000"/>
          <w:sz w:val="20"/>
          <w:szCs w:val="20"/>
        </w:rPr>
        <w:t>uisition costs in various channels such as paid search, affiliates marketing and display advertising. Offline advertising primarily includes brand campaigns and buyer/seller communications.</w:t>
      </w:r>
    </w:p>
    <w:p w14:paraId="6430515B" w14:textId="77777777" w:rsidR="009F6D8A" w:rsidRDefault="009F6D8A">
      <w:pPr>
        <w:ind w:firstLine="495"/>
        <w:jc w:val="both"/>
      </w:pPr>
    </w:p>
    <w:p w14:paraId="6430515C" w14:textId="77777777" w:rsidR="009F6D8A" w:rsidRDefault="00C50974">
      <w:pPr>
        <w:ind w:firstLine="540"/>
        <w:jc w:val="both"/>
      </w:pPr>
      <w:r>
        <w:rPr>
          <w:rFonts w:ascii="Arial" w:eastAsia="宋体" w:hAnsi="Arial" w:cs="Arial"/>
          <w:color w:val="000000"/>
          <w:sz w:val="20"/>
          <w:szCs w:val="20"/>
        </w:rPr>
        <w:t>The increase in sales and marketing expense during the three mont</w:t>
      </w:r>
      <w:r>
        <w:rPr>
          <w:rFonts w:ascii="Arial" w:eastAsia="宋体" w:hAnsi="Arial" w:cs="Arial"/>
          <w:color w:val="000000"/>
          <w:sz w:val="20"/>
          <w:szCs w:val="20"/>
        </w:rPr>
        <w:t xml:space="preserve">hs ended June 30, 2021 compared to the same period in 2020 was primarily due to an increase in online advertising expenses of approximately $35 million. </w:t>
      </w:r>
    </w:p>
    <w:p w14:paraId="6430515D" w14:textId="77777777" w:rsidR="009F6D8A" w:rsidRDefault="009F6D8A">
      <w:pPr>
        <w:ind w:firstLine="540"/>
        <w:jc w:val="both"/>
      </w:pPr>
    </w:p>
    <w:p w14:paraId="6430515E" w14:textId="77777777" w:rsidR="009F6D8A" w:rsidRDefault="00C50974">
      <w:pPr>
        <w:ind w:firstLine="540"/>
        <w:jc w:val="both"/>
      </w:pPr>
      <w:r>
        <w:rPr>
          <w:rFonts w:ascii="Arial" w:eastAsia="宋体" w:hAnsi="Arial" w:cs="Arial"/>
          <w:color w:val="000000"/>
          <w:sz w:val="20"/>
          <w:szCs w:val="20"/>
        </w:rPr>
        <w:t>The increase in sales and marketing expense during the six months ended June 30, 2021 compared to the</w:t>
      </w:r>
      <w:r>
        <w:rPr>
          <w:rFonts w:ascii="Arial" w:eastAsia="宋体" w:hAnsi="Arial" w:cs="Arial"/>
          <w:color w:val="000000"/>
          <w:sz w:val="20"/>
          <w:szCs w:val="20"/>
        </w:rPr>
        <w:t xml:space="preserve"> same period in 2020 was primarily due to an increase in online and offline advertising expenses of approximately $150 million.</w:t>
      </w:r>
    </w:p>
    <w:p w14:paraId="6430515F" w14:textId="77777777" w:rsidR="009F6D8A" w:rsidRDefault="009F6D8A">
      <w:pPr>
        <w:ind w:firstLine="540"/>
        <w:jc w:val="both"/>
      </w:pPr>
    </w:p>
    <w:p w14:paraId="64305160" w14:textId="77777777" w:rsidR="009F6D8A" w:rsidRDefault="00C50974">
      <w:r>
        <w:rPr>
          <w:rFonts w:ascii="Arial" w:eastAsia="宋体" w:hAnsi="Arial" w:cs="Arial"/>
          <w:b/>
          <w:bCs/>
          <w:i/>
          <w:iCs/>
          <w:color w:val="000000"/>
          <w:sz w:val="20"/>
          <w:szCs w:val="20"/>
        </w:rPr>
        <w:t>Product Development</w:t>
      </w:r>
    </w:p>
    <w:p w14:paraId="64305161" w14:textId="77777777" w:rsidR="009F6D8A" w:rsidRDefault="00C50974">
      <w:pPr>
        <w:jc w:val="both"/>
      </w:pPr>
      <w:r>
        <w:rPr>
          <w:rFonts w:ascii="Arial" w:eastAsia="宋体" w:hAnsi="Arial" w:cs="Arial"/>
          <w:color w:val="000000"/>
          <w:sz w:val="20"/>
          <w:szCs w:val="20"/>
        </w:rPr>
        <w:t> </w:t>
      </w:r>
    </w:p>
    <w:p w14:paraId="64305162" w14:textId="77777777" w:rsidR="009F6D8A" w:rsidRDefault="00C50974">
      <w:pPr>
        <w:ind w:firstLine="540"/>
        <w:jc w:val="both"/>
      </w:pPr>
      <w:r>
        <w:rPr>
          <w:rFonts w:ascii="Arial" w:eastAsia="宋体" w:hAnsi="Arial" w:cs="Arial"/>
          <w:color w:val="000000"/>
          <w:sz w:val="20"/>
          <w:szCs w:val="20"/>
        </w:rPr>
        <w:t xml:space="preserve">Product development expenses primarily consist of employee compensation, contractor costs, </w:t>
      </w:r>
      <w:r>
        <w:rPr>
          <w:rFonts w:ascii="Arial" w:eastAsia="宋体" w:hAnsi="Arial" w:cs="Arial"/>
          <w:color w:val="000000"/>
          <w:sz w:val="20"/>
          <w:szCs w:val="20"/>
        </w:rPr>
        <w:t>facilities costs and depreciation on equipment. Product development expenses are net of required capitalization of major platform and other product development efforts, including the development and maintenance of our technology platform. Our top technolog</w:t>
      </w:r>
      <w:r>
        <w:rPr>
          <w:rFonts w:ascii="Arial" w:eastAsia="宋体" w:hAnsi="Arial" w:cs="Arial"/>
          <w:color w:val="000000"/>
          <w:sz w:val="20"/>
          <w:szCs w:val="20"/>
        </w:rPr>
        <w:t>y priorities include payment intermediation capabilities and improved seller tools and buyer experiences built on a foundation of structured data.</w:t>
      </w:r>
    </w:p>
    <w:p w14:paraId="64305163" w14:textId="77777777" w:rsidR="009F6D8A" w:rsidRDefault="009F6D8A">
      <w:pPr>
        <w:ind w:firstLine="495"/>
        <w:jc w:val="both"/>
      </w:pPr>
    </w:p>
    <w:p w14:paraId="64305164" w14:textId="77777777" w:rsidR="009F6D8A" w:rsidRDefault="00C50974">
      <w:pPr>
        <w:ind w:firstLine="540"/>
        <w:jc w:val="both"/>
      </w:pPr>
      <w:r>
        <w:rPr>
          <w:rFonts w:ascii="Arial" w:eastAsia="宋体" w:hAnsi="Arial" w:cs="Arial"/>
          <w:color w:val="000000"/>
          <w:sz w:val="20"/>
          <w:szCs w:val="20"/>
        </w:rPr>
        <w:t>The increase in product development expenses during the three and six months ended June 30, 2021 compared to</w:t>
      </w:r>
      <w:r>
        <w:rPr>
          <w:rFonts w:ascii="Arial" w:eastAsia="宋体" w:hAnsi="Arial" w:cs="Arial"/>
          <w:color w:val="000000"/>
          <w:sz w:val="20"/>
          <w:szCs w:val="20"/>
        </w:rPr>
        <w:t xml:space="preserve"> the same periods in 2020 was primarily due to an increase in employee-related costs of approximately $90 million and $175 million, respectively.</w:t>
      </w:r>
    </w:p>
    <w:p w14:paraId="64305165" w14:textId="77777777" w:rsidR="009F6D8A" w:rsidRDefault="009F6D8A">
      <w:pPr>
        <w:ind w:firstLine="540"/>
        <w:jc w:val="both"/>
      </w:pPr>
    </w:p>
    <w:p w14:paraId="64305166" w14:textId="77777777" w:rsidR="009F6D8A" w:rsidRDefault="00C50974">
      <w:pPr>
        <w:ind w:firstLine="540"/>
        <w:jc w:val="both"/>
      </w:pPr>
      <w:r>
        <w:rPr>
          <w:rFonts w:ascii="Arial" w:eastAsia="宋体" w:hAnsi="Arial" w:cs="Arial"/>
          <w:color w:val="000000"/>
          <w:sz w:val="20"/>
          <w:szCs w:val="20"/>
        </w:rPr>
        <w:t>Capitalized internal use and platform development costs were $32 million and $63 million in the three and six</w:t>
      </w:r>
      <w:r>
        <w:rPr>
          <w:rFonts w:ascii="Arial" w:eastAsia="宋体" w:hAnsi="Arial" w:cs="Arial"/>
          <w:color w:val="000000"/>
          <w:sz w:val="20"/>
          <w:szCs w:val="20"/>
        </w:rPr>
        <w:t xml:space="preserve"> months ended June 30, 2021 compared to $33 million and $64 million in the three and six months ended June 30, 2020. These costs are primarily reflected as a cost of net revenues when amortized in future periods.</w:t>
      </w:r>
    </w:p>
    <w:p w14:paraId="64305167" w14:textId="77777777" w:rsidR="009F6D8A" w:rsidRDefault="009F6D8A">
      <w:pPr>
        <w:ind w:firstLine="540"/>
        <w:jc w:val="both"/>
      </w:pPr>
    </w:p>
    <w:p w14:paraId="64305168" w14:textId="77777777" w:rsidR="009F6D8A" w:rsidRDefault="00C50974">
      <w:r>
        <w:rPr>
          <w:rFonts w:ascii="Arial" w:eastAsia="宋体" w:hAnsi="Arial" w:cs="Arial"/>
          <w:b/>
          <w:bCs/>
          <w:i/>
          <w:iCs/>
          <w:color w:val="000000"/>
          <w:sz w:val="20"/>
          <w:szCs w:val="20"/>
        </w:rPr>
        <w:t>General and Administrative</w:t>
      </w:r>
    </w:p>
    <w:p w14:paraId="64305169" w14:textId="77777777" w:rsidR="009F6D8A" w:rsidRDefault="00C50974">
      <w:pPr>
        <w:jc w:val="both"/>
      </w:pPr>
      <w:r>
        <w:rPr>
          <w:rFonts w:ascii="Arial" w:eastAsia="宋体" w:hAnsi="Arial" w:cs="Arial"/>
          <w:color w:val="000000"/>
          <w:sz w:val="20"/>
          <w:szCs w:val="20"/>
        </w:rPr>
        <w:t> </w:t>
      </w:r>
    </w:p>
    <w:p w14:paraId="6430516A" w14:textId="77777777" w:rsidR="009F6D8A" w:rsidRDefault="00C50974">
      <w:pPr>
        <w:ind w:firstLine="540"/>
        <w:jc w:val="both"/>
      </w:pPr>
      <w:r>
        <w:rPr>
          <w:rFonts w:ascii="Arial" w:eastAsia="宋体" w:hAnsi="Arial" w:cs="Arial"/>
          <w:color w:val="000000"/>
          <w:sz w:val="20"/>
          <w:szCs w:val="20"/>
        </w:rPr>
        <w:t>General and a</w:t>
      </w:r>
      <w:r>
        <w:rPr>
          <w:rFonts w:ascii="Arial" w:eastAsia="宋体" w:hAnsi="Arial" w:cs="Arial"/>
          <w:color w:val="000000"/>
          <w:sz w:val="20"/>
          <w:szCs w:val="20"/>
        </w:rPr>
        <w:t>dministrative expenses primarily consist of employee compensation, contractor costs, facilities costs, depreciation of equipment, employer payroll taxes on stock-based compensation, legal expenses, restructuring, insurance premiums and professional fees. O</w:t>
      </w:r>
      <w:r>
        <w:rPr>
          <w:rFonts w:ascii="Arial" w:eastAsia="宋体" w:hAnsi="Arial" w:cs="Arial"/>
          <w:color w:val="000000"/>
          <w:sz w:val="20"/>
          <w:szCs w:val="20"/>
        </w:rPr>
        <w:t>ur legal expenses, including those related to various ongoing legal proceedings, may fluctuate substantially from period to period.</w:t>
      </w:r>
    </w:p>
    <w:p w14:paraId="6430516B" w14:textId="77777777" w:rsidR="009F6D8A" w:rsidRDefault="009F6D8A">
      <w:pPr>
        <w:ind w:firstLine="540"/>
        <w:jc w:val="both"/>
      </w:pPr>
    </w:p>
    <w:p w14:paraId="6430516C" w14:textId="77777777" w:rsidR="009F6D8A" w:rsidRDefault="00C50974">
      <w:pPr>
        <w:ind w:firstLine="540"/>
        <w:jc w:val="both"/>
      </w:pPr>
      <w:r>
        <w:rPr>
          <w:rFonts w:ascii="Arial" w:eastAsia="宋体" w:hAnsi="Arial" w:cs="Arial"/>
          <w:color w:val="000000"/>
          <w:sz w:val="20"/>
          <w:szCs w:val="20"/>
        </w:rPr>
        <w:t xml:space="preserve">The decrease in general and administrative expenses during the three months ended June 30, 2021 compared to the same </w:t>
      </w:r>
      <w:r>
        <w:rPr>
          <w:rFonts w:ascii="Arial" w:eastAsia="宋体" w:hAnsi="Arial" w:cs="Arial"/>
          <w:color w:val="000000"/>
          <w:sz w:val="20"/>
          <w:szCs w:val="20"/>
        </w:rPr>
        <w:t>period in 2020 was primarily due to the absence of costs related to our CEO transition that were incurred in 2020 of $33 million.</w:t>
      </w:r>
    </w:p>
    <w:p w14:paraId="6430516D" w14:textId="77777777" w:rsidR="009F6D8A" w:rsidRDefault="009F6D8A">
      <w:pPr>
        <w:ind w:firstLine="540"/>
        <w:jc w:val="both"/>
      </w:pPr>
    </w:p>
    <w:p w14:paraId="6430516E" w14:textId="77777777" w:rsidR="009F6D8A" w:rsidRDefault="00C50974">
      <w:pPr>
        <w:ind w:firstLine="540"/>
        <w:jc w:val="both"/>
      </w:pPr>
      <w:r>
        <w:rPr>
          <w:rFonts w:ascii="Arial" w:eastAsia="宋体" w:hAnsi="Arial" w:cs="Arial"/>
          <w:color w:val="000000"/>
          <w:sz w:val="20"/>
          <w:szCs w:val="20"/>
        </w:rPr>
        <w:t xml:space="preserve">The increase in general and administrative expenses during the six months ended June 30, 2021 compared to the same period in </w:t>
      </w:r>
      <w:r>
        <w:rPr>
          <w:rFonts w:ascii="Arial" w:eastAsia="宋体" w:hAnsi="Arial" w:cs="Arial"/>
          <w:color w:val="000000"/>
          <w:sz w:val="20"/>
          <w:szCs w:val="20"/>
        </w:rPr>
        <w:t>2020 was primarily due to employee related costs of approximately $45 million partially offset by the absence of costs related to our CEO transition in 2020 of $33 million.</w:t>
      </w:r>
    </w:p>
    <w:p w14:paraId="6430516F" w14:textId="77777777" w:rsidR="009F6D8A" w:rsidRDefault="009F6D8A">
      <w:pPr>
        <w:ind w:firstLine="540"/>
        <w:jc w:val="both"/>
      </w:pPr>
    </w:p>
    <w:p w14:paraId="64305170" w14:textId="77777777" w:rsidR="009F6D8A" w:rsidRDefault="00C50974">
      <w:r>
        <w:rPr>
          <w:rFonts w:ascii="Arial" w:eastAsia="宋体" w:hAnsi="Arial" w:cs="Arial"/>
          <w:b/>
          <w:bCs/>
          <w:i/>
          <w:iCs/>
          <w:color w:val="000000"/>
          <w:sz w:val="20"/>
          <w:szCs w:val="20"/>
        </w:rPr>
        <w:t>Provision for Transaction Losses</w:t>
      </w:r>
    </w:p>
    <w:p w14:paraId="64305171" w14:textId="77777777" w:rsidR="009F6D8A" w:rsidRDefault="009F6D8A">
      <w:pPr>
        <w:ind w:firstLine="495"/>
        <w:jc w:val="both"/>
      </w:pPr>
    </w:p>
    <w:p w14:paraId="64305172" w14:textId="77777777" w:rsidR="009F6D8A" w:rsidRDefault="00C50974">
      <w:pPr>
        <w:ind w:firstLine="540"/>
        <w:jc w:val="both"/>
      </w:pPr>
      <w:r>
        <w:rPr>
          <w:rFonts w:ascii="Arial" w:eastAsia="宋体" w:hAnsi="Arial" w:cs="Arial"/>
          <w:color w:val="000000"/>
          <w:sz w:val="20"/>
          <w:szCs w:val="20"/>
        </w:rPr>
        <w:t>Provision for transaction losses primarily consi</w:t>
      </w:r>
      <w:r>
        <w:rPr>
          <w:rFonts w:ascii="Arial" w:eastAsia="宋体" w:hAnsi="Arial" w:cs="Arial"/>
          <w:color w:val="000000"/>
          <w:sz w:val="20"/>
          <w:szCs w:val="20"/>
        </w:rPr>
        <w:t>sts of transaction loss expense associated with our buyer protection programs, losses from our managed payments services, fraud and bad debt expense associated with our accounts receivable balance. We expect our provision for transaction losses to fluctuat</w:t>
      </w:r>
      <w:r>
        <w:rPr>
          <w:rFonts w:ascii="Arial" w:eastAsia="宋体" w:hAnsi="Arial" w:cs="Arial"/>
          <w:color w:val="000000"/>
          <w:sz w:val="20"/>
          <w:szCs w:val="20"/>
        </w:rPr>
        <w:t>e depending on many factors, including changes to our protection programs and the impact of regulatory changes.</w:t>
      </w:r>
    </w:p>
    <w:p w14:paraId="64305173" w14:textId="77777777" w:rsidR="009F6D8A" w:rsidRDefault="009F6D8A">
      <w:pPr>
        <w:jc w:val="both"/>
      </w:pPr>
    </w:p>
    <w:p w14:paraId="64305174" w14:textId="77777777" w:rsidR="009F6D8A" w:rsidRDefault="00C50974">
      <w:pPr>
        <w:ind w:firstLine="540"/>
        <w:jc w:val="both"/>
      </w:pPr>
      <w:r>
        <w:rPr>
          <w:rFonts w:ascii="Arial" w:eastAsia="宋体" w:hAnsi="Arial" w:cs="Arial"/>
          <w:color w:val="000000"/>
          <w:sz w:val="20"/>
          <w:szCs w:val="20"/>
        </w:rPr>
        <w:t xml:space="preserve">The increase in provision for transaction losses during the three months ended June 30, 2021 compared to the same period in 2020 was primarily </w:t>
      </w:r>
      <w:r>
        <w:rPr>
          <w:rFonts w:ascii="Arial" w:eastAsia="宋体" w:hAnsi="Arial" w:cs="Arial"/>
          <w:color w:val="000000"/>
          <w:sz w:val="20"/>
          <w:szCs w:val="20"/>
        </w:rPr>
        <w:t xml:space="preserve">due to higher chargeback losses of $15 million incurred for managed payments as we scale the platform and higher customer protection program costs of $15 million, partially offset by </w:t>
      </w:r>
    </w:p>
    <w:p w14:paraId="64305175" w14:textId="77777777" w:rsidR="009F6D8A" w:rsidRDefault="009F6D8A">
      <w:pPr>
        <w:jc w:val="center"/>
      </w:pPr>
    </w:p>
    <w:p w14:paraId="64305176" w14:textId="77777777" w:rsidR="009F6D8A" w:rsidRDefault="00C50974">
      <w:pPr>
        <w:jc w:val="center"/>
      </w:pPr>
      <w:r>
        <w:rPr>
          <w:rFonts w:ascii="Arial" w:eastAsia="宋体" w:hAnsi="Arial" w:cs="Arial"/>
          <w:color w:val="000000"/>
          <w:sz w:val="20"/>
          <w:szCs w:val="20"/>
        </w:rPr>
        <w:t>44</w:t>
      </w:r>
    </w:p>
    <w:p w14:paraId="64305177" w14:textId="77777777" w:rsidR="009F6D8A" w:rsidRDefault="00C50974">
      <w:r>
        <w:pict w14:anchorId="6430582F">
          <v:rect id="_x0000_i1068" style="width:415.3pt;height:1.5pt" o:hralign="center" o:hrstd="t" o:hr="t" fillcolor="#a0a0a0" stroked="f"/>
        </w:pict>
      </w:r>
    </w:p>
    <w:p w14:paraId="64305178" w14:textId="77777777" w:rsidR="009F6D8A" w:rsidRDefault="009F6D8A"/>
    <w:p w14:paraId="64305179" w14:textId="77777777" w:rsidR="009F6D8A" w:rsidRDefault="00C50974">
      <w:pPr>
        <w:jc w:val="both"/>
      </w:pPr>
      <w:r>
        <w:rPr>
          <w:rFonts w:ascii="Arial" w:eastAsia="宋体" w:hAnsi="Arial" w:cs="Arial"/>
          <w:color w:val="000000"/>
          <w:sz w:val="20"/>
          <w:szCs w:val="20"/>
        </w:rPr>
        <w:t>lower bad debt expense of $16 million primarily as a result of fe</w:t>
      </w:r>
      <w:r>
        <w:rPr>
          <w:rFonts w:ascii="Arial" w:eastAsia="宋体" w:hAnsi="Arial" w:cs="Arial"/>
          <w:color w:val="000000"/>
          <w:sz w:val="20"/>
          <w:szCs w:val="20"/>
        </w:rPr>
        <w:t>es collected through the managed payments platform.</w:t>
      </w:r>
    </w:p>
    <w:p w14:paraId="6430517A" w14:textId="77777777" w:rsidR="009F6D8A" w:rsidRDefault="009F6D8A">
      <w:pPr>
        <w:ind w:firstLine="540"/>
        <w:jc w:val="both"/>
      </w:pPr>
    </w:p>
    <w:p w14:paraId="6430517B" w14:textId="77777777" w:rsidR="009F6D8A" w:rsidRDefault="00C50974">
      <w:pPr>
        <w:ind w:firstLine="540"/>
        <w:jc w:val="both"/>
      </w:pPr>
      <w:r>
        <w:rPr>
          <w:rFonts w:ascii="Arial" w:eastAsia="宋体" w:hAnsi="Arial" w:cs="Arial"/>
          <w:color w:val="000000"/>
          <w:sz w:val="20"/>
          <w:szCs w:val="20"/>
        </w:rPr>
        <w:t>The increase in provision for transaction losses during the six months ended June 30, 2021 compared to the same period in 2020 was primarily due to higher chargeback losses of $28 million incurred for ma</w:t>
      </w:r>
      <w:r>
        <w:rPr>
          <w:rFonts w:ascii="Arial" w:eastAsia="宋体" w:hAnsi="Arial" w:cs="Arial"/>
          <w:color w:val="000000"/>
          <w:sz w:val="20"/>
          <w:szCs w:val="20"/>
        </w:rPr>
        <w:t>naged payments as we scale the platform and higher customer protection program costs of $21 million. These increases were partially offset by lower bad debt expense as a result of fees collected through the managed payments platform and lapping of provisio</w:t>
      </w:r>
      <w:r>
        <w:rPr>
          <w:rFonts w:ascii="Arial" w:eastAsia="宋体" w:hAnsi="Arial" w:cs="Arial"/>
          <w:color w:val="000000"/>
          <w:sz w:val="20"/>
          <w:szCs w:val="20"/>
        </w:rPr>
        <w:t xml:space="preserve">ns recognized in 2020 related to COVID-19 of $41 million. </w:t>
      </w:r>
    </w:p>
    <w:p w14:paraId="6430517C" w14:textId="77777777" w:rsidR="009F6D8A" w:rsidRDefault="009F6D8A">
      <w:pPr>
        <w:ind w:firstLine="540"/>
        <w:jc w:val="both"/>
      </w:pPr>
    </w:p>
    <w:p w14:paraId="6430517D" w14:textId="77777777" w:rsidR="009F6D8A" w:rsidRDefault="00C50974">
      <w:pPr>
        <w:jc w:val="both"/>
      </w:pPr>
      <w:r>
        <w:rPr>
          <w:rFonts w:ascii="Arial" w:eastAsia="宋体" w:hAnsi="Arial" w:cs="Arial"/>
          <w:b/>
          <w:bCs/>
          <w:i/>
          <w:iCs/>
          <w:color w:val="000000"/>
          <w:sz w:val="20"/>
          <w:szCs w:val="20"/>
        </w:rPr>
        <w:t>Interest and Other, Net</w:t>
      </w:r>
    </w:p>
    <w:p w14:paraId="6430517E" w14:textId="77777777" w:rsidR="009F6D8A" w:rsidRDefault="00C50974">
      <w:pPr>
        <w:jc w:val="both"/>
      </w:pPr>
      <w:r>
        <w:rPr>
          <w:rFonts w:ascii="Arial" w:eastAsia="宋体" w:hAnsi="Arial" w:cs="Arial"/>
          <w:color w:val="000000"/>
          <w:sz w:val="20"/>
          <w:szCs w:val="20"/>
        </w:rPr>
        <w:t> </w:t>
      </w:r>
    </w:p>
    <w:p w14:paraId="6430517F" w14:textId="77777777" w:rsidR="009F6D8A" w:rsidRDefault="00C50974">
      <w:pPr>
        <w:spacing w:after="60"/>
        <w:ind w:firstLine="540"/>
        <w:jc w:val="both"/>
      </w:pPr>
      <w:r>
        <w:rPr>
          <w:rFonts w:ascii="Arial" w:eastAsia="宋体" w:hAnsi="Arial" w:cs="Arial"/>
          <w:color w:val="000000"/>
          <w:sz w:val="20"/>
          <w:szCs w:val="20"/>
        </w:rPr>
        <w:t>Interest and other, net primarily consists of interest earned on cash, cash equivalents and investments, as well as foreign exchange transaction gains and losses, gains a</w:t>
      </w:r>
      <w:r>
        <w:rPr>
          <w:rFonts w:ascii="Arial" w:eastAsia="宋体" w:hAnsi="Arial" w:cs="Arial"/>
          <w:color w:val="000000"/>
          <w:sz w:val="20"/>
          <w:szCs w:val="20"/>
        </w:rPr>
        <w:t>nd losses due to changes in fair value of the warrant received from Adyen, gains and losses due to changes in fair value of our equity investment in Adevinta, our portion of operating results from investments accounted for under the equity method of accoun</w:t>
      </w:r>
      <w:r>
        <w:rPr>
          <w:rFonts w:ascii="Arial" w:eastAsia="宋体" w:hAnsi="Arial" w:cs="Arial"/>
          <w:color w:val="000000"/>
          <w:sz w:val="20"/>
          <w:szCs w:val="20"/>
        </w:rPr>
        <w:t>ting, investment gain/loss on acquisitions or disposals and interest expense, consisting of interest charges on any amounts borrowed and commitment fees on unborrowed amounts under our credit agreement and interest expense on our outstanding debt securitie</w:t>
      </w:r>
      <w:r>
        <w:rPr>
          <w:rFonts w:ascii="Arial" w:eastAsia="宋体" w:hAnsi="Arial" w:cs="Arial"/>
          <w:color w:val="000000"/>
          <w:sz w:val="20"/>
          <w:szCs w:val="20"/>
        </w:rPr>
        <w:t>s and commercial paper, if any. The following table presents interest and other, net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9"/>
        <w:gridCol w:w="3236"/>
        <w:gridCol w:w="37"/>
        <w:gridCol w:w="109"/>
        <w:gridCol w:w="603"/>
        <w:gridCol w:w="163"/>
        <w:gridCol w:w="36"/>
        <w:gridCol w:w="36"/>
        <w:gridCol w:w="36"/>
        <w:gridCol w:w="109"/>
        <w:gridCol w:w="538"/>
        <w:gridCol w:w="163"/>
        <w:gridCol w:w="36"/>
        <w:gridCol w:w="36"/>
        <w:gridCol w:w="36"/>
        <w:gridCol w:w="61"/>
        <w:gridCol w:w="490"/>
        <w:gridCol w:w="36"/>
        <w:gridCol w:w="36"/>
        <w:gridCol w:w="36"/>
        <w:gridCol w:w="36"/>
        <w:gridCol w:w="109"/>
        <w:gridCol w:w="540"/>
        <w:gridCol w:w="163"/>
        <w:gridCol w:w="36"/>
        <w:gridCol w:w="36"/>
        <w:gridCol w:w="36"/>
        <w:gridCol w:w="109"/>
        <w:gridCol w:w="540"/>
        <w:gridCol w:w="163"/>
        <w:gridCol w:w="36"/>
        <w:gridCol w:w="36"/>
        <w:gridCol w:w="36"/>
        <w:gridCol w:w="61"/>
        <w:gridCol w:w="491"/>
        <w:gridCol w:w="36"/>
      </w:tblGrid>
      <w:tr w:rsidR="009F6D8A" w14:paraId="643051A4" w14:textId="77777777">
        <w:tc>
          <w:tcPr>
            <w:tcW w:w="50" w:type="pct"/>
            <w:shd w:val="clear" w:color="auto" w:fill="auto"/>
            <w:vAlign w:val="bottom"/>
          </w:tcPr>
          <w:p w14:paraId="64305180" w14:textId="77777777" w:rsidR="009F6D8A" w:rsidRDefault="009F6D8A">
            <w:pPr>
              <w:rPr>
                <w:rFonts w:ascii="宋体"/>
              </w:rPr>
            </w:pPr>
          </w:p>
        </w:tc>
        <w:tc>
          <w:tcPr>
            <w:tcW w:w="1999" w:type="pct"/>
            <w:shd w:val="clear" w:color="auto" w:fill="auto"/>
            <w:vAlign w:val="bottom"/>
          </w:tcPr>
          <w:p w14:paraId="64305181" w14:textId="77777777" w:rsidR="009F6D8A" w:rsidRDefault="009F6D8A">
            <w:pPr>
              <w:rPr>
                <w:rFonts w:ascii="宋体"/>
              </w:rPr>
            </w:pPr>
          </w:p>
        </w:tc>
        <w:tc>
          <w:tcPr>
            <w:tcW w:w="5" w:type="pct"/>
            <w:shd w:val="clear" w:color="auto" w:fill="auto"/>
            <w:vAlign w:val="bottom"/>
          </w:tcPr>
          <w:p w14:paraId="64305182" w14:textId="77777777" w:rsidR="009F6D8A" w:rsidRDefault="009F6D8A">
            <w:pPr>
              <w:rPr>
                <w:rFonts w:ascii="宋体"/>
              </w:rPr>
            </w:pPr>
          </w:p>
        </w:tc>
        <w:tc>
          <w:tcPr>
            <w:tcW w:w="50" w:type="pct"/>
            <w:shd w:val="clear" w:color="auto" w:fill="auto"/>
            <w:vAlign w:val="bottom"/>
          </w:tcPr>
          <w:p w14:paraId="64305183" w14:textId="77777777" w:rsidR="009F6D8A" w:rsidRDefault="009F6D8A">
            <w:pPr>
              <w:rPr>
                <w:rFonts w:ascii="宋体"/>
              </w:rPr>
            </w:pPr>
          </w:p>
        </w:tc>
        <w:tc>
          <w:tcPr>
            <w:tcW w:w="405" w:type="pct"/>
            <w:shd w:val="clear" w:color="auto" w:fill="auto"/>
            <w:vAlign w:val="bottom"/>
          </w:tcPr>
          <w:p w14:paraId="64305184" w14:textId="77777777" w:rsidR="009F6D8A" w:rsidRDefault="009F6D8A">
            <w:pPr>
              <w:rPr>
                <w:rFonts w:ascii="宋体"/>
              </w:rPr>
            </w:pPr>
          </w:p>
        </w:tc>
        <w:tc>
          <w:tcPr>
            <w:tcW w:w="5" w:type="pct"/>
            <w:shd w:val="clear" w:color="auto" w:fill="auto"/>
            <w:vAlign w:val="bottom"/>
          </w:tcPr>
          <w:p w14:paraId="64305185" w14:textId="77777777" w:rsidR="009F6D8A" w:rsidRDefault="009F6D8A">
            <w:pPr>
              <w:rPr>
                <w:rFonts w:ascii="宋体"/>
              </w:rPr>
            </w:pPr>
          </w:p>
        </w:tc>
        <w:tc>
          <w:tcPr>
            <w:tcW w:w="5" w:type="pct"/>
            <w:shd w:val="clear" w:color="auto" w:fill="auto"/>
            <w:vAlign w:val="bottom"/>
          </w:tcPr>
          <w:p w14:paraId="64305186" w14:textId="77777777" w:rsidR="009F6D8A" w:rsidRDefault="009F6D8A">
            <w:pPr>
              <w:rPr>
                <w:rFonts w:ascii="宋体"/>
              </w:rPr>
            </w:pPr>
          </w:p>
        </w:tc>
        <w:tc>
          <w:tcPr>
            <w:tcW w:w="26" w:type="pct"/>
            <w:shd w:val="clear" w:color="auto" w:fill="auto"/>
            <w:vAlign w:val="bottom"/>
          </w:tcPr>
          <w:p w14:paraId="64305187" w14:textId="77777777" w:rsidR="009F6D8A" w:rsidRDefault="009F6D8A">
            <w:pPr>
              <w:rPr>
                <w:rFonts w:ascii="宋体"/>
              </w:rPr>
            </w:pPr>
          </w:p>
        </w:tc>
        <w:tc>
          <w:tcPr>
            <w:tcW w:w="5" w:type="pct"/>
            <w:shd w:val="clear" w:color="auto" w:fill="auto"/>
            <w:vAlign w:val="bottom"/>
          </w:tcPr>
          <w:p w14:paraId="64305188" w14:textId="77777777" w:rsidR="009F6D8A" w:rsidRDefault="009F6D8A">
            <w:pPr>
              <w:rPr>
                <w:rFonts w:ascii="宋体"/>
              </w:rPr>
            </w:pPr>
          </w:p>
        </w:tc>
        <w:tc>
          <w:tcPr>
            <w:tcW w:w="50" w:type="pct"/>
            <w:shd w:val="clear" w:color="auto" w:fill="auto"/>
            <w:vAlign w:val="bottom"/>
          </w:tcPr>
          <w:p w14:paraId="64305189" w14:textId="77777777" w:rsidR="009F6D8A" w:rsidRDefault="009F6D8A">
            <w:pPr>
              <w:rPr>
                <w:rFonts w:ascii="宋体"/>
              </w:rPr>
            </w:pPr>
          </w:p>
        </w:tc>
        <w:tc>
          <w:tcPr>
            <w:tcW w:w="405" w:type="pct"/>
            <w:shd w:val="clear" w:color="auto" w:fill="auto"/>
            <w:vAlign w:val="bottom"/>
          </w:tcPr>
          <w:p w14:paraId="6430518A" w14:textId="77777777" w:rsidR="009F6D8A" w:rsidRDefault="009F6D8A">
            <w:pPr>
              <w:rPr>
                <w:rFonts w:ascii="宋体"/>
              </w:rPr>
            </w:pPr>
          </w:p>
        </w:tc>
        <w:tc>
          <w:tcPr>
            <w:tcW w:w="5" w:type="pct"/>
            <w:shd w:val="clear" w:color="auto" w:fill="auto"/>
            <w:vAlign w:val="bottom"/>
          </w:tcPr>
          <w:p w14:paraId="6430518B" w14:textId="77777777" w:rsidR="009F6D8A" w:rsidRDefault="009F6D8A">
            <w:pPr>
              <w:rPr>
                <w:rFonts w:ascii="宋体"/>
              </w:rPr>
            </w:pPr>
          </w:p>
        </w:tc>
        <w:tc>
          <w:tcPr>
            <w:tcW w:w="5" w:type="pct"/>
            <w:shd w:val="clear" w:color="auto" w:fill="auto"/>
            <w:vAlign w:val="bottom"/>
          </w:tcPr>
          <w:p w14:paraId="6430518C" w14:textId="77777777" w:rsidR="009F6D8A" w:rsidRDefault="009F6D8A">
            <w:pPr>
              <w:rPr>
                <w:rFonts w:ascii="宋体"/>
              </w:rPr>
            </w:pPr>
          </w:p>
        </w:tc>
        <w:tc>
          <w:tcPr>
            <w:tcW w:w="26" w:type="pct"/>
            <w:shd w:val="clear" w:color="auto" w:fill="auto"/>
            <w:vAlign w:val="bottom"/>
          </w:tcPr>
          <w:p w14:paraId="6430518D" w14:textId="77777777" w:rsidR="009F6D8A" w:rsidRDefault="009F6D8A">
            <w:pPr>
              <w:rPr>
                <w:rFonts w:ascii="宋体"/>
              </w:rPr>
            </w:pPr>
          </w:p>
        </w:tc>
        <w:tc>
          <w:tcPr>
            <w:tcW w:w="5" w:type="pct"/>
            <w:shd w:val="clear" w:color="auto" w:fill="auto"/>
            <w:vAlign w:val="bottom"/>
          </w:tcPr>
          <w:p w14:paraId="6430518E" w14:textId="77777777" w:rsidR="009F6D8A" w:rsidRDefault="009F6D8A">
            <w:pPr>
              <w:rPr>
                <w:rFonts w:ascii="宋体"/>
              </w:rPr>
            </w:pPr>
          </w:p>
        </w:tc>
        <w:tc>
          <w:tcPr>
            <w:tcW w:w="50" w:type="pct"/>
            <w:shd w:val="clear" w:color="auto" w:fill="auto"/>
            <w:vAlign w:val="bottom"/>
          </w:tcPr>
          <w:p w14:paraId="6430518F" w14:textId="77777777" w:rsidR="009F6D8A" w:rsidRDefault="009F6D8A">
            <w:pPr>
              <w:rPr>
                <w:rFonts w:ascii="宋体"/>
              </w:rPr>
            </w:pPr>
          </w:p>
        </w:tc>
        <w:tc>
          <w:tcPr>
            <w:tcW w:w="405" w:type="pct"/>
            <w:shd w:val="clear" w:color="auto" w:fill="auto"/>
            <w:vAlign w:val="bottom"/>
          </w:tcPr>
          <w:p w14:paraId="64305190" w14:textId="77777777" w:rsidR="009F6D8A" w:rsidRDefault="009F6D8A">
            <w:pPr>
              <w:rPr>
                <w:rFonts w:ascii="宋体"/>
              </w:rPr>
            </w:pPr>
          </w:p>
        </w:tc>
        <w:tc>
          <w:tcPr>
            <w:tcW w:w="5" w:type="pct"/>
            <w:shd w:val="clear" w:color="auto" w:fill="auto"/>
            <w:vAlign w:val="bottom"/>
          </w:tcPr>
          <w:p w14:paraId="64305191" w14:textId="77777777" w:rsidR="009F6D8A" w:rsidRDefault="009F6D8A">
            <w:pPr>
              <w:rPr>
                <w:rFonts w:ascii="宋体"/>
              </w:rPr>
            </w:pPr>
          </w:p>
        </w:tc>
        <w:tc>
          <w:tcPr>
            <w:tcW w:w="5" w:type="pct"/>
            <w:shd w:val="clear" w:color="auto" w:fill="auto"/>
            <w:vAlign w:val="bottom"/>
          </w:tcPr>
          <w:p w14:paraId="64305192" w14:textId="77777777" w:rsidR="009F6D8A" w:rsidRDefault="009F6D8A">
            <w:pPr>
              <w:rPr>
                <w:rFonts w:ascii="宋体"/>
              </w:rPr>
            </w:pPr>
          </w:p>
        </w:tc>
        <w:tc>
          <w:tcPr>
            <w:tcW w:w="26" w:type="pct"/>
            <w:shd w:val="clear" w:color="auto" w:fill="auto"/>
            <w:vAlign w:val="bottom"/>
          </w:tcPr>
          <w:p w14:paraId="64305193" w14:textId="77777777" w:rsidR="009F6D8A" w:rsidRDefault="009F6D8A">
            <w:pPr>
              <w:rPr>
                <w:rFonts w:ascii="宋体"/>
              </w:rPr>
            </w:pPr>
          </w:p>
        </w:tc>
        <w:tc>
          <w:tcPr>
            <w:tcW w:w="5" w:type="pct"/>
            <w:shd w:val="clear" w:color="auto" w:fill="auto"/>
            <w:vAlign w:val="bottom"/>
          </w:tcPr>
          <w:p w14:paraId="64305194" w14:textId="77777777" w:rsidR="009F6D8A" w:rsidRDefault="009F6D8A">
            <w:pPr>
              <w:rPr>
                <w:rFonts w:ascii="宋体"/>
              </w:rPr>
            </w:pPr>
          </w:p>
        </w:tc>
        <w:tc>
          <w:tcPr>
            <w:tcW w:w="50" w:type="pct"/>
            <w:shd w:val="clear" w:color="auto" w:fill="auto"/>
            <w:vAlign w:val="bottom"/>
          </w:tcPr>
          <w:p w14:paraId="64305195" w14:textId="77777777" w:rsidR="009F6D8A" w:rsidRDefault="009F6D8A">
            <w:pPr>
              <w:rPr>
                <w:rFonts w:ascii="宋体"/>
              </w:rPr>
            </w:pPr>
          </w:p>
        </w:tc>
        <w:tc>
          <w:tcPr>
            <w:tcW w:w="405" w:type="pct"/>
            <w:shd w:val="clear" w:color="auto" w:fill="auto"/>
            <w:vAlign w:val="bottom"/>
          </w:tcPr>
          <w:p w14:paraId="64305196" w14:textId="77777777" w:rsidR="009F6D8A" w:rsidRDefault="009F6D8A">
            <w:pPr>
              <w:rPr>
                <w:rFonts w:ascii="宋体"/>
              </w:rPr>
            </w:pPr>
          </w:p>
        </w:tc>
        <w:tc>
          <w:tcPr>
            <w:tcW w:w="5" w:type="pct"/>
            <w:shd w:val="clear" w:color="auto" w:fill="auto"/>
            <w:vAlign w:val="bottom"/>
          </w:tcPr>
          <w:p w14:paraId="64305197" w14:textId="77777777" w:rsidR="009F6D8A" w:rsidRDefault="009F6D8A">
            <w:pPr>
              <w:rPr>
                <w:rFonts w:ascii="宋体"/>
              </w:rPr>
            </w:pPr>
          </w:p>
        </w:tc>
        <w:tc>
          <w:tcPr>
            <w:tcW w:w="5" w:type="pct"/>
            <w:shd w:val="clear" w:color="auto" w:fill="auto"/>
            <w:vAlign w:val="bottom"/>
          </w:tcPr>
          <w:p w14:paraId="64305198" w14:textId="77777777" w:rsidR="009F6D8A" w:rsidRDefault="009F6D8A">
            <w:pPr>
              <w:rPr>
                <w:rFonts w:ascii="宋体"/>
              </w:rPr>
            </w:pPr>
          </w:p>
        </w:tc>
        <w:tc>
          <w:tcPr>
            <w:tcW w:w="26" w:type="pct"/>
            <w:shd w:val="clear" w:color="auto" w:fill="auto"/>
            <w:vAlign w:val="bottom"/>
          </w:tcPr>
          <w:p w14:paraId="64305199" w14:textId="77777777" w:rsidR="009F6D8A" w:rsidRDefault="009F6D8A">
            <w:pPr>
              <w:rPr>
                <w:rFonts w:ascii="宋体"/>
              </w:rPr>
            </w:pPr>
          </w:p>
        </w:tc>
        <w:tc>
          <w:tcPr>
            <w:tcW w:w="5" w:type="pct"/>
            <w:shd w:val="clear" w:color="auto" w:fill="auto"/>
            <w:vAlign w:val="bottom"/>
          </w:tcPr>
          <w:p w14:paraId="6430519A" w14:textId="77777777" w:rsidR="009F6D8A" w:rsidRDefault="009F6D8A">
            <w:pPr>
              <w:rPr>
                <w:rFonts w:ascii="宋体"/>
              </w:rPr>
            </w:pPr>
          </w:p>
        </w:tc>
        <w:tc>
          <w:tcPr>
            <w:tcW w:w="50" w:type="pct"/>
            <w:shd w:val="clear" w:color="auto" w:fill="auto"/>
            <w:vAlign w:val="bottom"/>
          </w:tcPr>
          <w:p w14:paraId="6430519B" w14:textId="77777777" w:rsidR="009F6D8A" w:rsidRDefault="009F6D8A">
            <w:pPr>
              <w:rPr>
                <w:rFonts w:ascii="宋体"/>
              </w:rPr>
            </w:pPr>
          </w:p>
        </w:tc>
        <w:tc>
          <w:tcPr>
            <w:tcW w:w="405" w:type="pct"/>
            <w:shd w:val="clear" w:color="auto" w:fill="auto"/>
            <w:vAlign w:val="bottom"/>
          </w:tcPr>
          <w:p w14:paraId="6430519C" w14:textId="77777777" w:rsidR="009F6D8A" w:rsidRDefault="009F6D8A">
            <w:pPr>
              <w:rPr>
                <w:rFonts w:ascii="宋体"/>
              </w:rPr>
            </w:pPr>
          </w:p>
        </w:tc>
        <w:tc>
          <w:tcPr>
            <w:tcW w:w="5" w:type="pct"/>
            <w:shd w:val="clear" w:color="auto" w:fill="auto"/>
            <w:vAlign w:val="bottom"/>
          </w:tcPr>
          <w:p w14:paraId="6430519D" w14:textId="77777777" w:rsidR="009F6D8A" w:rsidRDefault="009F6D8A">
            <w:pPr>
              <w:rPr>
                <w:rFonts w:ascii="宋体"/>
              </w:rPr>
            </w:pPr>
          </w:p>
        </w:tc>
        <w:tc>
          <w:tcPr>
            <w:tcW w:w="5" w:type="pct"/>
            <w:shd w:val="clear" w:color="auto" w:fill="auto"/>
            <w:vAlign w:val="bottom"/>
          </w:tcPr>
          <w:p w14:paraId="6430519E" w14:textId="77777777" w:rsidR="009F6D8A" w:rsidRDefault="009F6D8A">
            <w:pPr>
              <w:rPr>
                <w:rFonts w:ascii="宋体"/>
              </w:rPr>
            </w:pPr>
          </w:p>
        </w:tc>
        <w:tc>
          <w:tcPr>
            <w:tcW w:w="26" w:type="pct"/>
            <w:shd w:val="clear" w:color="auto" w:fill="auto"/>
            <w:vAlign w:val="bottom"/>
          </w:tcPr>
          <w:p w14:paraId="6430519F" w14:textId="77777777" w:rsidR="009F6D8A" w:rsidRDefault="009F6D8A">
            <w:pPr>
              <w:rPr>
                <w:rFonts w:ascii="宋体"/>
              </w:rPr>
            </w:pPr>
          </w:p>
        </w:tc>
        <w:tc>
          <w:tcPr>
            <w:tcW w:w="5" w:type="pct"/>
            <w:shd w:val="clear" w:color="auto" w:fill="auto"/>
            <w:vAlign w:val="bottom"/>
          </w:tcPr>
          <w:p w14:paraId="643051A0" w14:textId="77777777" w:rsidR="009F6D8A" w:rsidRDefault="009F6D8A">
            <w:pPr>
              <w:rPr>
                <w:rFonts w:ascii="宋体"/>
              </w:rPr>
            </w:pPr>
          </w:p>
        </w:tc>
        <w:tc>
          <w:tcPr>
            <w:tcW w:w="50" w:type="pct"/>
            <w:shd w:val="clear" w:color="auto" w:fill="auto"/>
            <w:vAlign w:val="bottom"/>
          </w:tcPr>
          <w:p w14:paraId="643051A1" w14:textId="77777777" w:rsidR="009F6D8A" w:rsidRDefault="009F6D8A">
            <w:pPr>
              <w:rPr>
                <w:rFonts w:ascii="宋体"/>
              </w:rPr>
            </w:pPr>
          </w:p>
        </w:tc>
        <w:tc>
          <w:tcPr>
            <w:tcW w:w="405" w:type="pct"/>
            <w:shd w:val="clear" w:color="auto" w:fill="auto"/>
            <w:vAlign w:val="bottom"/>
          </w:tcPr>
          <w:p w14:paraId="643051A2" w14:textId="77777777" w:rsidR="009F6D8A" w:rsidRDefault="009F6D8A">
            <w:pPr>
              <w:rPr>
                <w:rFonts w:ascii="宋体"/>
              </w:rPr>
            </w:pPr>
          </w:p>
        </w:tc>
        <w:tc>
          <w:tcPr>
            <w:tcW w:w="5" w:type="pct"/>
            <w:shd w:val="clear" w:color="auto" w:fill="auto"/>
            <w:vAlign w:val="bottom"/>
          </w:tcPr>
          <w:p w14:paraId="643051A3" w14:textId="77777777" w:rsidR="009F6D8A" w:rsidRDefault="009F6D8A">
            <w:pPr>
              <w:rPr>
                <w:rFonts w:ascii="宋体"/>
              </w:rPr>
            </w:pPr>
          </w:p>
        </w:tc>
      </w:tr>
      <w:tr w:rsidR="009F6D8A" w14:paraId="643051AD" w14:textId="77777777">
        <w:tc>
          <w:tcPr>
            <w:tcW w:w="0" w:type="auto"/>
            <w:gridSpan w:val="3"/>
            <w:shd w:val="clear" w:color="auto" w:fill="auto"/>
            <w:tcMar>
              <w:top w:w="40" w:type="dxa"/>
              <w:left w:w="155" w:type="dxa"/>
              <w:bottom w:w="40" w:type="dxa"/>
              <w:right w:w="20" w:type="dxa"/>
            </w:tcMar>
            <w:vAlign w:val="bottom"/>
          </w:tcPr>
          <w:p w14:paraId="643051A5" w14:textId="77777777" w:rsidR="009F6D8A" w:rsidRDefault="00C50974">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643051A6" w14:textId="77777777" w:rsidR="009F6D8A" w:rsidRDefault="00C50974">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w:t>
            </w:r>
          </w:p>
        </w:tc>
        <w:tc>
          <w:tcPr>
            <w:tcW w:w="0" w:type="auto"/>
            <w:gridSpan w:val="3"/>
            <w:shd w:val="clear" w:color="auto" w:fill="auto"/>
            <w:tcMar>
              <w:top w:w="0" w:type="dxa"/>
              <w:left w:w="20" w:type="dxa"/>
              <w:bottom w:w="0" w:type="dxa"/>
              <w:right w:w="20" w:type="dxa"/>
            </w:tcMar>
            <w:vAlign w:val="bottom"/>
          </w:tcPr>
          <w:p w14:paraId="643051A7"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1A8"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1A9"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51AA" w14:textId="77777777" w:rsidR="009F6D8A" w:rsidRDefault="00C50974">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w:t>
            </w:r>
          </w:p>
        </w:tc>
        <w:tc>
          <w:tcPr>
            <w:tcW w:w="0" w:type="auto"/>
            <w:gridSpan w:val="3"/>
            <w:shd w:val="clear" w:color="auto" w:fill="auto"/>
            <w:tcMar>
              <w:top w:w="0" w:type="dxa"/>
              <w:left w:w="20" w:type="dxa"/>
              <w:bottom w:w="0" w:type="dxa"/>
              <w:right w:w="20" w:type="dxa"/>
            </w:tcMar>
            <w:vAlign w:val="bottom"/>
          </w:tcPr>
          <w:p w14:paraId="643051AB"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1AC" w14:textId="77777777" w:rsidR="009F6D8A" w:rsidRDefault="009F6D8A">
            <w:pPr>
              <w:rPr>
                <w:rFonts w:ascii="宋体"/>
              </w:rPr>
            </w:pPr>
          </w:p>
        </w:tc>
      </w:tr>
      <w:tr w:rsidR="009F6D8A" w14:paraId="643051BA" w14:textId="77777777">
        <w:tc>
          <w:tcPr>
            <w:tcW w:w="0" w:type="auto"/>
            <w:gridSpan w:val="3"/>
            <w:shd w:val="clear" w:color="auto" w:fill="auto"/>
            <w:tcMar>
              <w:top w:w="40" w:type="dxa"/>
              <w:left w:w="20" w:type="dxa"/>
              <w:bottom w:w="40" w:type="dxa"/>
              <w:right w:w="20" w:type="dxa"/>
            </w:tcMar>
            <w:vAlign w:val="bottom"/>
          </w:tcPr>
          <w:p w14:paraId="643051AE" w14:textId="77777777" w:rsidR="009F6D8A" w:rsidRDefault="00C50974">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1AF" w14:textId="77777777" w:rsidR="009F6D8A" w:rsidRDefault="00C50974">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1B0"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1B1" w14:textId="77777777" w:rsidR="009F6D8A" w:rsidRDefault="00C50974">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643051B2"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1B3" w14:textId="77777777" w:rsidR="009F6D8A" w:rsidRDefault="00C50974">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vAlign w:val="bottom"/>
          </w:tcPr>
          <w:p w14:paraId="643051B4"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1B5" w14:textId="77777777" w:rsidR="009F6D8A" w:rsidRDefault="00C50974">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1B6"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1B7" w14:textId="77777777" w:rsidR="009F6D8A" w:rsidRDefault="00C50974">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643051B8"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1B9" w14:textId="77777777" w:rsidR="009F6D8A" w:rsidRDefault="00C50974">
            <w:pPr>
              <w:jc w:val="center"/>
              <w:textAlignment w:val="bottom"/>
            </w:pPr>
            <w:r>
              <w:rPr>
                <w:rFonts w:ascii="Arial" w:eastAsia="宋体" w:hAnsi="Arial" w:cs="Arial"/>
                <w:b/>
                <w:bCs/>
                <w:color w:val="000000"/>
                <w:sz w:val="14"/>
                <w:szCs w:val="14"/>
              </w:rPr>
              <w:t>% Change</w:t>
            </w:r>
          </w:p>
        </w:tc>
      </w:tr>
      <w:tr w:rsidR="009F6D8A" w14:paraId="643051C7" w14:textId="77777777">
        <w:trPr>
          <w:hidden/>
        </w:trPr>
        <w:tc>
          <w:tcPr>
            <w:tcW w:w="0" w:type="auto"/>
            <w:gridSpan w:val="3"/>
            <w:shd w:val="clear" w:color="auto" w:fill="auto"/>
            <w:vAlign w:val="bottom"/>
          </w:tcPr>
          <w:p w14:paraId="643051BB" w14:textId="77777777" w:rsidR="009F6D8A" w:rsidRDefault="009F6D8A">
            <w:pPr>
              <w:rPr>
                <w:rFonts w:ascii="宋体"/>
                <w:vanish/>
              </w:rPr>
            </w:pPr>
          </w:p>
        </w:tc>
        <w:tc>
          <w:tcPr>
            <w:tcW w:w="0" w:type="auto"/>
            <w:gridSpan w:val="3"/>
            <w:shd w:val="clear" w:color="auto" w:fill="auto"/>
            <w:vAlign w:val="bottom"/>
          </w:tcPr>
          <w:p w14:paraId="643051BC" w14:textId="77777777" w:rsidR="009F6D8A" w:rsidRDefault="009F6D8A">
            <w:pPr>
              <w:rPr>
                <w:rFonts w:ascii="宋体"/>
                <w:vanish/>
              </w:rPr>
            </w:pPr>
          </w:p>
        </w:tc>
        <w:tc>
          <w:tcPr>
            <w:tcW w:w="0" w:type="auto"/>
            <w:gridSpan w:val="3"/>
            <w:shd w:val="clear" w:color="auto" w:fill="auto"/>
            <w:vAlign w:val="bottom"/>
          </w:tcPr>
          <w:p w14:paraId="643051BD" w14:textId="77777777" w:rsidR="009F6D8A" w:rsidRDefault="009F6D8A">
            <w:pPr>
              <w:rPr>
                <w:rFonts w:ascii="宋体"/>
                <w:vanish/>
              </w:rPr>
            </w:pPr>
          </w:p>
        </w:tc>
        <w:tc>
          <w:tcPr>
            <w:tcW w:w="0" w:type="auto"/>
            <w:gridSpan w:val="3"/>
            <w:shd w:val="clear" w:color="auto" w:fill="auto"/>
            <w:vAlign w:val="bottom"/>
          </w:tcPr>
          <w:p w14:paraId="643051BE" w14:textId="77777777" w:rsidR="009F6D8A" w:rsidRDefault="009F6D8A">
            <w:pPr>
              <w:rPr>
                <w:rFonts w:ascii="宋体"/>
                <w:vanish/>
              </w:rPr>
            </w:pPr>
          </w:p>
        </w:tc>
        <w:tc>
          <w:tcPr>
            <w:tcW w:w="0" w:type="auto"/>
            <w:gridSpan w:val="3"/>
            <w:shd w:val="clear" w:color="auto" w:fill="auto"/>
            <w:vAlign w:val="bottom"/>
          </w:tcPr>
          <w:p w14:paraId="643051BF" w14:textId="77777777" w:rsidR="009F6D8A" w:rsidRDefault="009F6D8A">
            <w:pPr>
              <w:rPr>
                <w:rFonts w:ascii="宋体"/>
                <w:vanish/>
              </w:rPr>
            </w:pPr>
          </w:p>
        </w:tc>
        <w:tc>
          <w:tcPr>
            <w:tcW w:w="0" w:type="auto"/>
            <w:gridSpan w:val="3"/>
            <w:shd w:val="clear" w:color="auto" w:fill="auto"/>
            <w:vAlign w:val="bottom"/>
          </w:tcPr>
          <w:p w14:paraId="643051C0" w14:textId="77777777" w:rsidR="009F6D8A" w:rsidRDefault="009F6D8A">
            <w:pPr>
              <w:rPr>
                <w:rFonts w:ascii="宋体"/>
                <w:vanish/>
              </w:rPr>
            </w:pPr>
          </w:p>
        </w:tc>
        <w:tc>
          <w:tcPr>
            <w:tcW w:w="0" w:type="auto"/>
            <w:gridSpan w:val="3"/>
            <w:shd w:val="clear" w:color="auto" w:fill="auto"/>
            <w:vAlign w:val="bottom"/>
          </w:tcPr>
          <w:p w14:paraId="643051C1" w14:textId="77777777" w:rsidR="009F6D8A" w:rsidRDefault="009F6D8A">
            <w:pPr>
              <w:rPr>
                <w:rFonts w:ascii="宋体"/>
                <w:vanish/>
              </w:rPr>
            </w:pPr>
          </w:p>
        </w:tc>
        <w:tc>
          <w:tcPr>
            <w:tcW w:w="0" w:type="auto"/>
            <w:gridSpan w:val="3"/>
            <w:shd w:val="clear" w:color="auto" w:fill="auto"/>
            <w:vAlign w:val="bottom"/>
          </w:tcPr>
          <w:p w14:paraId="643051C2" w14:textId="77777777" w:rsidR="009F6D8A" w:rsidRDefault="009F6D8A">
            <w:pPr>
              <w:rPr>
                <w:rFonts w:ascii="宋体"/>
                <w:vanish/>
              </w:rPr>
            </w:pPr>
          </w:p>
        </w:tc>
        <w:tc>
          <w:tcPr>
            <w:tcW w:w="0" w:type="auto"/>
            <w:gridSpan w:val="3"/>
            <w:shd w:val="clear" w:color="auto" w:fill="auto"/>
            <w:vAlign w:val="bottom"/>
          </w:tcPr>
          <w:p w14:paraId="643051C3" w14:textId="77777777" w:rsidR="009F6D8A" w:rsidRDefault="009F6D8A">
            <w:pPr>
              <w:rPr>
                <w:rFonts w:ascii="宋体"/>
                <w:vanish/>
              </w:rPr>
            </w:pPr>
          </w:p>
        </w:tc>
        <w:tc>
          <w:tcPr>
            <w:tcW w:w="0" w:type="auto"/>
            <w:gridSpan w:val="3"/>
            <w:shd w:val="clear" w:color="auto" w:fill="auto"/>
            <w:vAlign w:val="bottom"/>
          </w:tcPr>
          <w:p w14:paraId="643051C4" w14:textId="77777777" w:rsidR="009F6D8A" w:rsidRDefault="009F6D8A">
            <w:pPr>
              <w:rPr>
                <w:rFonts w:ascii="宋体"/>
                <w:vanish/>
              </w:rPr>
            </w:pPr>
          </w:p>
        </w:tc>
        <w:tc>
          <w:tcPr>
            <w:tcW w:w="0" w:type="auto"/>
            <w:gridSpan w:val="3"/>
            <w:shd w:val="clear" w:color="auto" w:fill="auto"/>
            <w:vAlign w:val="bottom"/>
          </w:tcPr>
          <w:p w14:paraId="643051C5" w14:textId="77777777" w:rsidR="009F6D8A" w:rsidRDefault="009F6D8A">
            <w:pPr>
              <w:rPr>
                <w:rFonts w:ascii="宋体"/>
                <w:vanish/>
              </w:rPr>
            </w:pPr>
          </w:p>
        </w:tc>
        <w:tc>
          <w:tcPr>
            <w:tcW w:w="0" w:type="auto"/>
            <w:gridSpan w:val="3"/>
            <w:shd w:val="clear" w:color="auto" w:fill="auto"/>
            <w:vAlign w:val="bottom"/>
          </w:tcPr>
          <w:p w14:paraId="643051C6" w14:textId="77777777" w:rsidR="009F6D8A" w:rsidRDefault="009F6D8A">
            <w:pPr>
              <w:rPr>
                <w:rFonts w:ascii="宋体"/>
                <w:vanish/>
              </w:rPr>
            </w:pPr>
          </w:p>
        </w:tc>
      </w:tr>
      <w:tr w:rsidR="009F6D8A" w14:paraId="643051D4" w14:textId="77777777">
        <w:trPr>
          <w:hidden/>
        </w:trPr>
        <w:tc>
          <w:tcPr>
            <w:tcW w:w="0" w:type="auto"/>
            <w:gridSpan w:val="3"/>
            <w:shd w:val="clear" w:color="auto" w:fill="auto"/>
            <w:vAlign w:val="bottom"/>
          </w:tcPr>
          <w:p w14:paraId="643051C8" w14:textId="77777777" w:rsidR="009F6D8A" w:rsidRDefault="009F6D8A">
            <w:pPr>
              <w:rPr>
                <w:rFonts w:ascii="宋体"/>
                <w:vanish/>
              </w:rPr>
            </w:pPr>
          </w:p>
        </w:tc>
        <w:tc>
          <w:tcPr>
            <w:tcW w:w="0" w:type="auto"/>
            <w:gridSpan w:val="3"/>
            <w:shd w:val="clear" w:color="auto" w:fill="auto"/>
            <w:vAlign w:val="bottom"/>
          </w:tcPr>
          <w:p w14:paraId="643051C9" w14:textId="77777777" w:rsidR="009F6D8A" w:rsidRDefault="009F6D8A">
            <w:pPr>
              <w:rPr>
                <w:rFonts w:ascii="宋体"/>
                <w:vanish/>
              </w:rPr>
            </w:pPr>
          </w:p>
        </w:tc>
        <w:tc>
          <w:tcPr>
            <w:tcW w:w="0" w:type="auto"/>
            <w:gridSpan w:val="3"/>
            <w:shd w:val="clear" w:color="auto" w:fill="auto"/>
            <w:vAlign w:val="bottom"/>
          </w:tcPr>
          <w:p w14:paraId="643051CA" w14:textId="77777777" w:rsidR="009F6D8A" w:rsidRDefault="009F6D8A">
            <w:pPr>
              <w:rPr>
                <w:rFonts w:ascii="宋体"/>
                <w:vanish/>
              </w:rPr>
            </w:pPr>
          </w:p>
        </w:tc>
        <w:tc>
          <w:tcPr>
            <w:tcW w:w="0" w:type="auto"/>
            <w:gridSpan w:val="3"/>
            <w:shd w:val="clear" w:color="auto" w:fill="auto"/>
            <w:vAlign w:val="bottom"/>
          </w:tcPr>
          <w:p w14:paraId="643051CB" w14:textId="77777777" w:rsidR="009F6D8A" w:rsidRDefault="009F6D8A">
            <w:pPr>
              <w:rPr>
                <w:rFonts w:ascii="宋体"/>
                <w:vanish/>
              </w:rPr>
            </w:pPr>
          </w:p>
        </w:tc>
        <w:tc>
          <w:tcPr>
            <w:tcW w:w="0" w:type="auto"/>
            <w:gridSpan w:val="3"/>
            <w:shd w:val="clear" w:color="auto" w:fill="auto"/>
            <w:vAlign w:val="bottom"/>
          </w:tcPr>
          <w:p w14:paraId="643051CC" w14:textId="77777777" w:rsidR="009F6D8A" w:rsidRDefault="009F6D8A">
            <w:pPr>
              <w:rPr>
                <w:rFonts w:ascii="宋体"/>
                <w:vanish/>
              </w:rPr>
            </w:pPr>
          </w:p>
        </w:tc>
        <w:tc>
          <w:tcPr>
            <w:tcW w:w="0" w:type="auto"/>
            <w:gridSpan w:val="3"/>
            <w:shd w:val="clear" w:color="auto" w:fill="auto"/>
            <w:vAlign w:val="bottom"/>
          </w:tcPr>
          <w:p w14:paraId="643051CD" w14:textId="77777777" w:rsidR="009F6D8A" w:rsidRDefault="009F6D8A">
            <w:pPr>
              <w:rPr>
                <w:rFonts w:ascii="宋体"/>
                <w:vanish/>
              </w:rPr>
            </w:pPr>
          </w:p>
        </w:tc>
        <w:tc>
          <w:tcPr>
            <w:tcW w:w="0" w:type="auto"/>
            <w:gridSpan w:val="3"/>
            <w:shd w:val="clear" w:color="auto" w:fill="auto"/>
            <w:vAlign w:val="bottom"/>
          </w:tcPr>
          <w:p w14:paraId="643051CE" w14:textId="77777777" w:rsidR="009F6D8A" w:rsidRDefault="009F6D8A">
            <w:pPr>
              <w:rPr>
                <w:rFonts w:ascii="宋体"/>
                <w:vanish/>
              </w:rPr>
            </w:pPr>
          </w:p>
        </w:tc>
        <w:tc>
          <w:tcPr>
            <w:tcW w:w="0" w:type="auto"/>
            <w:gridSpan w:val="3"/>
            <w:shd w:val="clear" w:color="auto" w:fill="auto"/>
            <w:vAlign w:val="bottom"/>
          </w:tcPr>
          <w:p w14:paraId="643051CF" w14:textId="77777777" w:rsidR="009F6D8A" w:rsidRDefault="009F6D8A">
            <w:pPr>
              <w:rPr>
                <w:rFonts w:ascii="宋体"/>
                <w:vanish/>
              </w:rPr>
            </w:pPr>
          </w:p>
        </w:tc>
        <w:tc>
          <w:tcPr>
            <w:tcW w:w="0" w:type="auto"/>
            <w:gridSpan w:val="3"/>
            <w:shd w:val="clear" w:color="auto" w:fill="auto"/>
            <w:vAlign w:val="bottom"/>
          </w:tcPr>
          <w:p w14:paraId="643051D0" w14:textId="77777777" w:rsidR="009F6D8A" w:rsidRDefault="009F6D8A">
            <w:pPr>
              <w:rPr>
                <w:rFonts w:ascii="宋体"/>
                <w:vanish/>
              </w:rPr>
            </w:pPr>
          </w:p>
        </w:tc>
        <w:tc>
          <w:tcPr>
            <w:tcW w:w="0" w:type="auto"/>
            <w:gridSpan w:val="3"/>
            <w:shd w:val="clear" w:color="auto" w:fill="auto"/>
            <w:vAlign w:val="bottom"/>
          </w:tcPr>
          <w:p w14:paraId="643051D1" w14:textId="77777777" w:rsidR="009F6D8A" w:rsidRDefault="009F6D8A">
            <w:pPr>
              <w:rPr>
                <w:rFonts w:ascii="宋体"/>
                <w:vanish/>
              </w:rPr>
            </w:pPr>
          </w:p>
        </w:tc>
        <w:tc>
          <w:tcPr>
            <w:tcW w:w="0" w:type="auto"/>
            <w:gridSpan w:val="3"/>
            <w:shd w:val="clear" w:color="auto" w:fill="auto"/>
            <w:vAlign w:val="bottom"/>
          </w:tcPr>
          <w:p w14:paraId="643051D2" w14:textId="77777777" w:rsidR="009F6D8A" w:rsidRDefault="009F6D8A">
            <w:pPr>
              <w:rPr>
                <w:rFonts w:ascii="宋体"/>
                <w:vanish/>
              </w:rPr>
            </w:pPr>
          </w:p>
        </w:tc>
        <w:tc>
          <w:tcPr>
            <w:tcW w:w="0" w:type="auto"/>
            <w:gridSpan w:val="3"/>
            <w:shd w:val="clear" w:color="auto" w:fill="auto"/>
            <w:vAlign w:val="bottom"/>
          </w:tcPr>
          <w:p w14:paraId="643051D3" w14:textId="77777777" w:rsidR="009F6D8A" w:rsidRDefault="009F6D8A">
            <w:pPr>
              <w:rPr>
                <w:rFonts w:ascii="宋体"/>
                <w:vanish/>
              </w:rPr>
            </w:pPr>
          </w:p>
        </w:tc>
      </w:tr>
      <w:tr w:rsidR="009F6D8A" w14:paraId="643051E1" w14:textId="77777777">
        <w:trPr>
          <w:hidden/>
        </w:trPr>
        <w:tc>
          <w:tcPr>
            <w:tcW w:w="0" w:type="auto"/>
            <w:gridSpan w:val="3"/>
            <w:shd w:val="clear" w:color="auto" w:fill="auto"/>
            <w:vAlign w:val="bottom"/>
          </w:tcPr>
          <w:p w14:paraId="643051D5" w14:textId="77777777" w:rsidR="009F6D8A" w:rsidRDefault="009F6D8A">
            <w:pPr>
              <w:rPr>
                <w:rFonts w:ascii="宋体"/>
                <w:vanish/>
              </w:rPr>
            </w:pPr>
          </w:p>
        </w:tc>
        <w:tc>
          <w:tcPr>
            <w:tcW w:w="0" w:type="auto"/>
            <w:gridSpan w:val="3"/>
            <w:shd w:val="clear" w:color="auto" w:fill="auto"/>
            <w:vAlign w:val="bottom"/>
          </w:tcPr>
          <w:p w14:paraId="643051D6" w14:textId="77777777" w:rsidR="009F6D8A" w:rsidRDefault="009F6D8A">
            <w:pPr>
              <w:rPr>
                <w:rFonts w:ascii="宋体"/>
                <w:vanish/>
              </w:rPr>
            </w:pPr>
          </w:p>
        </w:tc>
        <w:tc>
          <w:tcPr>
            <w:tcW w:w="0" w:type="auto"/>
            <w:gridSpan w:val="3"/>
            <w:shd w:val="clear" w:color="auto" w:fill="auto"/>
            <w:vAlign w:val="bottom"/>
          </w:tcPr>
          <w:p w14:paraId="643051D7" w14:textId="77777777" w:rsidR="009F6D8A" w:rsidRDefault="009F6D8A">
            <w:pPr>
              <w:rPr>
                <w:rFonts w:ascii="宋体"/>
                <w:vanish/>
              </w:rPr>
            </w:pPr>
          </w:p>
        </w:tc>
        <w:tc>
          <w:tcPr>
            <w:tcW w:w="0" w:type="auto"/>
            <w:gridSpan w:val="3"/>
            <w:shd w:val="clear" w:color="auto" w:fill="auto"/>
            <w:vAlign w:val="bottom"/>
          </w:tcPr>
          <w:p w14:paraId="643051D8" w14:textId="77777777" w:rsidR="009F6D8A" w:rsidRDefault="009F6D8A">
            <w:pPr>
              <w:rPr>
                <w:rFonts w:ascii="宋体"/>
                <w:vanish/>
              </w:rPr>
            </w:pPr>
          </w:p>
        </w:tc>
        <w:tc>
          <w:tcPr>
            <w:tcW w:w="0" w:type="auto"/>
            <w:gridSpan w:val="3"/>
            <w:shd w:val="clear" w:color="auto" w:fill="auto"/>
            <w:vAlign w:val="bottom"/>
          </w:tcPr>
          <w:p w14:paraId="643051D9" w14:textId="77777777" w:rsidR="009F6D8A" w:rsidRDefault="009F6D8A">
            <w:pPr>
              <w:rPr>
                <w:rFonts w:ascii="宋体"/>
                <w:vanish/>
              </w:rPr>
            </w:pPr>
          </w:p>
        </w:tc>
        <w:tc>
          <w:tcPr>
            <w:tcW w:w="0" w:type="auto"/>
            <w:gridSpan w:val="3"/>
            <w:shd w:val="clear" w:color="auto" w:fill="auto"/>
            <w:vAlign w:val="bottom"/>
          </w:tcPr>
          <w:p w14:paraId="643051DA" w14:textId="77777777" w:rsidR="009F6D8A" w:rsidRDefault="009F6D8A">
            <w:pPr>
              <w:rPr>
                <w:rFonts w:ascii="宋体"/>
                <w:vanish/>
              </w:rPr>
            </w:pPr>
          </w:p>
        </w:tc>
        <w:tc>
          <w:tcPr>
            <w:tcW w:w="0" w:type="auto"/>
            <w:gridSpan w:val="3"/>
            <w:shd w:val="clear" w:color="auto" w:fill="auto"/>
            <w:vAlign w:val="bottom"/>
          </w:tcPr>
          <w:p w14:paraId="643051DB" w14:textId="77777777" w:rsidR="009F6D8A" w:rsidRDefault="009F6D8A">
            <w:pPr>
              <w:rPr>
                <w:rFonts w:ascii="宋体"/>
                <w:vanish/>
              </w:rPr>
            </w:pPr>
          </w:p>
        </w:tc>
        <w:tc>
          <w:tcPr>
            <w:tcW w:w="0" w:type="auto"/>
            <w:gridSpan w:val="3"/>
            <w:shd w:val="clear" w:color="auto" w:fill="auto"/>
            <w:vAlign w:val="bottom"/>
          </w:tcPr>
          <w:p w14:paraId="643051DC" w14:textId="77777777" w:rsidR="009F6D8A" w:rsidRDefault="009F6D8A">
            <w:pPr>
              <w:rPr>
                <w:rFonts w:ascii="宋体"/>
                <w:vanish/>
              </w:rPr>
            </w:pPr>
          </w:p>
        </w:tc>
        <w:tc>
          <w:tcPr>
            <w:tcW w:w="0" w:type="auto"/>
            <w:gridSpan w:val="3"/>
            <w:shd w:val="clear" w:color="auto" w:fill="auto"/>
            <w:vAlign w:val="bottom"/>
          </w:tcPr>
          <w:p w14:paraId="643051DD" w14:textId="77777777" w:rsidR="009F6D8A" w:rsidRDefault="009F6D8A">
            <w:pPr>
              <w:rPr>
                <w:rFonts w:ascii="宋体"/>
                <w:vanish/>
              </w:rPr>
            </w:pPr>
          </w:p>
        </w:tc>
        <w:tc>
          <w:tcPr>
            <w:tcW w:w="0" w:type="auto"/>
            <w:gridSpan w:val="3"/>
            <w:shd w:val="clear" w:color="auto" w:fill="auto"/>
            <w:vAlign w:val="bottom"/>
          </w:tcPr>
          <w:p w14:paraId="643051DE" w14:textId="77777777" w:rsidR="009F6D8A" w:rsidRDefault="009F6D8A">
            <w:pPr>
              <w:rPr>
                <w:rFonts w:ascii="宋体"/>
                <w:vanish/>
              </w:rPr>
            </w:pPr>
          </w:p>
        </w:tc>
        <w:tc>
          <w:tcPr>
            <w:tcW w:w="0" w:type="auto"/>
            <w:gridSpan w:val="3"/>
            <w:shd w:val="clear" w:color="auto" w:fill="auto"/>
            <w:vAlign w:val="bottom"/>
          </w:tcPr>
          <w:p w14:paraId="643051DF" w14:textId="77777777" w:rsidR="009F6D8A" w:rsidRDefault="009F6D8A">
            <w:pPr>
              <w:rPr>
                <w:rFonts w:ascii="宋体"/>
                <w:vanish/>
              </w:rPr>
            </w:pPr>
          </w:p>
        </w:tc>
        <w:tc>
          <w:tcPr>
            <w:tcW w:w="0" w:type="auto"/>
            <w:gridSpan w:val="3"/>
            <w:shd w:val="clear" w:color="auto" w:fill="auto"/>
            <w:vAlign w:val="bottom"/>
          </w:tcPr>
          <w:p w14:paraId="643051E0" w14:textId="77777777" w:rsidR="009F6D8A" w:rsidRDefault="009F6D8A">
            <w:pPr>
              <w:rPr>
                <w:rFonts w:ascii="宋体"/>
                <w:vanish/>
              </w:rPr>
            </w:pPr>
          </w:p>
        </w:tc>
      </w:tr>
      <w:tr w:rsidR="009F6D8A" w14:paraId="643051EE" w14:textId="77777777">
        <w:trPr>
          <w:hidden/>
        </w:trPr>
        <w:tc>
          <w:tcPr>
            <w:tcW w:w="0" w:type="auto"/>
            <w:gridSpan w:val="3"/>
            <w:shd w:val="clear" w:color="auto" w:fill="auto"/>
            <w:vAlign w:val="bottom"/>
          </w:tcPr>
          <w:p w14:paraId="643051E2" w14:textId="77777777" w:rsidR="009F6D8A" w:rsidRDefault="009F6D8A">
            <w:pPr>
              <w:rPr>
                <w:rFonts w:ascii="宋体"/>
                <w:vanish/>
              </w:rPr>
            </w:pPr>
          </w:p>
        </w:tc>
        <w:tc>
          <w:tcPr>
            <w:tcW w:w="0" w:type="auto"/>
            <w:gridSpan w:val="3"/>
            <w:shd w:val="clear" w:color="auto" w:fill="auto"/>
            <w:vAlign w:val="bottom"/>
          </w:tcPr>
          <w:p w14:paraId="643051E3" w14:textId="77777777" w:rsidR="009F6D8A" w:rsidRDefault="009F6D8A">
            <w:pPr>
              <w:rPr>
                <w:rFonts w:ascii="宋体"/>
                <w:vanish/>
              </w:rPr>
            </w:pPr>
          </w:p>
        </w:tc>
        <w:tc>
          <w:tcPr>
            <w:tcW w:w="0" w:type="auto"/>
            <w:gridSpan w:val="3"/>
            <w:shd w:val="clear" w:color="auto" w:fill="auto"/>
            <w:vAlign w:val="bottom"/>
          </w:tcPr>
          <w:p w14:paraId="643051E4" w14:textId="77777777" w:rsidR="009F6D8A" w:rsidRDefault="009F6D8A">
            <w:pPr>
              <w:rPr>
                <w:rFonts w:ascii="宋体"/>
                <w:vanish/>
              </w:rPr>
            </w:pPr>
          </w:p>
        </w:tc>
        <w:tc>
          <w:tcPr>
            <w:tcW w:w="0" w:type="auto"/>
            <w:gridSpan w:val="3"/>
            <w:shd w:val="clear" w:color="auto" w:fill="auto"/>
            <w:vAlign w:val="bottom"/>
          </w:tcPr>
          <w:p w14:paraId="643051E5" w14:textId="77777777" w:rsidR="009F6D8A" w:rsidRDefault="009F6D8A">
            <w:pPr>
              <w:rPr>
                <w:rFonts w:ascii="宋体"/>
                <w:vanish/>
              </w:rPr>
            </w:pPr>
          </w:p>
        </w:tc>
        <w:tc>
          <w:tcPr>
            <w:tcW w:w="0" w:type="auto"/>
            <w:gridSpan w:val="3"/>
            <w:shd w:val="clear" w:color="auto" w:fill="auto"/>
            <w:vAlign w:val="bottom"/>
          </w:tcPr>
          <w:p w14:paraId="643051E6" w14:textId="77777777" w:rsidR="009F6D8A" w:rsidRDefault="009F6D8A">
            <w:pPr>
              <w:rPr>
                <w:rFonts w:ascii="宋体"/>
                <w:vanish/>
              </w:rPr>
            </w:pPr>
          </w:p>
        </w:tc>
        <w:tc>
          <w:tcPr>
            <w:tcW w:w="0" w:type="auto"/>
            <w:gridSpan w:val="3"/>
            <w:shd w:val="clear" w:color="auto" w:fill="auto"/>
            <w:vAlign w:val="bottom"/>
          </w:tcPr>
          <w:p w14:paraId="643051E7" w14:textId="77777777" w:rsidR="009F6D8A" w:rsidRDefault="009F6D8A">
            <w:pPr>
              <w:rPr>
                <w:rFonts w:ascii="宋体"/>
                <w:vanish/>
              </w:rPr>
            </w:pPr>
          </w:p>
        </w:tc>
        <w:tc>
          <w:tcPr>
            <w:tcW w:w="0" w:type="auto"/>
            <w:gridSpan w:val="3"/>
            <w:shd w:val="clear" w:color="auto" w:fill="auto"/>
            <w:vAlign w:val="bottom"/>
          </w:tcPr>
          <w:p w14:paraId="643051E8" w14:textId="77777777" w:rsidR="009F6D8A" w:rsidRDefault="009F6D8A">
            <w:pPr>
              <w:rPr>
                <w:rFonts w:ascii="宋体"/>
                <w:vanish/>
              </w:rPr>
            </w:pPr>
          </w:p>
        </w:tc>
        <w:tc>
          <w:tcPr>
            <w:tcW w:w="0" w:type="auto"/>
            <w:gridSpan w:val="3"/>
            <w:shd w:val="clear" w:color="auto" w:fill="auto"/>
            <w:vAlign w:val="bottom"/>
          </w:tcPr>
          <w:p w14:paraId="643051E9" w14:textId="77777777" w:rsidR="009F6D8A" w:rsidRDefault="009F6D8A">
            <w:pPr>
              <w:rPr>
                <w:rFonts w:ascii="宋体"/>
                <w:vanish/>
              </w:rPr>
            </w:pPr>
          </w:p>
        </w:tc>
        <w:tc>
          <w:tcPr>
            <w:tcW w:w="0" w:type="auto"/>
            <w:gridSpan w:val="3"/>
            <w:shd w:val="clear" w:color="auto" w:fill="auto"/>
            <w:vAlign w:val="bottom"/>
          </w:tcPr>
          <w:p w14:paraId="643051EA" w14:textId="77777777" w:rsidR="009F6D8A" w:rsidRDefault="009F6D8A">
            <w:pPr>
              <w:rPr>
                <w:rFonts w:ascii="宋体"/>
                <w:vanish/>
              </w:rPr>
            </w:pPr>
          </w:p>
        </w:tc>
        <w:tc>
          <w:tcPr>
            <w:tcW w:w="0" w:type="auto"/>
            <w:gridSpan w:val="3"/>
            <w:shd w:val="clear" w:color="auto" w:fill="auto"/>
            <w:vAlign w:val="bottom"/>
          </w:tcPr>
          <w:p w14:paraId="643051EB" w14:textId="77777777" w:rsidR="009F6D8A" w:rsidRDefault="009F6D8A">
            <w:pPr>
              <w:rPr>
                <w:rFonts w:ascii="宋体"/>
                <w:vanish/>
              </w:rPr>
            </w:pPr>
          </w:p>
        </w:tc>
        <w:tc>
          <w:tcPr>
            <w:tcW w:w="0" w:type="auto"/>
            <w:gridSpan w:val="3"/>
            <w:shd w:val="clear" w:color="auto" w:fill="auto"/>
            <w:vAlign w:val="bottom"/>
          </w:tcPr>
          <w:p w14:paraId="643051EC" w14:textId="77777777" w:rsidR="009F6D8A" w:rsidRDefault="009F6D8A">
            <w:pPr>
              <w:rPr>
                <w:rFonts w:ascii="宋体"/>
                <w:vanish/>
              </w:rPr>
            </w:pPr>
          </w:p>
        </w:tc>
        <w:tc>
          <w:tcPr>
            <w:tcW w:w="0" w:type="auto"/>
            <w:gridSpan w:val="3"/>
            <w:shd w:val="clear" w:color="auto" w:fill="auto"/>
            <w:vAlign w:val="bottom"/>
          </w:tcPr>
          <w:p w14:paraId="643051ED" w14:textId="77777777" w:rsidR="009F6D8A" w:rsidRDefault="009F6D8A">
            <w:pPr>
              <w:rPr>
                <w:rFonts w:ascii="宋体"/>
                <w:vanish/>
              </w:rPr>
            </w:pPr>
          </w:p>
        </w:tc>
      </w:tr>
      <w:tr w:rsidR="009F6D8A" w14:paraId="64305203" w14:textId="77777777">
        <w:tc>
          <w:tcPr>
            <w:tcW w:w="0" w:type="auto"/>
            <w:gridSpan w:val="3"/>
            <w:shd w:val="clear" w:color="auto" w:fill="E2E2E2"/>
            <w:tcMar>
              <w:top w:w="40" w:type="dxa"/>
              <w:left w:w="20" w:type="dxa"/>
              <w:bottom w:w="40" w:type="dxa"/>
              <w:right w:w="20" w:type="dxa"/>
            </w:tcMar>
            <w:vAlign w:val="bottom"/>
          </w:tcPr>
          <w:p w14:paraId="643051EF" w14:textId="77777777" w:rsidR="009F6D8A" w:rsidRDefault="00C50974">
            <w:pPr>
              <w:textAlignment w:val="bottom"/>
            </w:pPr>
            <w:r>
              <w:rPr>
                <w:rFonts w:ascii="Arial" w:eastAsia="宋体" w:hAnsi="Arial" w:cs="Arial"/>
                <w:color w:val="000000"/>
                <w:sz w:val="16"/>
                <w:szCs w:val="16"/>
              </w:rPr>
              <w:t>Total interest and other, net</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51F0"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51F1" w14:textId="77777777" w:rsidR="009F6D8A" w:rsidRDefault="00C50974">
            <w:pPr>
              <w:jc w:val="right"/>
              <w:textAlignment w:val="bottom"/>
            </w:pPr>
            <w:r>
              <w:rPr>
                <w:rFonts w:ascii="Arial" w:eastAsia="宋体" w:hAnsi="Arial" w:cs="Arial"/>
                <w:color w:val="000000"/>
                <w:sz w:val="16"/>
                <w:szCs w:val="16"/>
              </w:rPr>
              <w:t>(331)</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1F2"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1F3"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51F4"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51F5" w14:textId="77777777" w:rsidR="009F6D8A" w:rsidRDefault="00C50974">
            <w:pPr>
              <w:jc w:val="right"/>
              <w:textAlignment w:val="bottom"/>
            </w:pPr>
            <w:r>
              <w:rPr>
                <w:rFonts w:ascii="Arial" w:eastAsia="宋体" w:hAnsi="Arial" w:cs="Arial"/>
                <w:color w:val="000000"/>
                <w:sz w:val="16"/>
                <w:szCs w:val="16"/>
              </w:rPr>
              <w:t>181 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1F6"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1F7" w14:textId="77777777" w:rsidR="009F6D8A" w:rsidRDefault="009F6D8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3051F8"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2E2E2"/>
            <w:tcMar>
              <w:top w:w="0" w:type="dxa"/>
              <w:left w:w="20" w:type="dxa"/>
              <w:bottom w:w="0" w:type="dxa"/>
              <w:right w:w="20" w:type="dxa"/>
            </w:tcMar>
            <w:vAlign w:val="bottom"/>
          </w:tcPr>
          <w:p w14:paraId="643051F9"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51FA"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51FB" w14:textId="77777777" w:rsidR="009F6D8A" w:rsidRDefault="00C50974">
            <w:pPr>
              <w:jc w:val="right"/>
              <w:textAlignment w:val="bottom"/>
            </w:pPr>
            <w:r>
              <w:rPr>
                <w:rFonts w:ascii="Arial" w:eastAsia="宋体" w:hAnsi="Arial" w:cs="Arial"/>
                <w:color w:val="000000"/>
                <w:sz w:val="16"/>
                <w:szCs w:val="16"/>
              </w:rPr>
              <w:t>(448)</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1FC"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1FD"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51FE"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51FF" w14:textId="77777777" w:rsidR="009F6D8A" w:rsidRDefault="00C50974">
            <w:pPr>
              <w:jc w:val="right"/>
              <w:textAlignment w:val="bottom"/>
            </w:pPr>
            <w:r>
              <w:rPr>
                <w:rFonts w:ascii="Arial" w:eastAsia="宋体" w:hAnsi="Arial" w:cs="Arial"/>
                <w:color w:val="000000"/>
                <w:sz w:val="16"/>
                <w:szCs w:val="16"/>
              </w:rPr>
              <w:t>182 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200"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201" w14:textId="77777777" w:rsidR="009F6D8A" w:rsidRDefault="009F6D8A">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305202" w14:textId="77777777" w:rsidR="009F6D8A" w:rsidRDefault="00C50974">
            <w:pPr>
              <w:jc w:val="right"/>
              <w:textAlignment w:val="bottom"/>
            </w:pPr>
            <w:r>
              <w:rPr>
                <w:rFonts w:ascii="Arial" w:eastAsia="宋体" w:hAnsi="Arial" w:cs="Arial"/>
                <w:color w:val="000000"/>
                <w:sz w:val="16"/>
                <w:szCs w:val="16"/>
              </w:rPr>
              <w:t>**</w:t>
            </w:r>
          </w:p>
        </w:tc>
      </w:tr>
      <w:tr w:rsidR="009F6D8A" w14:paraId="64305214" w14:textId="77777777">
        <w:tc>
          <w:tcPr>
            <w:tcW w:w="0" w:type="auto"/>
            <w:gridSpan w:val="3"/>
            <w:shd w:val="clear" w:color="auto" w:fill="FFFFFF"/>
            <w:tcMar>
              <w:top w:w="40" w:type="dxa"/>
              <w:left w:w="155" w:type="dxa"/>
              <w:bottom w:w="40" w:type="dxa"/>
              <w:right w:w="20" w:type="dxa"/>
            </w:tcMar>
            <w:vAlign w:val="bottom"/>
          </w:tcPr>
          <w:p w14:paraId="64305204" w14:textId="77777777" w:rsidR="009F6D8A" w:rsidRDefault="00C50974">
            <w:pPr>
              <w:textAlignment w:val="bottom"/>
            </w:pPr>
            <w:r>
              <w:rPr>
                <w:rFonts w:ascii="Arial" w:eastAsia="宋体" w:hAnsi="Arial" w:cs="Arial"/>
                <w:i/>
                <w:iCs/>
                <w:color w:val="000000"/>
                <w:sz w:val="16"/>
                <w:szCs w:val="16"/>
              </w:rPr>
              <w:t>Percentage of net revenues</w:t>
            </w:r>
          </w:p>
        </w:tc>
        <w:tc>
          <w:tcPr>
            <w:tcW w:w="0" w:type="auto"/>
            <w:gridSpan w:val="2"/>
            <w:shd w:val="clear" w:color="auto" w:fill="FFFFFF"/>
            <w:tcMar>
              <w:top w:w="40" w:type="dxa"/>
              <w:left w:w="20" w:type="dxa"/>
              <w:bottom w:w="40" w:type="dxa"/>
              <w:right w:w="0" w:type="dxa"/>
            </w:tcMar>
            <w:vAlign w:val="bottom"/>
          </w:tcPr>
          <w:p w14:paraId="64305205" w14:textId="77777777" w:rsidR="009F6D8A" w:rsidRDefault="00C50974">
            <w:pPr>
              <w:jc w:val="right"/>
              <w:textAlignment w:val="bottom"/>
            </w:pPr>
            <w:r>
              <w:rPr>
                <w:rFonts w:ascii="Arial" w:eastAsia="宋体" w:hAnsi="Arial" w:cs="Arial"/>
                <w:i/>
                <w:iCs/>
                <w:color w:val="000000"/>
                <w:sz w:val="16"/>
                <w:szCs w:val="16"/>
              </w:rPr>
              <w:t>(12)</w:t>
            </w:r>
          </w:p>
        </w:tc>
        <w:tc>
          <w:tcPr>
            <w:tcW w:w="0" w:type="auto"/>
            <w:shd w:val="clear" w:color="auto" w:fill="FFFFFF"/>
            <w:tcMar>
              <w:top w:w="40" w:type="dxa"/>
              <w:left w:w="0" w:type="dxa"/>
              <w:bottom w:w="40" w:type="dxa"/>
              <w:right w:w="20" w:type="dxa"/>
            </w:tcMar>
            <w:vAlign w:val="bottom"/>
          </w:tcPr>
          <w:p w14:paraId="64305206"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20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208" w14:textId="77777777" w:rsidR="009F6D8A" w:rsidRDefault="00C50974">
            <w:pPr>
              <w:jc w:val="right"/>
              <w:textAlignment w:val="bottom"/>
            </w:pPr>
            <w:r>
              <w:rPr>
                <w:rFonts w:ascii="Arial" w:eastAsia="宋体" w:hAnsi="Arial" w:cs="Arial"/>
                <w:i/>
                <w:iCs/>
                <w:color w:val="000000"/>
                <w:sz w:val="16"/>
                <w:szCs w:val="16"/>
              </w:rPr>
              <w:t>8 </w:t>
            </w:r>
          </w:p>
        </w:tc>
        <w:tc>
          <w:tcPr>
            <w:tcW w:w="0" w:type="auto"/>
            <w:shd w:val="clear" w:color="auto" w:fill="FFFFFF"/>
            <w:tcMar>
              <w:top w:w="40" w:type="dxa"/>
              <w:left w:w="0" w:type="dxa"/>
              <w:bottom w:w="40" w:type="dxa"/>
              <w:right w:w="20" w:type="dxa"/>
            </w:tcMar>
            <w:vAlign w:val="bottom"/>
          </w:tcPr>
          <w:p w14:paraId="64305209"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20A"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20B"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20C"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20D" w14:textId="77777777" w:rsidR="009F6D8A" w:rsidRDefault="00C50974">
            <w:pPr>
              <w:jc w:val="right"/>
              <w:textAlignment w:val="bottom"/>
            </w:pPr>
            <w:r>
              <w:rPr>
                <w:rFonts w:ascii="Arial" w:eastAsia="宋体" w:hAnsi="Arial" w:cs="Arial"/>
                <w:i/>
                <w:iCs/>
                <w:color w:val="000000"/>
                <w:sz w:val="16"/>
                <w:szCs w:val="16"/>
              </w:rPr>
              <w:t>(8)</w:t>
            </w:r>
          </w:p>
        </w:tc>
        <w:tc>
          <w:tcPr>
            <w:tcW w:w="0" w:type="auto"/>
            <w:shd w:val="clear" w:color="auto" w:fill="FFFFFF"/>
            <w:tcMar>
              <w:top w:w="40" w:type="dxa"/>
              <w:left w:w="0" w:type="dxa"/>
              <w:bottom w:w="40" w:type="dxa"/>
              <w:right w:w="20" w:type="dxa"/>
            </w:tcMar>
            <w:vAlign w:val="bottom"/>
          </w:tcPr>
          <w:p w14:paraId="6430520E"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20F"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210" w14:textId="77777777" w:rsidR="009F6D8A" w:rsidRDefault="00C50974">
            <w:pPr>
              <w:jc w:val="right"/>
              <w:textAlignment w:val="bottom"/>
            </w:pPr>
            <w:r>
              <w:rPr>
                <w:rFonts w:ascii="Arial" w:eastAsia="宋体" w:hAnsi="Arial" w:cs="Arial"/>
                <w:i/>
                <w:iCs/>
                <w:color w:val="000000"/>
                <w:sz w:val="16"/>
                <w:szCs w:val="16"/>
              </w:rPr>
              <w:t>4 </w:t>
            </w:r>
          </w:p>
        </w:tc>
        <w:tc>
          <w:tcPr>
            <w:tcW w:w="0" w:type="auto"/>
            <w:shd w:val="clear" w:color="auto" w:fill="FFFFFF"/>
            <w:tcMar>
              <w:top w:w="40" w:type="dxa"/>
              <w:left w:w="0" w:type="dxa"/>
              <w:bottom w:w="40" w:type="dxa"/>
              <w:right w:w="20" w:type="dxa"/>
            </w:tcMar>
            <w:vAlign w:val="bottom"/>
          </w:tcPr>
          <w:p w14:paraId="64305211"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212"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213" w14:textId="77777777" w:rsidR="009F6D8A" w:rsidRDefault="009F6D8A">
            <w:pPr>
              <w:rPr>
                <w:rFonts w:ascii="宋体"/>
              </w:rPr>
            </w:pPr>
          </w:p>
        </w:tc>
      </w:tr>
    </w:tbl>
    <w:p w14:paraId="64305215" w14:textId="77777777" w:rsidR="009F6D8A" w:rsidRDefault="009F6D8A">
      <w:pPr>
        <w:rPr>
          <w:vanish/>
        </w:rPr>
      </w:pPr>
    </w:p>
    <w:tbl>
      <w:tblPr>
        <w:tblW w:w="877" w:type="pct"/>
        <w:tblCellMar>
          <w:top w:w="15" w:type="dxa"/>
          <w:left w:w="15" w:type="dxa"/>
          <w:bottom w:w="15" w:type="dxa"/>
          <w:right w:w="15" w:type="dxa"/>
        </w:tblCellMar>
        <w:tblLook w:val="04A0" w:firstRow="1" w:lastRow="0" w:firstColumn="1" w:lastColumn="0" w:noHBand="0" w:noVBand="1"/>
      </w:tblPr>
      <w:tblGrid>
        <w:gridCol w:w="36"/>
        <w:gridCol w:w="1390"/>
        <w:gridCol w:w="36"/>
      </w:tblGrid>
      <w:tr w:rsidR="009F6D8A" w14:paraId="64305219" w14:textId="77777777">
        <w:tc>
          <w:tcPr>
            <w:tcW w:w="50" w:type="pct"/>
            <w:shd w:val="clear" w:color="auto" w:fill="auto"/>
            <w:vAlign w:val="bottom"/>
          </w:tcPr>
          <w:p w14:paraId="64305216" w14:textId="77777777" w:rsidR="009F6D8A" w:rsidRDefault="009F6D8A">
            <w:pPr>
              <w:rPr>
                <w:rFonts w:ascii="宋体"/>
              </w:rPr>
            </w:pPr>
          </w:p>
        </w:tc>
        <w:tc>
          <w:tcPr>
            <w:tcW w:w="4945" w:type="pct"/>
            <w:shd w:val="clear" w:color="auto" w:fill="auto"/>
            <w:vAlign w:val="bottom"/>
          </w:tcPr>
          <w:p w14:paraId="64305217" w14:textId="77777777" w:rsidR="009F6D8A" w:rsidRDefault="009F6D8A">
            <w:pPr>
              <w:rPr>
                <w:rFonts w:ascii="宋体"/>
              </w:rPr>
            </w:pPr>
          </w:p>
        </w:tc>
        <w:tc>
          <w:tcPr>
            <w:tcW w:w="5" w:type="pct"/>
            <w:shd w:val="clear" w:color="auto" w:fill="auto"/>
            <w:vAlign w:val="bottom"/>
          </w:tcPr>
          <w:p w14:paraId="64305218" w14:textId="77777777" w:rsidR="009F6D8A" w:rsidRDefault="009F6D8A">
            <w:pPr>
              <w:rPr>
                <w:rFonts w:ascii="宋体"/>
              </w:rPr>
            </w:pPr>
          </w:p>
        </w:tc>
      </w:tr>
      <w:tr w:rsidR="009F6D8A" w14:paraId="6430521B"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21A" w14:textId="77777777" w:rsidR="009F6D8A" w:rsidRDefault="009F6D8A">
            <w:pPr>
              <w:rPr>
                <w:rFonts w:ascii="宋体"/>
              </w:rPr>
            </w:pPr>
          </w:p>
        </w:tc>
      </w:tr>
    </w:tbl>
    <w:p w14:paraId="6430521C" w14:textId="77777777" w:rsidR="009F6D8A" w:rsidRDefault="00C50974">
      <w:pPr>
        <w:ind w:hanging="360"/>
        <w:jc w:val="both"/>
      </w:pPr>
      <w:r>
        <w:rPr>
          <w:rFonts w:ascii="Arial" w:eastAsia="宋体" w:hAnsi="Arial" w:cs="Arial"/>
          <w:color w:val="000000"/>
          <w:sz w:val="16"/>
          <w:szCs w:val="16"/>
        </w:rPr>
        <w:t>**    Not meaningful</w:t>
      </w:r>
    </w:p>
    <w:p w14:paraId="6430521D" w14:textId="77777777" w:rsidR="009F6D8A" w:rsidRDefault="009F6D8A">
      <w:pPr>
        <w:ind w:hanging="360"/>
        <w:jc w:val="both"/>
      </w:pPr>
    </w:p>
    <w:p w14:paraId="6430521E" w14:textId="77777777" w:rsidR="009F6D8A" w:rsidRDefault="00C50974">
      <w:pPr>
        <w:ind w:firstLine="540"/>
        <w:jc w:val="both"/>
      </w:pPr>
      <w:r>
        <w:rPr>
          <w:rFonts w:ascii="Arial" w:eastAsia="宋体" w:hAnsi="Arial" w:cs="Arial"/>
          <w:color w:val="000000"/>
          <w:sz w:val="20"/>
          <w:szCs w:val="20"/>
        </w:rPr>
        <w:t>The decrease in interest and other, net during the three months ended June 30, 2021 compared to the same period in 2020 was primarily attributable the change in fair value of the equity investment in Adevinta of $422 million, change in the fair value of th</w:t>
      </w:r>
      <w:r>
        <w:rPr>
          <w:rFonts w:ascii="Arial" w:eastAsia="宋体" w:hAnsi="Arial" w:cs="Arial"/>
          <w:color w:val="000000"/>
          <w:sz w:val="20"/>
          <w:szCs w:val="20"/>
        </w:rPr>
        <w:t xml:space="preserve">e Adyen warrant of $185 million, partially offset by the change in the fair value of an equity investment of $41 million and the absence of an impairment recorded on an investment in 2020 of $40 million. </w:t>
      </w:r>
    </w:p>
    <w:p w14:paraId="6430521F" w14:textId="77777777" w:rsidR="009F6D8A" w:rsidRDefault="009F6D8A">
      <w:pPr>
        <w:ind w:firstLine="540"/>
        <w:jc w:val="both"/>
      </w:pPr>
    </w:p>
    <w:p w14:paraId="64305220" w14:textId="77777777" w:rsidR="009F6D8A" w:rsidRDefault="00C50974">
      <w:pPr>
        <w:ind w:firstLine="540"/>
        <w:jc w:val="both"/>
      </w:pPr>
      <w:r>
        <w:rPr>
          <w:rFonts w:ascii="Arial" w:eastAsia="宋体" w:hAnsi="Arial" w:cs="Arial"/>
          <w:color w:val="000000"/>
          <w:sz w:val="20"/>
          <w:szCs w:val="20"/>
        </w:rPr>
        <w:t>The decrease in interest and other, net during the</w:t>
      </w:r>
      <w:r>
        <w:rPr>
          <w:rFonts w:ascii="Arial" w:eastAsia="宋体" w:hAnsi="Arial" w:cs="Arial"/>
          <w:color w:val="000000"/>
          <w:sz w:val="20"/>
          <w:szCs w:val="20"/>
        </w:rPr>
        <w:t xml:space="preserve"> six months ended June 30, 2021 compared to the same period in 2020 was primarily attributable primarily attributable the change in fair value of the equity investment in Adevinta of $422 million, change in the fair value of the Adyen warrant of $233 milli</w:t>
      </w:r>
      <w:r>
        <w:rPr>
          <w:rFonts w:ascii="Arial" w:eastAsia="宋体" w:hAnsi="Arial" w:cs="Arial"/>
          <w:color w:val="000000"/>
          <w:sz w:val="20"/>
          <w:szCs w:val="20"/>
        </w:rPr>
        <w:t>on and a gain of $37 million recorded in 2020 related to the receipt of proceeds that were held in escrow related to a long-term investment that was sold in 2018. These decreases were partially offset by the change in the fair value of an equity investment</w:t>
      </w:r>
      <w:r>
        <w:rPr>
          <w:rFonts w:ascii="Arial" w:eastAsia="宋体" w:hAnsi="Arial" w:cs="Arial"/>
          <w:color w:val="000000"/>
          <w:sz w:val="20"/>
          <w:szCs w:val="20"/>
        </w:rPr>
        <w:t xml:space="preserve"> of $41 million and the absence of an impairment recorded on an investment in 2020 of $40 million. </w:t>
      </w:r>
    </w:p>
    <w:p w14:paraId="64305221" w14:textId="77777777" w:rsidR="009F6D8A" w:rsidRDefault="009F6D8A">
      <w:pPr>
        <w:ind w:firstLine="540"/>
        <w:jc w:val="both"/>
      </w:pPr>
    </w:p>
    <w:p w14:paraId="64305222" w14:textId="77777777" w:rsidR="009F6D8A" w:rsidRDefault="00C50974">
      <w:pPr>
        <w:spacing w:before="60"/>
        <w:jc w:val="both"/>
      </w:pPr>
      <w:r>
        <w:rPr>
          <w:rFonts w:ascii="Arial" w:eastAsia="宋体" w:hAnsi="Arial" w:cs="Arial"/>
          <w:b/>
          <w:bCs/>
          <w:i/>
          <w:iCs/>
          <w:color w:val="000000"/>
          <w:sz w:val="20"/>
          <w:szCs w:val="20"/>
        </w:rPr>
        <w:t xml:space="preserve">Income Tax Provision </w:t>
      </w:r>
    </w:p>
    <w:p w14:paraId="64305223" w14:textId="77777777" w:rsidR="009F6D8A" w:rsidRDefault="009F6D8A"/>
    <w:p w14:paraId="64305224" w14:textId="77777777" w:rsidR="009F6D8A" w:rsidRDefault="00C50974">
      <w:pPr>
        <w:spacing w:after="60"/>
        <w:ind w:firstLine="540"/>
        <w:jc w:val="both"/>
      </w:pPr>
      <w:r>
        <w:rPr>
          <w:rFonts w:ascii="Arial" w:eastAsia="宋体" w:hAnsi="Arial" w:cs="Arial"/>
          <w:color w:val="000000"/>
          <w:sz w:val="20"/>
          <w:szCs w:val="20"/>
        </w:rPr>
        <w:t>The following table presents provision for income taxes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796"/>
        <w:gridCol w:w="37"/>
        <w:gridCol w:w="109"/>
        <w:gridCol w:w="555"/>
        <w:gridCol w:w="163"/>
        <w:gridCol w:w="36"/>
        <w:gridCol w:w="36"/>
        <w:gridCol w:w="36"/>
        <w:gridCol w:w="109"/>
        <w:gridCol w:w="442"/>
        <w:gridCol w:w="163"/>
        <w:gridCol w:w="36"/>
        <w:gridCol w:w="36"/>
        <w:gridCol w:w="36"/>
        <w:gridCol w:w="109"/>
        <w:gridCol w:w="442"/>
        <w:gridCol w:w="163"/>
        <w:gridCol w:w="37"/>
        <w:gridCol w:w="94"/>
        <w:gridCol w:w="36"/>
        <w:gridCol w:w="109"/>
        <w:gridCol w:w="555"/>
        <w:gridCol w:w="163"/>
      </w:tblGrid>
      <w:tr w:rsidR="009F6D8A" w14:paraId="6430523D" w14:textId="77777777">
        <w:trPr>
          <w:jc w:val="center"/>
        </w:trPr>
        <w:tc>
          <w:tcPr>
            <w:tcW w:w="50" w:type="pct"/>
            <w:shd w:val="clear" w:color="auto" w:fill="auto"/>
            <w:vAlign w:val="bottom"/>
          </w:tcPr>
          <w:p w14:paraId="64305225" w14:textId="77777777" w:rsidR="009F6D8A" w:rsidRDefault="009F6D8A">
            <w:pPr>
              <w:rPr>
                <w:rFonts w:ascii="宋体"/>
              </w:rPr>
            </w:pPr>
          </w:p>
        </w:tc>
        <w:tc>
          <w:tcPr>
            <w:tcW w:w="2993" w:type="pct"/>
            <w:shd w:val="clear" w:color="auto" w:fill="auto"/>
            <w:vAlign w:val="bottom"/>
          </w:tcPr>
          <w:p w14:paraId="64305226" w14:textId="77777777" w:rsidR="009F6D8A" w:rsidRDefault="009F6D8A">
            <w:pPr>
              <w:rPr>
                <w:rFonts w:ascii="宋体"/>
              </w:rPr>
            </w:pPr>
          </w:p>
        </w:tc>
        <w:tc>
          <w:tcPr>
            <w:tcW w:w="5" w:type="pct"/>
            <w:shd w:val="clear" w:color="auto" w:fill="auto"/>
            <w:vAlign w:val="bottom"/>
          </w:tcPr>
          <w:p w14:paraId="64305227" w14:textId="77777777" w:rsidR="009F6D8A" w:rsidRDefault="009F6D8A">
            <w:pPr>
              <w:rPr>
                <w:rFonts w:ascii="宋体"/>
              </w:rPr>
            </w:pPr>
          </w:p>
        </w:tc>
        <w:tc>
          <w:tcPr>
            <w:tcW w:w="50" w:type="pct"/>
            <w:shd w:val="clear" w:color="auto" w:fill="auto"/>
            <w:vAlign w:val="bottom"/>
          </w:tcPr>
          <w:p w14:paraId="64305228" w14:textId="77777777" w:rsidR="009F6D8A" w:rsidRDefault="009F6D8A">
            <w:pPr>
              <w:rPr>
                <w:rFonts w:ascii="宋体"/>
              </w:rPr>
            </w:pPr>
          </w:p>
        </w:tc>
        <w:tc>
          <w:tcPr>
            <w:tcW w:w="405" w:type="pct"/>
            <w:shd w:val="clear" w:color="auto" w:fill="auto"/>
            <w:vAlign w:val="bottom"/>
          </w:tcPr>
          <w:p w14:paraId="64305229" w14:textId="77777777" w:rsidR="009F6D8A" w:rsidRDefault="009F6D8A">
            <w:pPr>
              <w:rPr>
                <w:rFonts w:ascii="宋体"/>
              </w:rPr>
            </w:pPr>
          </w:p>
        </w:tc>
        <w:tc>
          <w:tcPr>
            <w:tcW w:w="5" w:type="pct"/>
            <w:shd w:val="clear" w:color="auto" w:fill="auto"/>
            <w:vAlign w:val="bottom"/>
          </w:tcPr>
          <w:p w14:paraId="6430522A" w14:textId="77777777" w:rsidR="009F6D8A" w:rsidRDefault="009F6D8A">
            <w:pPr>
              <w:rPr>
                <w:rFonts w:ascii="宋体"/>
              </w:rPr>
            </w:pPr>
          </w:p>
        </w:tc>
        <w:tc>
          <w:tcPr>
            <w:tcW w:w="5" w:type="pct"/>
            <w:shd w:val="clear" w:color="auto" w:fill="auto"/>
            <w:vAlign w:val="bottom"/>
          </w:tcPr>
          <w:p w14:paraId="6430522B" w14:textId="77777777" w:rsidR="009F6D8A" w:rsidRDefault="009F6D8A">
            <w:pPr>
              <w:rPr>
                <w:rFonts w:ascii="宋体"/>
              </w:rPr>
            </w:pPr>
          </w:p>
        </w:tc>
        <w:tc>
          <w:tcPr>
            <w:tcW w:w="26" w:type="pct"/>
            <w:shd w:val="clear" w:color="auto" w:fill="auto"/>
            <w:vAlign w:val="bottom"/>
          </w:tcPr>
          <w:p w14:paraId="6430522C" w14:textId="77777777" w:rsidR="009F6D8A" w:rsidRDefault="009F6D8A">
            <w:pPr>
              <w:rPr>
                <w:rFonts w:ascii="宋体"/>
              </w:rPr>
            </w:pPr>
          </w:p>
        </w:tc>
        <w:tc>
          <w:tcPr>
            <w:tcW w:w="5" w:type="pct"/>
            <w:shd w:val="clear" w:color="auto" w:fill="auto"/>
            <w:vAlign w:val="bottom"/>
          </w:tcPr>
          <w:p w14:paraId="6430522D" w14:textId="77777777" w:rsidR="009F6D8A" w:rsidRDefault="009F6D8A">
            <w:pPr>
              <w:rPr>
                <w:rFonts w:ascii="宋体"/>
              </w:rPr>
            </w:pPr>
          </w:p>
        </w:tc>
        <w:tc>
          <w:tcPr>
            <w:tcW w:w="50" w:type="pct"/>
            <w:shd w:val="clear" w:color="auto" w:fill="auto"/>
            <w:vAlign w:val="bottom"/>
          </w:tcPr>
          <w:p w14:paraId="6430522E" w14:textId="77777777" w:rsidR="009F6D8A" w:rsidRDefault="009F6D8A">
            <w:pPr>
              <w:rPr>
                <w:rFonts w:ascii="宋体"/>
              </w:rPr>
            </w:pPr>
          </w:p>
        </w:tc>
        <w:tc>
          <w:tcPr>
            <w:tcW w:w="405" w:type="pct"/>
            <w:shd w:val="clear" w:color="auto" w:fill="auto"/>
            <w:vAlign w:val="bottom"/>
          </w:tcPr>
          <w:p w14:paraId="6430522F" w14:textId="77777777" w:rsidR="009F6D8A" w:rsidRDefault="009F6D8A">
            <w:pPr>
              <w:rPr>
                <w:rFonts w:ascii="宋体"/>
              </w:rPr>
            </w:pPr>
          </w:p>
        </w:tc>
        <w:tc>
          <w:tcPr>
            <w:tcW w:w="5" w:type="pct"/>
            <w:shd w:val="clear" w:color="auto" w:fill="auto"/>
            <w:vAlign w:val="bottom"/>
          </w:tcPr>
          <w:p w14:paraId="64305230" w14:textId="77777777" w:rsidR="009F6D8A" w:rsidRDefault="009F6D8A">
            <w:pPr>
              <w:rPr>
                <w:rFonts w:ascii="宋体"/>
              </w:rPr>
            </w:pPr>
          </w:p>
        </w:tc>
        <w:tc>
          <w:tcPr>
            <w:tcW w:w="5" w:type="pct"/>
            <w:shd w:val="clear" w:color="auto" w:fill="auto"/>
            <w:vAlign w:val="bottom"/>
          </w:tcPr>
          <w:p w14:paraId="64305231" w14:textId="77777777" w:rsidR="009F6D8A" w:rsidRDefault="009F6D8A">
            <w:pPr>
              <w:rPr>
                <w:rFonts w:ascii="宋体"/>
              </w:rPr>
            </w:pPr>
          </w:p>
        </w:tc>
        <w:tc>
          <w:tcPr>
            <w:tcW w:w="26" w:type="pct"/>
            <w:shd w:val="clear" w:color="auto" w:fill="auto"/>
            <w:vAlign w:val="bottom"/>
          </w:tcPr>
          <w:p w14:paraId="64305232" w14:textId="77777777" w:rsidR="009F6D8A" w:rsidRDefault="009F6D8A">
            <w:pPr>
              <w:rPr>
                <w:rFonts w:ascii="宋体"/>
              </w:rPr>
            </w:pPr>
          </w:p>
        </w:tc>
        <w:tc>
          <w:tcPr>
            <w:tcW w:w="5" w:type="pct"/>
            <w:shd w:val="clear" w:color="auto" w:fill="auto"/>
            <w:vAlign w:val="bottom"/>
          </w:tcPr>
          <w:p w14:paraId="64305233" w14:textId="77777777" w:rsidR="009F6D8A" w:rsidRDefault="009F6D8A">
            <w:pPr>
              <w:rPr>
                <w:rFonts w:ascii="宋体"/>
              </w:rPr>
            </w:pPr>
          </w:p>
        </w:tc>
        <w:tc>
          <w:tcPr>
            <w:tcW w:w="50" w:type="pct"/>
            <w:shd w:val="clear" w:color="auto" w:fill="auto"/>
            <w:vAlign w:val="bottom"/>
          </w:tcPr>
          <w:p w14:paraId="64305234" w14:textId="77777777" w:rsidR="009F6D8A" w:rsidRDefault="009F6D8A">
            <w:pPr>
              <w:rPr>
                <w:rFonts w:ascii="宋体"/>
              </w:rPr>
            </w:pPr>
          </w:p>
        </w:tc>
        <w:tc>
          <w:tcPr>
            <w:tcW w:w="405" w:type="pct"/>
            <w:shd w:val="clear" w:color="auto" w:fill="auto"/>
            <w:vAlign w:val="bottom"/>
          </w:tcPr>
          <w:p w14:paraId="64305235" w14:textId="77777777" w:rsidR="009F6D8A" w:rsidRDefault="009F6D8A">
            <w:pPr>
              <w:rPr>
                <w:rFonts w:ascii="宋体"/>
              </w:rPr>
            </w:pPr>
          </w:p>
        </w:tc>
        <w:tc>
          <w:tcPr>
            <w:tcW w:w="5" w:type="pct"/>
            <w:shd w:val="clear" w:color="auto" w:fill="auto"/>
            <w:vAlign w:val="bottom"/>
          </w:tcPr>
          <w:p w14:paraId="64305236" w14:textId="77777777" w:rsidR="009F6D8A" w:rsidRDefault="009F6D8A">
            <w:pPr>
              <w:rPr>
                <w:rFonts w:ascii="宋体"/>
              </w:rPr>
            </w:pPr>
          </w:p>
        </w:tc>
        <w:tc>
          <w:tcPr>
            <w:tcW w:w="5" w:type="pct"/>
            <w:shd w:val="clear" w:color="auto" w:fill="auto"/>
            <w:vAlign w:val="bottom"/>
          </w:tcPr>
          <w:p w14:paraId="64305237" w14:textId="77777777" w:rsidR="009F6D8A" w:rsidRDefault="009F6D8A">
            <w:pPr>
              <w:rPr>
                <w:rFonts w:ascii="宋体"/>
              </w:rPr>
            </w:pPr>
          </w:p>
        </w:tc>
        <w:tc>
          <w:tcPr>
            <w:tcW w:w="26" w:type="pct"/>
            <w:shd w:val="clear" w:color="auto" w:fill="auto"/>
            <w:vAlign w:val="bottom"/>
          </w:tcPr>
          <w:p w14:paraId="64305238" w14:textId="77777777" w:rsidR="009F6D8A" w:rsidRDefault="009F6D8A">
            <w:pPr>
              <w:rPr>
                <w:rFonts w:ascii="宋体"/>
              </w:rPr>
            </w:pPr>
          </w:p>
        </w:tc>
        <w:tc>
          <w:tcPr>
            <w:tcW w:w="5" w:type="pct"/>
            <w:shd w:val="clear" w:color="auto" w:fill="auto"/>
            <w:vAlign w:val="bottom"/>
          </w:tcPr>
          <w:p w14:paraId="64305239" w14:textId="77777777" w:rsidR="009F6D8A" w:rsidRDefault="009F6D8A">
            <w:pPr>
              <w:rPr>
                <w:rFonts w:ascii="宋体"/>
              </w:rPr>
            </w:pPr>
          </w:p>
        </w:tc>
        <w:tc>
          <w:tcPr>
            <w:tcW w:w="50" w:type="pct"/>
            <w:shd w:val="clear" w:color="auto" w:fill="auto"/>
            <w:vAlign w:val="bottom"/>
          </w:tcPr>
          <w:p w14:paraId="6430523A" w14:textId="77777777" w:rsidR="009F6D8A" w:rsidRDefault="009F6D8A">
            <w:pPr>
              <w:rPr>
                <w:rFonts w:ascii="宋体"/>
              </w:rPr>
            </w:pPr>
          </w:p>
        </w:tc>
        <w:tc>
          <w:tcPr>
            <w:tcW w:w="405" w:type="pct"/>
            <w:shd w:val="clear" w:color="auto" w:fill="auto"/>
            <w:vAlign w:val="bottom"/>
          </w:tcPr>
          <w:p w14:paraId="6430523B" w14:textId="77777777" w:rsidR="009F6D8A" w:rsidRDefault="009F6D8A">
            <w:pPr>
              <w:rPr>
                <w:rFonts w:ascii="宋体"/>
              </w:rPr>
            </w:pPr>
          </w:p>
        </w:tc>
        <w:tc>
          <w:tcPr>
            <w:tcW w:w="5" w:type="pct"/>
            <w:shd w:val="clear" w:color="auto" w:fill="auto"/>
            <w:vAlign w:val="bottom"/>
          </w:tcPr>
          <w:p w14:paraId="6430523C" w14:textId="77777777" w:rsidR="009F6D8A" w:rsidRDefault="009F6D8A">
            <w:pPr>
              <w:rPr>
                <w:rFonts w:ascii="宋体"/>
              </w:rPr>
            </w:pPr>
          </w:p>
        </w:tc>
      </w:tr>
      <w:tr w:rsidR="009F6D8A" w14:paraId="64305242" w14:textId="77777777">
        <w:trPr>
          <w:jc w:val="center"/>
        </w:trPr>
        <w:tc>
          <w:tcPr>
            <w:tcW w:w="0" w:type="auto"/>
            <w:gridSpan w:val="3"/>
            <w:shd w:val="clear" w:color="auto" w:fill="auto"/>
            <w:tcMar>
              <w:top w:w="40" w:type="dxa"/>
              <w:left w:w="20" w:type="dxa"/>
              <w:bottom w:w="40" w:type="dxa"/>
              <w:right w:w="20" w:type="dxa"/>
            </w:tcMar>
            <w:vAlign w:val="bottom"/>
          </w:tcPr>
          <w:p w14:paraId="6430523E" w14:textId="77777777" w:rsidR="009F6D8A" w:rsidRDefault="00C50974">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6430523F" w14:textId="77777777" w:rsidR="009F6D8A" w:rsidRDefault="00C50974">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w:t>
            </w:r>
          </w:p>
        </w:tc>
        <w:tc>
          <w:tcPr>
            <w:tcW w:w="0" w:type="auto"/>
            <w:gridSpan w:val="3"/>
            <w:shd w:val="clear" w:color="auto" w:fill="auto"/>
            <w:tcMar>
              <w:top w:w="0" w:type="dxa"/>
              <w:left w:w="20" w:type="dxa"/>
              <w:bottom w:w="0" w:type="dxa"/>
              <w:right w:w="20" w:type="dxa"/>
            </w:tcMar>
            <w:vAlign w:val="bottom"/>
          </w:tcPr>
          <w:p w14:paraId="64305240" w14:textId="77777777" w:rsidR="009F6D8A" w:rsidRDefault="009F6D8A">
            <w:pPr>
              <w:rPr>
                <w:rFonts w:ascii="宋体"/>
              </w:rPr>
            </w:pPr>
          </w:p>
        </w:tc>
        <w:tc>
          <w:tcPr>
            <w:tcW w:w="0" w:type="auto"/>
            <w:gridSpan w:val="9"/>
            <w:shd w:val="clear" w:color="auto" w:fill="auto"/>
            <w:tcMar>
              <w:top w:w="40" w:type="dxa"/>
              <w:left w:w="20" w:type="dxa"/>
              <w:bottom w:w="40" w:type="dxa"/>
              <w:right w:w="20" w:type="dxa"/>
            </w:tcMar>
            <w:vAlign w:val="bottom"/>
          </w:tcPr>
          <w:p w14:paraId="64305241" w14:textId="77777777" w:rsidR="009F6D8A" w:rsidRDefault="00C50974">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w:t>
            </w:r>
          </w:p>
        </w:tc>
      </w:tr>
      <w:tr w:rsidR="009F6D8A" w14:paraId="6430524B" w14:textId="77777777">
        <w:trPr>
          <w:jc w:val="center"/>
        </w:trPr>
        <w:tc>
          <w:tcPr>
            <w:tcW w:w="0" w:type="auto"/>
            <w:gridSpan w:val="3"/>
            <w:shd w:val="clear" w:color="auto" w:fill="auto"/>
            <w:tcMar>
              <w:top w:w="40" w:type="dxa"/>
              <w:left w:w="20" w:type="dxa"/>
              <w:bottom w:w="40" w:type="dxa"/>
              <w:right w:w="20" w:type="dxa"/>
            </w:tcMar>
            <w:vAlign w:val="bottom"/>
          </w:tcPr>
          <w:p w14:paraId="64305243" w14:textId="77777777" w:rsidR="009F6D8A" w:rsidRDefault="00C50974">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244" w14:textId="77777777" w:rsidR="009F6D8A" w:rsidRDefault="00C50974">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245"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246" w14:textId="77777777" w:rsidR="009F6D8A" w:rsidRDefault="00C50974">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64305247"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248" w14:textId="77777777" w:rsidR="009F6D8A" w:rsidRDefault="00C50974">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249"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24A" w14:textId="77777777" w:rsidR="009F6D8A" w:rsidRDefault="00C50974">
            <w:pPr>
              <w:jc w:val="center"/>
              <w:textAlignment w:val="bottom"/>
            </w:pPr>
            <w:r>
              <w:rPr>
                <w:rFonts w:ascii="Arial" w:eastAsia="宋体" w:hAnsi="Arial" w:cs="Arial"/>
                <w:b/>
                <w:bCs/>
                <w:color w:val="000000"/>
                <w:sz w:val="14"/>
                <w:szCs w:val="14"/>
              </w:rPr>
              <w:t>2020</w:t>
            </w:r>
          </w:p>
        </w:tc>
      </w:tr>
      <w:tr w:rsidR="009F6D8A" w14:paraId="64305254" w14:textId="77777777">
        <w:trPr>
          <w:jc w:val="center"/>
          <w:hidden/>
        </w:trPr>
        <w:tc>
          <w:tcPr>
            <w:tcW w:w="0" w:type="auto"/>
            <w:gridSpan w:val="3"/>
            <w:shd w:val="clear" w:color="auto" w:fill="auto"/>
            <w:vAlign w:val="bottom"/>
          </w:tcPr>
          <w:p w14:paraId="6430524C" w14:textId="77777777" w:rsidR="009F6D8A" w:rsidRDefault="009F6D8A">
            <w:pPr>
              <w:rPr>
                <w:rFonts w:ascii="宋体"/>
                <w:vanish/>
              </w:rPr>
            </w:pPr>
          </w:p>
        </w:tc>
        <w:tc>
          <w:tcPr>
            <w:tcW w:w="0" w:type="auto"/>
            <w:gridSpan w:val="3"/>
            <w:shd w:val="clear" w:color="auto" w:fill="auto"/>
            <w:vAlign w:val="bottom"/>
          </w:tcPr>
          <w:p w14:paraId="6430524D" w14:textId="77777777" w:rsidR="009F6D8A" w:rsidRDefault="009F6D8A">
            <w:pPr>
              <w:rPr>
                <w:rFonts w:ascii="宋体"/>
                <w:vanish/>
              </w:rPr>
            </w:pPr>
          </w:p>
        </w:tc>
        <w:tc>
          <w:tcPr>
            <w:tcW w:w="0" w:type="auto"/>
            <w:gridSpan w:val="3"/>
            <w:shd w:val="clear" w:color="auto" w:fill="auto"/>
            <w:vAlign w:val="bottom"/>
          </w:tcPr>
          <w:p w14:paraId="6430524E" w14:textId="77777777" w:rsidR="009F6D8A" w:rsidRDefault="009F6D8A">
            <w:pPr>
              <w:rPr>
                <w:rFonts w:ascii="宋体"/>
                <w:vanish/>
              </w:rPr>
            </w:pPr>
          </w:p>
        </w:tc>
        <w:tc>
          <w:tcPr>
            <w:tcW w:w="0" w:type="auto"/>
            <w:gridSpan w:val="3"/>
            <w:shd w:val="clear" w:color="auto" w:fill="auto"/>
            <w:vAlign w:val="bottom"/>
          </w:tcPr>
          <w:p w14:paraId="6430524F" w14:textId="77777777" w:rsidR="009F6D8A" w:rsidRDefault="009F6D8A">
            <w:pPr>
              <w:rPr>
                <w:rFonts w:ascii="宋体"/>
                <w:vanish/>
              </w:rPr>
            </w:pPr>
          </w:p>
        </w:tc>
        <w:tc>
          <w:tcPr>
            <w:tcW w:w="0" w:type="auto"/>
            <w:gridSpan w:val="3"/>
            <w:shd w:val="clear" w:color="auto" w:fill="auto"/>
            <w:vAlign w:val="bottom"/>
          </w:tcPr>
          <w:p w14:paraId="64305250" w14:textId="77777777" w:rsidR="009F6D8A" w:rsidRDefault="009F6D8A">
            <w:pPr>
              <w:rPr>
                <w:rFonts w:ascii="宋体"/>
                <w:vanish/>
              </w:rPr>
            </w:pPr>
          </w:p>
        </w:tc>
        <w:tc>
          <w:tcPr>
            <w:tcW w:w="0" w:type="auto"/>
            <w:gridSpan w:val="3"/>
            <w:shd w:val="clear" w:color="auto" w:fill="auto"/>
            <w:vAlign w:val="bottom"/>
          </w:tcPr>
          <w:p w14:paraId="64305251" w14:textId="77777777" w:rsidR="009F6D8A" w:rsidRDefault="009F6D8A">
            <w:pPr>
              <w:rPr>
                <w:rFonts w:ascii="宋体"/>
                <w:vanish/>
              </w:rPr>
            </w:pPr>
          </w:p>
        </w:tc>
        <w:tc>
          <w:tcPr>
            <w:tcW w:w="0" w:type="auto"/>
            <w:gridSpan w:val="3"/>
            <w:shd w:val="clear" w:color="auto" w:fill="auto"/>
            <w:vAlign w:val="bottom"/>
          </w:tcPr>
          <w:p w14:paraId="64305252" w14:textId="77777777" w:rsidR="009F6D8A" w:rsidRDefault="009F6D8A">
            <w:pPr>
              <w:rPr>
                <w:rFonts w:ascii="宋体"/>
                <w:vanish/>
              </w:rPr>
            </w:pPr>
          </w:p>
        </w:tc>
        <w:tc>
          <w:tcPr>
            <w:tcW w:w="0" w:type="auto"/>
            <w:gridSpan w:val="3"/>
            <w:shd w:val="clear" w:color="auto" w:fill="auto"/>
            <w:vAlign w:val="bottom"/>
          </w:tcPr>
          <w:p w14:paraId="64305253" w14:textId="77777777" w:rsidR="009F6D8A" w:rsidRDefault="009F6D8A">
            <w:pPr>
              <w:rPr>
                <w:rFonts w:ascii="宋体"/>
                <w:vanish/>
              </w:rPr>
            </w:pPr>
          </w:p>
        </w:tc>
      </w:tr>
      <w:tr w:rsidR="009F6D8A" w14:paraId="64305265" w14:textId="77777777">
        <w:trPr>
          <w:jc w:val="center"/>
        </w:trPr>
        <w:tc>
          <w:tcPr>
            <w:tcW w:w="0" w:type="auto"/>
            <w:gridSpan w:val="3"/>
            <w:shd w:val="clear" w:color="auto" w:fill="E2E2E2"/>
            <w:tcMar>
              <w:top w:w="40" w:type="dxa"/>
              <w:left w:w="20" w:type="dxa"/>
              <w:bottom w:w="40" w:type="dxa"/>
              <w:right w:w="20" w:type="dxa"/>
            </w:tcMar>
            <w:vAlign w:val="bottom"/>
          </w:tcPr>
          <w:p w14:paraId="64305255" w14:textId="77777777" w:rsidR="009F6D8A" w:rsidRDefault="00C50974">
            <w:pPr>
              <w:textAlignment w:val="bottom"/>
            </w:pPr>
            <w:r>
              <w:rPr>
                <w:rFonts w:ascii="Arial" w:eastAsia="宋体" w:hAnsi="Arial" w:cs="Arial"/>
                <w:color w:val="000000"/>
                <w:sz w:val="16"/>
                <w:szCs w:val="16"/>
              </w:rPr>
              <w:t>Income tax provision</w:t>
            </w:r>
          </w:p>
        </w:tc>
        <w:tc>
          <w:tcPr>
            <w:tcW w:w="0" w:type="auto"/>
            <w:tcBorders>
              <w:top w:val="single" w:sz="8" w:space="0" w:color="000000"/>
            </w:tcBorders>
            <w:shd w:val="clear" w:color="auto" w:fill="E2E2E2"/>
            <w:tcMar>
              <w:top w:w="40" w:type="dxa"/>
              <w:left w:w="20" w:type="dxa"/>
              <w:bottom w:w="40" w:type="dxa"/>
              <w:right w:w="0" w:type="dxa"/>
            </w:tcMar>
            <w:vAlign w:val="bottom"/>
          </w:tcPr>
          <w:p w14:paraId="64305256"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5257" w14:textId="77777777" w:rsidR="009F6D8A" w:rsidRDefault="00C50974">
            <w:pPr>
              <w:jc w:val="right"/>
              <w:textAlignment w:val="bottom"/>
            </w:pPr>
            <w:r>
              <w:rPr>
                <w:rFonts w:ascii="Arial" w:eastAsia="宋体" w:hAnsi="Arial" w:cs="Arial"/>
                <w:color w:val="000000"/>
                <w:sz w:val="16"/>
                <w:szCs w:val="16"/>
              </w:rPr>
              <w:t>107 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25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259"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525A"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525B" w14:textId="77777777" w:rsidR="009F6D8A" w:rsidRDefault="00C50974">
            <w:pPr>
              <w:jc w:val="right"/>
              <w:textAlignment w:val="bottom"/>
            </w:pPr>
            <w:r>
              <w:rPr>
                <w:rFonts w:ascii="Arial" w:eastAsia="宋体" w:hAnsi="Arial" w:cs="Arial"/>
                <w:color w:val="000000"/>
                <w:sz w:val="16"/>
                <w:szCs w:val="16"/>
              </w:rPr>
              <w:t>256 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25C"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25D"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525E"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525F" w14:textId="77777777" w:rsidR="009F6D8A" w:rsidRDefault="00C50974">
            <w:pPr>
              <w:jc w:val="right"/>
              <w:textAlignment w:val="bottom"/>
            </w:pPr>
            <w:r>
              <w:rPr>
                <w:rFonts w:ascii="Arial" w:eastAsia="宋体" w:hAnsi="Arial" w:cs="Arial"/>
                <w:color w:val="000000"/>
                <w:sz w:val="16"/>
                <w:szCs w:val="16"/>
              </w:rPr>
              <w:t>263 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260"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261"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5262"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5263" w14:textId="77777777" w:rsidR="009F6D8A" w:rsidRDefault="00C50974">
            <w:pPr>
              <w:jc w:val="right"/>
              <w:textAlignment w:val="bottom"/>
            </w:pPr>
            <w:r>
              <w:rPr>
                <w:rFonts w:ascii="Arial" w:eastAsia="宋体" w:hAnsi="Arial" w:cs="Arial"/>
                <w:color w:val="000000"/>
                <w:sz w:val="16"/>
                <w:szCs w:val="16"/>
              </w:rPr>
              <w:t>385 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264" w14:textId="77777777" w:rsidR="009F6D8A" w:rsidRDefault="009F6D8A">
            <w:pPr>
              <w:jc w:val="right"/>
              <w:rPr>
                <w:rFonts w:ascii="宋体"/>
              </w:rPr>
            </w:pPr>
          </w:p>
        </w:tc>
      </w:tr>
      <w:tr w:rsidR="009F6D8A" w14:paraId="64305272" w14:textId="77777777">
        <w:trPr>
          <w:jc w:val="center"/>
        </w:trPr>
        <w:tc>
          <w:tcPr>
            <w:tcW w:w="0" w:type="auto"/>
            <w:gridSpan w:val="3"/>
            <w:shd w:val="clear" w:color="auto" w:fill="auto"/>
            <w:tcMar>
              <w:top w:w="40" w:type="dxa"/>
              <w:left w:w="155" w:type="dxa"/>
              <w:bottom w:w="40" w:type="dxa"/>
              <w:right w:w="20" w:type="dxa"/>
            </w:tcMar>
            <w:vAlign w:val="bottom"/>
          </w:tcPr>
          <w:p w14:paraId="64305266" w14:textId="77777777" w:rsidR="009F6D8A" w:rsidRDefault="00C50974">
            <w:pPr>
              <w:textAlignment w:val="bottom"/>
            </w:pPr>
            <w:r>
              <w:rPr>
                <w:rFonts w:ascii="Arial" w:eastAsia="宋体" w:hAnsi="Arial" w:cs="Arial"/>
                <w:i/>
                <w:iCs/>
                <w:color w:val="000000"/>
                <w:sz w:val="16"/>
                <w:szCs w:val="16"/>
              </w:rPr>
              <w:t>Effective tax rate</w:t>
            </w:r>
          </w:p>
        </w:tc>
        <w:tc>
          <w:tcPr>
            <w:tcW w:w="0" w:type="auto"/>
            <w:gridSpan w:val="2"/>
            <w:shd w:val="clear" w:color="auto" w:fill="auto"/>
            <w:tcMar>
              <w:top w:w="40" w:type="dxa"/>
              <w:left w:w="20" w:type="dxa"/>
              <w:bottom w:w="40" w:type="dxa"/>
              <w:right w:w="0" w:type="dxa"/>
            </w:tcMar>
            <w:vAlign w:val="bottom"/>
          </w:tcPr>
          <w:p w14:paraId="64305267" w14:textId="77777777" w:rsidR="009F6D8A" w:rsidRDefault="00C50974">
            <w:pPr>
              <w:jc w:val="right"/>
              <w:textAlignment w:val="bottom"/>
            </w:pPr>
            <w:r>
              <w:rPr>
                <w:rFonts w:ascii="Arial" w:eastAsia="宋体" w:hAnsi="Arial" w:cs="Arial"/>
                <w:i/>
                <w:iCs/>
                <w:color w:val="000000"/>
                <w:sz w:val="16"/>
                <w:szCs w:val="16"/>
              </w:rPr>
              <w:t>26.6 </w:t>
            </w:r>
          </w:p>
        </w:tc>
        <w:tc>
          <w:tcPr>
            <w:tcW w:w="0" w:type="auto"/>
            <w:shd w:val="clear" w:color="auto" w:fill="auto"/>
            <w:tcMar>
              <w:top w:w="40" w:type="dxa"/>
              <w:left w:w="0" w:type="dxa"/>
              <w:bottom w:w="40" w:type="dxa"/>
              <w:right w:w="20" w:type="dxa"/>
            </w:tcMar>
            <w:vAlign w:val="bottom"/>
          </w:tcPr>
          <w:p w14:paraId="64305268"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auto"/>
            <w:tcMar>
              <w:top w:w="0" w:type="dxa"/>
              <w:left w:w="20" w:type="dxa"/>
              <w:bottom w:w="0" w:type="dxa"/>
              <w:right w:w="20" w:type="dxa"/>
            </w:tcMar>
            <w:vAlign w:val="bottom"/>
          </w:tcPr>
          <w:p w14:paraId="64305269" w14:textId="77777777" w:rsidR="009F6D8A" w:rsidRDefault="009F6D8A">
            <w:pPr>
              <w:rPr>
                <w:rFonts w:ascii="宋体"/>
              </w:rPr>
            </w:pPr>
          </w:p>
        </w:tc>
        <w:tc>
          <w:tcPr>
            <w:tcW w:w="0" w:type="auto"/>
            <w:gridSpan w:val="2"/>
            <w:shd w:val="clear" w:color="auto" w:fill="auto"/>
            <w:tcMar>
              <w:top w:w="40" w:type="dxa"/>
              <w:left w:w="20" w:type="dxa"/>
              <w:bottom w:w="40" w:type="dxa"/>
              <w:right w:w="0" w:type="dxa"/>
            </w:tcMar>
            <w:vAlign w:val="bottom"/>
          </w:tcPr>
          <w:p w14:paraId="6430526A" w14:textId="77777777" w:rsidR="009F6D8A" w:rsidRDefault="00C50974">
            <w:pPr>
              <w:jc w:val="right"/>
              <w:textAlignment w:val="bottom"/>
            </w:pPr>
            <w:r>
              <w:rPr>
                <w:rFonts w:ascii="Arial" w:eastAsia="宋体" w:hAnsi="Arial" w:cs="Arial"/>
                <w:i/>
                <w:iCs/>
                <w:color w:val="000000"/>
                <w:sz w:val="16"/>
                <w:szCs w:val="16"/>
              </w:rPr>
              <w:t>27.0 </w:t>
            </w:r>
          </w:p>
        </w:tc>
        <w:tc>
          <w:tcPr>
            <w:tcW w:w="0" w:type="auto"/>
            <w:shd w:val="clear" w:color="auto" w:fill="auto"/>
            <w:tcMar>
              <w:top w:w="40" w:type="dxa"/>
              <w:left w:w="0" w:type="dxa"/>
              <w:bottom w:w="40" w:type="dxa"/>
              <w:right w:w="20" w:type="dxa"/>
            </w:tcMar>
            <w:vAlign w:val="bottom"/>
          </w:tcPr>
          <w:p w14:paraId="6430526B"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auto"/>
            <w:tcMar>
              <w:top w:w="0" w:type="dxa"/>
              <w:left w:w="20" w:type="dxa"/>
              <w:bottom w:w="0" w:type="dxa"/>
              <w:right w:w="20" w:type="dxa"/>
            </w:tcMar>
            <w:vAlign w:val="bottom"/>
          </w:tcPr>
          <w:p w14:paraId="6430526C" w14:textId="77777777" w:rsidR="009F6D8A" w:rsidRDefault="009F6D8A">
            <w:pPr>
              <w:rPr>
                <w:rFonts w:ascii="宋体"/>
              </w:rPr>
            </w:pPr>
          </w:p>
        </w:tc>
        <w:tc>
          <w:tcPr>
            <w:tcW w:w="0" w:type="auto"/>
            <w:gridSpan w:val="2"/>
            <w:shd w:val="clear" w:color="auto" w:fill="auto"/>
            <w:tcMar>
              <w:top w:w="40" w:type="dxa"/>
              <w:left w:w="20" w:type="dxa"/>
              <w:bottom w:w="40" w:type="dxa"/>
              <w:right w:w="0" w:type="dxa"/>
            </w:tcMar>
            <w:vAlign w:val="bottom"/>
          </w:tcPr>
          <w:p w14:paraId="6430526D" w14:textId="77777777" w:rsidR="009F6D8A" w:rsidRDefault="00C50974">
            <w:pPr>
              <w:jc w:val="right"/>
              <w:textAlignment w:val="bottom"/>
            </w:pPr>
            <w:r>
              <w:rPr>
                <w:rFonts w:ascii="Arial" w:eastAsia="宋体" w:hAnsi="Arial" w:cs="Arial"/>
                <w:i/>
                <w:iCs/>
                <w:color w:val="000000"/>
                <w:sz w:val="16"/>
                <w:szCs w:val="16"/>
              </w:rPr>
              <w:t>23.4 </w:t>
            </w:r>
          </w:p>
        </w:tc>
        <w:tc>
          <w:tcPr>
            <w:tcW w:w="0" w:type="auto"/>
            <w:shd w:val="clear" w:color="auto" w:fill="auto"/>
            <w:tcMar>
              <w:top w:w="40" w:type="dxa"/>
              <w:left w:w="0" w:type="dxa"/>
              <w:bottom w:w="40" w:type="dxa"/>
              <w:right w:w="20" w:type="dxa"/>
            </w:tcMar>
            <w:vAlign w:val="bottom"/>
          </w:tcPr>
          <w:p w14:paraId="6430526E" w14:textId="77777777" w:rsidR="009F6D8A" w:rsidRDefault="00C50974">
            <w:pPr>
              <w:jc w:val="right"/>
              <w:textAlignment w:val="bottom"/>
            </w:pPr>
            <w:r>
              <w:rPr>
                <w:rFonts w:ascii="Arial" w:eastAsia="宋体" w:hAnsi="Arial" w:cs="Arial"/>
                <w:i/>
                <w:iCs/>
                <w:color w:val="000000"/>
                <w:sz w:val="16"/>
                <w:szCs w:val="16"/>
              </w:rPr>
              <w:t>%</w:t>
            </w:r>
          </w:p>
        </w:tc>
        <w:tc>
          <w:tcPr>
            <w:tcW w:w="0" w:type="auto"/>
            <w:gridSpan w:val="3"/>
            <w:shd w:val="clear" w:color="auto" w:fill="auto"/>
            <w:tcMar>
              <w:top w:w="40" w:type="dxa"/>
              <w:left w:w="20" w:type="dxa"/>
              <w:bottom w:w="40" w:type="dxa"/>
              <w:right w:w="20" w:type="dxa"/>
            </w:tcMar>
            <w:vAlign w:val="bottom"/>
          </w:tcPr>
          <w:p w14:paraId="6430526F" w14:textId="77777777" w:rsidR="009F6D8A" w:rsidRDefault="00C50974">
            <w:pPr>
              <w:textAlignment w:val="bottom"/>
            </w:pPr>
            <w:r>
              <w:rPr>
                <w:rFonts w:ascii="Arial" w:eastAsia="宋体" w:hAnsi="Arial" w:cs="Arial"/>
                <w:i/>
                <w:iCs/>
                <w:color w:val="000000"/>
                <w:sz w:val="16"/>
                <w:szCs w:val="16"/>
              </w:rPr>
              <w:t>  </w:t>
            </w:r>
          </w:p>
        </w:tc>
        <w:tc>
          <w:tcPr>
            <w:tcW w:w="0" w:type="auto"/>
            <w:gridSpan w:val="2"/>
            <w:shd w:val="clear" w:color="auto" w:fill="auto"/>
            <w:tcMar>
              <w:top w:w="40" w:type="dxa"/>
              <w:left w:w="20" w:type="dxa"/>
              <w:bottom w:w="40" w:type="dxa"/>
              <w:right w:w="0" w:type="dxa"/>
            </w:tcMar>
            <w:vAlign w:val="bottom"/>
          </w:tcPr>
          <w:p w14:paraId="64305270" w14:textId="77777777" w:rsidR="009F6D8A" w:rsidRDefault="00C50974">
            <w:pPr>
              <w:jc w:val="right"/>
              <w:textAlignment w:val="bottom"/>
            </w:pPr>
            <w:r>
              <w:rPr>
                <w:rFonts w:ascii="Arial" w:eastAsia="宋体" w:hAnsi="Arial" w:cs="Arial"/>
                <w:i/>
                <w:iCs/>
                <w:color w:val="000000"/>
                <w:sz w:val="16"/>
                <w:szCs w:val="16"/>
              </w:rPr>
              <w:t>25.7 </w:t>
            </w:r>
          </w:p>
        </w:tc>
        <w:tc>
          <w:tcPr>
            <w:tcW w:w="0" w:type="auto"/>
            <w:shd w:val="clear" w:color="auto" w:fill="auto"/>
            <w:tcMar>
              <w:top w:w="40" w:type="dxa"/>
              <w:left w:w="0" w:type="dxa"/>
              <w:bottom w:w="40" w:type="dxa"/>
              <w:right w:w="20" w:type="dxa"/>
            </w:tcMar>
            <w:vAlign w:val="bottom"/>
          </w:tcPr>
          <w:p w14:paraId="64305271" w14:textId="77777777" w:rsidR="009F6D8A" w:rsidRDefault="00C50974">
            <w:pPr>
              <w:jc w:val="right"/>
              <w:textAlignment w:val="bottom"/>
            </w:pPr>
            <w:r>
              <w:rPr>
                <w:rFonts w:ascii="Arial" w:eastAsia="宋体" w:hAnsi="Arial" w:cs="Arial"/>
                <w:i/>
                <w:iCs/>
                <w:color w:val="000000"/>
                <w:sz w:val="16"/>
                <w:szCs w:val="16"/>
              </w:rPr>
              <w:t>%</w:t>
            </w:r>
          </w:p>
        </w:tc>
      </w:tr>
    </w:tbl>
    <w:p w14:paraId="64305273" w14:textId="77777777" w:rsidR="009F6D8A" w:rsidRDefault="009F6D8A">
      <w:pPr>
        <w:ind w:firstLine="540"/>
      </w:pPr>
    </w:p>
    <w:p w14:paraId="64305274" w14:textId="77777777" w:rsidR="009F6D8A" w:rsidRDefault="00C50974">
      <w:pPr>
        <w:ind w:firstLine="540"/>
        <w:jc w:val="both"/>
      </w:pPr>
      <w:r>
        <w:rPr>
          <w:rFonts w:ascii="Arial" w:eastAsia="宋体" w:hAnsi="Arial" w:cs="Arial"/>
          <w:color w:val="000000"/>
          <w:sz w:val="20"/>
          <w:szCs w:val="20"/>
        </w:rPr>
        <w:t xml:space="preserve">The decrease in our effective tax rate for the three months and six months ended June 30, 2021 compared to the same periods in 2020 was primarily due to lapping prior year one-time items and an increased tax benefit from stock </w:t>
      </w:r>
      <w:r>
        <w:rPr>
          <w:rFonts w:ascii="Arial" w:eastAsia="宋体" w:hAnsi="Arial" w:cs="Arial"/>
          <w:color w:val="000000"/>
          <w:sz w:val="20"/>
          <w:szCs w:val="20"/>
        </w:rPr>
        <w:t>based compensation partially offset by non-deductible unrealized losses. The three and six months ended June 30, 2020 included the effects of a retroactive California law change including incremental taxes on the gain on the sale of StubHub.</w:t>
      </w:r>
    </w:p>
    <w:p w14:paraId="64305275" w14:textId="77777777" w:rsidR="009F6D8A" w:rsidRDefault="009F6D8A">
      <w:pPr>
        <w:ind w:firstLine="540"/>
        <w:jc w:val="both"/>
      </w:pPr>
    </w:p>
    <w:p w14:paraId="64305276" w14:textId="77777777" w:rsidR="009F6D8A" w:rsidRDefault="009F6D8A">
      <w:pPr>
        <w:jc w:val="center"/>
      </w:pPr>
    </w:p>
    <w:p w14:paraId="64305277" w14:textId="77777777" w:rsidR="009F6D8A" w:rsidRDefault="00C50974">
      <w:pPr>
        <w:jc w:val="center"/>
      </w:pPr>
      <w:r>
        <w:rPr>
          <w:rFonts w:ascii="Arial" w:eastAsia="宋体" w:hAnsi="Arial" w:cs="Arial"/>
          <w:color w:val="000000"/>
          <w:sz w:val="20"/>
          <w:szCs w:val="20"/>
        </w:rPr>
        <w:t>45</w:t>
      </w:r>
    </w:p>
    <w:p w14:paraId="64305278" w14:textId="77777777" w:rsidR="009F6D8A" w:rsidRDefault="00C50974">
      <w:r>
        <w:pict w14:anchorId="64305830">
          <v:rect id="_x0000_i1069" style="width:415.3pt;height:1.5pt" o:hralign="center" o:hrstd="t" o:hr="t" fillcolor="#a0a0a0" stroked="f"/>
        </w:pict>
      </w:r>
    </w:p>
    <w:p w14:paraId="64305279" w14:textId="77777777" w:rsidR="009F6D8A" w:rsidRDefault="009F6D8A"/>
    <w:p w14:paraId="6430527A" w14:textId="77777777" w:rsidR="009F6D8A" w:rsidRDefault="00C50974">
      <w:pPr>
        <w:ind w:firstLine="540"/>
        <w:jc w:val="both"/>
      </w:pPr>
      <w:r>
        <w:rPr>
          <w:rFonts w:ascii="Arial" w:eastAsia="宋体" w:hAnsi="Arial" w:cs="Arial"/>
          <w:color w:val="000000"/>
          <w:sz w:val="20"/>
          <w:szCs w:val="20"/>
        </w:rPr>
        <w:t>We are</w:t>
      </w:r>
      <w:r>
        <w:rPr>
          <w:rFonts w:ascii="Arial" w:eastAsia="宋体" w:hAnsi="Arial" w:cs="Arial"/>
          <w:color w:val="000000"/>
          <w:sz w:val="20"/>
          <w:szCs w:val="20"/>
        </w:rPr>
        <w:t xml:space="preserve"> regularly under examination by tax authorities both domestically and internationally. We believe that adequate amounts have been reserved for any adjustments that may ultimately result from these examinations, although we cannot assure you that this will </w:t>
      </w:r>
      <w:r>
        <w:rPr>
          <w:rFonts w:ascii="Arial" w:eastAsia="宋体" w:hAnsi="Arial" w:cs="Arial"/>
          <w:color w:val="000000"/>
          <w:sz w:val="20"/>
          <w:szCs w:val="20"/>
        </w:rPr>
        <w:t>be the case given the inherent uncertainties in these examinations. Due to the ongoing tax examinations, we believe it is impractical to determine the amount and timing of these adjustments.</w:t>
      </w:r>
    </w:p>
    <w:p w14:paraId="6430527B" w14:textId="77777777" w:rsidR="009F6D8A" w:rsidRDefault="009F6D8A"/>
    <w:p w14:paraId="6430527C" w14:textId="77777777" w:rsidR="009F6D8A" w:rsidRDefault="00C50974">
      <w:r>
        <w:rPr>
          <w:rFonts w:ascii="Arial" w:eastAsia="宋体" w:hAnsi="Arial" w:cs="Arial"/>
          <w:b/>
          <w:bCs/>
          <w:i/>
          <w:iCs/>
          <w:color w:val="000000"/>
          <w:sz w:val="20"/>
          <w:szCs w:val="20"/>
        </w:rPr>
        <w:t xml:space="preserve">Discontinued Operations </w:t>
      </w:r>
    </w:p>
    <w:p w14:paraId="6430527D" w14:textId="77777777" w:rsidR="009F6D8A" w:rsidRDefault="009F6D8A"/>
    <w:p w14:paraId="6430527E" w14:textId="77777777" w:rsidR="009F6D8A" w:rsidRDefault="00C50974">
      <w:pPr>
        <w:ind w:firstLine="540"/>
        <w:jc w:val="both"/>
      </w:pPr>
      <w:r>
        <w:rPr>
          <w:rFonts w:ascii="Arial" w:eastAsia="宋体" w:hAnsi="Arial" w:cs="Arial"/>
          <w:color w:val="000000"/>
          <w:sz w:val="20"/>
          <w:szCs w:val="20"/>
        </w:rPr>
        <w:t>On June 24, 2021, we completed the pre</w:t>
      </w:r>
      <w:r>
        <w:rPr>
          <w:rFonts w:ascii="Arial" w:eastAsia="宋体" w:hAnsi="Arial" w:cs="Arial"/>
          <w:color w:val="000000"/>
          <w:sz w:val="20"/>
          <w:szCs w:val="20"/>
        </w:rPr>
        <w:t>viously announced transfer of our Classifieds business to Adevinta. We have classified the results of our Classifieds business as discontinued operations in our condensed consolidated statement of income for the periods presented. Additionally, the related</w:t>
      </w:r>
      <w:r>
        <w:rPr>
          <w:rFonts w:ascii="Arial" w:eastAsia="宋体" w:hAnsi="Arial" w:cs="Arial"/>
          <w:color w:val="000000"/>
          <w:sz w:val="20"/>
          <w:szCs w:val="20"/>
        </w:rPr>
        <w:t xml:space="preserve"> assets and liabilities associated with the discontinued operations are classified as discontinued operations in our condensed consolidated balance sheet. See “Note 3 – Discontinued Operations” in our condensed consolidated financial statements included el</w:t>
      </w:r>
      <w:r>
        <w:rPr>
          <w:rFonts w:ascii="Arial" w:eastAsia="宋体" w:hAnsi="Arial" w:cs="Arial"/>
          <w:color w:val="000000"/>
          <w:sz w:val="20"/>
          <w:szCs w:val="20"/>
        </w:rPr>
        <w:t xml:space="preserve">sewhere in this report for additional information. </w:t>
      </w:r>
    </w:p>
    <w:p w14:paraId="6430527F" w14:textId="77777777" w:rsidR="009F6D8A" w:rsidRDefault="009F6D8A">
      <w:pPr>
        <w:ind w:firstLine="540"/>
        <w:jc w:val="both"/>
      </w:pPr>
    </w:p>
    <w:p w14:paraId="64305280" w14:textId="77777777" w:rsidR="009F6D8A" w:rsidRDefault="00C50974">
      <w:pPr>
        <w:ind w:firstLine="540"/>
        <w:jc w:val="both"/>
      </w:pPr>
      <w:r>
        <w:rPr>
          <w:rFonts w:ascii="Arial" w:eastAsia="宋体" w:hAnsi="Arial" w:cs="Arial"/>
          <w:color w:val="000000"/>
          <w:sz w:val="20"/>
          <w:szCs w:val="20"/>
        </w:rPr>
        <w:t>On June 30, 2021, we entered into a securities purchase agreement with Emart to sell 80.01% of the outstanding equity interests of eBay Korea, pursuant to the terms and conditions of the securities purch</w:t>
      </w:r>
      <w:r>
        <w:rPr>
          <w:rFonts w:ascii="Arial" w:eastAsia="宋体" w:hAnsi="Arial" w:cs="Arial"/>
          <w:color w:val="000000"/>
          <w:sz w:val="20"/>
          <w:szCs w:val="20"/>
        </w:rPr>
        <w:t>ase agreement, in exchange for KRW 3.44 trillion, or approximately $3.0 billion as of the agreement date, subject to certain adjustments specified for indebtedness, cash, working capital, transaction expenses and certain taxes. We will retain 19.99% of the</w:t>
      </w:r>
      <w:r>
        <w:rPr>
          <w:rFonts w:ascii="Arial" w:eastAsia="宋体" w:hAnsi="Arial" w:cs="Arial"/>
          <w:color w:val="000000"/>
          <w:sz w:val="20"/>
          <w:szCs w:val="20"/>
        </w:rPr>
        <w:t xml:space="preserve"> outstanding equity interests of eBay Korea. The transaction is expected to close within one year, subject to certain conditions, including receipt of regulatory approvals. As of the second quarter of 2021, the results of the eBay Korea business have been </w:t>
      </w:r>
      <w:r>
        <w:rPr>
          <w:rFonts w:ascii="Arial" w:eastAsia="宋体" w:hAnsi="Arial" w:cs="Arial"/>
          <w:color w:val="000000"/>
          <w:sz w:val="20"/>
          <w:szCs w:val="20"/>
        </w:rPr>
        <w:t xml:space="preserve">presented as discontinued operations in our condensed consolidated statement of income for all periods presented. Additionally, we have classified the related assets and liabilities associated with the eBay Korea business as held for sale in our condensed </w:t>
      </w:r>
      <w:r>
        <w:rPr>
          <w:rFonts w:ascii="Arial" w:eastAsia="宋体" w:hAnsi="Arial" w:cs="Arial"/>
          <w:color w:val="000000"/>
          <w:sz w:val="20"/>
          <w:szCs w:val="20"/>
        </w:rPr>
        <w:t xml:space="preserve">consolidated balance sheet. See “Note 3 – Discontinued Operations” in our condensed consolidated financial statements included elsewhere in this report for additional information. </w:t>
      </w:r>
    </w:p>
    <w:p w14:paraId="64305281" w14:textId="77777777" w:rsidR="009F6D8A" w:rsidRDefault="009F6D8A">
      <w:pPr>
        <w:ind w:firstLine="540"/>
        <w:jc w:val="both"/>
      </w:pPr>
    </w:p>
    <w:p w14:paraId="64305282" w14:textId="77777777" w:rsidR="009F6D8A" w:rsidRDefault="00C50974">
      <w:r>
        <w:rPr>
          <w:rFonts w:ascii="Arial" w:eastAsia="宋体" w:hAnsi="Arial" w:cs="Arial"/>
          <w:b/>
          <w:bCs/>
          <w:i/>
          <w:iCs/>
          <w:color w:val="000000"/>
          <w:sz w:val="20"/>
          <w:szCs w:val="20"/>
        </w:rPr>
        <w:t>Non-GAAP Measures of Financial Performance</w:t>
      </w:r>
    </w:p>
    <w:p w14:paraId="64305283" w14:textId="77777777" w:rsidR="009F6D8A" w:rsidRDefault="009F6D8A">
      <w:pPr>
        <w:jc w:val="both"/>
      </w:pPr>
    </w:p>
    <w:p w14:paraId="64305284" w14:textId="77777777" w:rsidR="009F6D8A" w:rsidRDefault="00C50974">
      <w:pPr>
        <w:ind w:firstLine="540"/>
        <w:jc w:val="both"/>
      </w:pPr>
      <w:r>
        <w:rPr>
          <w:rFonts w:ascii="Arial" w:eastAsia="宋体" w:hAnsi="Arial" w:cs="Arial"/>
          <w:color w:val="000000"/>
          <w:sz w:val="20"/>
          <w:szCs w:val="20"/>
        </w:rPr>
        <w:t>To supplement our condensed co</w:t>
      </w:r>
      <w:r>
        <w:rPr>
          <w:rFonts w:ascii="Arial" w:eastAsia="宋体" w:hAnsi="Arial" w:cs="Arial"/>
          <w:color w:val="000000"/>
          <w:sz w:val="20"/>
          <w:szCs w:val="20"/>
        </w:rPr>
        <w:t>nsolidated financial statements presented in accordance with generally accepted accounting principles, we use FX-Neutral net revenues, which are non-GAAP financial measures. Management uses the foregoing non-GAAP measures in reviewing our financial results</w:t>
      </w:r>
      <w:r>
        <w:rPr>
          <w:rFonts w:ascii="Arial" w:eastAsia="宋体" w:hAnsi="Arial" w:cs="Arial"/>
          <w:color w:val="000000"/>
          <w:sz w:val="20"/>
          <w:szCs w:val="20"/>
        </w:rPr>
        <w:t>. We define FX-Neutral net revenues as net revenues minus the exchange rate effect. We define exchange rate effect as the year-over-year impact of foreign currency movements using prior period foreign currency rates applied to current year transactional cu</w:t>
      </w:r>
      <w:r>
        <w:rPr>
          <w:rFonts w:ascii="Arial" w:eastAsia="宋体" w:hAnsi="Arial" w:cs="Arial"/>
          <w:color w:val="000000"/>
          <w:sz w:val="20"/>
          <w:szCs w:val="20"/>
        </w:rPr>
        <w:t>rrency amounts, excluding hedging activity.</w:t>
      </w:r>
    </w:p>
    <w:p w14:paraId="64305285" w14:textId="77777777" w:rsidR="009F6D8A" w:rsidRDefault="009F6D8A">
      <w:pPr>
        <w:ind w:firstLine="540"/>
        <w:jc w:val="both"/>
      </w:pPr>
    </w:p>
    <w:p w14:paraId="64305286" w14:textId="77777777" w:rsidR="009F6D8A" w:rsidRDefault="00C50974">
      <w:pPr>
        <w:ind w:firstLine="540"/>
        <w:jc w:val="both"/>
      </w:pPr>
      <w:r>
        <w:rPr>
          <w:rFonts w:ascii="Arial" w:eastAsia="宋体" w:hAnsi="Arial" w:cs="Arial"/>
          <w:color w:val="000000"/>
          <w:sz w:val="20"/>
          <w:szCs w:val="20"/>
        </w:rPr>
        <w:t>These non-GAAP measures are not in accordance with, or an alternative to, measures prepared in accordance with GAAP and may be different from non-GAAP measures used by other companies. In addition, these non-GAAP measures are not based on any comprehensive</w:t>
      </w:r>
      <w:r>
        <w:rPr>
          <w:rFonts w:ascii="Arial" w:eastAsia="宋体" w:hAnsi="Arial" w:cs="Arial"/>
          <w:color w:val="000000"/>
          <w:sz w:val="20"/>
          <w:szCs w:val="20"/>
        </w:rPr>
        <w:t xml:space="preserve"> set of accounting rules or principles. Non-GAAP measures have limitations in that they do not reflect all of the amounts associated with our results of operations as determined in accordance with GAAP. These measures should only be used to evaluate our re</w:t>
      </w:r>
      <w:r>
        <w:rPr>
          <w:rFonts w:ascii="Arial" w:eastAsia="宋体" w:hAnsi="Arial" w:cs="Arial"/>
          <w:color w:val="000000"/>
          <w:sz w:val="20"/>
          <w:szCs w:val="20"/>
        </w:rPr>
        <w:t xml:space="preserve">sults of operations in conjunction with the corresponding GAAP measures. </w:t>
      </w:r>
    </w:p>
    <w:p w14:paraId="64305287" w14:textId="77777777" w:rsidR="009F6D8A" w:rsidRDefault="009F6D8A">
      <w:pPr>
        <w:ind w:firstLine="540"/>
        <w:jc w:val="both"/>
      </w:pPr>
    </w:p>
    <w:p w14:paraId="64305288" w14:textId="77777777" w:rsidR="009F6D8A" w:rsidRDefault="00C50974">
      <w:pPr>
        <w:ind w:firstLine="540"/>
        <w:jc w:val="both"/>
      </w:pPr>
      <w:r>
        <w:rPr>
          <w:rFonts w:ascii="Arial" w:eastAsia="宋体" w:hAnsi="Arial" w:cs="Arial"/>
          <w:color w:val="000000"/>
          <w:sz w:val="20"/>
          <w:szCs w:val="20"/>
        </w:rPr>
        <w:t>These non-GAAP measures are provided to enhance investors’ overall understanding of our current financial performance and its prospects for the future. Specifically, we believe thes</w:t>
      </w:r>
      <w:r>
        <w:rPr>
          <w:rFonts w:ascii="Arial" w:eastAsia="宋体" w:hAnsi="Arial" w:cs="Arial"/>
          <w:color w:val="000000"/>
          <w:sz w:val="20"/>
          <w:szCs w:val="20"/>
        </w:rPr>
        <w:t xml:space="preserve">e non-GAAP measures provide useful information to both management and investors by excluding the foreign currency exchange rate impact that may not be indicative of our core operating results and business outlook. In addition, because we have historically </w:t>
      </w:r>
      <w:r>
        <w:rPr>
          <w:rFonts w:ascii="Arial" w:eastAsia="宋体" w:hAnsi="Arial" w:cs="Arial"/>
          <w:color w:val="000000"/>
          <w:sz w:val="20"/>
          <w:szCs w:val="20"/>
        </w:rPr>
        <w:t xml:space="preserve">reported certain non-GAAP results to investors, we believe that the inclusion of these non-GAAP measures provide consistency in our financial reporting. </w:t>
      </w:r>
    </w:p>
    <w:p w14:paraId="64305289" w14:textId="77777777" w:rsidR="009F6D8A" w:rsidRDefault="009F6D8A">
      <w:pPr>
        <w:ind w:firstLine="540"/>
        <w:jc w:val="both"/>
      </w:pPr>
    </w:p>
    <w:p w14:paraId="6430528A" w14:textId="77777777" w:rsidR="009F6D8A" w:rsidRDefault="009F6D8A">
      <w:pPr>
        <w:jc w:val="center"/>
      </w:pPr>
    </w:p>
    <w:p w14:paraId="6430528B" w14:textId="77777777" w:rsidR="009F6D8A" w:rsidRDefault="00C50974">
      <w:pPr>
        <w:jc w:val="center"/>
      </w:pPr>
      <w:r>
        <w:rPr>
          <w:rFonts w:ascii="Arial" w:eastAsia="宋体" w:hAnsi="Arial" w:cs="Arial"/>
          <w:color w:val="000000"/>
          <w:sz w:val="20"/>
          <w:szCs w:val="20"/>
        </w:rPr>
        <w:t>46</w:t>
      </w:r>
    </w:p>
    <w:p w14:paraId="6430528C" w14:textId="77777777" w:rsidR="009F6D8A" w:rsidRDefault="00C50974">
      <w:r>
        <w:pict w14:anchorId="64305831">
          <v:rect id="_x0000_i1070" style="width:415.3pt;height:1.5pt" o:hralign="center" o:hrstd="t" o:hr="t" fillcolor="#a0a0a0" stroked="f"/>
        </w:pict>
      </w:r>
    </w:p>
    <w:p w14:paraId="6430528D" w14:textId="77777777" w:rsidR="009F6D8A" w:rsidRDefault="009F6D8A"/>
    <w:p w14:paraId="6430528E" w14:textId="77777777" w:rsidR="009F6D8A" w:rsidRDefault="00C50974">
      <w:pPr>
        <w:spacing w:after="120"/>
        <w:ind w:firstLine="540"/>
        <w:jc w:val="both"/>
      </w:pPr>
      <w:r>
        <w:rPr>
          <w:rFonts w:ascii="Arial" w:eastAsia="宋体" w:hAnsi="Arial" w:cs="Arial"/>
          <w:color w:val="000000"/>
          <w:sz w:val="20"/>
          <w:szCs w:val="20"/>
        </w:rPr>
        <w:t xml:space="preserve">The following tables set forth a reconciliation of FX-Neutral GMV and FX-Neutral net revenues </w:t>
      </w:r>
      <w:r>
        <w:rPr>
          <w:rFonts w:ascii="Arial" w:eastAsia="宋体" w:hAnsi="Arial" w:cs="Arial"/>
          <w:color w:val="000000"/>
          <w:sz w:val="20"/>
          <w:szCs w:val="20"/>
        </w:rPr>
        <w:t>(each as defined below) to our reported GMV and net revenues for the periods presented (in millions, except percentages):</w:t>
      </w:r>
    </w:p>
    <w:tbl>
      <w:tblPr>
        <w:tblW w:w="4985" w:type="pct"/>
        <w:tblCellMar>
          <w:top w:w="15" w:type="dxa"/>
          <w:left w:w="15" w:type="dxa"/>
          <w:bottom w:w="15" w:type="dxa"/>
          <w:right w:w="15" w:type="dxa"/>
        </w:tblCellMar>
        <w:tblLook w:val="04A0" w:firstRow="1" w:lastRow="0" w:firstColumn="1" w:lastColumn="0" w:noHBand="0" w:noVBand="1"/>
      </w:tblPr>
      <w:tblGrid>
        <w:gridCol w:w="46"/>
        <w:gridCol w:w="1773"/>
        <w:gridCol w:w="38"/>
        <w:gridCol w:w="109"/>
        <w:gridCol w:w="744"/>
        <w:gridCol w:w="36"/>
        <w:gridCol w:w="36"/>
        <w:gridCol w:w="36"/>
        <w:gridCol w:w="36"/>
        <w:gridCol w:w="110"/>
        <w:gridCol w:w="779"/>
        <w:gridCol w:w="36"/>
        <w:gridCol w:w="36"/>
        <w:gridCol w:w="36"/>
        <w:gridCol w:w="36"/>
        <w:gridCol w:w="110"/>
        <w:gridCol w:w="780"/>
        <w:gridCol w:w="36"/>
        <w:gridCol w:w="36"/>
        <w:gridCol w:w="36"/>
        <w:gridCol w:w="36"/>
        <w:gridCol w:w="109"/>
        <w:gridCol w:w="1085"/>
        <w:gridCol w:w="36"/>
        <w:gridCol w:w="36"/>
        <w:gridCol w:w="36"/>
        <w:gridCol w:w="36"/>
        <w:gridCol w:w="70"/>
        <w:gridCol w:w="742"/>
        <w:gridCol w:w="163"/>
        <w:gridCol w:w="36"/>
        <w:gridCol w:w="36"/>
        <w:gridCol w:w="36"/>
        <w:gridCol w:w="64"/>
        <w:gridCol w:w="742"/>
        <w:gridCol w:w="163"/>
      </w:tblGrid>
      <w:tr w:rsidR="009F6D8A" w14:paraId="643052B3" w14:textId="77777777">
        <w:tc>
          <w:tcPr>
            <w:tcW w:w="50" w:type="pct"/>
            <w:shd w:val="clear" w:color="auto" w:fill="auto"/>
            <w:vAlign w:val="bottom"/>
          </w:tcPr>
          <w:p w14:paraId="6430528F" w14:textId="77777777" w:rsidR="009F6D8A" w:rsidRDefault="009F6D8A">
            <w:pPr>
              <w:rPr>
                <w:rFonts w:ascii="宋体"/>
              </w:rPr>
            </w:pPr>
          </w:p>
        </w:tc>
        <w:tc>
          <w:tcPr>
            <w:tcW w:w="1110" w:type="pct"/>
            <w:shd w:val="clear" w:color="auto" w:fill="auto"/>
            <w:vAlign w:val="bottom"/>
          </w:tcPr>
          <w:p w14:paraId="64305290" w14:textId="77777777" w:rsidR="009F6D8A" w:rsidRDefault="009F6D8A">
            <w:pPr>
              <w:rPr>
                <w:rFonts w:ascii="宋体"/>
              </w:rPr>
            </w:pPr>
          </w:p>
        </w:tc>
        <w:tc>
          <w:tcPr>
            <w:tcW w:w="5" w:type="pct"/>
            <w:shd w:val="clear" w:color="auto" w:fill="auto"/>
            <w:vAlign w:val="bottom"/>
          </w:tcPr>
          <w:p w14:paraId="64305291" w14:textId="77777777" w:rsidR="009F6D8A" w:rsidRDefault="009F6D8A">
            <w:pPr>
              <w:rPr>
                <w:rFonts w:ascii="宋体"/>
              </w:rPr>
            </w:pPr>
          </w:p>
        </w:tc>
        <w:tc>
          <w:tcPr>
            <w:tcW w:w="50" w:type="pct"/>
            <w:shd w:val="clear" w:color="auto" w:fill="auto"/>
            <w:vAlign w:val="bottom"/>
          </w:tcPr>
          <w:p w14:paraId="64305292" w14:textId="77777777" w:rsidR="009F6D8A" w:rsidRDefault="009F6D8A">
            <w:pPr>
              <w:rPr>
                <w:rFonts w:ascii="宋体"/>
              </w:rPr>
            </w:pPr>
          </w:p>
        </w:tc>
        <w:tc>
          <w:tcPr>
            <w:tcW w:w="480" w:type="pct"/>
            <w:shd w:val="clear" w:color="auto" w:fill="auto"/>
            <w:vAlign w:val="bottom"/>
          </w:tcPr>
          <w:p w14:paraId="64305293" w14:textId="77777777" w:rsidR="009F6D8A" w:rsidRDefault="009F6D8A">
            <w:pPr>
              <w:rPr>
                <w:rFonts w:ascii="宋体"/>
              </w:rPr>
            </w:pPr>
          </w:p>
        </w:tc>
        <w:tc>
          <w:tcPr>
            <w:tcW w:w="5" w:type="pct"/>
            <w:shd w:val="clear" w:color="auto" w:fill="auto"/>
            <w:vAlign w:val="bottom"/>
          </w:tcPr>
          <w:p w14:paraId="64305294" w14:textId="77777777" w:rsidR="009F6D8A" w:rsidRDefault="009F6D8A">
            <w:pPr>
              <w:rPr>
                <w:rFonts w:ascii="宋体"/>
              </w:rPr>
            </w:pPr>
          </w:p>
        </w:tc>
        <w:tc>
          <w:tcPr>
            <w:tcW w:w="5" w:type="pct"/>
            <w:shd w:val="clear" w:color="auto" w:fill="auto"/>
            <w:vAlign w:val="bottom"/>
          </w:tcPr>
          <w:p w14:paraId="64305295" w14:textId="77777777" w:rsidR="009F6D8A" w:rsidRDefault="009F6D8A">
            <w:pPr>
              <w:rPr>
                <w:rFonts w:ascii="宋体"/>
              </w:rPr>
            </w:pPr>
          </w:p>
        </w:tc>
        <w:tc>
          <w:tcPr>
            <w:tcW w:w="26" w:type="pct"/>
            <w:shd w:val="clear" w:color="auto" w:fill="auto"/>
            <w:vAlign w:val="bottom"/>
          </w:tcPr>
          <w:p w14:paraId="64305296" w14:textId="77777777" w:rsidR="009F6D8A" w:rsidRDefault="009F6D8A">
            <w:pPr>
              <w:rPr>
                <w:rFonts w:ascii="宋体"/>
              </w:rPr>
            </w:pPr>
          </w:p>
        </w:tc>
        <w:tc>
          <w:tcPr>
            <w:tcW w:w="5" w:type="pct"/>
            <w:shd w:val="clear" w:color="auto" w:fill="auto"/>
            <w:vAlign w:val="bottom"/>
          </w:tcPr>
          <w:p w14:paraId="64305297" w14:textId="77777777" w:rsidR="009F6D8A" w:rsidRDefault="009F6D8A">
            <w:pPr>
              <w:rPr>
                <w:rFonts w:ascii="宋体"/>
              </w:rPr>
            </w:pPr>
          </w:p>
        </w:tc>
        <w:tc>
          <w:tcPr>
            <w:tcW w:w="50" w:type="pct"/>
            <w:shd w:val="clear" w:color="auto" w:fill="auto"/>
            <w:vAlign w:val="bottom"/>
          </w:tcPr>
          <w:p w14:paraId="64305298" w14:textId="77777777" w:rsidR="009F6D8A" w:rsidRDefault="009F6D8A">
            <w:pPr>
              <w:rPr>
                <w:rFonts w:ascii="宋体"/>
              </w:rPr>
            </w:pPr>
          </w:p>
        </w:tc>
        <w:tc>
          <w:tcPr>
            <w:tcW w:w="531" w:type="pct"/>
            <w:shd w:val="clear" w:color="auto" w:fill="auto"/>
            <w:vAlign w:val="bottom"/>
          </w:tcPr>
          <w:p w14:paraId="64305299" w14:textId="77777777" w:rsidR="009F6D8A" w:rsidRDefault="009F6D8A">
            <w:pPr>
              <w:rPr>
                <w:rFonts w:ascii="宋体"/>
              </w:rPr>
            </w:pPr>
          </w:p>
        </w:tc>
        <w:tc>
          <w:tcPr>
            <w:tcW w:w="5" w:type="pct"/>
            <w:shd w:val="clear" w:color="auto" w:fill="auto"/>
            <w:vAlign w:val="bottom"/>
          </w:tcPr>
          <w:p w14:paraId="6430529A" w14:textId="77777777" w:rsidR="009F6D8A" w:rsidRDefault="009F6D8A">
            <w:pPr>
              <w:rPr>
                <w:rFonts w:ascii="宋体"/>
              </w:rPr>
            </w:pPr>
          </w:p>
        </w:tc>
        <w:tc>
          <w:tcPr>
            <w:tcW w:w="5" w:type="pct"/>
            <w:shd w:val="clear" w:color="auto" w:fill="auto"/>
            <w:vAlign w:val="bottom"/>
          </w:tcPr>
          <w:p w14:paraId="6430529B" w14:textId="77777777" w:rsidR="009F6D8A" w:rsidRDefault="009F6D8A">
            <w:pPr>
              <w:rPr>
                <w:rFonts w:ascii="宋体"/>
              </w:rPr>
            </w:pPr>
          </w:p>
        </w:tc>
        <w:tc>
          <w:tcPr>
            <w:tcW w:w="26" w:type="pct"/>
            <w:shd w:val="clear" w:color="auto" w:fill="auto"/>
            <w:vAlign w:val="bottom"/>
          </w:tcPr>
          <w:p w14:paraId="6430529C" w14:textId="77777777" w:rsidR="009F6D8A" w:rsidRDefault="009F6D8A">
            <w:pPr>
              <w:rPr>
                <w:rFonts w:ascii="宋体"/>
              </w:rPr>
            </w:pPr>
          </w:p>
        </w:tc>
        <w:tc>
          <w:tcPr>
            <w:tcW w:w="5" w:type="pct"/>
            <w:shd w:val="clear" w:color="auto" w:fill="auto"/>
            <w:vAlign w:val="bottom"/>
          </w:tcPr>
          <w:p w14:paraId="6430529D" w14:textId="77777777" w:rsidR="009F6D8A" w:rsidRDefault="009F6D8A">
            <w:pPr>
              <w:rPr>
                <w:rFonts w:ascii="宋体"/>
              </w:rPr>
            </w:pPr>
          </w:p>
        </w:tc>
        <w:tc>
          <w:tcPr>
            <w:tcW w:w="50" w:type="pct"/>
            <w:shd w:val="clear" w:color="auto" w:fill="auto"/>
            <w:vAlign w:val="bottom"/>
          </w:tcPr>
          <w:p w14:paraId="6430529E" w14:textId="77777777" w:rsidR="009F6D8A" w:rsidRDefault="009F6D8A">
            <w:pPr>
              <w:rPr>
                <w:rFonts w:ascii="宋体"/>
              </w:rPr>
            </w:pPr>
          </w:p>
        </w:tc>
        <w:tc>
          <w:tcPr>
            <w:tcW w:w="531" w:type="pct"/>
            <w:shd w:val="clear" w:color="auto" w:fill="auto"/>
            <w:vAlign w:val="bottom"/>
          </w:tcPr>
          <w:p w14:paraId="6430529F" w14:textId="77777777" w:rsidR="009F6D8A" w:rsidRDefault="009F6D8A">
            <w:pPr>
              <w:rPr>
                <w:rFonts w:ascii="宋体"/>
              </w:rPr>
            </w:pPr>
          </w:p>
        </w:tc>
        <w:tc>
          <w:tcPr>
            <w:tcW w:w="5" w:type="pct"/>
            <w:shd w:val="clear" w:color="auto" w:fill="auto"/>
            <w:vAlign w:val="bottom"/>
          </w:tcPr>
          <w:p w14:paraId="643052A0" w14:textId="77777777" w:rsidR="009F6D8A" w:rsidRDefault="009F6D8A">
            <w:pPr>
              <w:rPr>
                <w:rFonts w:ascii="宋体"/>
              </w:rPr>
            </w:pPr>
          </w:p>
        </w:tc>
        <w:tc>
          <w:tcPr>
            <w:tcW w:w="5" w:type="pct"/>
            <w:shd w:val="clear" w:color="auto" w:fill="auto"/>
            <w:vAlign w:val="bottom"/>
          </w:tcPr>
          <w:p w14:paraId="643052A1" w14:textId="77777777" w:rsidR="009F6D8A" w:rsidRDefault="009F6D8A">
            <w:pPr>
              <w:rPr>
                <w:rFonts w:ascii="宋体"/>
              </w:rPr>
            </w:pPr>
          </w:p>
        </w:tc>
        <w:tc>
          <w:tcPr>
            <w:tcW w:w="26" w:type="pct"/>
            <w:shd w:val="clear" w:color="auto" w:fill="auto"/>
            <w:vAlign w:val="bottom"/>
          </w:tcPr>
          <w:p w14:paraId="643052A2" w14:textId="77777777" w:rsidR="009F6D8A" w:rsidRDefault="009F6D8A">
            <w:pPr>
              <w:rPr>
                <w:rFonts w:ascii="宋体"/>
              </w:rPr>
            </w:pPr>
          </w:p>
        </w:tc>
        <w:tc>
          <w:tcPr>
            <w:tcW w:w="5" w:type="pct"/>
            <w:shd w:val="clear" w:color="auto" w:fill="auto"/>
            <w:vAlign w:val="bottom"/>
          </w:tcPr>
          <w:p w14:paraId="643052A3" w14:textId="77777777" w:rsidR="009F6D8A" w:rsidRDefault="009F6D8A">
            <w:pPr>
              <w:rPr>
                <w:rFonts w:ascii="宋体"/>
              </w:rPr>
            </w:pPr>
          </w:p>
        </w:tc>
        <w:tc>
          <w:tcPr>
            <w:tcW w:w="50" w:type="pct"/>
            <w:shd w:val="clear" w:color="auto" w:fill="auto"/>
            <w:vAlign w:val="bottom"/>
          </w:tcPr>
          <w:p w14:paraId="643052A4" w14:textId="77777777" w:rsidR="009F6D8A" w:rsidRDefault="009F6D8A">
            <w:pPr>
              <w:rPr>
                <w:rFonts w:ascii="宋体"/>
              </w:rPr>
            </w:pPr>
          </w:p>
        </w:tc>
        <w:tc>
          <w:tcPr>
            <w:tcW w:w="714" w:type="pct"/>
            <w:shd w:val="clear" w:color="auto" w:fill="auto"/>
            <w:vAlign w:val="bottom"/>
          </w:tcPr>
          <w:p w14:paraId="643052A5" w14:textId="77777777" w:rsidR="009F6D8A" w:rsidRDefault="009F6D8A">
            <w:pPr>
              <w:rPr>
                <w:rFonts w:ascii="宋体"/>
              </w:rPr>
            </w:pPr>
          </w:p>
        </w:tc>
        <w:tc>
          <w:tcPr>
            <w:tcW w:w="5" w:type="pct"/>
            <w:shd w:val="clear" w:color="auto" w:fill="auto"/>
            <w:vAlign w:val="bottom"/>
          </w:tcPr>
          <w:p w14:paraId="643052A6" w14:textId="77777777" w:rsidR="009F6D8A" w:rsidRDefault="009F6D8A">
            <w:pPr>
              <w:rPr>
                <w:rFonts w:ascii="宋体"/>
              </w:rPr>
            </w:pPr>
          </w:p>
        </w:tc>
        <w:tc>
          <w:tcPr>
            <w:tcW w:w="5" w:type="pct"/>
            <w:shd w:val="clear" w:color="auto" w:fill="auto"/>
            <w:vAlign w:val="bottom"/>
          </w:tcPr>
          <w:p w14:paraId="643052A7" w14:textId="77777777" w:rsidR="009F6D8A" w:rsidRDefault="009F6D8A">
            <w:pPr>
              <w:rPr>
                <w:rFonts w:ascii="宋体"/>
              </w:rPr>
            </w:pPr>
          </w:p>
        </w:tc>
        <w:tc>
          <w:tcPr>
            <w:tcW w:w="26" w:type="pct"/>
            <w:shd w:val="clear" w:color="auto" w:fill="auto"/>
            <w:vAlign w:val="bottom"/>
          </w:tcPr>
          <w:p w14:paraId="643052A8" w14:textId="77777777" w:rsidR="009F6D8A" w:rsidRDefault="009F6D8A">
            <w:pPr>
              <w:rPr>
                <w:rFonts w:ascii="宋体"/>
              </w:rPr>
            </w:pPr>
          </w:p>
        </w:tc>
        <w:tc>
          <w:tcPr>
            <w:tcW w:w="5" w:type="pct"/>
            <w:shd w:val="clear" w:color="auto" w:fill="auto"/>
            <w:vAlign w:val="bottom"/>
          </w:tcPr>
          <w:p w14:paraId="643052A9" w14:textId="77777777" w:rsidR="009F6D8A" w:rsidRDefault="009F6D8A">
            <w:pPr>
              <w:rPr>
                <w:rFonts w:ascii="宋体"/>
              </w:rPr>
            </w:pPr>
          </w:p>
        </w:tc>
        <w:tc>
          <w:tcPr>
            <w:tcW w:w="50" w:type="pct"/>
            <w:shd w:val="clear" w:color="auto" w:fill="auto"/>
            <w:vAlign w:val="bottom"/>
          </w:tcPr>
          <w:p w14:paraId="643052AA" w14:textId="77777777" w:rsidR="009F6D8A" w:rsidRDefault="009F6D8A">
            <w:pPr>
              <w:rPr>
                <w:rFonts w:ascii="宋体"/>
              </w:rPr>
            </w:pPr>
          </w:p>
        </w:tc>
        <w:tc>
          <w:tcPr>
            <w:tcW w:w="531" w:type="pct"/>
            <w:shd w:val="clear" w:color="auto" w:fill="auto"/>
            <w:vAlign w:val="bottom"/>
          </w:tcPr>
          <w:p w14:paraId="643052AB" w14:textId="77777777" w:rsidR="009F6D8A" w:rsidRDefault="009F6D8A">
            <w:pPr>
              <w:rPr>
                <w:rFonts w:ascii="宋体"/>
              </w:rPr>
            </w:pPr>
          </w:p>
        </w:tc>
        <w:tc>
          <w:tcPr>
            <w:tcW w:w="5" w:type="pct"/>
            <w:shd w:val="clear" w:color="auto" w:fill="auto"/>
            <w:vAlign w:val="bottom"/>
          </w:tcPr>
          <w:p w14:paraId="643052AC" w14:textId="77777777" w:rsidR="009F6D8A" w:rsidRDefault="009F6D8A">
            <w:pPr>
              <w:rPr>
                <w:rFonts w:ascii="宋体"/>
              </w:rPr>
            </w:pPr>
          </w:p>
        </w:tc>
        <w:tc>
          <w:tcPr>
            <w:tcW w:w="5" w:type="pct"/>
            <w:shd w:val="clear" w:color="auto" w:fill="auto"/>
            <w:vAlign w:val="bottom"/>
          </w:tcPr>
          <w:p w14:paraId="643052AD" w14:textId="77777777" w:rsidR="009F6D8A" w:rsidRDefault="009F6D8A">
            <w:pPr>
              <w:rPr>
                <w:rFonts w:ascii="宋体"/>
              </w:rPr>
            </w:pPr>
          </w:p>
        </w:tc>
        <w:tc>
          <w:tcPr>
            <w:tcW w:w="26" w:type="pct"/>
            <w:shd w:val="clear" w:color="auto" w:fill="auto"/>
            <w:vAlign w:val="bottom"/>
          </w:tcPr>
          <w:p w14:paraId="643052AE" w14:textId="77777777" w:rsidR="009F6D8A" w:rsidRDefault="009F6D8A">
            <w:pPr>
              <w:rPr>
                <w:rFonts w:ascii="宋体"/>
              </w:rPr>
            </w:pPr>
          </w:p>
        </w:tc>
        <w:tc>
          <w:tcPr>
            <w:tcW w:w="5" w:type="pct"/>
            <w:shd w:val="clear" w:color="auto" w:fill="auto"/>
            <w:vAlign w:val="bottom"/>
          </w:tcPr>
          <w:p w14:paraId="643052AF" w14:textId="77777777" w:rsidR="009F6D8A" w:rsidRDefault="009F6D8A">
            <w:pPr>
              <w:rPr>
                <w:rFonts w:ascii="宋体"/>
              </w:rPr>
            </w:pPr>
          </w:p>
        </w:tc>
        <w:tc>
          <w:tcPr>
            <w:tcW w:w="50" w:type="pct"/>
            <w:shd w:val="clear" w:color="auto" w:fill="auto"/>
            <w:vAlign w:val="bottom"/>
          </w:tcPr>
          <w:p w14:paraId="643052B0" w14:textId="77777777" w:rsidR="009F6D8A" w:rsidRDefault="009F6D8A">
            <w:pPr>
              <w:rPr>
                <w:rFonts w:ascii="宋体"/>
              </w:rPr>
            </w:pPr>
          </w:p>
        </w:tc>
        <w:tc>
          <w:tcPr>
            <w:tcW w:w="531" w:type="pct"/>
            <w:shd w:val="clear" w:color="auto" w:fill="auto"/>
            <w:vAlign w:val="bottom"/>
          </w:tcPr>
          <w:p w14:paraId="643052B1" w14:textId="77777777" w:rsidR="009F6D8A" w:rsidRDefault="009F6D8A">
            <w:pPr>
              <w:rPr>
                <w:rFonts w:ascii="宋体"/>
              </w:rPr>
            </w:pPr>
          </w:p>
        </w:tc>
        <w:tc>
          <w:tcPr>
            <w:tcW w:w="5" w:type="pct"/>
            <w:shd w:val="clear" w:color="auto" w:fill="auto"/>
            <w:vAlign w:val="bottom"/>
          </w:tcPr>
          <w:p w14:paraId="643052B2" w14:textId="77777777" w:rsidR="009F6D8A" w:rsidRDefault="009F6D8A">
            <w:pPr>
              <w:rPr>
                <w:rFonts w:ascii="宋体"/>
              </w:rPr>
            </w:pPr>
          </w:p>
        </w:tc>
      </w:tr>
      <w:tr w:rsidR="009F6D8A" w14:paraId="643052BC" w14:textId="77777777">
        <w:tc>
          <w:tcPr>
            <w:tcW w:w="0" w:type="auto"/>
            <w:gridSpan w:val="3"/>
            <w:shd w:val="clear" w:color="auto" w:fill="auto"/>
            <w:tcMar>
              <w:top w:w="40" w:type="dxa"/>
              <w:left w:w="20" w:type="dxa"/>
              <w:bottom w:w="40" w:type="dxa"/>
              <w:right w:w="20" w:type="dxa"/>
            </w:tcMar>
            <w:vAlign w:val="bottom"/>
          </w:tcPr>
          <w:p w14:paraId="643052B4" w14:textId="77777777" w:rsidR="009F6D8A" w:rsidRDefault="00C50974">
            <w:pPr>
              <w:textAlignment w:val="bottom"/>
            </w:pPr>
            <w:r>
              <w:rPr>
                <w:rFonts w:ascii="Arial" w:eastAsia="宋体" w:hAnsi="Arial" w:cs="Arial"/>
                <w:b/>
                <w:bCs/>
                <w:color w:val="000000"/>
                <w:sz w:val="16"/>
                <w:szCs w:val="16"/>
              </w:rPr>
              <w:t> </w:t>
            </w:r>
          </w:p>
        </w:tc>
        <w:tc>
          <w:tcPr>
            <w:tcW w:w="0" w:type="auto"/>
            <w:gridSpan w:val="15"/>
            <w:shd w:val="clear" w:color="auto" w:fill="auto"/>
            <w:tcMar>
              <w:top w:w="40" w:type="dxa"/>
              <w:left w:w="20" w:type="dxa"/>
              <w:bottom w:w="40" w:type="dxa"/>
              <w:right w:w="20" w:type="dxa"/>
            </w:tcMar>
            <w:vAlign w:val="bottom"/>
          </w:tcPr>
          <w:p w14:paraId="643052B5" w14:textId="77777777" w:rsidR="009F6D8A" w:rsidRDefault="00C50974">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 2021</w:t>
            </w:r>
          </w:p>
        </w:tc>
        <w:tc>
          <w:tcPr>
            <w:tcW w:w="0" w:type="auto"/>
            <w:gridSpan w:val="3"/>
            <w:shd w:val="clear" w:color="auto" w:fill="auto"/>
            <w:tcMar>
              <w:top w:w="0" w:type="dxa"/>
              <w:left w:w="20" w:type="dxa"/>
              <w:bottom w:w="0" w:type="dxa"/>
              <w:right w:w="20" w:type="dxa"/>
            </w:tcMar>
            <w:vAlign w:val="bottom"/>
          </w:tcPr>
          <w:p w14:paraId="643052B6"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52B7" w14:textId="77777777" w:rsidR="009F6D8A" w:rsidRDefault="00C50974">
            <w:pPr>
              <w:jc w:val="center"/>
              <w:textAlignment w:val="bottom"/>
            </w:pPr>
            <w:r>
              <w:rPr>
                <w:rFonts w:ascii="Arial" w:eastAsia="宋体" w:hAnsi="Arial" w:cs="Arial"/>
                <w:b/>
                <w:bCs/>
                <w:color w:val="000000"/>
                <w:sz w:val="14"/>
                <w:szCs w:val="14"/>
              </w:rPr>
              <w:t>Three Months Ended</w:t>
            </w:r>
            <w:r>
              <w:rPr>
                <w:rFonts w:ascii="Arial" w:eastAsia="宋体" w:hAnsi="Arial" w:cs="Arial"/>
                <w:b/>
                <w:bCs/>
                <w:color w:val="000000"/>
                <w:sz w:val="14"/>
                <w:szCs w:val="14"/>
              </w:rPr>
              <w:br/>
              <w:t>June 30, 2020</w:t>
            </w:r>
          </w:p>
        </w:tc>
        <w:tc>
          <w:tcPr>
            <w:tcW w:w="0" w:type="auto"/>
            <w:gridSpan w:val="3"/>
            <w:shd w:val="clear" w:color="auto" w:fill="auto"/>
            <w:tcMar>
              <w:top w:w="0" w:type="dxa"/>
              <w:left w:w="20" w:type="dxa"/>
              <w:bottom w:w="0" w:type="dxa"/>
              <w:right w:w="20" w:type="dxa"/>
            </w:tcMar>
            <w:vAlign w:val="bottom"/>
          </w:tcPr>
          <w:p w14:paraId="643052B8"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2B9"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2BA"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2BB" w14:textId="77777777" w:rsidR="009F6D8A" w:rsidRDefault="009F6D8A">
            <w:pPr>
              <w:rPr>
                <w:rFonts w:ascii="宋体"/>
              </w:rPr>
            </w:pPr>
          </w:p>
        </w:tc>
      </w:tr>
      <w:tr w:rsidR="009F6D8A" w14:paraId="643052CA" w14:textId="77777777">
        <w:tc>
          <w:tcPr>
            <w:tcW w:w="0" w:type="auto"/>
            <w:gridSpan w:val="3"/>
            <w:shd w:val="clear" w:color="auto" w:fill="auto"/>
            <w:tcMar>
              <w:top w:w="40" w:type="dxa"/>
              <w:left w:w="20" w:type="dxa"/>
              <w:bottom w:w="40" w:type="dxa"/>
              <w:right w:w="20" w:type="dxa"/>
            </w:tcMar>
            <w:vAlign w:val="bottom"/>
          </w:tcPr>
          <w:p w14:paraId="643052BD" w14:textId="77777777" w:rsidR="009F6D8A" w:rsidRDefault="00C50974">
            <w:pP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2BE" w14:textId="77777777" w:rsidR="009F6D8A" w:rsidRDefault="00C50974">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2BF"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2C0" w14:textId="77777777" w:rsidR="009F6D8A" w:rsidRDefault="00C50974">
            <w:pPr>
              <w:jc w:val="center"/>
              <w:textAlignment w:val="bottom"/>
            </w:pPr>
            <w:r>
              <w:rPr>
                <w:rFonts w:ascii="Arial" w:eastAsia="宋体" w:hAnsi="Arial" w:cs="Arial"/>
                <w:b/>
                <w:bCs/>
                <w:color w:val="000000"/>
                <w:sz w:val="14"/>
                <w:szCs w:val="14"/>
              </w:rPr>
              <w:t xml:space="preserve">Exchange Rate </w:t>
            </w:r>
            <w:r>
              <w:rPr>
                <w:rFonts w:ascii="Arial" w:eastAsia="宋体" w:hAnsi="Arial" w:cs="Arial"/>
                <w:b/>
                <w:bCs/>
                <w:color w:val="000000"/>
                <w:sz w:val="14"/>
                <w:szCs w:val="14"/>
              </w:rPr>
              <w:t>Effect</w:t>
            </w:r>
            <w:r>
              <w:rPr>
                <w:rFonts w:ascii="Arial" w:eastAsia="宋体" w:hAnsi="Arial" w:cs="Arial"/>
                <w:b/>
                <w:bCs/>
                <w:color w:val="000000"/>
                <w:sz w:val="9"/>
                <w:szCs w:val="9"/>
              </w:rPr>
              <w:t>(1)(3)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2C1"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2C2" w14:textId="77777777" w:rsidR="009F6D8A" w:rsidRDefault="00C50974">
            <w:pPr>
              <w:jc w:val="center"/>
              <w:textAlignment w:val="bottom"/>
            </w:pPr>
            <w:r>
              <w:rPr>
                <w:rFonts w:ascii="Arial" w:eastAsia="宋体" w:hAnsi="Arial" w:cs="Arial"/>
                <w:b/>
                <w:bCs/>
                <w:color w:val="000000"/>
                <w:sz w:val="14"/>
                <w:szCs w:val="14"/>
              </w:rPr>
              <w:t>FX-Neutral</w:t>
            </w:r>
            <w:r>
              <w:rPr>
                <w:rFonts w:ascii="Arial" w:eastAsia="宋体" w:hAnsi="Arial" w:cs="Arial"/>
                <w:b/>
                <w:bCs/>
                <w:color w:val="000000"/>
                <w:sz w:val="9"/>
                <w:szCs w:val="9"/>
              </w:rPr>
              <w:t>(2)</w:t>
            </w:r>
          </w:p>
        </w:tc>
        <w:tc>
          <w:tcPr>
            <w:tcW w:w="0" w:type="auto"/>
            <w:gridSpan w:val="3"/>
            <w:shd w:val="clear" w:color="auto" w:fill="auto"/>
            <w:tcMar>
              <w:top w:w="0" w:type="dxa"/>
              <w:left w:w="20" w:type="dxa"/>
              <w:bottom w:w="0" w:type="dxa"/>
              <w:right w:w="20" w:type="dxa"/>
            </w:tcMar>
            <w:vAlign w:val="bottom"/>
          </w:tcPr>
          <w:p w14:paraId="643052C3"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2C4" w14:textId="77777777" w:rsidR="009F6D8A" w:rsidRDefault="00C50974">
            <w:pPr>
              <w:jc w:val="center"/>
              <w:textAlignment w:val="bottom"/>
            </w:pPr>
            <w:r>
              <w:rPr>
                <w:rFonts w:ascii="Arial" w:eastAsia="宋体" w:hAnsi="Arial" w:cs="Arial"/>
                <w:b/>
                <w:bCs/>
                <w:color w:val="000000"/>
                <w:sz w:val="14"/>
                <w:szCs w:val="14"/>
              </w:rPr>
              <w:t>As Reported</w:t>
            </w:r>
          </w:p>
        </w:tc>
        <w:tc>
          <w:tcPr>
            <w:tcW w:w="0" w:type="auto"/>
            <w:gridSpan w:val="3"/>
            <w:shd w:val="clear" w:color="auto" w:fill="auto"/>
            <w:tcMar>
              <w:top w:w="0" w:type="dxa"/>
              <w:left w:w="20" w:type="dxa"/>
              <w:bottom w:w="0" w:type="dxa"/>
              <w:right w:w="20" w:type="dxa"/>
            </w:tcMar>
            <w:vAlign w:val="bottom"/>
          </w:tcPr>
          <w:p w14:paraId="643052C5"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52C6" w14:textId="77777777" w:rsidR="009F6D8A" w:rsidRDefault="00C50974">
            <w:pPr>
              <w:jc w:val="center"/>
              <w:textAlignment w:val="bottom"/>
            </w:pPr>
            <w:r>
              <w:rPr>
                <w:rFonts w:ascii="Arial" w:eastAsia="宋体" w:hAnsi="Arial" w:cs="Arial"/>
                <w:b/>
                <w:bCs/>
                <w:color w:val="000000"/>
                <w:sz w:val="14"/>
                <w:szCs w:val="14"/>
              </w:rPr>
              <w:t>As Reported % Change</w:t>
            </w:r>
          </w:p>
        </w:tc>
        <w:tc>
          <w:tcPr>
            <w:tcW w:w="0" w:type="auto"/>
            <w:gridSpan w:val="3"/>
            <w:shd w:val="clear" w:color="auto" w:fill="auto"/>
            <w:tcMar>
              <w:top w:w="0" w:type="dxa"/>
              <w:left w:w="20" w:type="dxa"/>
              <w:bottom w:w="0" w:type="dxa"/>
              <w:right w:w="20" w:type="dxa"/>
            </w:tcMar>
            <w:vAlign w:val="bottom"/>
          </w:tcPr>
          <w:p w14:paraId="643052C7"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52C8" w14:textId="77777777" w:rsidR="009F6D8A" w:rsidRDefault="00C50974">
            <w:pPr>
              <w:jc w:val="center"/>
              <w:textAlignment w:val="bottom"/>
            </w:pPr>
            <w:r>
              <w:rPr>
                <w:rFonts w:ascii="Arial" w:eastAsia="宋体" w:hAnsi="Arial" w:cs="Arial"/>
                <w:b/>
                <w:bCs/>
                <w:color w:val="000000"/>
                <w:sz w:val="14"/>
                <w:szCs w:val="14"/>
              </w:rPr>
              <w:t xml:space="preserve">FX-Neutral </w:t>
            </w:r>
          </w:p>
          <w:p w14:paraId="643052C9" w14:textId="77777777" w:rsidR="009F6D8A" w:rsidRDefault="00C50974">
            <w:pPr>
              <w:jc w:val="center"/>
              <w:textAlignment w:val="bottom"/>
            </w:pPr>
            <w:r>
              <w:rPr>
                <w:rFonts w:ascii="Arial" w:eastAsia="宋体" w:hAnsi="Arial" w:cs="Arial"/>
                <w:b/>
                <w:bCs/>
                <w:color w:val="000000"/>
                <w:sz w:val="14"/>
                <w:szCs w:val="14"/>
              </w:rPr>
              <w:t>% Change</w:t>
            </w:r>
          </w:p>
        </w:tc>
      </w:tr>
      <w:tr w:rsidR="009F6D8A" w14:paraId="643052D7" w14:textId="77777777">
        <w:trPr>
          <w:trHeight w:val="240"/>
        </w:trPr>
        <w:tc>
          <w:tcPr>
            <w:tcW w:w="0" w:type="auto"/>
            <w:gridSpan w:val="3"/>
            <w:shd w:val="clear" w:color="auto" w:fill="auto"/>
            <w:tcMar>
              <w:top w:w="0" w:type="dxa"/>
              <w:left w:w="20" w:type="dxa"/>
              <w:bottom w:w="0" w:type="dxa"/>
              <w:right w:w="20" w:type="dxa"/>
            </w:tcMar>
            <w:vAlign w:val="bottom"/>
          </w:tcPr>
          <w:p w14:paraId="643052CB" w14:textId="77777777" w:rsidR="009F6D8A" w:rsidRDefault="009F6D8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2CC"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2CD" w14:textId="77777777" w:rsidR="009F6D8A" w:rsidRDefault="009F6D8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2CE"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2CF" w14:textId="77777777" w:rsidR="009F6D8A" w:rsidRDefault="009F6D8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2D0"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2D1" w14:textId="77777777" w:rsidR="009F6D8A" w:rsidRDefault="009F6D8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2D2"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2D3" w14:textId="77777777" w:rsidR="009F6D8A" w:rsidRDefault="009F6D8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2D4"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2D5" w14:textId="77777777" w:rsidR="009F6D8A" w:rsidRDefault="009F6D8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2D6" w14:textId="77777777" w:rsidR="009F6D8A" w:rsidRDefault="009F6D8A">
            <w:pPr>
              <w:rPr>
                <w:rFonts w:ascii="宋体"/>
              </w:rPr>
            </w:pPr>
          </w:p>
        </w:tc>
      </w:tr>
      <w:tr w:rsidR="009F6D8A" w14:paraId="643052EE" w14:textId="77777777">
        <w:tc>
          <w:tcPr>
            <w:tcW w:w="0" w:type="auto"/>
            <w:gridSpan w:val="3"/>
            <w:shd w:val="clear" w:color="auto" w:fill="E1E1E1"/>
            <w:tcMar>
              <w:top w:w="40" w:type="dxa"/>
              <w:left w:w="20" w:type="dxa"/>
              <w:bottom w:w="40" w:type="dxa"/>
              <w:right w:w="20" w:type="dxa"/>
            </w:tcMar>
            <w:vAlign w:val="bottom"/>
          </w:tcPr>
          <w:p w14:paraId="643052D8" w14:textId="77777777" w:rsidR="009F6D8A" w:rsidRDefault="00C50974">
            <w:pPr>
              <w:textAlignment w:val="bottom"/>
            </w:pPr>
            <w:r>
              <w:rPr>
                <w:rFonts w:ascii="Arial" w:eastAsia="宋体" w:hAnsi="Arial" w:cs="Arial"/>
                <w:b/>
                <w:bCs/>
                <w:color w:val="000000"/>
                <w:sz w:val="16"/>
                <w:szCs w:val="16"/>
              </w:rPr>
              <w:t>GMV</w:t>
            </w:r>
          </w:p>
        </w:tc>
        <w:tc>
          <w:tcPr>
            <w:tcW w:w="0" w:type="auto"/>
            <w:shd w:val="clear" w:color="auto" w:fill="E1E1E1"/>
            <w:tcMar>
              <w:top w:w="40" w:type="dxa"/>
              <w:left w:w="20" w:type="dxa"/>
              <w:bottom w:w="40" w:type="dxa"/>
              <w:right w:w="0" w:type="dxa"/>
            </w:tcMar>
            <w:vAlign w:val="bottom"/>
          </w:tcPr>
          <w:p w14:paraId="643052D9"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52DA" w14:textId="77777777" w:rsidR="009F6D8A" w:rsidRDefault="00C50974">
            <w:pPr>
              <w:jc w:val="right"/>
              <w:textAlignment w:val="bottom"/>
            </w:pPr>
            <w:r>
              <w:rPr>
                <w:rFonts w:ascii="Arial" w:eastAsia="宋体" w:hAnsi="Arial" w:cs="Arial"/>
                <w:color w:val="000000"/>
                <w:sz w:val="16"/>
                <w:szCs w:val="16"/>
              </w:rPr>
              <w:t>22,107 </w:t>
            </w:r>
          </w:p>
        </w:tc>
        <w:tc>
          <w:tcPr>
            <w:tcW w:w="0" w:type="auto"/>
            <w:shd w:val="clear" w:color="auto" w:fill="E1E1E1"/>
            <w:tcMar>
              <w:top w:w="40" w:type="dxa"/>
              <w:left w:w="0" w:type="dxa"/>
              <w:bottom w:w="40" w:type="dxa"/>
              <w:right w:w="20" w:type="dxa"/>
            </w:tcMar>
            <w:vAlign w:val="bottom"/>
          </w:tcPr>
          <w:p w14:paraId="643052DB"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2DC"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52DD"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52DE" w14:textId="77777777" w:rsidR="009F6D8A" w:rsidRDefault="00C50974">
            <w:pPr>
              <w:jc w:val="right"/>
              <w:textAlignment w:val="bottom"/>
            </w:pPr>
            <w:r>
              <w:rPr>
                <w:rFonts w:ascii="Arial" w:eastAsia="宋体" w:hAnsi="Arial" w:cs="Arial"/>
                <w:color w:val="000000"/>
                <w:sz w:val="16"/>
                <w:szCs w:val="16"/>
              </w:rPr>
              <w:t>1,060 </w:t>
            </w:r>
          </w:p>
        </w:tc>
        <w:tc>
          <w:tcPr>
            <w:tcW w:w="0" w:type="auto"/>
            <w:shd w:val="clear" w:color="auto" w:fill="E1E1E1"/>
            <w:tcMar>
              <w:top w:w="40" w:type="dxa"/>
              <w:left w:w="0" w:type="dxa"/>
              <w:bottom w:w="40" w:type="dxa"/>
              <w:right w:w="20" w:type="dxa"/>
            </w:tcMar>
            <w:vAlign w:val="bottom"/>
          </w:tcPr>
          <w:p w14:paraId="643052DF"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2E0"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52E1"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52E2" w14:textId="77777777" w:rsidR="009F6D8A" w:rsidRDefault="00C50974">
            <w:pPr>
              <w:jc w:val="right"/>
              <w:textAlignment w:val="bottom"/>
            </w:pPr>
            <w:r>
              <w:rPr>
                <w:rFonts w:ascii="Arial" w:eastAsia="宋体" w:hAnsi="Arial" w:cs="Arial"/>
                <w:color w:val="000000"/>
                <w:sz w:val="16"/>
                <w:szCs w:val="16"/>
              </w:rPr>
              <w:t>21,047 </w:t>
            </w:r>
          </w:p>
        </w:tc>
        <w:tc>
          <w:tcPr>
            <w:tcW w:w="0" w:type="auto"/>
            <w:shd w:val="clear" w:color="auto" w:fill="E1E1E1"/>
            <w:tcMar>
              <w:top w:w="40" w:type="dxa"/>
              <w:left w:w="0" w:type="dxa"/>
              <w:bottom w:w="40" w:type="dxa"/>
              <w:right w:w="20" w:type="dxa"/>
            </w:tcMar>
            <w:vAlign w:val="bottom"/>
          </w:tcPr>
          <w:p w14:paraId="643052E3"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2E4"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52E5"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52E6" w14:textId="77777777" w:rsidR="009F6D8A" w:rsidRDefault="00C50974">
            <w:pPr>
              <w:jc w:val="right"/>
              <w:textAlignment w:val="bottom"/>
            </w:pPr>
            <w:r>
              <w:rPr>
                <w:rFonts w:ascii="Arial" w:eastAsia="宋体" w:hAnsi="Arial" w:cs="Arial"/>
                <w:color w:val="000000"/>
                <w:sz w:val="16"/>
                <w:szCs w:val="16"/>
              </w:rPr>
              <w:t>23,653 </w:t>
            </w:r>
          </w:p>
        </w:tc>
        <w:tc>
          <w:tcPr>
            <w:tcW w:w="0" w:type="auto"/>
            <w:shd w:val="clear" w:color="auto" w:fill="E1E1E1"/>
            <w:tcMar>
              <w:top w:w="40" w:type="dxa"/>
              <w:left w:w="0" w:type="dxa"/>
              <w:bottom w:w="40" w:type="dxa"/>
              <w:right w:w="20" w:type="dxa"/>
            </w:tcMar>
            <w:vAlign w:val="bottom"/>
          </w:tcPr>
          <w:p w14:paraId="643052E7"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2E8"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52E9" w14:textId="77777777" w:rsidR="009F6D8A" w:rsidRDefault="00C50974">
            <w:pPr>
              <w:jc w:val="right"/>
              <w:textAlignment w:val="bottom"/>
            </w:pPr>
            <w:r>
              <w:rPr>
                <w:rFonts w:ascii="Arial" w:eastAsia="宋体" w:hAnsi="Arial" w:cs="Arial"/>
                <w:color w:val="000000"/>
                <w:sz w:val="16"/>
                <w:szCs w:val="16"/>
              </w:rPr>
              <w:t>(7)</w:t>
            </w:r>
          </w:p>
        </w:tc>
        <w:tc>
          <w:tcPr>
            <w:tcW w:w="0" w:type="auto"/>
            <w:shd w:val="clear" w:color="auto" w:fill="E1E1E1"/>
            <w:tcMar>
              <w:top w:w="40" w:type="dxa"/>
              <w:left w:w="0" w:type="dxa"/>
              <w:bottom w:w="40" w:type="dxa"/>
              <w:right w:w="20" w:type="dxa"/>
            </w:tcMar>
            <w:vAlign w:val="bottom"/>
          </w:tcPr>
          <w:p w14:paraId="643052EA"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1E1E1"/>
            <w:tcMar>
              <w:top w:w="0" w:type="dxa"/>
              <w:left w:w="20" w:type="dxa"/>
              <w:bottom w:w="0" w:type="dxa"/>
              <w:right w:w="20" w:type="dxa"/>
            </w:tcMar>
            <w:vAlign w:val="bottom"/>
          </w:tcPr>
          <w:p w14:paraId="643052EB"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52EC" w14:textId="77777777" w:rsidR="009F6D8A" w:rsidRDefault="00C50974">
            <w:pPr>
              <w:jc w:val="right"/>
              <w:textAlignment w:val="bottom"/>
            </w:pPr>
            <w:r>
              <w:rPr>
                <w:rFonts w:ascii="Arial" w:eastAsia="宋体" w:hAnsi="Arial" w:cs="Arial"/>
                <w:color w:val="000000"/>
                <w:sz w:val="16"/>
                <w:szCs w:val="16"/>
              </w:rPr>
              <w:t>(11)</w:t>
            </w:r>
          </w:p>
        </w:tc>
        <w:tc>
          <w:tcPr>
            <w:tcW w:w="0" w:type="auto"/>
            <w:shd w:val="clear" w:color="auto" w:fill="E1E1E1"/>
            <w:tcMar>
              <w:top w:w="40" w:type="dxa"/>
              <w:left w:w="0" w:type="dxa"/>
              <w:bottom w:w="40" w:type="dxa"/>
              <w:right w:w="20" w:type="dxa"/>
            </w:tcMar>
            <w:vAlign w:val="bottom"/>
          </w:tcPr>
          <w:p w14:paraId="643052ED" w14:textId="77777777" w:rsidR="009F6D8A" w:rsidRDefault="00C50974">
            <w:pPr>
              <w:jc w:val="right"/>
              <w:textAlignment w:val="bottom"/>
            </w:pPr>
            <w:r>
              <w:rPr>
                <w:rFonts w:ascii="Arial" w:eastAsia="宋体" w:hAnsi="Arial" w:cs="Arial"/>
                <w:color w:val="000000"/>
                <w:sz w:val="16"/>
                <w:szCs w:val="16"/>
              </w:rPr>
              <w:t>%</w:t>
            </w:r>
          </w:p>
        </w:tc>
      </w:tr>
      <w:tr w:rsidR="009F6D8A" w14:paraId="643052FB" w14:textId="77777777">
        <w:trPr>
          <w:hidden/>
        </w:trPr>
        <w:tc>
          <w:tcPr>
            <w:tcW w:w="0" w:type="auto"/>
            <w:gridSpan w:val="3"/>
            <w:shd w:val="clear" w:color="auto" w:fill="auto"/>
            <w:vAlign w:val="bottom"/>
          </w:tcPr>
          <w:p w14:paraId="643052EF" w14:textId="77777777" w:rsidR="009F6D8A" w:rsidRDefault="009F6D8A">
            <w:pPr>
              <w:rPr>
                <w:rFonts w:ascii="宋体"/>
                <w:vanish/>
              </w:rPr>
            </w:pPr>
          </w:p>
        </w:tc>
        <w:tc>
          <w:tcPr>
            <w:tcW w:w="0" w:type="auto"/>
            <w:gridSpan w:val="3"/>
            <w:shd w:val="clear" w:color="auto" w:fill="auto"/>
            <w:vAlign w:val="bottom"/>
          </w:tcPr>
          <w:p w14:paraId="643052F0" w14:textId="77777777" w:rsidR="009F6D8A" w:rsidRDefault="009F6D8A">
            <w:pPr>
              <w:rPr>
                <w:rFonts w:ascii="宋体"/>
                <w:vanish/>
              </w:rPr>
            </w:pPr>
          </w:p>
        </w:tc>
        <w:tc>
          <w:tcPr>
            <w:tcW w:w="0" w:type="auto"/>
            <w:gridSpan w:val="3"/>
            <w:shd w:val="clear" w:color="auto" w:fill="auto"/>
            <w:vAlign w:val="bottom"/>
          </w:tcPr>
          <w:p w14:paraId="643052F1" w14:textId="77777777" w:rsidR="009F6D8A" w:rsidRDefault="009F6D8A">
            <w:pPr>
              <w:rPr>
                <w:rFonts w:ascii="宋体"/>
                <w:vanish/>
              </w:rPr>
            </w:pPr>
          </w:p>
        </w:tc>
        <w:tc>
          <w:tcPr>
            <w:tcW w:w="0" w:type="auto"/>
            <w:gridSpan w:val="3"/>
            <w:shd w:val="clear" w:color="auto" w:fill="auto"/>
            <w:vAlign w:val="bottom"/>
          </w:tcPr>
          <w:p w14:paraId="643052F2" w14:textId="77777777" w:rsidR="009F6D8A" w:rsidRDefault="009F6D8A">
            <w:pPr>
              <w:rPr>
                <w:rFonts w:ascii="宋体"/>
                <w:vanish/>
              </w:rPr>
            </w:pPr>
          </w:p>
        </w:tc>
        <w:tc>
          <w:tcPr>
            <w:tcW w:w="0" w:type="auto"/>
            <w:gridSpan w:val="3"/>
            <w:shd w:val="clear" w:color="auto" w:fill="auto"/>
            <w:vAlign w:val="bottom"/>
          </w:tcPr>
          <w:p w14:paraId="643052F3" w14:textId="77777777" w:rsidR="009F6D8A" w:rsidRDefault="009F6D8A">
            <w:pPr>
              <w:rPr>
                <w:rFonts w:ascii="宋体"/>
                <w:vanish/>
              </w:rPr>
            </w:pPr>
          </w:p>
        </w:tc>
        <w:tc>
          <w:tcPr>
            <w:tcW w:w="0" w:type="auto"/>
            <w:gridSpan w:val="3"/>
            <w:shd w:val="clear" w:color="auto" w:fill="auto"/>
            <w:vAlign w:val="bottom"/>
          </w:tcPr>
          <w:p w14:paraId="643052F4" w14:textId="77777777" w:rsidR="009F6D8A" w:rsidRDefault="009F6D8A">
            <w:pPr>
              <w:rPr>
                <w:rFonts w:ascii="宋体"/>
                <w:vanish/>
              </w:rPr>
            </w:pPr>
          </w:p>
        </w:tc>
        <w:tc>
          <w:tcPr>
            <w:tcW w:w="0" w:type="auto"/>
            <w:gridSpan w:val="3"/>
            <w:shd w:val="clear" w:color="auto" w:fill="auto"/>
            <w:vAlign w:val="bottom"/>
          </w:tcPr>
          <w:p w14:paraId="643052F5" w14:textId="77777777" w:rsidR="009F6D8A" w:rsidRDefault="009F6D8A">
            <w:pPr>
              <w:rPr>
                <w:rFonts w:ascii="宋体"/>
                <w:vanish/>
              </w:rPr>
            </w:pPr>
          </w:p>
        </w:tc>
        <w:tc>
          <w:tcPr>
            <w:tcW w:w="0" w:type="auto"/>
            <w:gridSpan w:val="3"/>
            <w:shd w:val="clear" w:color="auto" w:fill="auto"/>
            <w:vAlign w:val="bottom"/>
          </w:tcPr>
          <w:p w14:paraId="643052F6" w14:textId="77777777" w:rsidR="009F6D8A" w:rsidRDefault="009F6D8A">
            <w:pPr>
              <w:rPr>
                <w:rFonts w:ascii="宋体"/>
                <w:vanish/>
              </w:rPr>
            </w:pPr>
          </w:p>
        </w:tc>
        <w:tc>
          <w:tcPr>
            <w:tcW w:w="0" w:type="auto"/>
            <w:gridSpan w:val="3"/>
            <w:shd w:val="clear" w:color="auto" w:fill="auto"/>
            <w:vAlign w:val="bottom"/>
          </w:tcPr>
          <w:p w14:paraId="643052F7" w14:textId="77777777" w:rsidR="009F6D8A" w:rsidRDefault="009F6D8A">
            <w:pPr>
              <w:rPr>
                <w:rFonts w:ascii="宋体"/>
                <w:vanish/>
              </w:rPr>
            </w:pPr>
          </w:p>
        </w:tc>
        <w:tc>
          <w:tcPr>
            <w:tcW w:w="0" w:type="auto"/>
            <w:gridSpan w:val="3"/>
            <w:shd w:val="clear" w:color="auto" w:fill="auto"/>
            <w:vAlign w:val="bottom"/>
          </w:tcPr>
          <w:p w14:paraId="643052F8" w14:textId="77777777" w:rsidR="009F6D8A" w:rsidRDefault="009F6D8A">
            <w:pPr>
              <w:rPr>
                <w:rFonts w:ascii="宋体"/>
                <w:vanish/>
              </w:rPr>
            </w:pPr>
          </w:p>
        </w:tc>
        <w:tc>
          <w:tcPr>
            <w:tcW w:w="0" w:type="auto"/>
            <w:gridSpan w:val="3"/>
            <w:shd w:val="clear" w:color="auto" w:fill="auto"/>
            <w:vAlign w:val="bottom"/>
          </w:tcPr>
          <w:p w14:paraId="643052F9" w14:textId="77777777" w:rsidR="009F6D8A" w:rsidRDefault="009F6D8A">
            <w:pPr>
              <w:rPr>
                <w:rFonts w:ascii="宋体"/>
                <w:vanish/>
              </w:rPr>
            </w:pPr>
          </w:p>
        </w:tc>
        <w:tc>
          <w:tcPr>
            <w:tcW w:w="0" w:type="auto"/>
            <w:gridSpan w:val="3"/>
            <w:shd w:val="clear" w:color="auto" w:fill="auto"/>
            <w:vAlign w:val="bottom"/>
          </w:tcPr>
          <w:p w14:paraId="643052FA" w14:textId="77777777" w:rsidR="009F6D8A" w:rsidRDefault="009F6D8A">
            <w:pPr>
              <w:rPr>
                <w:rFonts w:ascii="宋体"/>
                <w:vanish/>
              </w:rPr>
            </w:pPr>
          </w:p>
        </w:tc>
      </w:tr>
      <w:tr w:rsidR="009F6D8A" w14:paraId="64305308" w14:textId="77777777">
        <w:trPr>
          <w:hidden/>
        </w:trPr>
        <w:tc>
          <w:tcPr>
            <w:tcW w:w="0" w:type="auto"/>
            <w:gridSpan w:val="3"/>
            <w:shd w:val="clear" w:color="auto" w:fill="auto"/>
            <w:vAlign w:val="bottom"/>
          </w:tcPr>
          <w:p w14:paraId="643052FC" w14:textId="77777777" w:rsidR="009F6D8A" w:rsidRDefault="009F6D8A">
            <w:pPr>
              <w:rPr>
                <w:rFonts w:ascii="宋体"/>
                <w:vanish/>
              </w:rPr>
            </w:pPr>
          </w:p>
        </w:tc>
        <w:tc>
          <w:tcPr>
            <w:tcW w:w="0" w:type="auto"/>
            <w:gridSpan w:val="3"/>
            <w:shd w:val="clear" w:color="auto" w:fill="auto"/>
            <w:vAlign w:val="bottom"/>
          </w:tcPr>
          <w:p w14:paraId="643052FD" w14:textId="77777777" w:rsidR="009F6D8A" w:rsidRDefault="009F6D8A">
            <w:pPr>
              <w:rPr>
                <w:rFonts w:ascii="宋体"/>
                <w:vanish/>
              </w:rPr>
            </w:pPr>
          </w:p>
        </w:tc>
        <w:tc>
          <w:tcPr>
            <w:tcW w:w="0" w:type="auto"/>
            <w:gridSpan w:val="3"/>
            <w:shd w:val="clear" w:color="auto" w:fill="auto"/>
            <w:vAlign w:val="bottom"/>
          </w:tcPr>
          <w:p w14:paraId="643052FE" w14:textId="77777777" w:rsidR="009F6D8A" w:rsidRDefault="009F6D8A">
            <w:pPr>
              <w:rPr>
                <w:rFonts w:ascii="宋体"/>
                <w:vanish/>
              </w:rPr>
            </w:pPr>
          </w:p>
        </w:tc>
        <w:tc>
          <w:tcPr>
            <w:tcW w:w="0" w:type="auto"/>
            <w:gridSpan w:val="3"/>
            <w:shd w:val="clear" w:color="auto" w:fill="auto"/>
            <w:vAlign w:val="bottom"/>
          </w:tcPr>
          <w:p w14:paraId="643052FF" w14:textId="77777777" w:rsidR="009F6D8A" w:rsidRDefault="009F6D8A">
            <w:pPr>
              <w:rPr>
                <w:rFonts w:ascii="宋体"/>
                <w:vanish/>
              </w:rPr>
            </w:pPr>
          </w:p>
        </w:tc>
        <w:tc>
          <w:tcPr>
            <w:tcW w:w="0" w:type="auto"/>
            <w:gridSpan w:val="3"/>
            <w:shd w:val="clear" w:color="auto" w:fill="auto"/>
            <w:vAlign w:val="bottom"/>
          </w:tcPr>
          <w:p w14:paraId="64305300" w14:textId="77777777" w:rsidR="009F6D8A" w:rsidRDefault="009F6D8A">
            <w:pPr>
              <w:rPr>
                <w:rFonts w:ascii="宋体"/>
                <w:vanish/>
              </w:rPr>
            </w:pPr>
          </w:p>
        </w:tc>
        <w:tc>
          <w:tcPr>
            <w:tcW w:w="0" w:type="auto"/>
            <w:gridSpan w:val="3"/>
            <w:shd w:val="clear" w:color="auto" w:fill="auto"/>
            <w:vAlign w:val="bottom"/>
          </w:tcPr>
          <w:p w14:paraId="64305301" w14:textId="77777777" w:rsidR="009F6D8A" w:rsidRDefault="009F6D8A">
            <w:pPr>
              <w:rPr>
                <w:rFonts w:ascii="宋体"/>
                <w:vanish/>
              </w:rPr>
            </w:pPr>
          </w:p>
        </w:tc>
        <w:tc>
          <w:tcPr>
            <w:tcW w:w="0" w:type="auto"/>
            <w:gridSpan w:val="3"/>
            <w:shd w:val="clear" w:color="auto" w:fill="auto"/>
            <w:vAlign w:val="bottom"/>
          </w:tcPr>
          <w:p w14:paraId="64305302" w14:textId="77777777" w:rsidR="009F6D8A" w:rsidRDefault="009F6D8A">
            <w:pPr>
              <w:rPr>
                <w:rFonts w:ascii="宋体"/>
                <w:vanish/>
              </w:rPr>
            </w:pPr>
          </w:p>
        </w:tc>
        <w:tc>
          <w:tcPr>
            <w:tcW w:w="0" w:type="auto"/>
            <w:gridSpan w:val="3"/>
            <w:shd w:val="clear" w:color="auto" w:fill="auto"/>
            <w:vAlign w:val="bottom"/>
          </w:tcPr>
          <w:p w14:paraId="64305303" w14:textId="77777777" w:rsidR="009F6D8A" w:rsidRDefault="009F6D8A">
            <w:pPr>
              <w:rPr>
                <w:rFonts w:ascii="宋体"/>
                <w:vanish/>
              </w:rPr>
            </w:pPr>
          </w:p>
        </w:tc>
        <w:tc>
          <w:tcPr>
            <w:tcW w:w="0" w:type="auto"/>
            <w:gridSpan w:val="3"/>
            <w:shd w:val="clear" w:color="auto" w:fill="auto"/>
            <w:vAlign w:val="bottom"/>
          </w:tcPr>
          <w:p w14:paraId="64305304" w14:textId="77777777" w:rsidR="009F6D8A" w:rsidRDefault="009F6D8A">
            <w:pPr>
              <w:rPr>
                <w:rFonts w:ascii="宋体"/>
                <w:vanish/>
              </w:rPr>
            </w:pPr>
          </w:p>
        </w:tc>
        <w:tc>
          <w:tcPr>
            <w:tcW w:w="0" w:type="auto"/>
            <w:gridSpan w:val="3"/>
            <w:shd w:val="clear" w:color="auto" w:fill="auto"/>
            <w:vAlign w:val="bottom"/>
          </w:tcPr>
          <w:p w14:paraId="64305305" w14:textId="77777777" w:rsidR="009F6D8A" w:rsidRDefault="009F6D8A">
            <w:pPr>
              <w:rPr>
                <w:rFonts w:ascii="宋体"/>
                <w:vanish/>
              </w:rPr>
            </w:pPr>
          </w:p>
        </w:tc>
        <w:tc>
          <w:tcPr>
            <w:tcW w:w="0" w:type="auto"/>
            <w:gridSpan w:val="3"/>
            <w:shd w:val="clear" w:color="auto" w:fill="auto"/>
            <w:vAlign w:val="bottom"/>
          </w:tcPr>
          <w:p w14:paraId="64305306" w14:textId="77777777" w:rsidR="009F6D8A" w:rsidRDefault="009F6D8A">
            <w:pPr>
              <w:rPr>
                <w:rFonts w:ascii="宋体"/>
                <w:vanish/>
              </w:rPr>
            </w:pPr>
          </w:p>
        </w:tc>
        <w:tc>
          <w:tcPr>
            <w:tcW w:w="0" w:type="auto"/>
            <w:gridSpan w:val="3"/>
            <w:shd w:val="clear" w:color="auto" w:fill="auto"/>
            <w:vAlign w:val="bottom"/>
          </w:tcPr>
          <w:p w14:paraId="64305307" w14:textId="77777777" w:rsidR="009F6D8A" w:rsidRDefault="009F6D8A">
            <w:pPr>
              <w:rPr>
                <w:rFonts w:ascii="宋体"/>
                <w:vanish/>
              </w:rPr>
            </w:pPr>
          </w:p>
        </w:tc>
      </w:tr>
      <w:tr w:rsidR="009F6D8A" w14:paraId="64305315" w14:textId="77777777">
        <w:trPr>
          <w:trHeight w:val="180"/>
        </w:trPr>
        <w:tc>
          <w:tcPr>
            <w:tcW w:w="0" w:type="auto"/>
            <w:gridSpan w:val="3"/>
            <w:shd w:val="clear" w:color="auto" w:fill="FFFFFF"/>
            <w:tcMar>
              <w:top w:w="0" w:type="dxa"/>
              <w:left w:w="20" w:type="dxa"/>
              <w:bottom w:w="0" w:type="dxa"/>
              <w:right w:w="20" w:type="dxa"/>
            </w:tcMar>
            <w:vAlign w:val="bottom"/>
          </w:tcPr>
          <w:p w14:paraId="64305309"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0A"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0B"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0C"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0D"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0E"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0F"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1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11"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12"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13"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14" w14:textId="77777777" w:rsidR="009F6D8A" w:rsidRDefault="009F6D8A">
            <w:pPr>
              <w:rPr>
                <w:rFonts w:ascii="宋体"/>
              </w:rPr>
            </w:pPr>
          </w:p>
        </w:tc>
      </w:tr>
      <w:tr w:rsidR="009F6D8A" w14:paraId="64305322" w14:textId="77777777">
        <w:tc>
          <w:tcPr>
            <w:tcW w:w="0" w:type="auto"/>
            <w:gridSpan w:val="3"/>
            <w:shd w:val="clear" w:color="auto" w:fill="E1E1E1"/>
            <w:tcMar>
              <w:top w:w="40" w:type="dxa"/>
              <w:left w:w="20" w:type="dxa"/>
              <w:bottom w:w="40" w:type="dxa"/>
              <w:right w:w="20" w:type="dxa"/>
            </w:tcMar>
            <w:vAlign w:val="bottom"/>
          </w:tcPr>
          <w:p w14:paraId="64305316" w14:textId="77777777" w:rsidR="009F6D8A" w:rsidRDefault="00C50974">
            <w:pPr>
              <w:textAlignment w:val="bottom"/>
            </w:pPr>
            <w:r>
              <w:rPr>
                <w:rFonts w:ascii="Arial" w:eastAsia="宋体" w:hAnsi="Arial" w:cs="Arial"/>
                <w:b/>
                <w:bCs/>
                <w:color w:val="000000"/>
                <w:sz w:val="16"/>
                <w:szCs w:val="16"/>
              </w:rPr>
              <w:t xml:space="preserve">Net </w:t>
            </w:r>
            <w:r>
              <w:rPr>
                <w:rFonts w:ascii="Arial" w:eastAsia="宋体" w:hAnsi="Arial" w:cs="Arial"/>
                <w:b/>
                <w:bCs/>
                <w:color w:val="000000"/>
                <w:sz w:val="16"/>
                <w:szCs w:val="16"/>
              </w:rPr>
              <w:t>Revenues:</w:t>
            </w:r>
          </w:p>
        </w:tc>
        <w:tc>
          <w:tcPr>
            <w:tcW w:w="0" w:type="auto"/>
            <w:gridSpan w:val="3"/>
            <w:shd w:val="clear" w:color="auto" w:fill="E1E1E1"/>
            <w:tcMar>
              <w:top w:w="0" w:type="dxa"/>
              <w:left w:w="20" w:type="dxa"/>
              <w:bottom w:w="0" w:type="dxa"/>
              <w:right w:w="20" w:type="dxa"/>
            </w:tcMar>
            <w:vAlign w:val="bottom"/>
          </w:tcPr>
          <w:p w14:paraId="64305317"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318"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319"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31A"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31B"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31C"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31D"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31E"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31F"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320"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321" w14:textId="77777777" w:rsidR="009F6D8A" w:rsidRDefault="009F6D8A">
            <w:pPr>
              <w:rPr>
                <w:rFonts w:ascii="宋体"/>
              </w:rPr>
            </w:pPr>
          </w:p>
        </w:tc>
      </w:tr>
      <w:tr w:rsidR="009F6D8A" w14:paraId="6430532F" w14:textId="77777777">
        <w:trPr>
          <w:trHeight w:val="180"/>
        </w:trPr>
        <w:tc>
          <w:tcPr>
            <w:tcW w:w="0" w:type="auto"/>
            <w:gridSpan w:val="3"/>
            <w:shd w:val="clear" w:color="auto" w:fill="FFFFFF"/>
            <w:tcMar>
              <w:top w:w="0" w:type="dxa"/>
              <w:left w:w="20" w:type="dxa"/>
              <w:bottom w:w="0" w:type="dxa"/>
              <w:right w:w="20" w:type="dxa"/>
            </w:tcMar>
            <w:vAlign w:val="bottom"/>
          </w:tcPr>
          <w:p w14:paraId="64305323"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24"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25"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26"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27"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2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29"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2A"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2B"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2C"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2D"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32E" w14:textId="77777777" w:rsidR="009F6D8A" w:rsidRDefault="009F6D8A">
            <w:pPr>
              <w:rPr>
                <w:rFonts w:ascii="宋体"/>
              </w:rPr>
            </w:pPr>
          </w:p>
        </w:tc>
      </w:tr>
      <w:tr w:rsidR="009F6D8A" w14:paraId="64305346" w14:textId="77777777">
        <w:tc>
          <w:tcPr>
            <w:tcW w:w="0" w:type="auto"/>
            <w:gridSpan w:val="3"/>
            <w:shd w:val="clear" w:color="auto" w:fill="E1E1E1"/>
            <w:tcMar>
              <w:top w:w="40" w:type="dxa"/>
              <w:left w:w="140" w:type="dxa"/>
              <w:bottom w:w="40" w:type="dxa"/>
              <w:right w:w="20" w:type="dxa"/>
            </w:tcMar>
            <w:vAlign w:val="bottom"/>
          </w:tcPr>
          <w:p w14:paraId="64305330" w14:textId="77777777" w:rsidR="009F6D8A" w:rsidRDefault="00C50974">
            <w:pPr>
              <w:textAlignment w:val="bottom"/>
            </w:pPr>
            <w:r>
              <w:rPr>
                <w:rFonts w:ascii="Arial" w:eastAsia="宋体" w:hAnsi="Arial" w:cs="Arial"/>
                <w:color w:val="000000"/>
                <w:sz w:val="16"/>
                <w:szCs w:val="16"/>
              </w:rPr>
              <w:t>Net transaction revenues</w:t>
            </w:r>
          </w:p>
        </w:tc>
        <w:tc>
          <w:tcPr>
            <w:tcW w:w="0" w:type="auto"/>
            <w:shd w:val="clear" w:color="auto" w:fill="E1E1E1"/>
            <w:tcMar>
              <w:top w:w="40" w:type="dxa"/>
              <w:left w:w="20" w:type="dxa"/>
              <w:bottom w:w="40" w:type="dxa"/>
              <w:right w:w="0" w:type="dxa"/>
            </w:tcMar>
            <w:vAlign w:val="bottom"/>
          </w:tcPr>
          <w:p w14:paraId="64305331"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5332" w14:textId="77777777" w:rsidR="009F6D8A" w:rsidRDefault="00C50974">
            <w:pPr>
              <w:jc w:val="right"/>
              <w:textAlignment w:val="bottom"/>
            </w:pPr>
            <w:r>
              <w:rPr>
                <w:rFonts w:ascii="Arial" w:eastAsia="宋体" w:hAnsi="Arial" w:cs="Arial"/>
                <w:color w:val="000000"/>
                <w:sz w:val="16"/>
                <w:szCs w:val="16"/>
              </w:rPr>
              <w:t>2,496 </w:t>
            </w:r>
          </w:p>
        </w:tc>
        <w:tc>
          <w:tcPr>
            <w:tcW w:w="0" w:type="auto"/>
            <w:shd w:val="clear" w:color="auto" w:fill="E1E1E1"/>
            <w:tcMar>
              <w:top w:w="40" w:type="dxa"/>
              <w:left w:w="0" w:type="dxa"/>
              <w:bottom w:w="40" w:type="dxa"/>
              <w:right w:w="20" w:type="dxa"/>
            </w:tcMar>
            <w:vAlign w:val="bottom"/>
          </w:tcPr>
          <w:p w14:paraId="64305333"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334"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5335"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5336" w14:textId="77777777" w:rsidR="009F6D8A" w:rsidRDefault="00C50974">
            <w:pPr>
              <w:jc w:val="right"/>
              <w:textAlignment w:val="bottom"/>
            </w:pPr>
            <w:r>
              <w:rPr>
                <w:rFonts w:ascii="Arial" w:eastAsia="宋体" w:hAnsi="Arial" w:cs="Arial"/>
                <w:color w:val="000000"/>
                <w:sz w:val="16"/>
                <w:szCs w:val="16"/>
              </w:rPr>
              <w:t>91 </w:t>
            </w:r>
          </w:p>
        </w:tc>
        <w:tc>
          <w:tcPr>
            <w:tcW w:w="0" w:type="auto"/>
            <w:shd w:val="clear" w:color="auto" w:fill="E1E1E1"/>
            <w:tcMar>
              <w:top w:w="40" w:type="dxa"/>
              <w:left w:w="0" w:type="dxa"/>
              <w:bottom w:w="40" w:type="dxa"/>
              <w:right w:w="20" w:type="dxa"/>
            </w:tcMar>
            <w:vAlign w:val="bottom"/>
          </w:tcPr>
          <w:p w14:paraId="64305337"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338"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5339"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533A" w14:textId="77777777" w:rsidR="009F6D8A" w:rsidRDefault="00C50974">
            <w:pPr>
              <w:jc w:val="right"/>
              <w:textAlignment w:val="bottom"/>
            </w:pPr>
            <w:r>
              <w:rPr>
                <w:rFonts w:ascii="Arial" w:eastAsia="宋体" w:hAnsi="Arial" w:cs="Arial"/>
                <w:color w:val="000000"/>
                <w:sz w:val="16"/>
                <w:szCs w:val="16"/>
              </w:rPr>
              <w:t>2,405 </w:t>
            </w:r>
          </w:p>
        </w:tc>
        <w:tc>
          <w:tcPr>
            <w:tcW w:w="0" w:type="auto"/>
            <w:shd w:val="clear" w:color="auto" w:fill="E1E1E1"/>
            <w:tcMar>
              <w:top w:w="40" w:type="dxa"/>
              <w:left w:w="0" w:type="dxa"/>
              <w:bottom w:w="40" w:type="dxa"/>
              <w:right w:w="20" w:type="dxa"/>
            </w:tcMar>
            <w:vAlign w:val="bottom"/>
          </w:tcPr>
          <w:p w14:paraId="6430533B"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33C"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533D"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533E" w14:textId="77777777" w:rsidR="009F6D8A" w:rsidRDefault="00C50974">
            <w:pPr>
              <w:jc w:val="right"/>
              <w:textAlignment w:val="bottom"/>
            </w:pPr>
            <w:r>
              <w:rPr>
                <w:rFonts w:ascii="Arial" w:eastAsia="宋体" w:hAnsi="Arial" w:cs="Arial"/>
                <w:color w:val="000000"/>
                <w:sz w:val="16"/>
                <w:szCs w:val="16"/>
              </w:rPr>
              <w:t>2,185 </w:t>
            </w:r>
          </w:p>
        </w:tc>
        <w:tc>
          <w:tcPr>
            <w:tcW w:w="0" w:type="auto"/>
            <w:shd w:val="clear" w:color="auto" w:fill="E1E1E1"/>
            <w:tcMar>
              <w:top w:w="40" w:type="dxa"/>
              <w:left w:w="0" w:type="dxa"/>
              <w:bottom w:w="40" w:type="dxa"/>
              <w:right w:w="20" w:type="dxa"/>
            </w:tcMar>
            <w:vAlign w:val="bottom"/>
          </w:tcPr>
          <w:p w14:paraId="6430533F"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340"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5341" w14:textId="77777777" w:rsidR="009F6D8A" w:rsidRDefault="00C50974">
            <w:pPr>
              <w:jc w:val="right"/>
              <w:textAlignment w:val="bottom"/>
            </w:pPr>
            <w:r>
              <w:rPr>
                <w:rFonts w:ascii="Arial" w:eastAsia="宋体" w:hAnsi="Arial" w:cs="Arial"/>
                <w:color w:val="000000"/>
                <w:sz w:val="16"/>
                <w:szCs w:val="16"/>
              </w:rPr>
              <w:t>14 </w:t>
            </w:r>
          </w:p>
        </w:tc>
        <w:tc>
          <w:tcPr>
            <w:tcW w:w="0" w:type="auto"/>
            <w:shd w:val="clear" w:color="auto" w:fill="E1E1E1"/>
            <w:tcMar>
              <w:top w:w="40" w:type="dxa"/>
              <w:left w:w="0" w:type="dxa"/>
              <w:bottom w:w="40" w:type="dxa"/>
              <w:right w:w="20" w:type="dxa"/>
            </w:tcMar>
            <w:vAlign w:val="bottom"/>
          </w:tcPr>
          <w:p w14:paraId="64305342"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1E1E1"/>
            <w:tcMar>
              <w:top w:w="0" w:type="dxa"/>
              <w:left w:w="20" w:type="dxa"/>
              <w:bottom w:w="0" w:type="dxa"/>
              <w:right w:w="20" w:type="dxa"/>
            </w:tcMar>
            <w:vAlign w:val="bottom"/>
          </w:tcPr>
          <w:p w14:paraId="64305343"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5344" w14:textId="77777777" w:rsidR="009F6D8A" w:rsidRDefault="00C50974">
            <w:pPr>
              <w:jc w:val="right"/>
              <w:textAlignment w:val="bottom"/>
            </w:pPr>
            <w:r>
              <w:rPr>
                <w:rFonts w:ascii="Arial" w:eastAsia="宋体" w:hAnsi="Arial" w:cs="Arial"/>
                <w:color w:val="000000"/>
                <w:sz w:val="16"/>
                <w:szCs w:val="16"/>
              </w:rPr>
              <w:t>11 </w:t>
            </w:r>
          </w:p>
        </w:tc>
        <w:tc>
          <w:tcPr>
            <w:tcW w:w="0" w:type="auto"/>
            <w:shd w:val="clear" w:color="auto" w:fill="E1E1E1"/>
            <w:tcMar>
              <w:top w:w="40" w:type="dxa"/>
              <w:left w:w="0" w:type="dxa"/>
              <w:bottom w:w="40" w:type="dxa"/>
              <w:right w:w="20" w:type="dxa"/>
            </w:tcMar>
            <w:vAlign w:val="bottom"/>
          </w:tcPr>
          <w:p w14:paraId="64305345" w14:textId="77777777" w:rsidR="009F6D8A" w:rsidRDefault="00C50974">
            <w:pPr>
              <w:jc w:val="right"/>
              <w:textAlignment w:val="bottom"/>
            </w:pPr>
            <w:r>
              <w:rPr>
                <w:rFonts w:ascii="Arial" w:eastAsia="宋体" w:hAnsi="Arial" w:cs="Arial"/>
                <w:color w:val="000000"/>
                <w:sz w:val="16"/>
                <w:szCs w:val="16"/>
              </w:rPr>
              <w:t>%</w:t>
            </w:r>
          </w:p>
        </w:tc>
      </w:tr>
      <w:tr w:rsidR="009F6D8A" w14:paraId="64305353" w14:textId="77777777">
        <w:trPr>
          <w:hidden/>
        </w:trPr>
        <w:tc>
          <w:tcPr>
            <w:tcW w:w="0" w:type="auto"/>
            <w:gridSpan w:val="3"/>
            <w:shd w:val="clear" w:color="auto" w:fill="auto"/>
            <w:vAlign w:val="bottom"/>
          </w:tcPr>
          <w:p w14:paraId="64305347" w14:textId="77777777" w:rsidR="009F6D8A" w:rsidRDefault="009F6D8A">
            <w:pPr>
              <w:rPr>
                <w:rFonts w:ascii="宋体"/>
                <w:vanish/>
              </w:rPr>
            </w:pPr>
          </w:p>
        </w:tc>
        <w:tc>
          <w:tcPr>
            <w:tcW w:w="0" w:type="auto"/>
            <w:gridSpan w:val="3"/>
            <w:shd w:val="clear" w:color="auto" w:fill="auto"/>
            <w:vAlign w:val="bottom"/>
          </w:tcPr>
          <w:p w14:paraId="64305348" w14:textId="77777777" w:rsidR="009F6D8A" w:rsidRDefault="009F6D8A">
            <w:pPr>
              <w:rPr>
                <w:rFonts w:ascii="宋体"/>
                <w:vanish/>
              </w:rPr>
            </w:pPr>
          </w:p>
        </w:tc>
        <w:tc>
          <w:tcPr>
            <w:tcW w:w="0" w:type="auto"/>
            <w:gridSpan w:val="3"/>
            <w:shd w:val="clear" w:color="auto" w:fill="auto"/>
            <w:vAlign w:val="bottom"/>
          </w:tcPr>
          <w:p w14:paraId="64305349" w14:textId="77777777" w:rsidR="009F6D8A" w:rsidRDefault="009F6D8A">
            <w:pPr>
              <w:rPr>
                <w:rFonts w:ascii="宋体"/>
                <w:vanish/>
              </w:rPr>
            </w:pPr>
          </w:p>
        </w:tc>
        <w:tc>
          <w:tcPr>
            <w:tcW w:w="0" w:type="auto"/>
            <w:gridSpan w:val="3"/>
            <w:shd w:val="clear" w:color="auto" w:fill="auto"/>
            <w:vAlign w:val="bottom"/>
          </w:tcPr>
          <w:p w14:paraId="6430534A" w14:textId="77777777" w:rsidR="009F6D8A" w:rsidRDefault="009F6D8A">
            <w:pPr>
              <w:rPr>
                <w:rFonts w:ascii="宋体"/>
                <w:vanish/>
              </w:rPr>
            </w:pPr>
          </w:p>
        </w:tc>
        <w:tc>
          <w:tcPr>
            <w:tcW w:w="0" w:type="auto"/>
            <w:gridSpan w:val="3"/>
            <w:shd w:val="clear" w:color="auto" w:fill="auto"/>
            <w:vAlign w:val="bottom"/>
          </w:tcPr>
          <w:p w14:paraId="6430534B" w14:textId="77777777" w:rsidR="009F6D8A" w:rsidRDefault="009F6D8A">
            <w:pPr>
              <w:rPr>
                <w:rFonts w:ascii="宋体"/>
                <w:vanish/>
              </w:rPr>
            </w:pPr>
          </w:p>
        </w:tc>
        <w:tc>
          <w:tcPr>
            <w:tcW w:w="0" w:type="auto"/>
            <w:gridSpan w:val="3"/>
            <w:shd w:val="clear" w:color="auto" w:fill="auto"/>
            <w:vAlign w:val="bottom"/>
          </w:tcPr>
          <w:p w14:paraId="6430534C" w14:textId="77777777" w:rsidR="009F6D8A" w:rsidRDefault="009F6D8A">
            <w:pPr>
              <w:rPr>
                <w:rFonts w:ascii="宋体"/>
                <w:vanish/>
              </w:rPr>
            </w:pPr>
          </w:p>
        </w:tc>
        <w:tc>
          <w:tcPr>
            <w:tcW w:w="0" w:type="auto"/>
            <w:gridSpan w:val="3"/>
            <w:shd w:val="clear" w:color="auto" w:fill="auto"/>
            <w:vAlign w:val="bottom"/>
          </w:tcPr>
          <w:p w14:paraId="6430534D" w14:textId="77777777" w:rsidR="009F6D8A" w:rsidRDefault="009F6D8A">
            <w:pPr>
              <w:rPr>
                <w:rFonts w:ascii="宋体"/>
                <w:vanish/>
              </w:rPr>
            </w:pPr>
          </w:p>
        </w:tc>
        <w:tc>
          <w:tcPr>
            <w:tcW w:w="0" w:type="auto"/>
            <w:gridSpan w:val="3"/>
            <w:shd w:val="clear" w:color="auto" w:fill="auto"/>
            <w:vAlign w:val="bottom"/>
          </w:tcPr>
          <w:p w14:paraId="6430534E" w14:textId="77777777" w:rsidR="009F6D8A" w:rsidRDefault="009F6D8A">
            <w:pPr>
              <w:rPr>
                <w:rFonts w:ascii="宋体"/>
                <w:vanish/>
              </w:rPr>
            </w:pPr>
          </w:p>
        </w:tc>
        <w:tc>
          <w:tcPr>
            <w:tcW w:w="0" w:type="auto"/>
            <w:gridSpan w:val="3"/>
            <w:shd w:val="clear" w:color="auto" w:fill="auto"/>
            <w:vAlign w:val="bottom"/>
          </w:tcPr>
          <w:p w14:paraId="6430534F" w14:textId="77777777" w:rsidR="009F6D8A" w:rsidRDefault="009F6D8A">
            <w:pPr>
              <w:rPr>
                <w:rFonts w:ascii="宋体"/>
                <w:vanish/>
              </w:rPr>
            </w:pPr>
          </w:p>
        </w:tc>
        <w:tc>
          <w:tcPr>
            <w:tcW w:w="0" w:type="auto"/>
            <w:gridSpan w:val="3"/>
            <w:shd w:val="clear" w:color="auto" w:fill="auto"/>
            <w:vAlign w:val="bottom"/>
          </w:tcPr>
          <w:p w14:paraId="64305350" w14:textId="77777777" w:rsidR="009F6D8A" w:rsidRDefault="009F6D8A">
            <w:pPr>
              <w:rPr>
                <w:rFonts w:ascii="宋体"/>
                <w:vanish/>
              </w:rPr>
            </w:pPr>
          </w:p>
        </w:tc>
        <w:tc>
          <w:tcPr>
            <w:tcW w:w="0" w:type="auto"/>
            <w:gridSpan w:val="3"/>
            <w:shd w:val="clear" w:color="auto" w:fill="auto"/>
            <w:vAlign w:val="bottom"/>
          </w:tcPr>
          <w:p w14:paraId="64305351" w14:textId="77777777" w:rsidR="009F6D8A" w:rsidRDefault="009F6D8A">
            <w:pPr>
              <w:rPr>
                <w:rFonts w:ascii="宋体"/>
                <w:vanish/>
              </w:rPr>
            </w:pPr>
          </w:p>
        </w:tc>
        <w:tc>
          <w:tcPr>
            <w:tcW w:w="0" w:type="auto"/>
            <w:gridSpan w:val="3"/>
            <w:shd w:val="clear" w:color="auto" w:fill="auto"/>
            <w:vAlign w:val="bottom"/>
          </w:tcPr>
          <w:p w14:paraId="64305352" w14:textId="77777777" w:rsidR="009F6D8A" w:rsidRDefault="009F6D8A">
            <w:pPr>
              <w:rPr>
                <w:rFonts w:ascii="宋体"/>
                <w:vanish/>
              </w:rPr>
            </w:pPr>
          </w:p>
        </w:tc>
      </w:tr>
      <w:tr w:rsidR="009F6D8A" w14:paraId="64305360" w14:textId="77777777">
        <w:trPr>
          <w:hidden/>
        </w:trPr>
        <w:tc>
          <w:tcPr>
            <w:tcW w:w="0" w:type="auto"/>
            <w:gridSpan w:val="3"/>
            <w:shd w:val="clear" w:color="auto" w:fill="auto"/>
            <w:vAlign w:val="bottom"/>
          </w:tcPr>
          <w:p w14:paraId="64305354" w14:textId="77777777" w:rsidR="009F6D8A" w:rsidRDefault="009F6D8A">
            <w:pPr>
              <w:rPr>
                <w:rFonts w:ascii="宋体"/>
                <w:vanish/>
              </w:rPr>
            </w:pPr>
          </w:p>
        </w:tc>
        <w:tc>
          <w:tcPr>
            <w:tcW w:w="0" w:type="auto"/>
            <w:gridSpan w:val="3"/>
            <w:shd w:val="clear" w:color="auto" w:fill="auto"/>
            <w:vAlign w:val="bottom"/>
          </w:tcPr>
          <w:p w14:paraId="64305355" w14:textId="77777777" w:rsidR="009F6D8A" w:rsidRDefault="009F6D8A">
            <w:pPr>
              <w:rPr>
                <w:rFonts w:ascii="宋体"/>
                <w:vanish/>
              </w:rPr>
            </w:pPr>
          </w:p>
        </w:tc>
        <w:tc>
          <w:tcPr>
            <w:tcW w:w="0" w:type="auto"/>
            <w:gridSpan w:val="3"/>
            <w:shd w:val="clear" w:color="auto" w:fill="auto"/>
            <w:vAlign w:val="bottom"/>
          </w:tcPr>
          <w:p w14:paraId="64305356" w14:textId="77777777" w:rsidR="009F6D8A" w:rsidRDefault="009F6D8A">
            <w:pPr>
              <w:rPr>
                <w:rFonts w:ascii="宋体"/>
                <w:vanish/>
              </w:rPr>
            </w:pPr>
          </w:p>
        </w:tc>
        <w:tc>
          <w:tcPr>
            <w:tcW w:w="0" w:type="auto"/>
            <w:gridSpan w:val="3"/>
            <w:shd w:val="clear" w:color="auto" w:fill="auto"/>
            <w:vAlign w:val="bottom"/>
          </w:tcPr>
          <w:p w14:paraId="64305357" w14:textId="77777777" w:rsidR="009F6D8A" w:rsidRDefault="009F6D8A">
            <w:pPr>
              <w:rPr>
                <w:rFonts w:ascii="宋体"/>
                <w:vanish/>
              </w:rPr>
            </w:pPr>
          </w:p>
        </w:tc>
        <w:tc>
          <w:tcPr>
            <w:tcW w:w="0" w:type="auto"/>
            <w:gridSpan w:val="3"/>
            <w:shd w:val="clear" w:color="auto" w:fill="auto"/>
            <w:vAlign w:val="bottom"/>
          </w:tcPr>
          <w:p w14:paraId="64305358" w14:textId="77777777" w:rsidR="009F6D8A" w:rsidRDefault="009F6D8A">
            <w:pPr>
              <w:rPr>
                <w:rFonts w:ascii="宋体"/>
                <w:vanish/>
              </w:rPr>
            </w:pPr>
          </w:p>
        </w:tc>
        <w:tc>
          <w:tcPr>
            <w:tcW w:w="0" w:type="auto"/>
            <w:gridSpan w:val="3"/>
            <w:shd w:val="clear" w:color="auto" w:fill="auto"/>
            <w:vAlign w:val="bottom"/>
          </w:tcPr>
          <w:p w14:paraId="64305359" w14:textId="77777777" w:rsidR="009F6D8A" w:rsidRDefault="009F6D8A">
            <w:pPr>
              <w:rPr>
                <w:rFonts w:ascii="宋体"/>
                <w:vanish/>
              </w:rPr>
            </w:pPr>
          </w:p>
        </w:tc>
        <w:tc>
          <w:tcPr>
            <w:tcW w:w="0" w:type="auto"/>
            <w:gridSpan w:val="3"/>
            <w:shd w:val="clear" w:color="auto" w:fill="auto"/>
            <w:vAlign w:val="bottom"/>
          </w:tcPr>
          <w:p w14:paraId="6430535A" w14:textId="77777777" w:rsidR="009F6D8A" w:rsidRDefault="009F6D8A">
            <w:pPr>
              <w:rPr>
                <w:rFonts w:ascii="宋体"/>
                <w:vanish/>
              </w:rPr>
            </w:pPr>
          </w:p>
        </w:tc>
        <w:tc>
          <w:tcPr>
            <w:tcW w:w="0" w:type="auto"/>
            <w:gridSpan w:val="3"/>
            <w:shd w:val="clear" w:color="auto" w:fill="auto"/>
            <w:vAlign w:val="bottom"/>
          </w:tcPr>
          <w:p w14:paraId="6430535B" w14:textId="77777777" w:rsidR="009F6D8A" w:rsidRDefault="009F6D8A">
            <w:pPr>
              <w:rPr>
                <w:rFonts w:ascii="宋体"/>
                <w:vanish/>
              </w:rPr>
            </w:pPr>
          </w:p>
        </w:tc>
        <w:tc>
          <w:tcPr>
            <w:tcW w:w="0" w:type="auto"/>
            <w:gridSpan w:val="3"/>
            <w:shd w:val="clear" w:color="auto" w:fill="auto"/>
            <w:vAlign w:val="bottom"/>
          </w:tcPr>
          <w:p w14:paraId="6430535C" w14:textId="77777777" w:rsidR="009F6D8A" w:rsidRDefault="009F6D8A">
            <w:pPr>
              <w:rPr>
                <w:rFonts w:ascii="宋体"/>
                <w:vanish/>
              </w:rPr>
            </w:pPr>
          </w:p>
        </w:tc>
        <w:tc>
          <w:tcPr>
            <w:tcW w:w="0" w:type="auto"/>
            <w:gridSpan w:val="3"/>
            <w:shd w:val="clear" w:color="auto" w:fill="auto"/>
            <w:vAlign w:val="bottom"/>
          </w:tcPr>
          <w:p w14:paraId="6430535D" w14:textId="77777777" w:rsidR="009F6D8A" w:rsidRDefault="009F6D8A">
            <w:pPr>
              <w:rPr>
                <w:rFonts w:ascii="宋体"/>
                <w:vanish/>
              </w:rPr>
            </w:pPr>
          </w:p>
        </w:tc>
        <w:tc>
          <w:tcPr>
            <w:tcW w:w="0" w:type="auto"/>
            <w:gridSpan w:val="3"/>
            <w:shd w:val="clear" w:color="auto" w:fill="auto"/>
            <w:vAlign w:val="bottom"/>
          </w:tcPr>
          <w:p w14:paraId="6430535E" w14:textId="77777777" w:rsidR="009F6D8A" w:rsidRDefault="009F6D8A">
            <w:pPr>
              <w:rPr>
                <w:rFonts w:ascii="宋体"/>
                <w:vanish/>
              </w:rPr>
            </w:pPr>
          </w:p>
        </w:tc>
        <w:tc>
          <w:tcPr>
            <w:tcW w:w="0" w:type="auto"/>
            <w:gridSpan w:val="3"/>
            <w:shd w:val="clear" w:color="auto" w:fill="auto"/>
            <w:vAlign w:val="bottom"/>
          </w:tcPr>
          <w:p w14:paraId="6430535F" w14:textId="77777777" w:rsidR="009F6D8A" w:rsidRDefault="009F6D8A">
            <w:pPr>
              <w:rPr>
                <w:rFonts w:ascii="宋体"/>
                <w:vanish/>
              </w:rPr>
            </w:pPr>
          </w:p>
        </w:tc>
      </w:tr>
      <w:tr w:rsidR="009F6D8A" w14:paraId="6430536D" w14:textId="77777777">
        <w:trPr>
          <w:hidden/>
        </w:trPr>
        <w:tc>
          <w:tcPr>
            <w:tcW w:w="0" w:type="auto"/>
            <w:gridSpan w:val="3"/>
            <w:shd w:val="clear" w:color="auto" w:fill="auto"/>
            <w:vAlign w:val="bottom"/>
          </w:tcPr>
          <w:p w14:paraId="64305361" w14:textId="77777777" w:rsidR="009F6D8A" w:rsidRDefault="009F6D8A">
            <w:pPr>
              <w:rPr>
                <w:rFonts w:ascii="宋体"/>
                <w:vanish/>
              </w:rPr>
            </w:pPr>
          </w:p>
        </w:tc>
        <w:tc>
          <w:tcPr>
            <w:tcW w:w="0" w:type="auto"/>
            <w:gridSpan w:val="3"/>
            <w:shd w:val="clear" w:color="auto" w:fill="auto"/>
            <w:vAlign w:val="bottom"/>
          </w:tcPr>
          <w:p w14:paraId="64305362" w14:textId="77777777" w:rsidR="009F6D8A" w:rsidRDefault="009F6D8A">
            <w:pPr>
              <w:rPr>
                <w:rFonts w:ascii="宋体"/>
                <w:vanish/>
              </w:rPr>
            </w:pPr>
          </w:p>
        </w:tc>
        <w:tc>
          <w:tcPr>
            <w:tcW w:w="0" w:type="auto"/>
            <w:gridSpan w:val="3"/>
            <w:shd w:val="clear" w:color="auto" w:fill="auto"/>
            <w:vAlign w:val="bottom"/>
          </w:tcPr>
          <w:p w14:paraId="64305363" w14:textId="77777777" w:rsidR="009F6D8A" w:rsidRDefault="009F6D8A">
            <w:pPr>
              <w:rPr>
                <w:rFonts w:ascii="宋体"/>
                <w:vanish/>
              </w:rPr>
            </w:pPr>
          </w:p>
        </w:tc>
        <w:tc>
          <w:tcPr>
            <w:tcW w:w="0" w:type="auto"/>
            <w:gridSpan w:val="3"/>
            <w:shd w:val="clear" w:color="auto" w:fill="auto"/>
            <w:vAlign w:val="bottom"/>
          </w:tcPr>
          <w:p w14:paraId="64305364" w14:textId="77777777" w:rsidR="009F6D8A" w:rsidRDefault="009F6D8A">
            <w:pPr>
              <w:rPr>
                <w:rFonts w:ascii="宋体"/>
                <w:vanish/>
              </w:rPr>
            </w:pPr>
          </w:p>
        </w:tc>
        <w:tc>
          <w:tcPr>
            <w:tcW w:w="0" w:type="auto"/>
            <w:gridSpan w:val="3"/>
            <w:shd w:val="clear" w:color="auto" w:fill="auto"/>
            <w:vAlign w:val="bottom"/>
          </w:tcPr>
          <w:p w14:paraId="64305365" w14:textId="77777777" w:rsidR="009F6D8A" w:rsidRDefault="009F6D8A">
            <w:pPr>
              <w:rPr>
                <w:rFonts w:ascii="宋体"/>
                <w:vanish/>
              </w:rPr>
            </w:pPr>
          </w:p>
        </w:tc>
        <w:tc>
          <w:tcPr>
            <w:tcW w:w="0" w:type="auto"/>
            <w:gridSpan w:val="3"/>
            <w:shd w:val="clear" w:color="auto" w:fill="auto"/>
            <w:vAlign w:val="bottom"/>
          </w:tcPr>
          <w:p w14:paraId="64305366" w14:textId="77777777" w:rsidR="009F6D8A" w:rsidRDefault="009F6D8A">
            <w:pPr>
              <w:rPr>
                <w:rFonts w:ascii="宋体"/>
                <w:vanish/>
              </w:rPr>
            </w:pPr>
          </w:p>
        </w:tc>
        <w:tc>
          <w:tcPr>
            <w:tcW w:w="0" w:type="auto"/>
            <w:gridSpan w:val="3"/>
            <w:shd w:val="clear" w:color="auto" w:fill="auto"/>
            <w:vAlign w:val="bottom"/>
          </w:tcPr>
          <w:p w14:paraId="64305367" w14:textId="77777777" w:rsidR="009F6D8A" w:rsidRDefault="009F6D8A">
            <w:pPr>
              <w:rPr>
                <w:rFonts w:ascii="宋体"/>
                <w:vanish/>
              </w:rPr>
            </w:pPr>
          </w:p>
        </w:tc>
        <w:tc>
          <w:tcPr>
            <w:tcW w:w="0" w:type="auto"/>
            <w:gridSpan w:val="3"/>
            <w:shd w:val="clear" w:color="auto" w:fill="auto"/>
            <w:vAlign w:val="bottom"/>
          </w:tcPr>
          <w:p w14:paraId="64305368" w14:textId="77777777" w:rsidR="009F6D8A" w:rsidRDefault="009F6D8A">
            <w:pPr>
              <w:rPr>
                <w:rFonts w:ascii="宋体"/>
                <w:vanish/>
              </w:rPr>
            </w:pPr>
          </w:p>
        </w:tc>
        <w:tc>
          <w:tcPr>
            <w:tcW w:w="0" w:type="auto"/>
            <w:gridSpan w:val="3"/>
            <w:shd w:val="clear" w:color="auto" w:fill="auto"/>
            <w:vAlign w:val="bottom"/>
          </w:tcPr>
          <w:p w14:paraId="64305369" w14:textId="77777777" w:rsidR="009F6D8A" w:rsidRDefault="009F6D8A">
            <w:pPr>
              <w:rPr>
                <w:rFonts w:ascii="宋体"/>
                <w:vanish/>
              </w:rPr>
            </w:pPr>
          </w:p>
        </w:tc>
        <w:tc>
          <w:tcPr>
            <w:tcW w:w="0" w:type="auto"/>
            <w:gridSpan w:val="3"/>
            <w:shd w:val="clear" w:color="auto" w:fill="auto"/>
            <w:vAlign w:val="bottom"/>
          </w:tcPr>
          <w:p w14:paraId="6430536A" w14:textId="77777777" w:rsidR="009F6D8A" w:rsidRDefault="009F6D8A">
            <w:pPr>
              <w:rPr>
                <w:rFonts w:ascii="宋体"/>
                <w:vanish/>
              </w:rPr>
            </w:pPr>
          </w:p>
        </w:tc>
        <w:tc>
          <w:tcPr>
            <w:tcW w:w="0" w:type="auto"/>
            <w:gridSpan w:val="3"/>
            <w:shd w:val="clear" w:color="auto" w:fill="auto"/>
            <w:vAlign w:val="bottom"/>
          </w:tcPr>
          <w:p w14:paraId="6430536B" w14:textId="77777777" w:rsidR="009F6D8A" w:rsidRDefault="009F6D8A">
            <w:pPr>
              <w:rPr>
                <w:rFonts w:ascii="宋体"/>
                <w:vanish/>
              </w:rPr>
            </w:pPr>
          </w:p>
        </w:tc>
        <w:tc>
          <w:tcPr>
            <w:tcW w:w="0" w:type="auto"/>
            <w:gridSpan w:val="3"/>
            <w:shd w:val="clear" w:color="auto" w:fill="auto"/>
            <w:vAlign w:val="bottom"/>
          </w:tcPr>
          <w:p w14:paraId="6430536C" w14:textId="77777777" w:rsidR="009F6D8A" w:rsidRDefault="009F6D8A">
            <w:pPr>
              <w:rPr>
                <w:rFonts w:ascii="宋体"/>
                <w:vanish/>
              </w:rPr>
            </w:pPr>
          </w:p>
        </w:tc>
      </w:tr>
      <w:tr w:rsidR="009F6D8A" w14:paraId="64305380" w14:textId="77777777">
        <w:tc>
          <w:tcPr>
            <w:tcW w:w="0" w:type="auto"/>
            <w:gridSpan w:val="3"/>
            <w:shd w:val="clear" w:color="auto" w:fill="FFFFFF"/>
            <w:tcMar>
              <w:top w:w="40" w:type="dxa"/>
              <w:left w:w="140" w:type="dxa"/>
              <w:bottom w:w="40" w:type="dxa"/>
              <w:right w:w="20" w:type="dxa"/>
            </w:tcMar>
            <w:vAlign w:val="bottom"/>
          </w:tcPr>
          <w:p w14:paraId="6430536E" w14:textId="77777777" w:rsidR="009F6D8A" w:rsidRDefault="00C50974">
            <w:pPr>
              <w:textAlignment w:val="bottom"/>
            </w:pPr>
            <w:r>
              <w:rPr>
                <w:rFonts w:ascii="Arial" w:eastAsia="宋体" w:hAnsi="Arial" w:cs="Arial"/>
                <w:color w:val="000000"/>
                <w:sz w:val="16"/>
                <w:szCs w:val="16"/>
              </w:rPr>
              <w:t>Marketing services and other revenues</w:t>
            </w:r>
          </w:p>
        </w:tc>
        <w:tc>
          <w:tcPr>
            <w:tcW w:w="0" w:type="auto"/>
            <w:gridSpan w:val="2"/>
            <w:shd w:val="clear" w:color="auto" w:fill="FFFFFF"/>
            <w:tcMar>
              <w:top w:w="40" w:type="dxa"/>
              <w:left w:w="20" w:type="dxa"/>
              <w:bottom w:w="40" w:type="dxa"/>
              <w:right w:w="0" w:type="dxa"/>
            </w:tcMar>
            <w:vAlign w:val="bottom"/>
          </w:tcPr>
          <w:p w14:paraId="6430536F" w14:textId="77777777" w:rsidR="009F6D8A" w:rsidRDefault="00C50974">
            <w:pPr>
              <w:jc w:val="right"/>
              <w:textAlignment w:val="bottom"/>
            </w:pPr>
            <w:r>
              <w:rPr>
                <w:rFonts w:ascii="Arial" w:eastAsia="宋体" w:hAnsi="Arial" w:cs="Arial"/>
                <w:color w:val="000000"/>
                <w:sz w:val="16"/>
                <w:szCs w:val="16"/>
              </w:rPr>
              <w:t>172 </w:t>
            </w:r>
          </w:p>
        </w:tc>
        <w:tc>
          <w:tcPr>
            <w:tcW w:w="0" w:type="auto"/>
            <w:shd w:val="clear" w:color="auto" w:fill="FFFFFF"/>
            <w:tcMar>
              <w:top w:w="40" w:type="dxa"/>
              <w:left w:w="0" w:type="dxa"/>
              <w:bottom w:w="40" w:type="dxa"/>
              <w:right w:w="20" w:type="dxa"/>
            </w:tcMar>
            <w:vAlign w:val="bottom"/>
          </w:tcPr>
          <w:p w14:paraId="6430537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371"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372" w14:textId="77777777" w:rsidR="009F6D8A" w:rsidRDefault="00C50974">
            <w:pPr>
              <w:jc w:val="right"/>
              <w:textAlignment w:val="bottom"/>
            </w:pPr>
            <w:r>
              <w:rPr>
                <w:rFonts w:ascii="Arial" w:eastAsia="宋体" w:hAnsi="Arial" w:cs="Arial"/>
                <w:color w:val="000000"/>
                <w:sz w:val="16"/>
                <w:szCs w:val="16"/>
              </w:rPr>
              <w:t>4 </w:t>
            </w:r>
          </w:p>
        </w:tc>
        <w:tc>
          <w:tcPr>
            <w:tcW w:w="0" w:type="auto"/>
            <w:shd w:val="clear" w:color="auto" w:fill="FFFFFF"/>
            <w:tcMar>
              <w:top w:w="40" w:type="dxa"/>
              <w:left w:w="0" w:type="dxa"/>
              <w:bottom w:w="40" w:type="dxa"/>
              <w:right w:w="20" w:type="dxa"/>
            </w:tcMar>
            <w:vAlign w:val="bottom"/>
          </w:tcPr>
          <w:p w14:paraId="64305373"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374"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375" w14:textId="77777777" w:rsidR="009F6D8A" w:rsidRDefault="00C50974">
            <w:pPr>
              <w:jc w:val="right"/>
              <w:textAlignment w:val="bottom"/>
            </w:pPr>
            <w:r>
              <w:rPr>
                <w:rFonts w:ascii="Arial" w:eastAsia="宋体" w:hAnsi="Arial" w:cs="Arial"/>
                <w:color w:val="000000"/>
                <w:sz w:val="16"/>
                <w:szCs w:val="16"/>
              </w:rPr>
              <w:t>168 </w:t>
            </w:r>
          </w:p>
        </w:tc>
        <w:tc>
          <w:tcPr>
            <w:tcW w:w="0" w:type="auto"/>
            <w:shd w:val="clear" w:color="auto" w:fill="FFFFFF"/>
            <w:tcMar>
              <w:top w:w="40" w:type="dxa"/>
              <w:left w:w="0" w:type="dxa"/>
              <w:bottom w:w="40" w:type="dxa"/>
              <w:right w:w="20" w:type="dxa"/>
            </w:tcMar>
            <w:vAlign w:val="bottom"/>
          </w:tcPr>
          <w:p w14:paraId="64305376"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377"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378" w14:textId="77777777" w:rsidR="009F6D8A" w:rsidRDefault="00C50974">
            <w:pPr>
              <w:jc w:val="right"/>
              <w:textAlignment w:val="bottom"/>
            </w:pPr>
            <w:r>
              <w:rPr>
                <w:rFonts w:ascii="Arial" w:eastAsia="宋体" w:hAnsi="Arial" w:cs="Arial"/>
                <w:color w:val="000000"/>
                <w:sz w:val="16"/>
                <w:szCs w:val="16"/>
              </w:rPr>
              <w:t>152 </w:t>
            </w:r>
          </w:p>
        </w:tc>
        <w:tc>
          <w:tcPr>
            <w:tcW w:w="0" w:type="auto"/>
            <w:shd w:val="clear" w:color="auto" w:fill="FFFFFF"/>
            <w:tcMar>
              <w:top w:w="40" w:type="dxa"/>
              <w:left w:w="0" w:type="dxa"/>
              <w:bottom w:w="40" w:type="dxa"/>
              <w:right w:w="20" w:type="dxa"/>
            </w:tcMar>
            <w:vAlign w:val="bottom"/>
          </w:tcPr>
          <w:p w14:paraId="64305379"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37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37B" w14:textId="77777777" w:rsidR="009F6D8A" w:rsidRDefault="00C50974">
            <w:pPr>
              <w:jc w:val="right"/>
              <w:textAlignment w:val="bottom"/>
            </w:pPr>
            <w:r>
              <w:rPr>
                <w:rFonts w:ascii="Arial" w:eastAsia="宋体" w:hAnsi="Arial" w:cs="Arial"/>
                <w:color w:val="000000"/>
                <w:sz w:val="16"/>
                <w:szCs w:val="16"/>
              </w:rPr>
              <w:t>13 </w:t>
            </w:r>
          </w:p>
        </w:tc>
        <w:tc>
          <w:tcPr>
            <w:tcW w:w="0" w:type="auto"/>
            <w:shd w:val="clear" w:color="auto" w:fill="FFFFFF"/>
            <w:tcMar>
              <w:top w:w="40" w:type="dxa"/>
              <w:left w:w="0" w:type="dxa"/>
              <w:bottom w:w="40" w:type="dxa"/>
              <w:right w:w="20" w:type="dxa"/>
            </w:tcMar>
            <w:vAlign w:val="bottom"/>
          </w:tcPr>
          <w:p w14:paraId="6430537C"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37D"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37E" w14:textId="77777777" w:rsidR="009F6D8A" w:rsidRDefault="00C50974">
            <w:pPr>
              <w:jc w:val="right"/>
              <w:textAlignment w:val="bottom"/>
            </w:pPr>
            <w:r>
              <w:rPr>
                <w:rFonts w:ascii="Arial" w:eastAsia="宋体" w:hAnsi="Arial" w:cs="Arial"/>
                <w:color w:val="000000"/>
                <w:sz w:val="16"/>
                <w:szCs w:val="16"/>
              </w:rPr>
              <w:t>11 </w:t>
            </w:r>
          </w:p>
        </w:tc>
        <w:tc>
          <w:tcPr>
            <w:tcW w:w="0" w:type="auto"/>
            <w:shd w:val="clear" w:color="auto" w:fill="FFFFFF"/>
            <w:tcMar>
              <w:top w:w="40" w:type="dxa"/>
              <w:left w:w="0" w:type="dxa"/>
              <w:bottom w:w="40" w:type="dxa"/>
              <w:right w:w="20" w:type="dxa"/>
            </w:tcMar>
            <w:vAlign w:val="bottom"/>
          </w:tcPr>
          <w:p w14:paraId="6430537F" w14:textId="77777777" w:rsidR="009F6D8A" w:rsidRDefault="00C50974">
            <w:pPr>
              <w:jc w:val="right"/>
              <w:textAlignment w:val="bottom"/>
            </w:pPr>
            <w:r>
              <w:rPr>
                <w:rFonts w:ascii="Arial" w:eastAsia="宋体" w:hAnsi="Arial" w:cs="Arial"/>
                <w:color w:val="000000"/>
                <w:sz w:val="16"/>
                <w:szCs w:val="16"/>
              </w:rPr>
              <w:t>%</w:t>
            </w:r>
          </w:p>
        </w:tc>
      </w:tr>
      <w:tr w:rsidR="009F6D8A" w14:paraId="6430538D" w14:textId="77777777">
        <w:trPr>
          <w:hidden/>
        </w:trPr>
        <w:tc>
          <w:tcPr>
            <w:tcW w:w="0" w:type="auto"/>
            <w:gridSpan w:val="3"/>
            <w:shd w:val="clear" w:color="auto" w:fill="auto"/>
            <w:vAlign w:val="bottom"/>
          </w:tcPr>
          <w:p w14:paraId="64305381" w14:textId="77777777" w:rsidR="009F6D8A" w:rsidRDefault="009F6D8A">
            <w:pPr>
              <w:rPr>
                <w:rFonts w:ascii="宋体"/>
                <w:vanish/>
              </w:rPr>
            </w:pPr>
          </w:p>
        </w:tc>
        <w:tc>
          <w:tcPr>
            <w:tcW w:w="0" w:type="auto"/>
            <w:gridSpan w:val="3"/>
            <w:shd w:val="clear" w:color="auto" w:fill="auto"/>
            <w:vAlign w:val="bottom"/>
          </w:tcPr>
          <w:p w14:paraId="64305382" w14:textId="77777777" w:rsidR="009F6D8A" w:rsidRDefault="009F6D8A">
            <w:pPr>
              <w:rPr>
                <w:rFonts w:ascii="宋体"/>
                <w:vanish/>
              </w:rPr>
            </w:pPr>
          </w:p>
        </w:tc>
        <w:tc>
          <w:tcPr>
            <w:tcW w:w="0" w:type="auto"/>
            <w:gridSpan w:val="3"/>
            <w:shd w:val="clear" w:color="auto" w:fill="auto"/>
            <w:vAlign w:val="bottom"/>
          </w:tcPr>
          <w:p w14:paraId="64305383" w14:textId="77777777" w:rsidR="009F6D8A" w:rsidRDefault="009F6D8A">
            <w:pPr>
              <w:rPr>
                <w:rFonts w:ascii="宋体"/>
                <w:vanish/>
              </w:rPr>
            </w:pPr>
          </w:p>
        </w:tc>
        <w:tc>
          <w:tcPr>
            <w:tcW w:w="0" w:type="auto"/>
            <w:gridSpan w:val="3"/>
            <w:shd w:val="clear" w:color="auto" w:fill="auto"/>
            <w:vAlign w:val="bottom"/>
          </w:tcPr>
          <w:p w14:paraId="64305384" w14:textId="77777777" w:rsidR="009F6D8A" w:rsidRDefault="009F6D8A">
            <w:pPr>
              <w:rPr>
                <w:rFonts w:ascii="宋体"/>
                <w:vanish/>
              </w:rPr>
            </w:pPr>
          </w:p>
        </w:tc>
        <w:tc>
          <w:tcPr>
            <w:tcW w:w="0" w:type="auto"/>
            <w:gridSpan w:val="3"/>
            <w:shd w:val="clear" w:color="auto" w:fill="auto"/>
            <w:vAlign w:val="bottom"/>
          </w:tcPr>
          <w:p w14:paraId="64305385" w14:textId="77777777" w:rsidR="009F6D8A" w:rsidRDefault="009F6D8A">
            <w:pPr>
              <w:rPr>
                <w:rFonts w:ascii="宋体"/>
                <w:vanish/>
              </w:rPr>
            </w:pPr>
          </w:p>
        </w:tc>
        <w:tc>
          <w:tcPr>
            <w:tcW w:w="0" w:type="auto"/>
            <w:gridSpan w:val="3"/>
            <w:shd w:val="clear" w:color="auto" w:fill="auto"/>
            <w:vAlign w:val="bottom"/>
          </w:tcPr>
          <w:p w14:paraId="64305386" w14:textId="77777777" w:rsidR="009F6D8A" w:rsidRDefault="009F6D8A">
            <w:pPr>
              <w:rPr>
                <w:rFonts w:ascii="宋体"/>
                <w:vanish/>
              </w:rPr>
            </w:pPr>
          </w:p>
        </w:tc>
        <w:tc>
          <w:tcPr>
            <w:tcW w:w="0" w:type="auto"/>
            <w:gridSpan w:val="3"/>
            <w:shd w:val="clear" w:color="auto" w:fill="auto"/>
            <w:vAlign w:val="bottom"/>
          </w:tcPr>
          <w:p w14:paraId="64305387" w14:textId="77777777" w:rsidR="009F6D8A" w:rsidRDefault="009F6D8A">
            <w:pPr>
              <w:rPr>
                <w:rFonts w:ascii="宋体"/>
                <w:vanish/>
              </w:rPr>
            </w:pPr>
          </w:p>
        </w:tc>
        <w:tc>
          <w:tcPr>
            <w:tcW w:w="0" w:type="auto"/>
            <w:gridSpan w:val="3"/>
            <w:shd w:val="clear" w:color="auto" w:fill="auto"/>
            <w:vAlign w:val="bottom"/>
          </w:tcPr>
          <w:p w14:paraId="64305388" w14:textId="77777777" w:rsidR="009F6D8A" w:rsidRDefault="009F6D8A">
            <w:pPr>
              <w:rPr>
                <w:rFonts w:ascii="宋体"/>
                <w:vanish/>
              </w:rPr>
            </w:pPr>
          </w:p>
        </w:tc>
        <w:tc>
          <w:tcPr>
            <w:tcW w:w="0" w:type="auto"/>
            <w:gridSpan w:val="3"/>
            <w:shd w:val="clear" w:color="auto" w:fill="auto"/>
            <w:vAlign w:val="bottom"/>
          </w:tcPr>
          <w:p w14:paraId="64305389" w14:textId="77777777" w:rsidR="009F6D8A" w:rsidRDefault="009F6D8A">
            <w:pPr>
              <w:rPr>
                <w:rFonts w:ascii="宋体"/>
                <w:vanish/>
              </w:rPr>
            </w:pPr>
          </w:p>
        </w:tc>
        <w:tc>
          <w:tcPr>
            <w:tcW w:w="0" w:type="auto"/>
            <w:gridSpan w:val="3"/>
            <w:shd w:val="clear" w:color="auto" w:fill="auto"/>
            <w:vAlign w:val="bottom"/>
          </w:tcPr>
          <w:p w14:paraId="6430538A" w14:textId="77777777" w:rsidR="009F6D8A" w:rsidRDefault="009F6D8A">
            <w:pPr>
              <w:rPr>
                <w:rFonts w:ascii="宋体"/>
                <w:vanish/>
              </w:rPr>
            </w:pPr>
          </w:p>
        </w:tc>
        <w:tc>
          <w:tcPr>
            <w:tcW w:w="0" w:type="auto"/>
            <w:gridSpan w:val="3"/>
            <w:shd w:val="clear" w:color="auto" w:fill="auto"/>
            <w:vAlign w:val="bottom"/>
          </w:tcPr>
          <w:p w14:paraId="6430538B" w14:textId="77777777" w:rsidR="009F6D8A" w:rsidRDefault="009F6D8A">
            <w:pPr>
              <w:rPr>
                <w:rFonts w:ascii="宋体"/>
                <w:vanish/>
              </w:rPr>
            </w:pPr>
          </w:p>
        </w:tc>
        <w:tc>
          <w:tcPr>
            <w:tcW w:w="0" w:type="auto"/>
            <w:gridSpan w:val="3"/>
            <w:shd w:val="clear" w:color="auto" w:fill="auto"/>
            <w:vAlign w:val="bottom"/>
          </w:tcPr>
          <w:p w14:paraId="6430538C" w14:textId="77777777" w:rsidR="009F6D8A" w:rsidRDefault="009F6D8A">
            <w:pPr>
              <w:rPr>
                <w:rFonts w:ascii="宋体"/>
                <w:vanish/>
              </w:rPr>
            </w:pPr>
          </w:p>
        </w:tc>
      </w:tr>
      <w:tr w:rsidR="009F6D8A" w14:paraId="6430539A" w14:textId="77777777">
        <w:trPr>
          <w:hidden/>
        </w:trPr>
        <w:tc>
          <w:tcPr>
            <w:tcW w:w="0" w:type="auto"/>
            <w:gridSpan w:val="3"/>
            <w:shd w:val="clear" w:color="auto" w:fill="auto"/>
            <w:vAlign w:val="bottom"/>
          </w:tcPr>
          <w:p w14:paraId="6430538E" w14:textId="77777777" w:rsidR="009F6D8A" w:rsidRDefault="009F6D8A">
            <w:pPr>
              <w:rPr>
                <w:rFonts w:ascii="宋体"/>
                <w:vanish/>
              </w:rPr>
            </w:pPr>
          </w:p>
        </w:tc>
        <w:tc>
          <w:tcPr>
            <w:tcW w:w="0" w:type="auto"/>
            <w:gridSpan w:val="3"/>
            <w:shd w:val="clear" w:color="auto" w:fill="auto"/>
            <w:vAlign w:val="bottom"/>
          </w:tcPr>
          <w:p w14:paraId="6430538F" w14:textId="77777777" w:rsidR="009F6D8A" w:rsidRDefault="009F6D8A">
            <w:pPr>
              <w:rPr>
                <w:rFonts w:ascii="宋体"/>
                <w:vanish/>
              </w:rPr>
            </w:pPr>
          </w:p>
        </w:tc>
        <w:tc>
          <w:tcPr>
            <w:tcW w:w="0" w:type="auto"/>
            <w:gridSpan w:val="3"/>
            <w:shd w:val="clear" w:color="auto" w:fill="auto"/>
            <w:vAlign w:val="bottom"/>
          </w:tcPr>
          <w:p w14:paraId="64305390" w14:textId="77777777" w:rsidR="009F6D8A" w:rsidRDefault="009F6D8A">
            <w:pPr>
              <w:rPr>
                <w:rFonts w:ascii="宋体"/>
                <w:vanish/>
              </w:rPr>
            </w:pPr>
          </w:p>
        </w:tc>
        <w:tc>
          <w:tcPr>
            <w:tcW w:w="0" w:type="auto"/>
            <w:gridSpan w:val="3"/>
            <w:shd w:val="clear" w:color="auto" w:fill="auto"/>
            <w:vAlign w:val="bottom"/>
          </w:tcPr>
          <w:p w14:paraId="64305391" w14:textId="77777777" w:rsidR="009F6D8A" w:rsidRDefault="009F6D8A">
            <w:pPr>
              <w:rPr>
                <w:rFonts w:ascii="宋体"/>
                <w:vanish/>
              </w:rPr>
            </w:pPr>
          </w:p>
        </w:tc>
        <w:tc>
          <w:tcPr>
            <w:tcW w:w="0" w:type="auto"/>
            <w:gridSpan w:val="3"/>
            <w:shd w:val="clear" w:color="auto" w:fill="auto"/>
            <w:vAlign w:val="bottom"/>
          </w:tcPr>
          <w:p w14:paraId="64305392" w14:textId="77777777" w:rsidR="009F6D8A" w:rsidRDefault="009F6D8A">
            <w:pPr>
              <w:rPr>
                <w:rFonts w:ascii="宋体"/>
                <w:vanish/>
              </w:rPr>
            </w:pPr>
          </w:p>
        </w:tc>
        <w:tc>
          <w:tcPr>
            <w:tcW w:w="0" w:type="auto"/>
            <w:gridSpan w:val="3"/>
            <w:shd w:val="clear" w:color="auto" w:fill="auto"/>
            <w:vAlign w:val="bottom"/>
          </w:tcPr>
          <w:p w14:paraId="64305393" w14:textId="77777777" w:rsidR="009F6D8A" w:rsidRDefault="009F6D8A">
            <w:pPr>
              <w:rPr>
                <w:rFonts w:ascii="宋体"/>
                <w:vanish/>
              </w:rPr>
            </w:pPr>
          </w:p>
        </w:tc>
        <w:tc>
          <w:tcPr>
            <w:tcW w:w="0" w:type="auto"/>
            <w:gridSpan w:val="3"/>
            <w:shd w:val="clear" w:color="auto" w:fill="auto"/>
            <w:vAlign w:val="bottom"/>
          </w:tcPr>
          <w:p w14:paraId="64305394" w14:textId="77777777" w:rsidR="009F6D8A" w:rsidRDefault="009F6D8A">
            <w:pPr>
              <w:rPr>
                <w:rFonts w:ascii="宋体"/>
                <w:vanish/>
              </w:rPr>
            </w:pPr>
          </w:p>
        </w:tc>
        <w:tc>
          <w:tcPr>
            <w:tcW w:w="0" w:type="auto"/>
            <w:gridSpan w:val="3"/>
            <w:shd w:val="clear" w:color="auto" w:fill="auto"/>
            <w:vAlign w:val="bottom"/>
          </w:tcPr>
          <w:p w14:paraId="64305395" w14:textId="77777777" w:rsidR="009F6D8A" w:rsidRDefault="009F6D8A">
            <w:pPr>
              <w:rPr>
                <w:rFonts w:ascii="宋体"/>
                <w:vanish/>
              </w:rPr>
            </w:pPr>
          </w:p>
        </w:tc>
        <w:tc>
          <w:tcPr>
            <w:tcW w:w="0" w:type="auto"/>
            <w:gridSpan w:val="3"/>
            <w:shd w:val="clear" w:color="auto" w:fill="auto"/>
            <w:vAlign w:val="bottom"/>
          </w:tcPr>
          <w:p w14:paraId="64305396" w14:textId="77777777" w:rsidR="009F6D8A" w:rsidRDefault="009F6D8A">
            <w:pPr>
              <w:rPr>
                <w:rFonts w:ascii="宋体"/>
                <w:vanish/>
              </w:rPr>
            </w:pPr>
          </w:p>
        </w:tc>
        <w:tc>
          <w:tcPr>
            <w:tcW w:w="0" w:type="auto"/>
            <w:gridSpan w:val="3"/>
            <w:shd w:val="clear" w:color="auto" w:fill="auto"/>
            <w:vAlign w:val="bottom"/>
          </w:tcPr>
          <w:p w14:paraId="64305397" w14:textId="77777777" w:rsidR="009F6D8A" w:rsidRDefault="009F6D8A">
            <w:pPr>
              <w:rPr>
                <w:rFonts w:ascii="宋体"/>
                <w:vanish/>
              </w:rPr>
            </w:pPr>
          </w:p>
        </w:tc>
        <w:tc>
          <w:tcPr>
            <w:tcW w:w="0" w:type="auto"/>
            <w:gridSpan w:val="3"/>
            <w:shd w:val="clear" w:color="auto" w:fill="auto"/>
            <w:vAlign w:val="bottom"/>
          </w:tcPr>
          <w:p w14:paraId="64305398" w14:textId="77777777" w:rsidR="009F6D8A" w:rsidRDefault="009F6D8A">
            <w:pPr>
              <w:rPr>
                <w:rFonts w:ascii="宋体"/>
                <w:vanish/>
              </w:rPr>
            </w:pPr>
          </w:p>
        </w:tc>
        <w:tc>
          <w:tcPr>
            <w:tcW w:w="0" w:type="auto"/>
            <w:gridSpan w:val="3"/>
            <w:shd w:val="clear" w:color="auto" w:fill="auto"/>
            <w:vAlign w:val="bottom"/>
          </w:tcPr>
          <w:p w14:paraId="64305399" w14:textId="77777777" w:rsidR="009F6D8A" w:rsidRDefault="009F6D8A">
            <w:pPr>
              <w:rPr>
                <w:rFonts w:ascii="宋体"/>
                <w:vanish/>
              </w:rPr>
            </w:pPr>
          </w:p>
        </w:tc>
      </w:tr>
      <w:tr w:rsidR="009F6D8A" w14:paraId="643053A7" w14:textId="77777777">
        <w:trPr>
          <w:hidden/>
        </w:trPr>
        <w:tc>
          <w:tcPr>
            <w:tcW w:w="0" w:type="auto"/>
            <w:gridSpan w:val="3"/>
            <w:shd w:val="clear" w:color="auto" w:fill="auto"/>
            <w:vAlign w:val="bottom"/>
          </w:tcPr>
          <w:p w14:paraId="6430539B" w14:textId="77777777" w:rsidR="009F6D8A" w:rsidRDefault="009F6D8A">
            <w:pPr>
              <w:rPr>
                <w:rFonts w:ascii="宋体"/>
                <w:vanish/>
              </w:rPr>
            </w:pPr>
          </w:p>
        </w:tc>
        <w:tc>
          <w:tcPr>
            <w:tcW w:w="0" w:type="auto"/>
            <w:gridSpan w:val="3"/>
            <w:shd w:val="clear" w:color="auto" w:fill="auto"/>
            <w:vAlign w:val="bottom"/>
          </w:tcPr>
          <w:p w14:paraId="6430539C" w14:textId="77777777" w:rsidR="009F6D8A" w:rsidRDefault="009F6D8A">
            <w:pPr>
              <w:rPr>
                <w:rFonts w:ascii="宋体"/>
                <w:vanish/>
              </w:rPr>
            </w:pPr>
          </w:p>
        </w:tc>
        <w:tc>
          <w:tcPr>
            <w:tcW w:w="0" w:type="auto"/>
            <w:gridSpan w:val="3"/>
            <w:shd w:val="clear" w:color="auto" w:fill="auto"/>
            <w:vAlign w:val="bottom"/>
          </w:tcPr>
          <w:p w14:paraId="6430539D" w14:textId="77777777" w:rsidR="009F6D8A" w:rsidRDefault="009F6D8A">
            <w:pPr>
              <w:rPr>
                <w:rFonts w:ascii="宋体"/>
                <w:vanish/>
              </w:rPr>
            </w:pPr>
          </w:p>
        </w:tc>
        <w:tc>
          <w:tcPr>
            <w:tcW w:w="0" w:type="auto"/>
            <w:gridSpan w:val="3"/>
            <w:shd w:val="clear" w:color="auto" w:fill="auto"/>
            <w:vAlign w:val="bottom"/>
          </w:tcPr>
          <w:p w14:paraId="6430539E" w14:textId="77777777" w:rsidR="009F6D8A" w:rsidRDefault="009F6D8A">
            <w:pPr>
              <w:rPr>
                <w:rFonts w:ascii="宋体"/>
                <w:vanish/>
              </w:rPr>
            </w:pPr>
          </w:p>
        </w:tc>
        <w:tc>
          <w:tcPr>
            <w:tcW w:w="0" w:type="auto"/>
            <w:gridSpan w:val="3"/>
            <w:shd w:val="clear" w:color="auto" w:fill="auto"/>
            <w:vAlign w:val="bottom"/>
          </w:tcPr>
          <w:p w14:paraId="6430539F" w14:textId="77777777" w:rsidR="009F6D8A" w:rsidRDefault="009F6D8A">
            <w:pPr>
              <w:rPr>
                <w:rFonts w:ascii="宋体"/>
                <w:vanish/>
              </w:rPr>
            </w:pPr>
          </w:p>
        </w:tc>
        <w:tc>
          <w:tcPr>
            <w:tcW w:w="0" w:type="auto"/>
            <w:gridSpan w:val="3"/>
            <w:shd w:val="clear" w:color="auto" w:fill="auto"/>
            <w:vAlign w:val="bottom"/>
          </w:tcPr>
          <w:p w14:paraId="643053A0" w14:textId="77777777" w:rsidR="009F6D8A" w:rsidRDefault="009F6D8A">
            <w:pPr>
              <w:rPr>
                <w:rFonts w:ascii="宋体"/>
                <w:vanish/>
              </w:rPr>
            </w:pPr>
          </w:p>
        </w:tc>
        <w:tc>
          <w:tcPr>
            <w:tcW w:w="0" w:type="auto"/>
            <w:gridSpan w:val="3"/>
            <w:shd w:val="clear" w:color="auto" w:fill="auto"/>
            <w:vAlign w:val="bottom"/>
          </w:tcPr>
          <w:p w14:paraId="643053A1" w14:textId="77777777" w:rsidR="009F6D8A" w:rsidRDefault="009F6D8A">
            <w:pPr>
              <w:rPr>
                <w:rFonts w:ascii="宋体"/>
                <w:vanish/>
              </w:rPr>
            </w:pPr>
          </w:p>
        </w:tc>
        <w:tc>
          <w:tcPr>
            <w:tcW w:w="0" w:type="auto"/>
            <w:gridSpan w:val="3"/>
            <w:shd w:val="clear" w:color="auto" w:fill="auto"/>
            <w:vAlign w:val="bottom"/>
          </w:tcPr>
          <w:p w14:paraId="643053A2" w14:textId="77777777" w:rsidR="009F6D8A" w:rsidRDefault="009F6D8A">
            <w:pPr>
              <w:rPr>
                <w:rFonts w:ascii="宋体"/>
                <w:vanish/>
              </w:rPr>
            </w:pPr>
          </w:p>
        </w:tc>
        <w:tc>
          <w:tcPr>
            <w:tcW w:w="0" w:type="auto"/>
            <w:gridSpan w:val="3"/>
            <w:shd w:val="clear" w:color="auto" w:fill="auto"/>
            <w:vAlign w:val="bottom"/>
          </w:tcPr>
          <w:p w14:paraId="643053A3" w14:textId="77777777" w:rsidR="009F6D8A" w:rsidRDefault="009F6D8A">
            <w:pPr>
              <w:rPr>
                <w:rFonts w:ascii="宋体"/>
                <w:vanish/>
              </w:rPr>
            </w:pPr>
          </w:p>
        </w:tc>
        <w:tc>
          <w:tcPr>
            <w:tcW w:w="0" w:type="auto"/>
            <w:gridSpan w:val="3"/>
            <w:shd w:val="clear" w:color="auto" w:fill="auto"/>
            <w:vAlign w:val="bottom"/>
          </w:tcPr>
          <w:p w14:paraId="643053A4" w14:textId="77777777" w:rsidR="009F6D8A" w:rsidRDefault="009F6D8A">
            <w:pPr>
              <w:rPr>
                <w:rFonts w:ascii="宋体"/>
                <w:vanish/>
              </w:rPr>
            </w:pPr>
          </w:p>
        </w:tc>
        <w:tc>
          <w:tcPr>
            <w:tcW w:w="0" w:type="auto"/>
            <w:gridSpan w:val="3"/>
            <w:shd w:val="clear" w:color="auto" w:fill="auto"/>
            <w:vAlign w:val="bottom"/>
          </w:tcPr>
          <w:p w14:paraId="643053A5" w14:textId="77777777" w:rsidR="009F6D8A" w:rsidRDefault="009F6D8A">
            <w:pPr>
              <w:rPr>
                <w:rFonts w:ascii="宋体"/>
                <w:vanish/>
              </w:rPr>
            </w:pPr>
          </w:p>
        </w:tc>
        <w:tc>
          <w:tcPr>
            <w:tcW w:w="0" w:type="auto"/>
            <w:gridSpan w:val="3"/>
            <w:shd w:val="clear" w:color="auto" w:fill="auto"/>
            <w:vAlign w:val="bottom"/>
          </w:tcPr>
          <w:p w14:paraId="643053A6" w14:textId="77777777" w:rsidR="009F6D8A" w:rsidRDefault="009F6D8A">
            <w:pPr>
              <w:rPr>
                <w:rFonts w:ascii="宋体"/>
                <w:vanish/>
              </w:rPr>
            </w:pPr>
          </w:p>
        </w:tc>
      </w:tr>
      <w:tr w:rsidR="009F6D8A" w14:paraId="643053B4" w14:textId="77777777">
        <w:trPr>
          <w:hidden/>
        </w:trPr>
        <w:tc>
          <w:tcPr>
            <w:tcW w:w="0" w:type="auto"/>
            <w:gridSpan w:val="3"/>
            <w:shd w:val="clear" w:color="auto" w:fill="auto"/>
            <w:vAlign w:val="bottom"/>
          </w:tcPr>
          <w:p w14:paraId="643053A8" w14:textId="77777777" w:rsidR="009F6D8A" w:rsidRDefault="009F6D8A">
            <w:pPr>
              <w:rPr>
                <w:rFonts w:ascii="宋体"/>
                <w:vanish/>
              </w:rPr>
            </w:pPr>
          </w:p>
        </w:tc>
        <w:tc>
          <w:tcPr>
            <w:tcW w:w="0" w:type="auto"/>
            <w:gridSpan w:val="3"/>
            <w:shd w:val="clear" w:color="auto" w:fill="auto"/>
            <w:vAlign w:val="bottom"/>
          </w:tcPr>
          <w:p w14:paraId="643053A9" w14:textId="77777777" w:rsidR="009F6D8A" w:rsidRDefault="009F6D8A">
            <w:pPr>
              <w:rPr>
                <w:rFonts w:ascii="宋体"/>
                <w:vanish/>
              </w:rPr>
            </w:pPr>
          </w:p>
        </w:tc>
        <w:tc>
          <w:tcPr>
            <w:tcW w:w="0" w:type="auto"/>
            <w:gridSpan w:val="3"/>
            <w:shd w:val="clear" w:color="auto" w:fill="auto"/>
            <w:vAlign w:val="bottom"/>
          </w:tcPr>
          <w:p w14:paraId="643053AA" w14:textId="77777777" w:rsidR="009F6D8A" w:rsidRDefault="009F6D8A">
            <w:pPr>
              <w:rPr>
                <w:rFonts w:ascii="宋体"/>
                <w:vanish/>
              </w:rPr>
            </w:pPr>
          </w:p>
        </w:tc>
        <w:tc>
          <w:tcPr>
            <w:tcW w:w="0" w:type="auto"/>
            <w:gridSpan w:val="3"/>
            <w:shd w:val="clear" w:color="auto" w:fill="auto"/>
            <w:vAlign w:val="bottom"/>
          </w:tcPr>
          <w:p w14:paraId="643053AB" w14:textId="77777777" w:rsidR="009F6D8A" w:rsidRDefault="009F6D8A">
            <w:pPr>
              <w:rPr>
                <w:rFonts w:ascii="宋体"/>
                <w:vanish/>
              </w:rPr>
            </w:pPr>
          </w:p>
        </w:tc>
        <w:tc>
          <w:tcPr>
            <w:tcW w:w="0" w:type="auto"/>
            <w:gridSpan w:val="3"/>
            <w:shd w:val="clear" w:color="auto" w:fill="auto"/>
            <w:vAlign w:val="bottom"/>
          </w:tcPr>
          <w:p w14:paraId="643053AC" w14:textId="77777777" w:rsidR="009F6D8A" w:rsidRDefault="009F6D8A">
            <w:pPr>
              <w:rPr>
                <w:rFonts w:ascii="宋体"/>
                <w:vanish/>
              </w:rPr>
            </w:pPr>
          </w:p>
        </w:tc>
        <w:tc>
          <w:tcPr>
            <w:tcW w:w="0" w:type="auto"/>
            <w:gridSpan w:val="3"/>
            <w:shd w:val="clear" w:color="auto" w:fill="auto"/>
            <w:vAlign w:val="bottom"/>
          </w:tcPr>
          <w:p w14:paraId="643053AD" w14:textId="77777777" w:rsidR="009F6D8A" w:rsidRDefault="009F6D8A">
            <w:pPr>
              <w:rPr>
                <w:rFonts w:ascii="宋体"/>
                <w:vanish/>
              </w:rPr>
            </w:pPr>
          </w:p>
        </w:tc>
        <w:tc>
          <w:tcPr>
            <w:tcW w:w="0" w:type="auto"/>
            <w:gridSpan w:val="3"/>
            <w:shd w:val="clear" w:color="auto" w:fill="auto"/>
            <w:vAlign w:val="bottom"/>
          </w:tcPr>
          <w:p w14:paraId="643053AE" w14:textId="77777777" w:rsidR="009F6D8A" w:rsidRDefault="009F6D8A">
            <w:pPr>
              <w:rPr>
                <w:rFonts w:ascii="宋体"/>
                <w:vanish/>
              </w:rPr>
            </w:pPr>
          </w:p>
        </w:tc>
        <w:tc>
          <w:tcPr>
            <w:tcW w:w="0" w:type="auto"/>
            <w:gridSpan w:val="3"/>
            <w:shd w:val="clear" w:color="auto" w:fill="auto"/>
            <w:vAlign w:val="bottom"/>
          </w:tcPr>
          <w:p w14:paraId="643053AF" w14:textId="77777777" w:rsidR="009F6D8A" w:rsidRDefault="009F6D8A">
            <w:pPr>
              <w:rPr>
                <w:rFonts w:ascii="宋体"/>
                <w:vanish/>
              </w:rPr>
            </w:pPr>
          </w:p>
        </w:tc>
        <w:tc>
          <w:tcPr>
            <w:tcW w:w="0" w:type="auto"/>
            <w:gridSpan w:val="3"/>
            <w:shd w:val="clear" w:color="auto" w:fill="auto"/>
            <w:vAlign w:val="bottom"/>
          </w:tcPr>
          <w:p w14:paraId="643053B0" w14:textId="77777777" w:rsidR="009F6D8A" w:rsidRDefault="009F6D8A">
            <w:pPr>
              <w:rPr>
                <w:rFonts w:ascii="宋体"/>
                <w:vanish/>
              </w:rPr>
            </w:pPr>
          </w:p>
        </w:tc>
        <w:tc>
          <w:tcPr>
            <w:tcW w:w="0" w:type="auto"/>
            <w:gridSpan w:val="3"/>
            <w:shd w:val="clear" w:color="auto" w:fill="auto"/>
            <w:vAlign w:val="bottom"/>
          </w:tcPr>
          <w:p w14:paraId="643053B1" w14:textId="77777777" w:rsidR="009F6D8A" w:rsidRDefault="009F6D8A">
            <w:pPr>
              <w:rPr>
                <w:rFonts w:ascii="宋体"/>
                <w:vanish/>
              </w:rPr>
            </w:pPr>
          </w:p>
        </w:tc>
        <w:tc>
          <w:tcPr>
            <w:tcW w:w="0" w:type="auto"/>
            <w:gridSpan w:val="3"/>
            <w:shd w:val="clear" w:color="auto" w:fill="auto"/>
            <w:vAlign w:val="bottom"/>
          </w:tcPr>
          <w:p w14:paraId="643053B2" w14:textId="77777777" w:rsidR="009F6D8A" w:rsidRDefault="009F6D8A">
            <w:pPr>
              <w:rPr>
                <w:rFonts w:ascii="宋体"/>
                <w:vanish/>
              </w:rPr>
            </w:pPr>
          </w:p>
        </w:tc>
        <w:tc>
          <w:tcPr>
            <w:tcW w:w="0" w:type="auto"/>
            <w:gridSpan w:val="3"/>
            <w:shd w:val="clear" w:color="auto" w:fill="auto"/>
            <w:vAlign w:val="bottom"/>
          </w:tcPr>
          <w:p w14:paraId="643053B3" w14:textId="77777777" w:rsidR="009F6D8A" w:rsidRDefault="009F6D8A">
            <w:pPr>
              <w:rPr>
                <w:rFonts w:ascii="宋体"/>
                <w:vanish/>
              </w:rPr>
            </w:pPr>
          </w:p>
        </w:tc>
      </w:tr>
      <w:tr w:rsidR="009F6D8A" w14:paraId="643053CB" w14:textId="77777777">
        <w:tc>
          <w:tcPr>
            <w:tcW w:w="0" w:type="auto"/>
            <w:gridSpan w:val="3"/>
            <w:shd w:val="clear" w:color="auto" w:fill="E1E1E1"/>
            <w:tcMar>
              <w:top w:w="40" w:type="dxa"/>
              <w:left w:w="380" w:type="dxa"/>
              <w:bottom w:w="40" w:type="dxa"/>
              <w:right w:w="20" w:type="dxa"/>
            </w:tcMar>
            <w:vAlign w:val="bottom"/>
          </w:tcPr>
          <w:p w14:paraId="643053B5" w14:textId="77777777" w:rsidR="009F6D8A" w:rsidRDefault="00C50974">
            <w:pPr>
              <w:textAlignment w:val="bottom"/>
            </w:pPr>
            <w:r>
              <w:rPr>
                <w:rFonts w:ascii="Arial" w:eastAsia="宋体" w:hAnsi="Arial" w:cs="Arial"/>
                <w:color w:val="000000"/>
                <w:sz w:val="16"/>
                <w:szCs w:val="16"/>
              </w:rPr>
              <w:t>Total net revenues</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53B6"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53B7" w14:textId="77777777" w:rsidR="009F6D8A" w:rsidRDefault="00C50974">
            <w:pPr>
              <w:jc w:val="right"/>
              <w:textAlignment w:val="bottom"/>
            </w:pPr>
            <w:r>
              <w:rPr>
                <w:rFonts w:ascii="Arial" w:eastAsia="宋体" w:hAnsi="Arial" w:cs="Arial"/>
                <w:color w:val="000000"/>
                <w:sz w:val="16"/>
                <w:szCs w:val="16"/>
              </w:rPr>
              <w:t>2,668 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53B8"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3B9"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53BA"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53BB" w14:textId="77777777" w:rsidR="009F6D8A" w:rsidRDefault="00C50974">
            <w:pPr>
              <w:jc w:val="right"/>
              <w:textAlignment w:val="bottom"/>
            </w:pPr>
            <w:r>
              <w:rPr>
                <w:rFonts w:ascii="Arial" w:eastAsia="宋体" w:hAnsi="Arial" w:cs="Arial"/>
                <w:color w:val="000000"/>
                <w:sz w:val="16"/>
                <w:szCs w:val="16"/>
              </w:rPr>
              <w:t>95 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53BC"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3BD"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53BE"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53BF" w14:textId="77777777" w:rsidR="009F6D8A" w:rsidRDefault="00C50974">
            <w:pPr>
              <w:jc w:val="right"/>
              <w:textAlignment w:val="bottom"/>
            </w:pPr>
            <w:r>
              <w:rPr>
                <w:rFonts w:ascii="Arial" w:eastAsia="宋体" w:hAnsi="Arial" w:cs="Arial"/>
                <w:color w:val="000000"/>
                <w:sz w:val="16"/>
                <w:szCs w:val="16"/>
              </w:rPr>
              <w:t>2,573 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53C0"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3C1" w14:textId="77777777" w:rsidR="009F6D8A" w:rsidRDefault="009F6D8A">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53C2"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643053C3" w14:textId="77777777" w:rsidR="009F6D8A" w:rsidRDefault="00C50974">
            <w:pPr>
              <w:jc w:val="right"/>
              <w:textAlignment w:val="bottom"/>
            </w:pPr>
            <w:r>
              <w:rPr>
                <w:rFonts w:ascii="Arial" w:eastAsia="宋体" w:hAnsi="Arial" w:cs="Arial"/>
                <w:color w:val="000000"/>
                <w:sz w:val="16"/>
                <w:szCs w:val="16"/>
              </w:rPr>
              <w:t>2,337 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53C4"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3C5" w14:textId="77777777" w:rsidR="009F6D8A" w:rsidRDefault="009F6D8A">
            <w:pPr>
              <w:rPr>
                <w:rFonts w:ascii="宋体"/>
              </w:rPr>
            </w:pPr>
          </w:p>
        </w:tc>
        <w:tc>
          <w:tcPr>
            <w:tcW w:w="0" w:type="auto"/>
            <w:gridSpan w:val="2"/>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53C6" w14:textId="77777777" w:rsidR="009F6D8A" w:rsidRDefault="00C50974">
            <w:pPr>
              <w:jc w:val="right"/>
              <w:textAlignment w:val="bottom"/>
            </w:pPr>
            <w:r>
              <w:rPr>
                <w:rFonts w:ascii="Arial" w:eastAsia="宋体" w:hAnsi="Arial" w:cs="Arial"/>
                <w:color w:val="000000"/>
                <w:sz w:val="16"/>
                <w:szCs w:val="16"/>
              </w:rPr>
              <w:t>14 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53C7"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1E1E1"/>
            <w:tcMar>
              <w:top w:w="0" w:type="dxa"/>
              <w:left w:w="20" w:type="dxa"/>
              <w:bottom w:w="0" w:type="dxa"/>
              <w:right w:w="20" w:type="dxa"/>
            </w:tcMar>
            <w:vAlign w:val="bottom"/>
          </w:tcPr>
          <w:p w14:paraId="643053C8" w14:textId="77777777" w:rsidR="009F6D8A" w:rsidRDefault="009F6D8A">
            <w:pPr>
              <w:rPr>
                <w:rFonts w:ascii="宋体"/>
              </w:rPr>
            </w:pPr>
          </w:p>
        </w:tc>
        <w:tc>
          <w:tcPr>
            <w:tcW w:w="0" w:type="auto"/>
            <w:gridSpan w:val="2"/>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643053C9" w14:textId="77777777" w:rsidR="009F6D8A" w:rsidRDefault="00C50974">
            <w:pPr>
              <w:jc w:val="right"/>
              <w:textAlignment w:val="bottom"/>
            </w:pPr>
            <w:r>
              <w:rPr>
                <w:rFonts w:ascii="Arial" w:eastAsia="宋体" w:hAnsi="Arial" w:cs="Arial"/>
                <w:color w:val="000000"/>
                <w:sz w:val="16"/>
                <w:szCs w:val="16"/>
              </w:rPr>
              <w:t>11 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643053CA" w14:textId="77777777" w:rsidR="009F6D8A" w:rsidRDefault="00C50974">
            <w:pPr>
              <w:jc w:val="right"/>
              <w:textAlignment w:val="bottom"/>
            </w:pPr>
            <w:r>
              <w:rPr>
                <w:rFonts w:ascii="Arial" w:eastAsia="宋体" w:hAnsi="Arial" w:cs="Arial"/>
                <w:color w:val="000000"/>
                <w:sz w:val="16"/>
                <w:szCs w:val="16"/>
              </w:rPr>
              <w:t>%</w:t>
            </w:r>
          </w:p>
        </w:tc>
      </w:tr>
    </w:tbl>
    <w:p w14:paraId="643053CC" w14:textId="77777777" w:rsidR="009F6D8A" w:rsidRDefault="009F6D8A">
      <w:pPr>
        <w:ind w:firstLine="540"/>
      </w:pPr>
    </w:p>
    <w:tbl>
      <w:tblPr>
        <w:tblW w:w="4985" w:type="pct"/>
        <w:tblCellMar>
          <w:top w:w="15" w:type="dxa"/>
          <w:left w:w="15" w:type="dxa"/>
          <w:bottom w:w="15" w:type="dxa"/>
          <w:right w:w="15" w:type="dxa"/>
        </w:tblCellMar>
        <w:tblLook w:val="04A0" w:firstRow="1" w:lastRow="0" w:firstColumn="1" w:lastColumn="0" w:noHBand="0" w:noVBand="1"/>
      </w:tblPr>
      <w:tblGrid>
        <w:gridCol w:w="46"/>
        <w:gridCol w:w="1773"/>
        <w:gridCol w:w="38"/>
        <w:gridCol w:w="109"/>
        <w:gridCol w:w="744"/>
        <w:gridCol w:w="36"/>
        <w:gridCol w:w="36"/>
        <w:gridCol w:w="36"/>
        <w:gridCol w:w="36"/>
        <w:gridCol w:w="110"/>
        <w:gridCol w:w="779"/>
        <w:gridCol w:w="36"/>
        <w:gridCol w:w="36"/>
        <w:gridCol w:w="36"/>
        <w:gridCol w:w="36"/>
        <w:gridCol w:w="110"/>
        <w:gridCol w:w="780"/>
        <w:gridCol w:w="36"/>
        <w:gridCol w:w="36"/>
        <w:gridCol w:w="36"/>
        <w:gridCol w:w="36"/>
        <w:gridCol w:w="109"/>
        <w:gridCol w:w="1085"/>
        <w:gridCol w:w="36"/>
        <w:gridCol w:w="36"/>
        <w:gridCol w:w="36"/>
        <w:gridCol w:w="36"/>
        <w:gridCol w:w="70"/>
        <w:gridCol w:w="742"/>
        <w:gridCol w:w="163"/>
        <w:gridCol w:w="36"/>
        <w:gridCol w:w="36"/>
        <w:gridCol w:w="36"/>
        <w:gridCol w:w="64"/>
        <w:gridCol w:w="742"/>
        <w:gridCol w:w="163"/>
      </w:tblGrid>
      <w:tr w:rsidR="009F6D8A" w14:paraId="643053F1" w14:textId="77777777">
        <w:tc>
          <w:tcPr>
            <w:tcW w:w="50" w:type="pct"/>
            <w:shd w:val="clear" w:color="auto" w:fill="auto"/>
            <w:vAlign w:val="bottom"/>
          </w:tcPr>
          <w:p w14:paraId="643053CD" w14:textId="77777777" w:rsidR="009F6D8A" w:rsidRDefault="009F6D8A">
            <w:pPr>
              <w:rPr>
                <w:rFonts w:ascii="宋体"/>
              </w:rPr>
            </w:pPr>
          </w:p>
        </w:tc>
        <w:tc>
          <w:tcPr>
            <w:tcW w:w="1110" w:type="pct"/>
            <w:shd w:val="clear" w:color="auto" w:fill="auto"/>
            <w:vAlign w:val="bottom"/>
          </w:tcPr>
          <w:p w14:paraId="643053CE" w14:textId="77777777" w:rsidR="009F6D8A" w:rsidRDefault="009F6D8A">
            <w:pPr>
              <w:rPr>
                <w:rFonts w:ascii="宋体"/>
              </w:rPr>
            </w:pPr>
          </w:p>
        </w:tc>
        <w:tc>
          <w:tcPr>
            <w:tcW w:w="5" w:type="pct"/>
            <w:shd w:val="clear" w:color="auto" w:fill="auto"/>
            <w:vAlign w:val="bottom"/>
          </w:tcPr>
          <w:p w14:paraId="643053CF" w14:textId="77777777" w:rsidR="009F6D8A" w:rsidRDefault="009F6D8A">
            <w:pPr>
              <w:rPr>
                <w:rFonts w:ascii="宋体"/>
              </w:rPr>
            </w:pPr>
          </w:p>
        </w:tc>
        <w:tc>
          <w:tcPr>
            <w:tcW w:w="50" w:type="pct"/>
            <w:shd w:val="clear" w:color="auto" w:fill="auto"/>
            <w:vAlign w:val="bottom"/>
          </w:tcPr>
          <w:p w14:paraId="643053D0" w14:textId="77777777" w:rsidR="009F6D8A" w:rsidRDefault="009F6D8A">
            <w:pPr>
              <w:rPr>
                <w:rFonts w:ascii="宋体"/>
              </w:rPr>
            </w:pPr>
          </w:p>
        </w:tc>
        <w:tc>
          <w:tcPr>
            <w:tcW w:w="480" w:type="pct"/>
            <w:shd w:val="clear" w:color="auto" w:fill="auto"/>
            <w:vAlign w:val="bottom"/>
          </w:tcPr>
          <w:p w14:paraId="643053D1" w14:textId="77777777" w:rsidR="009F6D8A" w:rsidRDefault="009F6D8A">
            <w:pPr>
              <w:rPr>
                <w:rFonts w:ascii="宋体"/>
              </w:rPr>
            </w:pPr>
          </w:p>
        </w:tc>
        <w:tc>
          <w:tcPr>
            <w:tcW w:w="5" w:type="pct"/>
            <w:shd w:val="clear" w:color="auto" w:fill="auto"/>
            <w:vAlign w:val="bottom"/>
          </w:tcPr>
          <w:p w14:paraId="643053D2" w14:textId="77777777" w:rsidR="009F6D8A" w:rsidRDefault="009F6D8A">
            <w:pPr>
              <w:rPr>
                <w:rFonts w:ascii="宋体"/>
              </w:rPr>
            </w:pPr>
          </w:p>
        </w:tc>
        <w:tc>
          <w:tcPr>
            <w:tcW w:w="5" w:type="pct"/>
            <w:shd w:val="clear" w:color="auto" w:fill="auto"/>
            <w:vAlign w:val="bottom"/>
          </w:tcPr>
          <w:p w14:paraId="643053D3" w14:textId="77777777" w:rsidR="009F6D8A" w:rsidRDefault="009F6D8A">
            <w:pPr>
              <w:rPr>
                <w:rFonts w:ascii="宋体"/>
              </w:rPr>
            </w:pPr>
          </w:p>
        </w:tc>
        <w:tc>
          <w:tcPr>
            <w:tcW w:w="26" w:type="pct"/>
            <w:shd w:val="clear" w:color="auto" w:fill="auto"/>
            <w:vAlign w:val="bottom"/>
          </w:tcPr>
          <w:p w14:paraId="643053D4" w14:textId="77777777" w:rsidR="009F6D8A" w:rsidRDefault="009F6D8A">
            <w:pPr>
              <w:rPr>
                <w:rFonts w:ascii="宋体"/>
              </w:rPr>
            </w:pPr>
          </w:p>
        </w:tc>
        <w:tc>
          <w:tcPr>
            <w:tcW w:w="5" w:type="pct"/>
            <w:shd w:val="clear" w:color="auto" w:fill="auto"/>
            <w:vAlign w:val="bottom"/>
          </w:tcPr>
          <w:p w14:paraId="643053D5" w14:textId="77777777" w:rsidR="009F6D8A" w:rsidRDefault="009F6D8A">
            <w:pPr>
              <w:rPr>
                <w:rFonts w:ascii="宋体"/>
              </w:rPr>
            </w:pPr>
          </w:p>
        </w:tc>
        <w:tc>
          <w:tcPr>
            <w:tcW w:w="50" w:type="pct"/>
            <w:shd w:val="clear" w:color="auto" w:fill="auto"/>
            <w:vAlign w:val="bottom"/>
          </w:tcPr>
          <w:p w14:paraId="643053D6" w14:textId="77777777" w:rsidR="009F6D8A" w:rsidRDefault="009F6D8A">
            <w:pPr>
              <w:rPr>
                <w:rFonts w:ascii="宋体"/>
              </w:rPr>
            </w:pPr>
          </w:p>
        </w:tc>
        <w:tc>
          <w:tcPr>
            <w:tcW w:w="531" w:type="pct"/>
            <w:shd w:val="clear" w:color="auto" w:fill="auto"/>
            <w:vAlign w:val="bottom"/>
          </w:tcPr>
          <w:p w14:paraId="643053D7" w14:textId="77777777" w:rsidR="009F6D8A" w:rsidRDefault="009F6D8A">
            <w:pPr>
              <w:rPr>
                <w:rFonts w:ascii="宋体"/>
              </w:rPr>
            </w:pPr>
          </w:p>
        </w:tc>
        <w:tc>
          <w:tcPr>
            <w:tcW w:w="5" w:type="pct"/>
            <w:shd w:val="clear" w:color="auto" w:fill="auto"/>
            <w:vAlign w:val="bottom"/>
          </w:tcPr>
          <w:p w14:paraId="643053D8" w14:textId="77777777" w:rsidR="009F6D8A" w:rsidRDefault="009F6D8A">
            <w:pPr>
              <w:rPr>
                <w:rFonts w:ascii="宋体"/>
              </w:rPr>
            </w:pPr>
          </w:p>
        </w:tc>
        <w:tc>
          <w:tcPr>
            <w:tcW w:w="5" w:type="pct"/>
            <w:shd w:val="clear" w:color="auto" w:fill="auto"/>
            <w:vAlign w:val="bottom"/>
          </w:tcPr>
          <w:p w14:paraId="643053D9" w14:textId="77777777" w:rsidR="009F6D8A" w:rsidRDefault="009F6D8A">
            <w:pPr>
              <w:rPr>
                <w:rFonts w:ascii="宋体"/>
              </w:rPr>
            </w:pPr>
          </w:p>
        </w:tc>
        <w:tc>
          <w:tcPr>
            <w:tcW w:w="26" w:type="pct"/>
            <w:shd w:val="clear" w:color="auto" w:fill="auto"/>
            <w:vAlign w:val="bottom"/>
          </w:tcPr>
          <w:p w14:paraId="643053DA" w14:textId="77777777" w:rsidR="009F6D8A" w:rsidRDefault="009F6D8A">
            <w:pPr>
              <w:rPr>
                <w:rFonts w:ascii="宋体"/>
              </w:rPr>
            </w:pPr>
          </w:p>
        </w:tc>
        <w:tc>
          <w:tcPr>
            <w:tcW w:w="5" w:type="pct"/>
            <w:shd w:val="clear" w:color="auto" w:fill="auto"/>
            <w:vAlign w:val="bottom"/>
          </w:tcPr>
          <w:p w14:paraId="643053DB" w14:textId="77777777" w:rsidR="009F6D8A" w:rsidRDefault="009F6D8A">
            <w:pPr>
              <w:rPr>
                <w:rFonts w:ascii="宋体"/>
              </w:rPr>
            </w:pPr>
          </w:p>
        </w:tc>
        <w:tc>
          <w:tcPr>
            <w:tcW w:w="50" w:type="pct"/>
            <w:shd w:val="clear" w:color="auto" w:fill="auto"/>
            <w:vAlign w:val="bottom"/>
          </w:tcPr>
          <w:p w14:paraId="643053DC" w14:textId="77777777" w:rsidR="009F6D8A" w:rsidRDefault="009F6D8A">
            <w:pPr>
              <w:rPr>
                <w:rFonts w:ascii="宋体"/>
              </w:rPr>
            </w:pPr>
          </w:p>
        </w:tc>
        <w:tc>
          <w:tcPr>
            <w:tcW w:w="531" w:type="pct"/>
            <w:shd w:val="clear" w:color="auto" w:fill="auto"/>
            <w:vAlign w:val="bottom"/>
          </w:tcPr>
          <w:p w14:paraId="643053DD" w14:textId="77777777" w:rsidR="009F6D8A" w:rsidRDefault="009F6D8A">
            <w:pPr>
              <w:rPr>
                <w:rFonts w:ascii="宋体"/>
              </w:rPr>
            </w:pPr>
          </w:p>
        </w:tc>
        <w:tc>
          <w:tcPr>
            <w:tcW w:w="5" w:type="pct"/>
            <w:shd w:val="clear" w:color="auto" w:fill="auto"/>
            <w:vAlign w:val="bottom"/>
          </w:tcPr>
          <w:p w14:paraId="643053DE" w14:textId="77777777" w:rsidR="009F6D8A" w:rsidRDefault="009F6D8A">
            <w:pPr>
              <w:rPr>
                <w:rFonts w:ascii="宋体"/>
              </w:rPr>
            </w:pPr>
          </w:p>
        </w:tc>
        <w:tc>
          <w:tcPr>
            <w:tcW w:w="5" w:type="pct"/>
            <w:shd w:val="clear" w:color="auto" w:fill="auto"/>
            <w:vAlign w:val="bottom"/>
          </w:tcPr>
          <w:p w14:paraId="643053DF" w14:textId="77777777" w:rsidR="009F6D8A" w:rsidRDefault="009F6D8A">
            <w:pPr>
              <w:rPr>
                <w:rFonts w:ascii="宋体"/>
              </w:rPr>
            </w:pPr>
          </w:p>
        </w:tc>
        <w:tc>
          <w:tcPr>
            <w:tcW w:w="26" w:type="pct"/>
            <w:shd w:val="clear" w:color="auto" w:fill="auto"/>
            <w:vAlign w:val="bottom"/>
          </w:tcPr>
          <w:p w14:paraId="643053E0" w14:textId="77777777" w:rsidR="009F6D8A" w:rsidRDefault="009F6D8A">
            <w:pPr>
              <w:rPr>
                <w:rFonts w:ascii="宋体"/>
              </w:rPr>
            </w:pPr>
          </w:p>
        </w:tc>
        <w:tc>
          <w:tcPr>
            <w:tcW w:w="5" w:type="pct"/>
            <w:shd w:val="clear" w:color="auto" w:fill="auto"/>
            <w:vAlign w:val="bottom"/>
          </w:tcPr>
          <w:p w14:paraId="643053E1" w14:textId="77777777" w:rsidR="009F6D8A" w:rsidRDefault="009F6D8A">
            <w:pPr>
              <w:rPr>
                <w:rFonts w:ascii="宋体"/>
              </w:rPr>
            </w:pPr>
          </w:p>
        </w:tc>
        <w:tc>
          <w:tcPr>
            <w:tcW w:w="50" w:type="pct"/>
            <w:shd w:val="clear" w:color="auto" w:fill="auto"/>
            <w:vAlign w:val="bottom"/>
          </w:tcPr>
          <w:p w14:paraId="643053E2" w14:textId="77777777" w:rsidR="009F6D8A" w:rsidRDefault="009F6D8A">
            <w:pPr>
              <w:rPr>
                <w:rFonts w:ascii="宋体"/>
              </w:rPr>
            </w:pPr>
          </w:p>
        </w:tc>
        <w:tc>
          <w:tcPr>
            <w:tcW w:w="714" w:type="pct"/>
            <w:shd w:val="clear" w:color="auto" w:fill="auto"/>
            <w:vAlign w:val="bottom"/>
          </w:tcPr>
          <w:p w14:paraId="643053E3" w14:textId="77777777" w:rsidR="009F6D8A" w:rsidRDefault="009F6D8A">
            <w:pPr>
              <w:rPr>
                <w:rFonts w:ascii="宋体"/>
              </w:rPr>
            </w:pPr>
          </w:p>
        </w:tc>
        <w:tc>
          <w:tcPr>
            <w:tcW w:w="5" w:type="pct"/>
            <w:shd w:val="clear" w:color="auto" w:fill="auto"/>
            <w:vAlign w:val="bottom"/>
          </w:tcPr>
          <w:p w14:paraId="643053E4" w14:textId="77777777" w:rsidR="009F6D8A" w:rsidRDefault="009F6D8A">
            <w:pPr>
              <w:rPr>
                <w:rFonts w:ascii="宋体"/>
              </w:rPr>
            </w:pPr>
          </w:p>
        </w:tc>
        <w:tc>
          <w:tcPr>
            <w:tcW w:w="5" w:type="pct"/>
            <w:shd w:val="clear" w:color="auto" w:fill="auto"/>
            <w:vAlign w:val="bottom"/>
          </w:tcPr>
          <w:p w14:paraId="643053E5" w14:textId="77777777" w:rsidR="009F6D8A" w:rsidRDefault="009F6D8A">
            <w:pPr>
              <w:rPr>
                <w:rFonts w:ascii="宋体"/>
              </w:rPr>
            </w:pPr>
          </w:p>
        </w:tc>
        <w:tc>
          <w:tcPr>
            <w:tcW w:w="26" w:type="pct"/>
            <w:shd w:val="clear" w:color="auto" w:fill="auto"/>
            <w:vAlign w:val="bottom"/>
          </w:tcPr>
          <w:p w14:paraId="643053E6" w14:textId="77777777" w:rsidR="009F6D8A" w:rsidRDefault="009F6D8A">
            <w:pPr>
              <w:rPr>
                <w:rFonts w:ascii="宋体"/>
              </w:rPr>
            </w:pPr>
          </w:p>
        </w:tc>
        <w:tc>
          <w:tcPr>
            <w:tcW w:w="5" w:type="pct"/>
            <w:shd w:val="clear" w:color="auto" w:fill="auto"/>
            <w:vAlign w:val="bottom"/>
          </w:tcPr>
          <w:p w14:paraId="643053E7" w14:textId="77777777" w:rsidR="009F6D8A" w:rsidRDefault="009F6D8A">
            <w:pPr>
              <w:rPr>
                <w:rFonts w:ascii="宋体"/>
              </w:rPr>
            </w:pPr>
          </w:p>
        </w:tc>
        <w:tc>
          <w:tcPr>
            <w:tcW w:w="50" w:type="pct"/>
            <w:shd w:val="clear" w:color="auto" w:fill="auto"/>
            <w:vAlign w:val="bottom"/>
          </w:tcPr>
          <w:p w14:paraId="643053E8" w14:textId="77777777" w:rsidR="009F6D8A" w:rsidRDefault="009F6D8A">
            <w:pPr>
              <w:rPr>
                <w:rFonts w:ascii="宋体"/>
              </w:rPr>
            </w:pPr>
          </w:p>
        </w:tc>
        <w:tc>
          <w:tcPr>
            <w:tcW w:w="531" w:type="pct"/>
            <w:shd w:val="clear" w:color="auto" w:fill="auto"/>
            <w:vAlign w:val="bottom"/>
          </w:tcPr>
          <w:p w14:paraId="643053E9" w14:textId="77777777" w:rsidR="009F6D8A" w:rsidRDefault="009F6D8A">
            <w:pPr>
              <w:rPr>
                <w:rFonts w:ascii="宋体"/>
              </w:rPr>
            </w:pPr>
          </w:p>
        </w:tc>
        <w:tc>
          <w:tcPr>
            <w:tcW w:w="5" w:type="pct"/>
            <w:shd w:val="clear" w:color="auto" w:fill="auto"/>
            <w:vAlign w:val="bottom"/>
          </w:tcPr>
          <w:p w14:paraId="643053EA" w14:textId="77777777" w:rsidR="009F6D8A" w:rsidRDefault="009F6D8A">
            <w:pPr>
              <w:rPr>
                <w:rFonts w:ascii="宋体"/>
              </w:rPr>
            </w:pPr>
          </w:p>
        </w:tc>
        <w:tc>
          <w:tcPr>
            <w:tcW w:w="5" w:type="pct"/>
            <w:shd w:val="clear" w:color="auto" w:fill="auto"/>
            <w:vAlign w:val="bottom"/>
          </w:tcPr>
          <w:p w14:paraId="643053EB" w14:textId="77777777" w:rsidR="009F6D8A" w:rsidRDefault="009F6D8A">
            <w:pPr>
              <w:rPr>
                <w:rFonts w:ascii="宋体"/>
              </w:rPr>
            </w:pPr>
          </w:p>
        </w:tc>
        <w:tc>
          <w:tcPr>
            <w:tcW w:w="26" w:type="pct"/>
            <w:shd w:val="clear" w:color="auto" w:fill="auto"/>
            <w:vAlign w:val="bottom"/>
          </w:tcPr>
          <w:p w14:paraId="643053EC" w14:textId="77777777" w:rsidR="009F6D8A" w:rsidRDefault="009F6D8A">
            <w:pPr>
              <w:rPr>
                <w:rFonts w:ascii="宋体"/>
              </w:rPr>
            </w:pPr>
          </w:p>
        </w:tc>
        <w:tc>
          <w:tcPr>
            <w:tcW w:w="5" w:type="pct"/>
            <w:shd w:val="clear" w:color="auto" w:fill="auto"/>
            <w:vAlign w:val="bottom"/>
          </w:tcPr>
          <w:p w14:paraId="643053ED" w14:textId="77777777" w:rsidR="009F6D8A" w:rsidRDefault="009F6D8A">
            <w:pPr>
              <w:rPr>
                <w:rFonts w:ascii="宋体"/>
              </w:rPr>
            </w:pPr>
          </w:p>
        </w:tc>
        <w:tc>
          <w:tcPr>
            <w:tcW w:w="50" w:type="pct"/>
            <w:shd w:val="clear" w:color="auto" w:fill="auto"/>
            <w:vAlign w:val="bottom"/>
          </w:tcPr>
          <w:p w14:paraId="643053EE" w14:textId="77777777" w:rsidR="009F6D8A" w:rsidRDefault="009F6D8A">
            <w:pPr>
              <w:rPr>
                <w:rFonts w:ascii="宋体"/>
              </w:rPr>
            </w:pPr>
          </w:p>
        </w:tc>
        <w:tc>
          <w:tcPr>
            <w:tcW w:w="531" w:type="pct"/>
            <w:shd w:val="clear" w:color="auto" w:fill="auto"/>
            <w:vAlign w:val="bottom"/>
          </w:tcPr>
          <w:p w14:paraId="643053EF" w14:textId="77777777" w:rsidR="009F6D8A" w:rsidRDefault="009F6D8A">
            <w:pPr>
              <w:rPr>
                <w:rFonts w:ascii="宋体"/>
              </w:rPr>
            </w:pPr>
          </w:p>
        </w:tc>
        <w:tc>
          <w:tcPr>
            <w:tcW w:w="5" w:type="pct"/>
            <w:shd w:val="clear" w:color="auto" w:fill="auto"/>
            <w:vAlign w:val="bottom"/>
          </w:tcPr>
          <w:p w14:paraId="643053F0" w14:textId="77777777" w:rsidR="009F6D8A" w:rsidRDefault="009F6D8A">
            <w:pPr>
              <w:rPr>
                <w:rFonts w:ascii="宋体"/>
              </w:rPr>
            </w:pPr>
          </w:p>
        </w:tc>
      </w:tr>
      <w:tr w:rsidR="009F6D8A" w14:paraId="643053FA" w14:textId="77777777">
        <w:tc>
          <w:tcPr>
            <w:tcW w:w="0" w:type="auto"/>
            <w:gridSpan w:val="3"/>
            <w:shd w:val="clear" w:color="auto" w:fill="auto"/>
            <w:tcMar>
              <w:top w:w="40" w:type="dxa"/>
              <w:left w:w="20" w:type="dxa"/>
              <w:bottom w:w="40" w:type="dxa"/>
              <w:right w:w="20" w:type="dxa"/>
            </w:tcMar>
            <w:vAlign w:val="bottom"/>
          </w:tcPr>
          <w:p w14:paraId="643053F2" w14:textId="77777777" w:rsidR="009F6D8A" w:rsidRDefault="00C50974">
            <w:pPr>
              <w:textAlignment w:val="bottom"/>
            </w:pPr>
            <w:r>
              <w:rPr>
                <w:rFonts w:ascii="Arial" w:eastAsia="宋体" w:hAnsi="Arial" w:cs="Arial"/>
                <w:b/>
                <w:bCs/>
                <w:color w:val="000000"/>
                <w:sz w:val="16"/>
                <w:szCs w:val="16"/>
              </w:rPr>
              <w:t> </w:t>
            </w:r>
          </w:p>
        </w:tc>
        <w:tc>
          <w:tcPr>
            <w:tcW w:w="0" w:type="auto"/>
            <w:gridSpan w:val="15"/>
            <w:shd w:val="clear" w:color="auto" w:fill="auto"/>
            <w:tcMar>
              <w:top w:w="40" w:type="dxa"/>
              <w:left w:w="20" w:type="dxa"/>
              <w:bottom w:w="40" w:type="dxa"/>
              <w:right w:w="20" w:type="dxa"/>
            </w:tcMar>
            <w:vAlign w:val="bottom"/>
          </w:tcPr>
          <w:p w14:paraId="643053F3" w14:textId="77777777" w:rsidR="009F6D8A" w:rsidRDefault="00C50974">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 2021</w:t>
            </w:r>
          </w:p>
        </w:tc>
        <w:tc>
          <w:tcPr>
            <w:tcW w:w="0" w:type="auto"/>
            <w:gridSpan w:val="3"/>
            <w:shd w:val="clear" w:color="auto" w:fill="auto"/>
            <w:tcMar>
              <w:top w:w="0" w:type="dxa"/>
              <w:left w:w="20" w:type="dxa"/>
              <w:bottom w:w="0" w:type="dxa"/>
              <w:right w:w="20" w:type="dxa"/>
            </w:tcMar>
            <w:vAlign w:val="bottom"/>
          </w:tcPr>
          <w:p w14:paraId="643053F4"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53F5" w14:textId="77777777" w:rsidR="009F6D8A" w:rsidRDefault="00C50974">
            <w:pPr>
              <w:jc w:val="center"/>
              <w:textAlignment w:val="bottom"/>
            </w:pPr>
            <w:r>
              <w:rPr>
                <w:rFonts w:ascii="Arial" w:eastAsia="宋体" w:hAnsi="Arial" w:cs="Arial"/>
                <w:b/>
                <w:bCs/>
                <w:color w:val="000000"/>
                <w:sz w:val="14"/>
                <w:szCs w:val="14"/>
              </w:rPr>
              <w:t>Six Months Ended</w:t>
            </w:r>
            <w:r>
              <w:rPr>
                <w:rFonts w:ascii="Arial" w:eastAsia="宋体" w:hAnsi="Arial" w:cs="Arial"/>
                <w:b/>
                <w:bCs/>
                <w:color w:val="000000"/>
                <w:sz w:val="14"/>
                <w:szCs w:val="14"/>
              </w:rPr>
              <w:br/>
              <w:t>June 30, 2020</w:t>
            </w:r>
          </w:p>
        </w:tc>
        <w:tc>
          <w:tcPr>
            <w:tcW w:w="0" w:type="auto"/>
            <w:gridSpan w:val="3"/>
            <w:shd w:val="clear" w:color="auto" w:fill="auto"/>
            <w:tcMar>
              <w:top w:w="0" w:type="dxa"/>
              <w:left w:w="20" w:type="dxa"/>
              <w:bottom w:w="0" w:type="dxa"/>
              <w:right w:w="20" w:type="dxa"/>
            </w:tcMar>
            <w:vAlign w:val="bottom"/>
          </w:tcPr>
          <w:p w14:paraId="643053F6"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3F7"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3F8"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3F9" w14:textId="77777777" w:rsidR="009F6D8A" w:rsidRDefault="009F6D8A">
            <w:pPr>
              <w:rPr>
                <w:rFonts w:ascii="宋体"/>
              </w:rPr>
            </w:pPr>
          </w:p>
        </w:tc>
      </w:tr>
      <w:tr w:rsidR="009F6D8A" w14:paraId="64305408" w14:textId="77777777">
        <w:tc>
          <w:tcPr>
            <w:tcW w:w="0" w:type="auto"/>
            <w:gridSpan w:val="3"/>
            <w:shd w:val="clear" w:color="auto" w:fill="auto"/>
            <w:tcMar>
              <w:top w:w="40" w:type="dxa"/>
              <w:left w:w="20" w:type="dxa"/>
              <w:bottom w:w="40" w:type="dxa"/>
              <w:right w:w="20" w:type="dxa"/>
            </w:tcMar>
            <w:vAlign w:val="bottom"/>
          </w:tcPr>
          <w:p w14:paraId="643053FB" w14:textId="77777777" w:rsidR="009F6D8A" w:rsidRDefault="00C50974">
            <w:pP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3FC" w14:textId="77777777" w:rsidR="009F6D8A" w:rsidRDefault="00C50974">
            <w:pPr>
              <w:jc w:val="center"/>
              <w:textAlignment w:val="bottom"/>
            </w:pPr>
            <w:r>
              <w:rPr>
                <w:rFonts w:ascii="Arial" w:eastAsia="宋体" w:hAnsi="Arial" w:cs="Arial"/>
                <w:b/>
                <w:bCs/>
                <w:color w:val="000000"/>
                <w:sz w:val="14"/>
                <w:szCs w:val="14"/>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3FD"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3FE" w14:textId="77777777" w:rsidR="009F6D8A" w:rsidRDefault="00C50974">
            <w:pPr>
              <w:jc w:val="center"/>
              <w:textAlignment w:val="bottom"/>
            </w:pPr>
            <w:r>
              <w:rPr>
                <w:rFonts w:ascii="Arial" w:eastAsia="宋体" w:hAnsi="Arial" w:cs="Arial"/>
                <w:b/>
                <w:bCs/>
                <w:color w:val="000000"/>
                <w:sz w:val="14"/>
                <w:szCs w:val="14"/>
              </w:rPr>
              <w:t xml:space="preserve">Exchange Rate </w:t>
            </w:r>
            <w:r>
              <w:rPr>
                <w:rFonts w:ascii="Arial" w:eastAsia="宋体" w:hAnsi="Arial" w:cs="Arial"/>
                <w:b/>
                <w:bCs/>
                <w:color w:val="000000"/>
                <w:sz w:val="14"/>
                <w:szCs w:val="14"/>
              </w:rPr>
              <w:t>Effect</w:t>
            </w:r>
            <w:r>
              <w:rPr>
                <w:rFonts w:ascii="Arial" w:eastAsia="宋体" w:hAnsi="Arial" w:cs="Arial"/>
                <w:b/>
                <w:bCs/>
                <w:color w:val="000000"/>
                <w:sz w:val="9"/>
                <w:szCs w:val="9"/>
              </w:rPr>
              <w:t>(1)(3)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3FF"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400" w14:textId="77777777" w:rsidR="009F6D8A" w:rsidRDefault="00C50974">
            <w:pPr>
              <w:jc w:val="center"/>
              <w:textAlignment w:val="bottom"/>
            </w:pPr>
            <w:r>
              <w:rPr>
                <w:rFonts w:ascii="Arial" w:eastAsia="宋体" w:hAnsi="Arial" w:cs="Arial"/>
                <w:b/>
                <w:bCs/>
                <w:color w:val="000000"/>
                <w:sz w:val="14"/>
                <w:szCs w:val="14"/>
              </w:rPr>
              <w:t>FX-Neutral</w:t>
            </w:r>
            <w:r>
              <w:rPr>
                <w:rFonts w:ascii="Arial" w:eastAsia="宋体" w:hAnsi="Arial" w:cs="Arial"/>
                <w:b/>
                <w:bCs/>
                <w:color w:val="000000"/>
                <w:sz w:val="9"/>
                <w:szCs w:val="9"/>
              </w:rPr>
              <w:t>(2)</w:t>
            </w:r>
          </w:p>
        </w:tc>
        <w:tc>
          <w:tcPr>
            <w:tcW w:w="0" w:type="auto"/>
            <w:gridSpan w:val="3"/>
            <w:shd w:val="clear" w:color="auto" w:fill="auto"/>
            <w:tcMar>
              <w:top w:w="0" w:type="dxa"/>
              <w:left w:w="20" w:type="dxa"/>
              <w:bottom w:w="0" w:type="dxa"/>
              <w:right w:w="20" w:type="dxa"/>
            </w:tcMar>
            <w:vAlign w:val="bottom"/>
          </w:tcPr>
          <w:p w14:paraId="64305401" w14:textId="77777777" w:rsidR="009F6D8A" w:rsidRDefault="009F6D8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402" w14:textId="77777777" w:rsidR="009F6D8A" w:rsidRDefault="00C50974">
            <w:pPr>
              <w:jc w:val="center"/>
              <w:textAlignment w:val="bottom"/>
            </w:pPr>
            <w:r>
              <w:rPr>
                <w:rFonts w:ascii="Arial" w:eastAsia="宋体" w:hAnsi="Arial" w:cs="Arial"/>
                <w:b/>
                <w:bCs/>
                <w:color w:val="000000"/>
                <w:sz w:val="14"/>
                <w:szCs w:val="14"/>
              </w:rPr>
              <w:t>As Reported</w:t>
            </w:r>
          </w:p>
        </w:tc>
        <w:tc>
          <w:tcPr>
            <w:tcW w:w="0" w:type="auto"/>
            <w:gridSpan w:val="3"/>
            <w:shd w:val="clear" w:color="auto" w:fill="auto"/>
            <w:tcMar>
              <w:top w:w="0" w:type="dxa"/>
              <w:left w:w="20" w:type="dxa"/>
              <w:bottom w:w="0" w:type="dxa"/>
              <w:right w:w="20" w:type="dxa"/>
            </w:tcMar>
            <w:vAlign w:val="bottom"/>
          </w:tcPr>
          <w:p w14:paraId="64305403"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5404" w14:textId="77777777" w:rsidR="009F6D8A" w:rsidRDefault="00C50974">
            <w:pPr>
              <w:jc w:val="center"/>
              <w:textAlignment w:val="bottom"/>
            </w:pPr>
            <w:r>
              <w:rPr>
                <w:rFonts w:ascii="Arial" w:eastAsia="宋体" w:hAnsi="Arial" w:cs="Arial"/>
                <w:b/>
                <w:bCs/>
                <w:color w:val="000000"/>
                <w:sz w:val="14"/>
                <w:szCs w:val="14"/>
              </w:rPr>
              <w:t>As Reported % Change</w:t>
            </w:r>
          </w:p>
        </w:tc>
        <w:tc>
          <w:tcPr>
            <w:tcW w:w="0" w:type="auto"/>
            <w:gridSpan w:val="3"/>
            <w:shd w:val="clear" w:color="auto" w:fill="auto"/>
            <w:tcMar>
              <w:top w:w="0" w:type="dxa"/>
              <w:left w:w="20" w:type="dxa"/>
              <w:bottom w:w="0" w:type="dxa"/>
              <w:right w:w="20" w:type="dxa"/>
            </w:tcMar>
            <w:vAlign w:val="bottom"/>
          </w:tcPr>
          <w:p w14:paraId="64305405"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5406" w14:textId="77777777" w:rsidR="009F6D8A" w:rsidRDefault="00C50974">
            <w:pPr>
              <w:jc w:val="center"/>
              <w:textAlignment w:val="bottom"/>
            </w:pPr>
            <w:r>
              <w:rPr>
                <w:rFonts w:ascii="Arial" w:eastAsia="宋体" w:hAnsi="Arial" w:cs="Arial"/>
                <w:b/>
                <w:bCs/>
                <w:color w:val="000000"/>
                <w:sz w:val="14"/>
                <w:szCs w:val="14"/>
              </w:rPr>
              <w:t xml:space="preserve">FX-Neutral </w:t>
            </w:r>
          </w:p>
          <w:p w14:paraId="64305407" w14:textId="77777777" w:rsidR="009F6D8A" w:rsidRDefault="00C50974">
            <w:pPr>
              <w:jc w:val="center"/>
              <w:textAlignment w:val="bottom"/>
            </w:pPr>
            <w:r>
              <w:rPr>
                <w:rFonts w:ascii="Arial" w:eastAsia="宋体" w:hAnsi="Arial" w:cs="Arial"/>
                <w:b/>
                <w:bCs/>
                <w:color w:val="000000"/>
                <w:sz w:val="14"/>
                <w:szCs w:val="14"/>
              </w:rPr>
              <w:t>% Change</w:t>
            </w:r>
          </w:p>
        </w:tc>
      </w:tr>
      <w:tr w:rsidR="009F6D8A" w14:paraId="64305415" w14:textId="77777777">
        <w:trPr>
          <w:trHeight w:val="240"/>
        </w:trPr>
        <w:tc>
          <w:tcPr>
            <w:tcW w:w="0" w:type="auto"/>
            <w:gridSpan w:val="3"/>
            <w:shd w:val="clear" w:color="auto" w:fill="auto"/>
            <w:tcMar>
              <w:top w:w="0" w:type="dxa"/>
              <w:left w:w="20" w:type="dxa"/>
              <w:bottom w:w="0" w:type="dxa"/>
              <w:right w:w="20" w:type="dxa"/>
            </w:tcMar>
            <w:vAlign w:val="bottom"/>
          </w:tcPr>
          <w:p w14:paraId="64305409" w14:textId="77777777" w:rsidR="009F6D8A" w:rsidRDefault="009F6D8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40A"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40B" w14:textId="77777777" w:rsidR="009F6D8A" w:rsidRDefault="009F6D8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40C"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40D" w14:textId="77777777" w:rsidR="009F6D8A" w:rsidRDefault="009F6D8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40E"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40F" w14:textId="77777777" w:rsidR="009F6D8A" w:rsidRDefault="009F6D8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410"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411" w14:textId="77777777" w:rsidR="009F6D8A" w:rsidRDefault="009F6D8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412"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413" w14:textId="77777777" w:rsidR="009F6D8A" w:rsidRDefault="009F6D8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414" w14:textId="77777777" w:rsidR="009F6D8A" w:rsidRDefault="009F6D8A">
            <w:pPr>
              <w:rPr>
                <w:rFonts w:ascii="宋体"/>
              </w:rPr>
            </w:pPr>
          </w:p>
        </w:tc>
      </w:tr>
      <w:tr w:rsidR="009F6D8A" w14:paraId="6430542C" w14:textId="77777777">
        <w:tc>
          <w:tcPr>
            <w:tcW w:w="0" w:type="auto"/>
            <w:gridSpan w:val="3"/>
            <w:shd w:val="clear" w:color="auto" w:fill="E1E1E1"/>
            <w:tcMar>
              <w:top w:w="40" w:type="dxa"/>
              <w:left w:w="20" w:type="dxa"/>
              <w:bottom w:w="40" w:type="dxa"/>
              <w:right w:w="20" w:type="dxa"/>
            </w:tcMar>
            <w:vAlign w:val="bottom"/>
          </w:tcPr>
          <w:p w14:paraId="64305416" w14:textId="77777777" w:rsidR="009F6D8A" w:rsidRDefault="00C50974">
            <w:pPr>
              <w:textAlignment w:val="bottom"/>
            </w:pPr>
            <w:r>
              <w:rPr>
                <w:rFonts w:ascii="Arial" w:eastAsia="宋体" w:hAnsi="Arial" w:cs="Arial"/>
                <w:b/>
                <w:bCs/>
                <w:color w:val="000000"/>
                <w:sz w:val="16"/>
                <w:szCs w:val="16"/>
              </w:rPr>
              <w:t>GMV</w:t>
            </w:r>
          </w:p>
        </w:tc>
        <w:tc>
          <w:tcPr>
            <w:tcW w:w="0" w:type="auto"/>
            <w:shd w:val="clear" w:color="auto" w:fill="E1E1E1"/>
            <w:tcMar>
              <w:top w:w="40" w:type="dxa"/>
              <w:left w:w="20" w:type="dxa"/>
              <w:bottom w:w="40" w:type="dxa"/>
              <w:right w:w="0" w:type="dxa"/>
            </w:tcMar>
            <w:vAlign w:val="bottom"/>
          </w:tcPr>
          <w:p w14:paraId="64305417"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5418" w14:textId="77777777" w:rsidR="009F6D8A" w:rsidRDefault="00C50974">
            <w:pPr>
              <w:jc w:val="right"/>
              <w:textAlignment w:val="bottom"/>
            </w:pPr>
            <w:r>
              <w:rPr>
                <w:rFonts w:ascii="Arial" w:eastAsia="宋体" w:hAnsi="Arial" w:cs="Arial"/>
                <w:color w:val="000000"/>
                <w:sz w:val="16"/>
                <w:szCs w:val="16"/>
              </w:rPr>
              <w:t>45,725 </w:t>
            </w:r>
          </w:p>
        </w:tc>
        <w:tc>
          <w:tcPr>
            <w:tcW w:w="0" w:type="auto"/>
            <w:shd w:val="clear" w:color="auto" w:fill="E1E1E1"/>
            <w:tcMar>
              <w:top w:w="40" w:type="dxa"/>
              <w:left w:w="0" w:type="dxa"/>
              <w:bottom w:w="40" w:type="dxa"/>
              <w:right w:w="20" w:type="dxa"/>
            </w:tcMar>
            <w:vAlign w:val="bottom"/>
          </w:tcPr>
          <w:p w14:paraId="64305419"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41A"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541B"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541C" w14:textId="77777777" w:rsidR="009F6D8A" w:rsidRDefault="00C50974">
            <w:pPr>
              <w:jc w:val="right"/>
              <w:textAlignment w:val="bottom"/>
            </w:pPr>
            <w:r>
              <w:rPr>
                <w:rFonts w:ascii="Arial" w:eastAsia="宋体" w:hAnsi="Arial" w:cs="Arial"/>
                <w:color w:val="000000"/>
                <w:sz w:val="16"/>
                <w:szCs w:val="16"/>
              </w:rPr>
              <w:t>1,939 </w:t>
            </w:r>
          </w:p>
        </w:tc>
        <w:tc>
          <w:tcPr>
            <w:tcW w:w="0" w:type="auto"/>
            <w:shd w:val="clear" w:color="auto" w:fill="E1E1E1"/>
            <w:tcMar>
              <w:top w:w="40" w:type="dxa"/>
              <w:left w:w="0" w:type="dxa"/>
              <w:bottom w:w="40" w:type="dxa"/>
              <w:right w:w="20" w:type="dxa"/>
            </w:tcMar>
            <w:vAlign w:val="bottom"/>
          </w:tcPr>
          <w:p w14:paraId="6430541D"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41E"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541F"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5420" w14:textId="77777777" w:rsidR="009F6D8A" w:rsidRDefault="00C50974">
            <w:pPr>
              <w:jc w:val="right"/>
              <w:textAlignment w:val="bottom"/>
            </w:pPr>
            <w:r>
              <w:rPr>
                <w:rFonts w:ascii="Arial" w:eastAsia="宋体" w:hAnsi="Arial" w:cs="Arial"/>
                <w:color w:val="000000"/>
                <w:sz w:val="16"/>
                <w:szCs w:val="16"/>
              </w:rPr>
              <w:t>43,786 </w:t>
            </w:r>
          </w:p>
        </w:tc>
        <w:tc>
          <w:tcPr>
            <w:tcW w:w="0" w:type="auto"/>
            <w:shd w:val="clear" w:color="auto" w:fill="E1E1E1"/>
            <w:tcMar>
              <w:top w:w="40" w:type="dxa"/>
              <w:left w:w="0" w:type="dxa"/>
              <w:bottom w:w="40" w:type="dxa"/>
              <w:right w:w="20" w:type="dxa"/>
            </w:tcMar>
            <w:vAlign w:val="bottom"/>
          </w:tcPr>
          <w:p w14:paraId="64305421"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422"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5423"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5424" w14:textId="77777777" w:rsidR="009F6D8A" w:rsidRDefault="00C50974">
            <w:pPr>
              <w:jc w:val="right"/>
              <w:textAlignment w:val="bottom"/>
            </w:pPr>
            <w:r>
              <w:rPr>
                <w:rFonts w:ascii="Arial" w:eastAsia="宋体" w:hAnsi="Arial" w:cs="Arial"/>
                <w:color w:val="000000"/>
                <w:sz w:val="16"/>
                <w:szCs w:val="16"/>
              </w:rPr>
              <w:t>41,474 </w:t>
            </w:r>
          </w:p>
        </w:tc>
        <w:tc>
          <w:tcPr>
            <w:tcW w:w="0" w:type="auto"/>
            <w:shd w:val="clear" w:color="auto" w:fill="E1E1E1"/>
            <w:tcMar>
              <w:top w:w="40" w:type="dxa"/>
              <w:left w:w="0" w:type="dxa"/>
              <w:bottom w:w="40" w:type="dxa"/>
              <w:right w:w="20" w:type="dxa"/>
            </w:tcMar>
            <w:vAlign w:val="bottom"/>
          </w:tcPr>
          <w:p w14:paraId="64305425"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426"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5427" w14:textId="77777777" w:rsidR="009F6D8A" w:rsidRDefault="00C50974">
            <w:pPr>
              <w:jc w:val="right"/>
              <w:textAlignment w:val="bottom"/>
            </w:pPr>
            <w:r>
              <w:rPr>
                <w:rFonts w:ascii="Arial" w:eastAsia="宋体" w:hAnsi="Arial" w:cs="Arial"/>
                <w:color w:val="000000"/>
                <w:sz w:val="16"/>
                <w:szCs w:val="16"/>
              </w:rPr>
              <w:t>10 </w:t>
            </w:r>
          </w:p>
        </w:tc>
        <w:tc>
          <w:tcPr>
            <w:tcW w:w="0" w:type="auto"/>
            <w:shd w:val="clear" w:color="auto" w:fill="E1E1E1"/>
            <w:tcMar>
              <w:top w:w="40" w:type="dxa"/>
              <w:left w:w="0" w:type="dxa"/>
              <w:bottom w:w="40" w:type="dxa"/>
              <w:right w:w="20" w:type="dxa"/>
            </w:tcMar>
            <w:vAlign w:val="bottom"/>
          </w:tcPr>
          <w:p w14:paraId="64305428"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1E1E1"/>
            <w:tcMar>
              <w:top w:w="0" w:type="dxa"/>
              <w:left w:w="20" w:type="dxa"/>
              <w:bottom w:w="0" w:type="dxa"/>
              <w:right w:w="20" w:type="dxa"/>
            </w:tcMar>
            <w:vAlign w:val="bottom"/>
          </w:tcPr>
          <w:p w14:paraId="64305429"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542A" w14:textId="77777777" w:rsidR="009F6D8A" w:rsidRDefault="00C50974">
            <w:pPr>
              <w:jc w:val="right"/>
              <w:textAlignment w:val="bottom"/>
            </w:pPr>
            <w:r>
              <w:rPr>
                <w:rFonts w:ascii="Arial" w:eastAsia="宋体" w:hAnsi="Arial" w:cs="Arial"/>
                <w:color w:val="000000"/>
                <w:sz w:val="16"/>
                <w:szCs w:val="16"/>
              </w:rPr>
              <w:t>6 </w:t>
            </w:r>
          </w:p>
        </w:tc>
        <w:tc>
          <w:tcPr>
            <w:tcW w:w="0" w:type="auto"/>
            <w:shd w:val="clear" w:color="auto" w:fill="E1E1E1"/>
            <w:tcMar>
              <w:top w:w="40" w:type="dxa"/>
              <w:left w:w="0" w:type="dxa"/>
              <w:bottom w:w="40" w:type="dxa"/>
              <w:right w:w="20" w:type="dxa"/>
            </w:tcMar>
            <w:vAlign w:val="bottom"/>
          </w:tcPr>
          <w:p w14:paraId="6430542B" w14:textId="77777777" w:rsidR="009F6D8A" w:rsidRDefault="00C50974">
            <w:pPr>
              <w:jc w:val="right"/>
              <w:textAlignment w:val="bottom"/>
            </w:pPr>
            <w:r>
              <w:rPr>
                <w:rFonts w:ascii="Arial" w:eastAsia="宋体" w:hAnsi="Arial" w:cs="Arial"/>
                <w:color w:val="000000"/>
                <w:sz w:val="16"/>
                <w:szCs w:val="16"/>
              </w:rPr>
              <w:t>%</w:t>
            </w:r>
          </w:p>
        </w:tc>
      </w:tr>
      <w:tr w:rsidR="009F6D8A" w14:paraId="64305439" w14:textId="77777777">
        <w:trPr>
          <w:hidden/>
        </w:trPr>
        <w:tc>
          <w:tcPr>
            <w:tcW w:w="0" w:type="auto"/>
            <w:gridSpan w:val="3"/>
            <w:shd w:val="clear" w:color="auto" w:fill="auto"/>
            <w:vAlign w:val="bottom"/>
          </w:tcPr>
          <w:p w14:paraId="6430542D" w14:textId="77777777" w:rsidR="009F6D8A" w:rsidRDefault="009F6D8A">
            <w:pPr>
              <w:rPr>
                <w:rFonts w:ascii="宋体"/>
                <w:vanish/>
              </w:rPr>
            </w:pPr>
          </w:p>
        </w:tc>
        <w:tc>
          <w:tcPr>
            <w:tcW w:w="0" w:type="auto"/>
            <w:gridSpan w:val="3"/>
            <w:shd w:val="clear" w:color="auto" w:fill="auto"/>
            <w:vAlign w:val="bottom"/>
          </w:tcPr>
          <w:p w14:paraId="6430542E" w14:textId="77777777" w:rsidR="009F6D8A" w:rsidRDefault="009F6D8A">
            <w:pPr>
              <w:rPr>
                <w:rFonts w:ascii="宋体"/>
                <w:vanish/>
              </w:rPr>
            </w:pPr>
          </w:p>
        </w:tc>
        <w:tc>
          <w:tcPr>
            <w:tcW w:w="0" w:type="auto"/>
            <w:gridSpan w:val="3"/>
            <w:shd w:val="clear" w:color="auto" w:fill="auto"/>
            <w:vAlign w:val="bottom"/>
          </w:tcPr>
          <w:p w14:paraId="6430542F" w14:textId="77777777" w:rsidR="009F6D8A" w:rsidRDefault="009F6D8A">
            <w:pPr>
              <w:rPr>
                <w:rFonts w:ascii="宋体"/>
                <w:vanish/>
              </w:rPr>
            </w:pPr>
          </w:p>
        </w:tc>
        <w:tc>
          <w:tcPr>
            <w:tcW w:w="0" w:type="auto"/>
            <w:gridSpan w:val="3"/>
            <w:shd w:val="clear" w:color="auto" w:fill="auto"/>
            <w:vAlign w:val="bottom"/>
          </w:tcPr>
          <w:p w14:paraId="64305430" w14:textId="77777777" w:rsidR="009F6D8A" w:rsidRDefault="009F6D8A">
            <w:pPr>
              <w:rPr>
                <w:rFonts w:ascii="宋体"/>
                <w:vanish/>
              </w:rPr>
            </w:pPr>
          </w:p>
        </w:tc>
        <w:tc>
          <w:tcPr>
            <w:tcW w:w="0" w:type="auto"/>
            <w:gridSpan w:val="3"/>
            <w:shd w:val="clear" w:color="auto" w:fill="auto"/>
            <w:vAlign w:val="bottom"/>
          </w:tcPr>
          <w:p w14:paraId="64305431" w14:textId="77777777" w:rsidR="009F6D8A" w:rsidRDefault="009F6D8A">
            <w:pPr>
              <w:rPr>
                <w:rFonts w:ascii="宋体"/>
                <w:vanish/>
              </w:rPr>
            </w:pPr>
          </w:p>
        </w:tc>
        <w:tc>
          <w:tcPr>
            <w:tcW w:w="0" w:type="auto"/>
            <w:gridSpan w:val="3"/>
            <w:shd w:val="clear" w:color="auto" w:fill="auto"/>
            <w:vAlign w:val="bottom"/>
          </w:tcPr>
          <w:p w14:paraId="64305432" w14:textId="77777777" w:rsidR="009F6D8A" w:rsidRDefault="009F6D8A">
            <w:pPr>
              <w:rPr>
                <w:rFonts w:ascii="宋体"/>
                <w:vanish/>
              </w:rPr>
            </w:pPr>
          </w:p>
        </w:tc>
        <w:tc>
          <w:tcPr>
            <w:tcW w:w="0" w:type="auto"/>
            <w:gridSpan w:val="3"/>
            <w:shd w:val="clear" w:color="auto" w:fill="auto"/>
            <w:vAlign w:val="bottom"/>
          </w:tcPr>
          <w:p w14:paraId="64305433" w14:textId="77777777" w:rsidR="009F6D8A" w:rsidRDefault="009F6D8A">
            <w:pPr>
              <w:rPr>
                <w:rFonts w:ascii="宋体"/>
                <w:vanish/>
              </w:rPr>
            </w:pPr>
          </w:p>
        </w:tc>
        <w:tc>
          <w:tcPr>
            <w:tcW w:w="0" w:type="auto"/>
            <w:gridSpan w:val="3"/>
            <w:shd w:val="clear" w:color="auto" w:fill="auto"/>
            <w:vAlign w:val="bottom"/>
          </w:tcPr>
          <w:p w14:paraId="64305434" w14:textId="77777777" w:rsidR="009F6D8A" w:rsidRDefault="009F6D8A">
            <w:pPr>
              <w:rPr>
                <w:rFonts w:ascii="宋体"/>
                <w:vanish/>
              </w:rPr>
            </w:pPr>
          </w:p>
        </w:tc>
        <w:tc>
          <w:tcPr>
            <w:tcW w:w="0" w:type="auto"/>
            <w:gridSpan w:val="3"/>
            <w:shd w:val="clear" w:color="auto" w:fill="auto"/>
            <w:vAlign w:val="bottom"/>
          </w:tcPr>
          <w:p w14:paraId="64305435" w14:textId="77777777" w:rsidR="009F6D8A" w:rsidRDefault="009F6D8A">
            <w:pPr>
              <w:rPr>
                <w:rFonts w:ascii="宋体"/>
                <w:vanish/>
              </w:rPr>
            </w:pPr>
          </w:p>
        </w:tc>
        <w:tc>
          <w:tcPr>
            <w:tcW w:w="0" w:type="auto"/>
            <w:gridSpan w:val="3"/>
            <w:shd w:val="clear" w:color="auto" w:fill="auto"/>
            <w:vAlign w:val="bottom"/>
          </w:tcPr>
          <w:p w14:paraId="64305436" w14:textId="77777777" w:rsidR="009F6D8A" w:rsidRDefault="009F6D8A">
            <w:pPr>
              <w:rPr>
                <w:rFonts w:ascii="宋体"/>
                <w:vanish/>
              </w:rPr>
            </w:pPr>
          </w:p>
        </w:tc>
        <w:tc>
          <w:tcPr>
            <w:tcW w:w="0" w:type="auto"/>
            <w:gridSpan w:val="3"/>
            <w:shd w:val="clear" w:color="auto" w:fill="auto"/>
            <w:vAlign w:val="bottom"/>
          </w:tcPr>
          <w:p w14:paraId="64305437" w14:textId="77777777" w:rsidR="009F6D8A" w:rsidRDefault="009F6D8A">
            <w:pPr>
              <w:rPr>
                <w:rFonts w:ascii="宋体"/>
                <w:vanish/>
              </w:rPr>
            </w:pPr>
          </w:p>
        </w:tc>
        <w:tc>
          <w:tcPr>
            <w:tcW w:w="0" w:type="auto"/>
            <w:gridSpan w:val="3"/>
            <w:shd w:val="clear" w:color="auto" w:fill="auto"/>
            <w:vAlign w:val="bottom"/>
          </w:tcPr>
          <w:p w14:paraId="64305438" w14:textId="77777777" w:rsidR="009F6D8A" w:rsidRDefault="009F6D8A">
            <w:pPr>
              <w:rPr>
                <w:rFonts w:ascii="宋体"/>
                <w:vanish/>
              </w:rPr>
            </w:pPr>
          </w:p>
        </w:tc>
      </w:tr>
      <w:tr w:rsidR="009F6D8A" w14:paraId="64305446" w14:textId="77777777">
        <w:trPr>
          <w:hidden/>
        </w:trPr>
        <w:tc>
          <w:tcPr>
            <w:tcW w:w="0" w:type="auto"/>
            <w:gridSpan w:val="3"/>
            <w:shd w:val="clear" w:color="auto" w:fill="auto"/>
            <w:vAlign w:val="bottom"/>
          </w:tcPr>
          <w:p w14:paraId="6430543A" w14:textId="77777777" w:rsidR="009F6D8A" w:rsidRDefault="009F6D8A">
            <w:pPr>
              <w:rPr>
                <w:rFonts w:ascii="宋体"/>
                <w:vanish/>
              </w:rPr>
            </w:pPr>
          </w:p>
        </w:tc>
        <w:tc>
          <w:tcPr>
            <w:tcW w:w="0" w:type="auto"/>
            <w:gridSpan w:val="3"/>
            <w:shd w:val="clear" w:color="auto" w:fill="auto"/>
            <w:vAlign w:val="bottom"/>
          </w:tcPr>
          <w:p w14:paraId="6430543B" w14:textId="77777777" w:rsidR="009F6D8A" w:rsidRDefault="009F6D8A">
            <w:pPr>
              <w:rPr>
                <w:rFonts w:ascii="宋体"/>
                <w:vanish/>
              </w:rPr>
            </w:pPr>
          </w:p>
        </w:tc>
        <w:tc>
          <w:tcPr>
            <w:tcW w:w="0" w:type="auto"/>
            <w:gridSpan w:val="3"/>
            <w:shd w:val="clear" w:color="auto" w:fill="auto"/>
            <w:vAlign w:val="bottom"/>
          </w:tcPr>
          <w:p w14:paraId="6430543C" w14:textId="77777777" w:rsidR="009F6D8A" w:rsidRDefault="009F6D8A">
            <w:pPr>
              <w:rPr>
                <w:rFonts w:ascii="宋体"/>
                <w:vanish/>
              </w:rPr>
            </w:pPr>
          </w:p>
        </w:tc>
        <w:tc>
          <w:tcPr>
            <w:tcW w:w="0" w:type="auto"/>
            <w:gridSpan w:val="3"/>
            <w:shd w:val="clear" w:color="auto" w:fill="auto"/>
            <w:vAlign w:val="bottom"/>
          </w:tcPr>
          <w:p w14:paraId="6430543D" w14:textId="77777777" w:rsidR="009F6D8A" w:rsidRDefault="009F6D8A">
            <w:pPr>
              <w:rPr>
                <w:rFonts w:ascii="宋体"/>
                <w:vanish/>
              </w:rPr>
            </w:pPr>
          </w:p>
        </w:tc>
        <w:tc>
          <w:tcPr>
            <w:tcW w:w="0" w:type="auto"/>
            <w:gridSpan w:val="3"/>
            <w:shd w:val="clear" w:color="auto" w:fill="auto"/>
            <w:vAlign w:val="bottom"/>
          </w:tcPr>
          <w:p w14:paraId="6430543E" w14:textId="77777777" w:rsidR="009F6D8A" w:rsidRDefault="009F6D8A">
            <w:pPr>
              <w:rPr>
                <w:rFonts w:ascii="宋体"/>
                <w:vanish/>
              </w:rPr>
            </w:pPr>
          </w:p>
        </w:tc>
        <w:tc>
          <w:tcPr>
            <w:tcW w:w="0" w:type="auto"/>
            <w:gridSpan w:val="3"/>
            <w:shd w:val="clear" w:color="auto" w:fill="auto"/>
            <w:vAlign w:val="bottom"/>
          </w:tcPr>
          <w:p w14:paraId="6430543F" w14:textId="77777777" w:rsidR="009F6D8A" w:rsidRDefault="009F6D8A">
            <w:pPr>
              <w:rPr>
                <w:rFonts w:ascii="宋体"/>
                <w:vanish/>
              </w:rPr>
            </w:pPr>
          </w:p>
        </w:tc>
        <w:tc>
          <w:tcPr>
            <w:tcW w:w="0" w:type="auto"/>
            <w:gridSpan w:val="3"/>
            <w:shd w:val="clear" w:color="auto" w:fill="auto"/>
            <w:vAlign w:val="bottom"/>
          </w:tcPr>
          <w:p w14:paraId="64305440" w14:textId="77777777" w:rsidR="009F6D8A" w:rsidRDefault="009F6D8A">
            <w:pPr>
              <w:rPr>
                <w:rFonts w:ascii="宋体"/>
                <w:vanish/>
              </w:rPr>
            </w:pPr>
          </w:p>
        </w:tc>
        <w:tc>
          <w:tcPr>
            <w:tcW w:w="0" w:type="auto"/>
            <w:gridSpan w:val="3"/>
            <w:shd w:val="clear" w:color="auto" w:fill="auto"/>
            <w:vAlign w:val="bottom"/>
          </w:tcPr>
          <w:p w14:paraId="64305441" w14:textId="77777777" w:rsidR="009F6D8A" w:rsidRDefault="009F6D8A">
            <w:pPr>
              <w:rPr>
                <w:rFonts w:ascii="宋体"/>
                <w:vanish/>
              </w:rPr>
            </w:pPr>
          </w:p>
        </w:tc>
        <w:tc>
          <w:tcPr>
            <w:tcW w:w="0" w:type="auto"/>
            <w:gridSpan w:val="3"/>
            <w:shd w:val="clear" w:color="auto" w:fill="auto"/>
            <w:vAlign w:val="bottom"/>
          </w:tcPr>
          <w:p w14:paraId="64305442" w14:textId="77777777" w:rsidR="009F6D8A" w:rsidRDefault="009F6D8A">
            <w:pPr>
              <w:rPr>
                <w:rFonts w:ascii="宋体"/>
                <w:vanish/>
              </w:rPr>
            </w:pPr>
          </w:p>
        </w:tc>
        <w:tc>
          <w:tcPr>
            <w:tcW w:w="0" w:type="auto"/>
            <w:gridSpan w:val="3"/>
            <w:shd w:val="clear" w:color="auto" w:fill="auto"/>
            <w:vAlign w:val="bottom"/>
          </w:tcPr>
          <w:p w14:paraId="64305443" w14:textId="77777777" w:rsidR="009F6D8A" w:rsidRDefault="009F6D8A">
            <w:pPr>
              <w:rPr>
                <w:rFonts w:ascii="宋体"/>
                <w:vanish/>
              </w:rPr>
            </w:pPr>
          </w:p>
        </w:tc>
        <w:tc>
          <w:tcPr>
            <w:tcW w:w="0" w:type="auto"/>
            <w:gridSpan w:val="3"/>
            <w:shd w:val="clear" w:color="auto" w:fill="auto"/>
            <w:vAlign w:val="bottom"/>
          </w:tcPr>
          <w:p w14:paraId="64305444" w14:textId="77777777" w:rsidR="009F6D8A" w:rsidRDefault="009F6D8A">
            <w:pPr>
              <w:rPr>
                <w:rFonts w:ascii="宋体"/>
                <w:vanish/>
              </w:rPr>
            </w:pPr>
          </w:p>
        </w:tc>
        <w:tc>
          <w:tcPr>
            <w:tcW w:w="0" w:type="auto"/>
            <w:gridSpan w:val="3"/>
            <w:shd w:val="clear" w:color="auto" w:fill="auto"/>
            <w:vAlign w:val="bottom"/>
          </w:tcPr>
          <w:p w14:paraId="64305445" w14:textId="77777777" w:rsidR="009F6D8A" w:rsidRDefault="009F6D8A">
            <w:pPr>
              <w:rPr>
                <w:rFonts w:ascii="宋体"/>
                <w:vanish/>
              </w:rPr>
            </w:pPr>
          </w:p>
        </w:tc>
      </w:tr>
      <w:tr w:rsidR="009F6D8A" w14:paraId="64305453" w14:textId="77777777">
        <w:trPr>
          <w:trHeight w:val="180"/>
        </w:trPr>
        <w:tc>
          <w:tcPr>
            <w:tcW w:w="0" w:type="auto"/>
            <w:gridSpan w:val="3"/>
            <w:shd w:val="clear" w:color="auto" w:fill="FFFFFF"/>
            <w:tcMar>
              <w:top w:w="0" w:type="dxa"/>
              <w:left w:w="20" w:type="dxa"/>
              <w:bottom w:w="0" w:type="dxa"/>
              <w:right w:w="20" w:type="dxa"/>
            </w:tcMar>
            <w:vAlign w:val="bottom"/>
          </w:tcPr>
          <w:p w14:paraId="64305447"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4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49"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4A"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4B"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4C"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4D"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4E"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4F"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5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51"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52" w14:textId="77777777" w:rsidR="009F6D8A" w:rsidRDefault="009F6D8A">
            <w:pPr>
              <w:rPr>
                <w:rFonts w:ascii="宋体"/>
              </w:rPr>
            </w:pPr>
          </w:p>
        </w:tc>
      </w:tr>
      <w:tr w:rsidR="009F6D8A" w14:paraId="64305460" w14:textId="77777777">
        <w:tc>
          <w:tcPr>
            <w:tcW w:w="0" w:type="auto"/>
            <w:gridSpan w:val="3"/>
            <w:shd w:val="clear" w:color="auto" w:fill="E1E1E1"/>
            <w:tcMar>
              <w:top w:w="40" w:type="dxa"/>
              <w:left w:w="20" w:type="dxa"/>
              <w:bottom w:w="40" w:type="dxa"/>
              <w:right w:w="20" w:type="dxa"/>
            </w:tcMar>
            <w:vAlign w:val="bottom"/>
          </w:tcPr>
          <w:p w14:paraId="64305454" w14:textId="77777777" w:rsidR="009F6D8A" w:rsidRDefault="00C50974">
            <w:pPr>
              <w:textAlignment w:val="bottom"/>
            </w:pPr>
            <w:r>
              <w:rPr>
                <w:rFonts w:ascii="Arial" w:eastAsia="宋体" w:hAnsi="Arial" w:cs="Arial"/>
                <w:b/>
                <w:bCs/>
                <w:color w:val="000000"/>
                <w:sz w:val="16"/>
                <w:szCs w:val="16"/>
              </w:rPr>
              <w:t xml:space="preserve">Net </w:t>
            </w:r>
            <w:r>
              <w:rPr>
                <w:rFonts w:ascii="Arial" w:eastAsia="宋体" w:hAnsi="Arial" w:cs="Arial"/>
                <w:b/>
                <w:bCs/>
                <w:color w:val="000000"/>
                <w:sz w:val="16"/>
                <w:szCs w:val="16"/>
              </w:rPr>
              <w:t>Revenues:</w:t>
            </w:r>
          </w:p>
        </w:tc>
        <w:tc>
          <w:tcPr>
            <w:tcW w:w="0" w:type="auto"/>
            <w:gridSpan w:val="3"/>
            <w:shd w:val="clear" w:color="auto" w:fill="E1E1E1"/>
            <w:tcMar>
              <w:top w:w="0" w:type="dxa"/>
              <w:left w:w="20" w:type="dxa"/>
              <w:bottom w:w="0" w:type="dxa"/>
              <w:right w:w="20" w:type="dxa"/>
            </w:tcMar>
            <w:vAlign w:val="bottom"/>
          </w:tcPr>
          <w:p w14:paraId="64305455"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456"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457"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458"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459"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45A"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45B"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45C"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45D"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45E" w14:textId="77777777" w:rsidR="009F6D8A" w:rsidRDefault="009F6D8A">
            <w:pPr>
              <w:rPr>
                <w:rFonts w:ascii="宋体"/>
              </w:rPr>
            </w:pPr>
          </w:p>
        </w:tc>
        <w:tc>
          <w:tcPr>
            <w:tcW w:w="0" w:type="auto"/>
            <w:gridSpan w:val="3"/>
            <w:shd w:val="clear" w:color="auto" w:fill="E1E1E1"/>
            <w:tcMar>
              <w:top w:w="0" w:type="dxa"/>
              <w:left w:w="20" w:type="dxa"/>
              <w:bottom w:w="0" w:type="dxa"/>
              <w:right w:w="20" w:type="dxa"/>
            </w:tcMar>
            <w:vAlign w:val="bottom"/>
          </w:tcPr>
          <w:p w14:paraId="6430545F" w14:textId="77777777" w:rsidR="009F6D8A" w:rsidRDefault="009F6D8A">
            <w:pPr>
              <w:rPr>
                <w:rFonts w:ascii="宋体"/>
              </w:rPr>
            </w:pPr>
          </w:p>
        </w:tc>
      </w:tr>
      <w:tr w:rsidR="009F6D8A" w14:paraId="6430546D" w14:textId="77777777">
        <w:trPr>
          <w:trHeight w:val="180"/>
        </w:trPr>
        <w:tc>
          <w:tcPr>
            <w:tcW w:w="0" w:type="auto"/>
            <w:gridSpan w:val="3"/>
            <w:shd w:val="clear" w:color="auto" w:fill="FFFFFF"/>
            <w:tcMar>
              <w:top w:w="0" w:type="dxa"/>
              <w:left w:w="20" w:type="dxa"/>
              <w:bottom w:w="0" w:type="dxa"/>
              <w:right w:w="20" w:type="dxa"/>
            </w:tcMar>
            <w:vAlign w:val="bottom"/>
          </w:tcPr>
          <w:p w14:paraId="64305461"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62"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63"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64"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65"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66"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67"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68"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69"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6A"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6B"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46C" w14:textId="77777777" w:rsidR="009F6D8A" w:rsidRDefault="009F6D8A">
            <w:pPr>
              <w:rPr>
                <w:rFonts w:ascii="宋体"/>
              </w:rPr>
            </w:pPr>
          </w:p>
        </w:tc>
      </w:tr>
      <w:tr w:rsidR="009F6D8A" w14:paraId="64305484" w14:textId="77777777">
        <w:tc>
          <w:tcPr>
            <w:tcW w:w="0" w:type="auto"/>
            <w:gridSpan w:val="3"/>
            <w:shd w:val="clear" w:color="auto" w:fill="E1E1E1"/>
            <w:tcMar>
              <w:top w:w="40" w:type="dxa"/>
              <w:left w:w="140" w:type="dxa"/>
              <w:bottom w:w="40" w:type="dxa"/>
              <w:right w:w="20" w:type="dxa"/>
            </w:tcMar>
            <w:vAlign w:val="bottom"/>
          </w:tcPr>
          <w:p w14:paraId="6430546E" w14:textId="77777777" w:rsidR="009F6D8A" w:rsidRDefault="00C50974">
            <w:pPr>
              <w:textAlignment w:val="bottom"/>
            </w:pPr>
            <w:r>
              <w:rPr>
                <w:rFonts w:ascii="Arial" w:eastAsia="宋体" w:hAnsi="Arial" w:cs="Arial"/>
                <w:color w:val="000000"/>
                <w:sz w:val="16"/>
                <w:szCs w:val="16"/>
              </w:rPr>
              <w:t>Net transaction revenues</w:t>
            </w:r>
          </w:p>
        </w:tc>
        <w:tc>
          <w:tcPr>
            <w:tcW w:w="0" w:type="auto"/>
            <w:shd w:val="clear" w:color="auto" w:fill="E1E1E1"/>
            <w:tcMar>
              <w:top w:w="40" w:type="dxa"/>
              <w:left w:w="20" w:type="dxa"/>
              <w:bottom w:w="40" w:type="dxa"/>
              <w:right w:w="0" w:type="dxa"/>
            </w:tcMar>
            <w:vAlign w:val="bottom"/>
          </w:tcPr>
          <w:p w14:paraId="6430546F"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5470" w14:textId="77777777" w:rsidR="009F6D8A" w:rsidRDefault="00C50974">
            <w:pPr>
              <w:jc w:val="right"/>
              <w:textAlignment w:val="bottom"/>
            </w:pPr>
            <w:r>
              <w:rPr>
                <w:rFonts w:ascii="Arial" w:eastAsia="宋体" w:hAnsi="Arial" w:cs="Arial"/>
                <w:color w:val="000000"/>
                <w:sz w:val="16"/>
                <w:szCs w:val="16"/>
              </w:rPr>
              <w:t>4,972 </w:t>
            </w:r>
          </w:p>
        </w:tc>
        <w:tc>
          <w:tcPr>
            <w:tcW w:w="0" w:type="auto"/>
            <w:shd w:val="clear" w:color="auto" w:fill="E1E1E1"/>
            <w:tcMar>
              <w:top w:w="40" w:type="dxa"/>
              <w:left w:w="0" w:type="dxa"/>
              <w:bottom w:w="40" w:type="dxa"/>
              <w:right w:w="20" w:type="dxa"/>
            </w:tcMar>
            <w:vAlign w:val="bottom"/>
          </w:tcPr>
          <w:p w14:paraId="64305471"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472"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5473"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5474" w14:textId="77777777" w:rsidR="009F6D8A" w:rsidRDefault="00C50974">
            <w:pPr>
              <w:jc w:val="right"/>
              <w:textAlignment w:val="bottom"/>
            </w:pPr>
            <w:r>
              <w:rPr>
                <w:rFonts w:ascii="Arial" w:eastAsia="宋体" w:hAnsi="Arial" w:cs="Arial"/>
                <w:color w:val="000000"/>
                <w:sz w:val="16"/>
                <w:szCs w:val="16"/>
              </w:rPr>
              <w:t>143 </w:t>
            </w:r>
          </w:p>
        </w:tc>
        <w:tc>
          <w:tcPr>
            <w:tcW w:w="0" w:type="auto"/>
            <w:shd w:val="clear" w:color="auto" w:fill="E1E1E1"/>
            <w:tcMar>
              <w:top w:w="40" w:type="dxa"/>
              <w:left w:w="0" w:type="dxa"/>
              <w:bottom w:w="40" w:type="dxa"/>
              <w:right w:w="20" w:type="dxa"/>
            </w:tcMar>
            <w:vAlign w:val="bottom"/>
          </w:tcPr>
          <w:p w14:paraId="64305475"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476"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5477"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5478" w14:textId="77777777" w:rsidR="009F6D8A" w:rsidRDefault="00C50974">
            <w:pPr>
              <w:jc w:val="right"/>
              <w:textAlignment w:val="bottom"/>
            </w:pPr>
            <w:r>
              <w:rPr>
                <w:rFonts w:ascii="Arial" w:eastAsia="宋体" w:hAnsi="Arial" w:cs="Arial"/>
                <w:color w:val="000000"/>
                <w:sz w:val="16"/>
                <w:szCs w:val="16"/>
              </w:rPr>
              <w:t>4,829 </w:t>
            </w:r>
          </w:p>
        </w:tc>
        <w:tc>
          <w:tcPr>
            <w:tcW w:w="0" w:type="auto"/>
            <w:shd w:val="clear" w:color="auto" w:fill="E1E1E1"/>
            <w:tcMar>
              <w:top w:w="40" w:type="dxa"/>
              <w:left w:w="0" w:type="dxa"/>
              <w:bottom w:w="40" w:type="dxa"/>
              <w:right w:w="20" w:type="dxa"/>
            </w:tcMar>
            <w:vAlign w:val="bottom"/>
          </w:tcPr>
          <w:p w14:paraId="64305479"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47A" w14:textId="77777777" w:rsidR="009F6D8A" w:rsidRDefault="009F6D8A">
            <w:pPr>
              <w:rPr>
                <w:rFonts w:ascii="宋体"/>
              </w:rPr>
            </w:pPr>
          </w:p>
        </w:tc>
        <w:tc>
          <w:tcPr>
            <w:tcW w:w="0" w:type="auto"/>
            <w:shd w:val="clear" w:color="auto" w:fill="E1E1E1"/>
            <w:tcMar>
              <w:top w:w="40" w:type="dxa"/>
              <w:left w:w="20" w:type="dxa"/>
              <w:bottom w:w="40" w:type="dxa"/>
              <w:right w:w="0" w:type="dxa"/>
            </w:tcMar>
            <w:vAlign w:val="bottom"/>
          </w:tcPr>
          <w:p w14:paraId="6430547B" w14:textId="77777777" w:rsidR="009F6D8A" w:rsidRDefault="00C50974">
            <w:pPr>
              <w:textAlignment w:val="bottom"/>
            </w:pPr>
            <w:r>
              <w:rPr>
                <w:rFonts w:ascii="Arial" w:eastAsia="宋体" w:hAnsi="Arial" w:cs="Arial"/>
                <w:color w:val="000000"/>
                <w:sz w:val="16"/>
                <w:szCs w:val="16"/>
              </w:rPr>
              <w:t>$</w:t>
            </w:r>
          </w:p>
        </w:tc>
        <w:tc>
          <w:tcPr>
            <w:tcW w:w="0" w:type="auto"/>
            <w:shd w:val="clear" w:color="auto" w:fill="E1E1E1"/>
            <w:tcMar>
              <w:top w:w="40" w:type="dxa"/>
              <w:left w:w="0" w:type="dxa"/>
              <w:bottom w:w="40" w:type="dxa"/>
              <w:right w:w="0" w:type="dxa"/>
            </w:tcMar>
            <w:vAlign w:val="bottom"/>
          </w:tcPr>
          <w:p w14:paraId="6430547C" w14:textId="77777777" w:rsidR="009F6D8A" w:rsidRDefault="00C50974">
            <w:pPr>
              <w:jc w:val="right"/>
              <w:textAlignment w:val="bottom"/>
            </w:pPr>
            <w:r>
              <w:rPr>
                <w:rFonts w:ascii="Arial" w:eastAsia="宋体" w:hAnsi="Arial" w:cs="Arial"/>
                <w:color w:val="000000"/>
                <w:sz w:val="16"/>
                <w:szCs w:val="16"/>
              </w:rPr>
              <w:t>3,837 </w:t>
            </w:r>
          </w:p>
        </w:tc>
        <w:tc>
          <w:tcPr>
            <w:tcW w:w="0" w:type="auto"/>
            <w:shd w:val="clear" w:color="auto" w:fill="E1E1E1"/>
            <w:tcMar>
              <w:top w:w="40" w:type="dxa"/>
              <w:left w:w="0" w:type="dxa"/>
              <w:bottom w:w="40" w:type="dxa"/>
              <w:right w:w="20" w:type="dxa"/>
            </w:tcMar>
            <w:vAlign w:val="bottom"/>
          </w:tcPr>
          <w:p w14:paraId="6430547D"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47E"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547F" w14:textId="77777777" w:rsidR="009F6D8A" w:rsidRDefault="00C50974">
            <w:pPr>
              <w:jc w:val="right"/>
              <w:textAlignment w:val="bottom"/>
            </w:pPr>
            <w:r>
              <w:rPr>
                <w:rFonts w:ascii="Arial" w:eastAsia="宋体" w:hAnsi="Arial" w:cs="Arial"/>
                <w:color w:val="000000"/>
                <w:sz w:val="16"/>
                <w:szCs w:val="16"/>
              </w:rPr>
              <w:t>30 </w:t>
            </w:r>
          </w:p>
        </w:tc>
        <w:tc>
          <w:tcPr>
            <w:tcW w:w="0" w:type="auto"/>
            <w:shd w:val="clear" w:color="auto" w:fill="E1E1E1"/>
            <w:tcMar>
              <w:top w:w="40" w:type="dxa"/>
              <w:left w:w="0" w:type="dxa"/>
              <w:bottom w:w="40" w:type="dxa"/>
              <w:right w:w="20" w:type="dxa"/>
            </w:tcMar>
            <w:vAlign w:val="bottom"/>
          </w:tcPr>
          <w:p w14:paraId="64305480"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1E1E1"/>
            <w:tcMar>
              <w:top w:w="0" w:type="dxa"/>
              <w:left w:w="20" w:type="dxa"/>
              <w:bottom w:w="0" w:type="dxa"/>
              <w:right w:w="20" w:type="dxa"/>
            </w:tcMar>
            <w:vAlign w:val="bottom"/>
          </w:tcPr>
          <w:p w14:paraId="64305481" w14:textId="77777777" w:rsidR="009F6D8A" w:rsidRDefault="009F6D8A">
            <w:pPr>
              <w:rPr>
                <w:rFonts w:ascii="宋体"/>
              </w:rPr>
            </w:pPr>
          </w:p>
        </w:tc>
        <w:tc>
          <w:tcPr>
            <w:tcW w:w="0" w:type="auto"/>
            <w:gridSpan w:val="2"/>
            <w:shd w:val="clear" w:color="auto" w:fill="E1E1E1"/>
            <w:tcMar>
              <w:top w:w="40" w:type="dxa"/>
              <w:left w:w="20" w:type="dxa"/>
              <w:bottom w:w="40" w:type="dxa"/>
              <w:right w:w="0" w:type="dxa"/>
            </w:tcMar>
            <w:vAlign w:val="bottom"/>
          </w:tcPr>
          <w:p w14:paraId="64305482" w14:textId="77777777" w:rsidR="009F6D8A" w:rsidRDefault="00C50974">
            <w:pPr>
              <w:jc w:val="right"/>
              <w:textAlignment w:val="bottom"/>
            </w:pPr>
            <w:r>
              <w:rPr>
                <w:rFonts w:ascii="Arial" w:eastAsia="宋体" w:hAnsi="Arial" w:cs="Arial"/>
                <w:color w:val="000000"/>
                <w:sz w:val="16"/>
                <w:szCs w:val="16"/>
              </w:rPr>
              <w:t>26 </w:t>
            </w:r>
          </w:p>
        </w:tc>
        <w:tc>
          <w:tcPr>
            <w:tcW w:w="0" w:type="auto"/>
            <w:shd w:val="clear" w:color="auto" w:fill="E1E1E1"/>
            <w:tcMar>
              <w:top w:w="40" w:type="dxa"/>
              <w:left w:w="0" w:type="dxa"/>
              <w:bottom w:w="40" w:type="dxa"/>
              <w:right w:w="20" w:type="dxa"/>
            </w:tcMar>
            <w:vAlign w:val="bottom"/>
          </w:tcPr>
          <w:p w14:paraId="64305483" w14:textId="77777777" w:rsidR="009F6D8A" w:rsidRDefault="00C50974">
            <w:pPr>
              <w:jc w:val="right"/>
              <w:textAlignment w:val="bottom"/>
            </w:pPr>
            <w:r>
              <w:rPr>
                <w:rFonts w:ascii="Arial" w:eastAsia="宋体" w:hAnsi="Arial" w:cs="Arial"/>
                <w:color w:val="000000"/>
                <w:sz w:val="16"/>
                <w:szCs w:val="16"/>
              </w:rPr>
              <w:t>%</w:t>
            </w:r>
          </w:p>
        </w:tc>
      </w:tr>
      <w:tr w:rsidR="009F6D8A" w14:paraId="64305491" w14:textId="77777777">
        <w:trPr>
          <w:hidden/>
        </w:trPr>
        <w:tc>
          <w:tcPr>
            <w:tcW w:w="0" w:type="auto"/>
            <w:gridSpan w:val="3"/>
            <w:shd w:val="clear" w:color="auto" w:fill="auto"/>
            <w:vAlign w:val="bottom"/>
          </w:tcPr>
          <w:p w14:paraId="64305485" w14:textId="77777777" w:rsidR="009F6D8A" w:rsidRDefault="009F6D8A">
            <w:pPr>
              <w:rPr>
                <w:rFonts w:ascii="宋体"/>
                <w:vanish/>
              </w:rPr>
            </w:pPr>
          </w:p>
        </w:tc>
        <w:tc>
          <w:tcPr>
            <w:tcW w:w="0" w:type="auto"/>
            <w:gridSpan w:val="3"/>
            <w:shd w:val="clear" w:color="auto" w:fill="auto"/>
            <w:vAlign w:val="bottom"/>
          </w:tcPr>
          <w:p w14:paraId="64305486" w14:textId="77777777" w:rsidR="009F6D8A" w:rsidRDefault="009F6D8A">
            <w:pPr>
              <w:rPr>
                <w:rFonts w:ascii="宋体"/>
                <w:vanish/>
              </w:rPr>
            </w:pPr>
          </w:p>
        </w:tc>
        <w:tc>
          <w:tcPr>
            <w:tcW w:w="0" w:type="auto"/>
            <w:gridSpan w:val="3"/>
            <w:shd w:val="clear" w:color="auto" w:fill="auto"/>
            <w:vAlign w:val="bottom"/>
          </w:tcPr>
          <w:p w14:paraId="64305487" w14:textId="77777777" w:rsidR="009F6D8A" w:rsidRDefault="009F6D8A">
            <w:pPr>
              <w:rPr>
                <w:rFonts w:ascii="宋体"/>
                <w:vanish/>
              </w:rPr>
            </w:pPr>
          </w:p>
        </w:tc>
        <w:tc>
          <w:tcPr>
            <w:tcW w:w="0" w:type="auto"/>
            <w:gridSpan w:val="3"/>
            <w:shd w:val="clear" w:color="auto" w:fill="auto"/>
            <w:vAlign w:val="bottom"/>
          </w:tcPr>
          <w:p w14:paraId="64305488" w14:textId="77777777" w:rsidR="009F6D8A" w:rsidRDefault="009F6D8A">
            <w:pPr>
              <w:rPr>
                <w:rFonts w:ascii="宋体"/>
                <w:vanish/>
              </w:rPr>
            </w:pPr>
          </w:p>
        </w:tc>
        <w:tc>
          <w:tcPr>
            <w:tcW w:w="0" w:type="auto"/>
            <w:gridSpan w:val="3"/>
            <w:shd w:val="clear" w:color="auto" w:fill="auto"/>
            <w:vAlign w:val="bottom"/>
          </w:tcPr>
          <w:p w14:paraId="64305489" w14:textId="77777777" w:rsidR="009F6D8A" w:rsidRDefault="009F6D8A">
            <w:pPr>
              <w:rPr>
                <w:rFonts w:ascii="宋体"/>
                <w:vanish/>
              </w:rPr>
            </w:pPr>
          </w:p>
        </w:tc>
        <w:tc>
          <w:tcPr>
            <w:tcW w:w="0" w:type="auto"/>
            <w:gridSpan w:val="3"/>
            <w:shd w:val="clear" w:color="auto" w:fill="auto"/>
            <w:vAlign w:val="bottom"/>
          </w:tcPr>
          <w:p w14:paraId="6430548A" w14:textId="77777777" w:rsidR="009F6D8A" w:rsidRDefault="009F6D8A">
            <w:pPr>
              <w:rPr>
                <w:rFonts w:ascii="宋体"/>
                <w:vanish/>
              </w:rPr>
            </w:pPr>
          </w:p>
        </w:tc>
        <w:tc>
          <w:tcPr>
            <w:tcW w:w="0" w:type="auto"/>
            <w:gridSpan w:val="3"/>
            <w:shd w:val="clear" w:color="auto" w:fill="auto"/>
            <w:vAlign w:val="bottom"/>
          </w:tcPr>
          <w:p w14:paraId="6430548B" w14:textId="77777777" w:rsidR="009F6D8A" w:rsidRDefault="009F6D8A">
            <w:pPr>
              <w:rPr>
                <w:rFonts w:ascii="宋体"/>
                <w:vanish/>
              </w:rPr>
            </w:pPr>
          </w:p>
        </w:tc>
        <w:tc>
          <w:tcPr>
            <w:tcW w:w="0" w:type="auto"/>
            <w:gridSpan w:val="3"/>
            <w:shd w:val="clear" w:color="auto" w:fill="auto"/>
            <w:vAlign w:val="bottom"/>
          </w:tcPr>
          <w:p w14:paraId="6430548C" w14:textId="77777777" w:rsidR="009F6D8A" w:rsidRDefault="009F6D8A">
            <w:pPr>
              <w:rPr>
                <w:rFonts w:ascii="宋体"/>
                <w:vanish/>
              </w:rPr>
            </w:pPr>
          </w:p>
        </w:tc>
        <w:tc>
          <w:tcPr>
            <w:tcW w:w="0" w:type="auto"/>
            <w:gridSpan w:val="3"/>
            <w:shd w:val="clear" w:color="auto" w:fill="auto"/>
            <w:vAlign w:val="bottom"/>
          </w:tcPr>
          <w:p w14:paraId="6430548D" w14:textId="77777777" w:rsidR="009F6D8A" w:rsidRDefault="009F6D8A">
            <w:pPr>
              <w:rPr>
                <w:rFonts w:ascii="宋体"/>
                <w:vanish/>
              </w:rPr>
            </w:pPr>
          </w:p>
        </w:tc>
        <w:tc>
          <w:tcPr>
            <w:tcW w:w="0" w:type="auto"/>
            <w:gridSpan w:val="3"/>
            <w:shd w:val="clear" w:color="auto" w:fill="auto"/>
            <w:vAlign w:val="bottom"/>
          </w:tcPr>
          <w:p w14:paraId="6430548E" w14:textId="77777777" w:rsidR="009F6D8A" w:rsidRDefault="009F6D8A">
            <w:pPr>
              <w:rPr>
                <w:rFonts w:ascii="宋体"/>
                <w:vanish/>
              </w:rPr>
            </w:pPr>
          </w:p>
        </w:tc>
        <w:tc>
          <w:tcPr>
            <w:tcW w:w="0" w:type="auto"/>
            <w:gridSpan w:val="3"/>
            <w:shd w:val="clear" w:color="auto" w:fill="auto"/>
            <w:vAlign w:val="bottom"/>
          </w:tcPr>
          <w:p w14:paraId="6430548F" w14:textId="77777777" w:rsidR="009F6D8A" w:rsidRDefault="009F6D8A">
            <w:pPr>
              <w:rPr>
                <w:rFonts w:ascii="宋体"/>
                <w:vanish/>
              </w:rPr>
            </w:pPr>
          </w:p>
        </w:tc>
        <w:tc>
          <w:tcPr>
            <w:tcW w:w="0" w:type="auto"/>
            <w:gridSpan w:val="3"/>
            <w:shd w:val="clear" w:color="auto" w:fill="auto"/>
            <w:vAlign w:val="bottom"/>
          </w:tcPr>
          <w:p w14:paraId="64305490" w14:textId="77777777" w:rsidR="009F6D8A" w:rsidRDefault="009F6D8A">
            <w:pPr>
              <w:rPr>
                <w:rFonts w:ascii="宋体"/>
                <w:vanish/>
              </w:rPr>
            </w:pPr>
          </w:p>
        </w:tc>
      </w:tr>
      <w:tr w:rsidR="009F6D8A" w14:paraId="6430549E" w14:textId="77777777">
        <w:trPr>
          <w:hidden/>
        </w:trPr>
        <w:tc>
          <w:tcPr>
            <w:tcW w:w="0" w:type="auto"/>
            <w:gridSpan w:val="3"/>
            <w:shd w:val="clear" w:color="auto" w:fill="auto"/>
            <w:vAlign w:val="bottom"/>
          </w:tcPr>
          <w:p w14:paraId="64305492" w14:textId="77777777" w:rsidR="009F6D8A" w:rsidRDefault="009F6D8A">
            <w:pPr>
              <w:rPr>
                <w:rFonts w:ascii="宋体"/>
                <w:vanish/>
              </w:rPr>
            </w:pPr>
          </w:p>
        </w:tc>
        <w:tc>
          <w:tcPr>
            <w:tcW w:w="0" w:type="auto"/>
            <w:gridSpan w:val="3"/>
            <w:shd w:val="clear" w:color="auto" w:fill="auto"/>
            <w:vAlign w:val="bottom"/>
          </w:tcPr>
          <w:p w14:paraId="64305493" w14:textId="77777777" w:rsidR="009F6D8A" w:rsidRDefault="009F6D8A">
            <w:pPr>
              <w:rPr>
                <w:rFonts w:ascii="宋体"/>
                <w:vanish/>
              </w:rPr>
            </w:pPr>
          </w:p>
        </w:tc>
        <w:tc>
          <w:tcPr>
            <w:tcW w:w="0" w:type="auto"/>
            <w:gridSpan w:val="3"/>
            <w:shd w:val="clear" w:color="auto" w:fill="auto"/>
            <w:vAlign w:val="bottom"/>
          </w:tcPr>
          <w:p w14:paraId="64305494" w14:textId="77777777" w:rsidR="009F6D8A" w:rsidRDefault="009F6D8A">
            <w:pPr>
              <w:rPr>
                <w:rFonts w:ascii="宋体"/>
                <w:vanish/>
              </w:rPr>
            </w:pPr>
          </w:p>
        </w:tc>
        <w:tc>
          <w:tcPr>
            <w:tcW w:w="0" w:type="auto"/>
            <w:gridSpan w:val="3"/>
            <w:shd w:val="clear" w:color="auto" w:fill="auto"/>
            <w:vAlign w:val="bottom"/>
          </w:tcPr>
          <w:p w14:paraId="64305495" w14:textId="77777777" w:rsidR="009F6D8A" w:rsidRDefault="009F6D8A">
            <w:pPr>
              <w:rPr>
                <w:rFonts w:ascii="宋体"/>
                <w:vanish/>
              </w:rPr>
            </w:pPr>
          </w:p>
        </w:tc>
        <w:tc>
          <w:tcPr>
            <w:tcW w:w="0" w:type="auto"/>
            <w:gridSpan w:val="3"/>
            <w:shd w:val="clear" w:color="auto" w:fill="auto"/>
            <w:vAlign w:val="bottom"/>
          </w:tcPr>
          <w:p w14:paraId="64305496" w14:textId="77777777" w:rsidR="009F6D8A" w:rsidRDefault="009F6D8A">
            <w:pPr>
              <w:rPr>
                <w:rFonts w:ascii="宋体"/>
                <w:vanish/>
              </w:rPr>
            </w:pPr>
          </w:p>
        </w:tc>
        <w:tc>
          <w:tcPr>
            <w:tcW w:w="0" w:type="auto"/>
            <w:gridSpan w:val="3"/>
            <w:shd w:val="clear" w:color="auto" w:fill="auto"/>
            <w:vAlign w:val="bottom"/>
          </w:tcPr>
          <w:p w14:paraId="64305497" w14:textId="77777777" w:rsidR="009F6D8A" w:rsidRDefault="009F6D8A">
            <w:pPr>
              <w:rPr>
                <w:rFonts w:ascii="宋体"/>
                <w:vanish/>
              </w:rPr>
            </w:pPr>
          </w:p>
        </w:tc>
        <w:tc>
          <w:tcPr>
            <w:tcW w:w="0" w:type="auto"/>
            <w:gridSpan w:val="3"/>
            <w:shd w:val="clear" w:color="auto" w:fill="auto"/>
            <w:vAlign w:val="bottom"/>
          </w:tcPr>
          <w:p w14:paraId="64305498" w14:textId="77777777" w:rsidR="009F6D8A" w:rsidRDefault="009F6D8A">
            <w:pPr>
              <w:rPr>
                <w:rFonts w:ascii="宋体"/>
                <w:vanish/>
              </w:rPr>
            </w:pPr>
          </w:p>
        </w:tc>
        <w:tc>
          <w:tcPr>
            <w:tcW w:w="0" w:type="auto"/>
            <w:gridSpan w:val="3"/>
            <w:shd w:val="clear" w:color="auto" w:fill="auto"/>
            <w:vAlign w:val="bottom"/>
          </w:tcPr>
          <w:p w14:paraId="64305499" w14:textId="77777777" w:rsidR="009F6D8A" w:rsidRDefault="009F6D8A">
            <w:pPr>
              <w:rPr>
                <w:rFonts w:ascii="宋体"/>
                <w:vanish/>
              </w:rPr>
            </w:pPr>
          </w:p>
        </w:tc>
        <w:tc>
          <w:tcPr>
            <w:tcW w:w="0" w:type="auto"/>
            <w:gridSpan w:val="3"/>
            <w:shd w:val="clear" w:color="auto" w:fill="auto"/>
            <w:vAlign w:val="bottom"/>
          </w:tcPr>
          <w:p w14:paraId="6430549A" w14:textId="77777777" w:rsidR="009F6D8A" w:rsidRDefault="009F6D8A">
            <w:pPr>
              <w:rPr>
                <w:rFonts w:ascii="宋体"/>
                <w:vanish/>
              </w:rPr>
            </w:pPr>
          </w:p>
        </w:tc>
        <w:tc>
          <w:tcPr>
            <w:tcW w:w="0" w:type="auto"/>
            <w:gridSpan w:val="3"/>
            <w:shd w:val="clear" w:color="auto" w:fill="auto"/>
            <w:vAlign w:val="bottom"/>
          </w:tcPr>
          <w:p w14:paraId="6430549B" w14:textId="77777777" w:rsidR="009F6D8A" w:rsidRDefault="009F6D8A">
            <w:pPr>
              <w:rPr>
                <w:rFonts w:ascii="宋体"/>
                <w:vanish/>
              </w:rPr>
            </w:pPr>
          </w:p>
        </w:tc>
        <w:tc>
          <w:tcPr>
            <w:tcW w:w="0" w:type="auto"/>
            <w:gridSpan w:val="3"/>
            <w:shd w:val="clear" w:color="auto" w:fill="auto"/>
            <w:vAlign w:val="bottom"/>
          </w:tcPr>
          <w:p w14:paraId="6430549C" w14:textId="77777777" w:rsidR="009F6D8A" w:rsidRDefault="009F6D8A">
            <w:pPr>
              <w:rPr>
                <w:rFonts w:ascii="宋体"/>
                <w:vanish/>
              </w:rPr>
            </w:pPr>
          </w:p>
        </w:tc>
        <w:tc>
          <w:tcPr>
            <w:tcW w:w="0" w:type="auto"/>
            <w:gridSpan w:val="3"/>
            <w:shd w:val="clear" w:color="auto" w:fill="auto"/>
            <w:vAlign w:val="bottom"/>
          </w:tcPr>
          <w:p w14:paraId="6430549D" w14:textId="77777777" w:rsidR="009F6D8A" w:rsidRDefault="009F6D8A">
            <w:pPr>
              <w:rPr>
                <w:rFonts w:ascii="宋体"/>
                <w:vanish/>
              </w:rPr>
            </w:pPr>
          </w:p>
        </w:tc>
      </w:tr>
      <w:tr w:rsidR="009F6D8A" w14:paraId="643054AB" w14:textId="77777777">
        <w:trPr>
          <w:hidden/>
        </w:trPr>
        <w:tc>
          <w:tcPr>
            <w:tcW w:w="0" w:type="auto"/>
            <w:gridSpan w:val="3"/>
            <w:shd w:val="clear" w:color="auto" w:fill="auto"/>
            <w:vAlign w:val="bottom"/>
          </w:tcPr>
          <w:p w14:paraId="6430549F" w14:textId="77777777" w:rsidR="009F6D8A" w:rsidRDefault="009F6D8A">
            <w:pPr>
              <w:rPr>
                <w:rFonts w:ascii="宋体"/>
                <w:vanish/>
              </w:rPr>
            </w:pPr>
          </w:p>
        </w:tc>
        <w:tc>
          <w:tcPr>
            <w:tcW w:w="0" w:type="auto"/>
            <w:gridSpan w:val="3"/>
            <w:shd w:val="clear" w:color="auto" w:fill="auto"/>
            <w:vAlign w:val="bottom"/>
          </w:tcPr>
          <w:p w14:paraId="643054A0" w14:textId="77777777" w:rsidR="009F6D8A" w:rsidRDefault="009F6D8A">
            <w:pPr>
              <w:rPr>
                <w:rFonts w:ascii="宋体"/>
                <w:vanish/>
              </w:rPr>
            </w:pPr>
          </w:p>
        </w:tc>
        <w:tc>
          <w:tcPr>
            <w:tcW w:w="0" w:type="auto"/>
            <w:gridSpan w:val="3"/>
            <w:shd w:val="clear" w:color="auto" w:fill="auto"/>
            <w:vAlign w:val="bottom"/>
          </w:tcPr>
          <w:p w14:paraId="643054A1" w14:textId="77777777" w:rsidR="009F6D8A" w:rsidRDefault="009F6D8A">
            <w:pPr>
              <w:rPr>
                <w:rFonts w:ascii="宋体"/>
                <w:vanish/>
              </w:rPr>
            </w:pPr>
          </w:p>
        </w:tc>
        <w:tc>
          <w:tcPr>
            <w:tcW w:w="0" w:type="auto"/>
            <w:gridSpan w:val="3"/>
            <w:shd w:val="clear" w:color="auto" w:fill="auto"/>
            <w:vAlign w:val="bottom"/>
          </w:tcPr>
          <w:p w14:paraId="643054A2" w14:textId="77777777" w:rsidR="009F6D8A" w:rsidRDefault="009F6D8A">
            <w:pPr>
              <w:rPr>
                <w:rFonts w:ascii="宋体"/>
                <w:vanish/>
              </w:rPr>
            </w:pPr>
          </w:p>
        </w:tc>
        <w:tc>
          <w:tcPr>
            <w:tcW w:w="0" w:type="auto"/>
            <w:gridSpan w:val="3"/>
            <w:shd w:val="clear" w:color="auto" w:fill="auto"/>
            <w:vAlign w:val="bottom"/>
          </w:tcPr>
          <w:p w14:paraId="643054A3" w14:textId="77777777" w:rsidR="009F6D8A" w:rsidRDefault="009F6D8A">
            <w:pPr>
              <w:rPr>
                <w:rFonts w:ascii="宋体"/>
                <w:vanish/>
              </w:rPr>
            </w:pPr>
          </w:p>
        </w:tc>
        <w:tc>
          <w:tcPr>
            <w:tcW w:w="0" w:type="auto"/>
            <w:gridSpan w:val="3"/>
            <w:shd w:val="clear" w:color="auto" w:fill="auto"/>
            <w:vAlign w:val="bottom"/>
          </w:tcPr>
          <w:p w14:paraId="643054A4" w14:textId="77777777" w:rsidR="009F6D8A" w:rsidRDefault="009F6D8A">
            <w:pPr>
              <w:rPr>
                <w:rFonts w:ascii="宋体"/>
                <w:vanish/>
              </w:rPr>
            </w:pPr>
          </w:p>
        </w:tc>
        <w:tc>
          <w:tcPr>
            <w:tcW w:w="0" w:type="auto"/>
            <w:gridSpan w:val="3"/>
            <w:shd w:val="clear" w:color="auto" w:fill="auto"/>
            <w:vAlign w:val="bottom"/>
          </w:tcPr>
          <w:p w14:paraId="643054A5" w14:textId="77777777" w:rsidR="009F6D8A" w:rsidRDefault="009F6D8A">
            <w:pPr>
              <w:rPr>
                <w:rFonts w:ascii="宋体"/>
                <w:vanish/>
              </w:rPr>
            </w:pPr>
          </w:p>
        </w:tc>
        <w:tc>
          <w:tcPr>
            <w:tcW w:w="0" w:type="auto"/>
            <w:gridSpan w:val="3"/>
            <w:shd w:val="clear" w:color="auto" w:fill="auto"/>
            <w:vAlign w:val="bottom"/>
          </w:tcPr>
          <w:p w14:paraId="643054A6" w14:textId="77777777" w:rsidR="009F6D8A" w:rsidRDefault="009F6D8A">
            <w:pPr>
              <w:rPr>
                <w:rFonts w:ascii="宋体"/>
                <w:vanish/>
              </w:rPr>
            </w:pPr>
          </w:p>
        </w:tc>
        <w:tc>
          <w:tcPr>
            <w:tcW w:w="0" w:type="auto"/>
            <w:gridSpan w:val="3"/>
            <w:shd w:val="clear" w:color="auto" w:fill="auto"/>
            <w:vAlign w:val="bottom"/>
          </w:tcPr>
          <w:p w14:paraId="643054A7" w14:textId="77777777" w:rsidR="009F6D8A" w:rsidRDefault="009F6D8A">
            <w:pPr>
              <w:rPr>
                <w:rFonts w:ascii="宋体"/>
                <w:vanish/>
              </w:rPr>
            </w:pPr>
          </w:p>
        </w:tc>
        <w:tc>
          <w:tcPr>
            <w:tcW w:w="0" w:type="auto"/>
            <w:gridSpan w:val="3"/>
            <w:shd w:val="clear" w:color="auto" w:fill="auto"/>
            <w:vAlign w:val="bottom"/>
          </w:tcPr>
          <w:p w14:paraId="643054A8" w14:textId="77777777" w:rsidR="009F6D8A" w:rsidRDefault="009F6D8A">
            <w:pPr>
              <w:rPr>
                <w:rFonts w:ascii="宋体"/>
                <w:vanish/>
              </w:rPr>
            </w:pPr>
          </w:p>
        </w:tc>
        <w:tc>
          <w:tcPr>
            <w:tcW w:w="0" w:type="auto"/>
            <w:gridSpan w:val="3"/>
            <w:shd w:val="clear" w:color="auto" w:fill="auto"/>
            <w:vAlign w:val="bottom"/>
          </w:tcPr>
          <w:p w14:paraId="643054A9" w14:textId="77777777" w:rsidR="009F6D8A" w:rsidRDefault="009F6D8A">
            <w:pPr>
              <w:rPr>
                <w:rFonts w:ascii="宋体"/>
                <w:vanish/>
              </w:rPr>
            </w:pPr>
          </w:p>
        </w:tc>
        <w:tc>
          <w:tcPr>
            <w:tcW w:w="0" w:type="auto"/>
            <w:gridSpan w:val="3"/>
            <w:shd w:val="clear" w:color="auto" w:fill="auto"/>
            <w:vAlign w:val="bottom"/>
          </w:tcPr>
          <w:p w14:paraId="643054AA" w14:textId="77777777" w:rsidR="009F6D8A" w:rsidRDefault="009F6D8A">
            <w:pPr>
              <w:rPr>
                <w:rFonts w:ascii="宋体"/>
                <w:vanish/>
              </w:rPr>
            </w:pPr>
          </w:p>
        </w:tc>
      </w:tr>
      <w:tr w:rsidR="009F6D8A" w14:paraId="643054BE" w14:textId="77777777">
        <w:tc>
          <w:tcPr>
            <w:tcW w:w="0" w:type="auto"/>
            <w:gridSpan w:val="3"/>
            <w:shd w:val="clear" w:color="auto" w:fill="FFFFFF"/>
            <w:tcMar>
              <w:top w:w="40" w:type="dxa"/>
              <w:left w:w="140" w:type="dxa"/>
              <w:bottom w:w="40" w:type="dxa"/>
              <w:right w:w="20" w:type="dxa"/>
            </w:tcMar>
            <w:vAlign w:val="bottom"/>
          </w:tcPr>
          <w:p w14:paraId="643054AC" w14:textId="77777777" w:rsidR="009F6D8A" w:rsidRDefault="00C50974">
            <w:pPr>
              <w:textAlignment w:val="bottom"/>
            </w:pPr>
            <w:r>
              <w:rPr>
                <w:rFonts w:ascii="Arial" w:eastAsia="宋体" w:hAnsi="Arial" w:cs="Arial"/>
                <w:color w:val="000000"/>
                <w:sz w:val="16"/>
                <w:szCs w:val="16"/>
              </w:rPr>
              <w:t>Marketing services and other revenues</w:t>
            </w:r>
          </w:p>
        </w:tc>
        <w:tc>
          <w:tcPr>
            <w:tcW w:w="0" w:type="auto"/>
            <w:gridSpan w:val="2"/>
            <w:shd w:val="clear" w:color="auto" w:fill="FFFFFF"/>
            <w:tcMar>
              <w:top w:w="40" w:type="dxa"/>
              <w:left w:w="20" w:type="dxa"/>
              <w:bottom w:w="40" w:type="dxa"/>
              <w:right w:w="0" w:type="dxa"/>
            </w:tcMar>
            <w:vAlign w:val="bottom"/>
          </w:tcPr>
          <w:p w14:paraId="643054AD" w14:textId="77777777" w:rsidR="009F6D8A" w:rsidRDefault="00C50974">
            <w:pPr>
              <w:jc w:val="right"/>
              <w:textAlignment w:val="bottom"/>
            </w:pPr>
            <w:r>
              <w:rPr>
                <w:rFonts w:ascii="Arial" w:eastAsia="宋体" w:hAnsi="Arial" w:cs="Arial"/>
                <w:color w:val="000000"/>
                <w:sz w:val="16"/>
                <w:szCs w:val="16"/>
              </w:rPr>
              <w:t>334 </w:t>
            </w:r>
          </w:p>
        </w:tc>
        <w:tc>
          <w:tcPr>
            <w:tcW w:w="0" w:type="auto"/>
            <w:shd w:val="clear" w:color="auto" w:fill="FFFFFF"/>
            <w:tcMar>
              <w:top w:w="40" w:type="dxa"/>
              <w:left w:w="0" w:type="dxa"/>
              <w:bottom w:w="40" w:type="dxa"/>
              <w:right w:w="20" w:type="dxa"/>
            </w:tcMar>
            <w:vAlign w:val="bottom"/>
          </w:tcPr>
          <w:p w14:paraId="643054A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4AF"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4B0" w14:textId="77777777" w:rsidR="009F6D8A" w:rsidRDefault="00C50974">
            <w:pPr>
              <w:jc w:val="right"/>
              <w:textAlignment w:val="bottom"/>
            </w:pPr>
            <w:r>
              <w:rPr>
                <w:rFonts w:ascii="Arial" w:eastAsia="宋体" w:hAnsi="Arial" w:cs="Arial"/>
                <w:color w:val="000000"/>
                <w:sz w:val="16"/>
                <w:szCs w:val="16"/>
              </w:rPr>
              <w:t>6 </w:t>
            </w:r>
          </w:p>
        </w:tc>
        <w:tc>
          <w:tcPr>
            <w:tcW w:w="0" w:type="auto"/>
            <w:shd w:val="clear" w:color="auto" w:fill="FFFFFF"/>
            <w:tcMar>
              <w:top w:w="40" w:type="dxa"/>
              <w:left w:w="0" w:type="dxa"/>
              <w:bottom w:w="40" w:type="dxa"/>
              <w:right w:w="20" w:type="dxa"/>
            </w:tcMar>
            <w:vAlign w:val="bottom"/>
          </w:tcPr>
          <w:p w14:paraId="643054B1"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4B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4B3" w14:textId="77777777" w:rsidR="009F6D8A" w:rsidRDefault="00C50974">
            <w:pPr>
              <w:jc w:val="right"/>
              <w:textAlignment w:val="bottom"/>
            </w:pPr>
            <w:r>
              <w:rPr>
                <w:rFonts w:ascii="Arial" w:eastAsia="宋体" w:hAnsi="Arial" w:cs="Arial"/>
                <w:color w:val="000000"/>
                <w:sz w:val="16"/>
                <w:szCs w:val="16"/>
              </w:rPr>
              <w:t>328 </w:t>
            </w:r>
          </w:p>
        </w:tc>
        <w:tc>
          <w:tcPr>
            <w:tcW w:w="0" w:type="auto"/>
            <w:shd w:val="clear" w:color="auto" w:fill="FFFFFF"/>
            <w:tcMar>
              <w:top w:w="40" w:type="dxa"/>
              <w:left w:w="0" w:type="dxa"/>
              <w:bottom w:w="40" w:type="dxa"/>
              <w:right w:w="20" w:type="dxa"/>
            </w:tcMar>
            <w:vAlign w:val="bottom"/>
          </w:tcPr>
          <w:p w14:paraId="643054B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4B5"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4B6" w14:textId="77777777" w:rsidR="009F6D8A" w:rsidRDefault="00C50974">
            <w:pPr>
              <w:jc w:val="right"/>
              <w:textAlignment w:val="bottom"/>
            </w:pPr>
            <w:r>
              <w:rPr>
                <w:rFonts w:ascii="Arial" w:eastAsia="宋体" w:hAnsi="Arial" w:cs="Arial"/>
                <w:color w:val="000000"/>
                <w:sz w:val="16"/>
                <w:szCs w:val="16"/>
              </w:rPr>
              <w:t>321 </w:t>
            </w:r>
          </w:p>
        </w:tc>
        <w:tc>
          <w:tcPr>
            <w:tcW w:w="0" w:type="auto"/>
            <w:shd w:val="clear" w:color="auto" w:fill="FFFFFF"/>
            <w:tcMar>
              <w:top w:w="40" w:type="dxa"/>
              <w:left w:w="0" w:type="dxa"/>
              <w:bottom w:w="40" w:type="dxa"/>
              <w:right w:w="20" w:type="dxa"/>
            </w:tcMar>
            <w:vAlign w:val="bottom"/>
          </w:tcPr>
          <w:p w14:paraId="643054B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4B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4B9" w14:textId="77777777" w:rsidR="009F6D8A" w:rsidRDefault="00C50974">
            <w:pPr>
              <w:jc w:val="right"/>
              <w:textAlignment w:val="bottom"/>
            </w:pPr>
            <w:r>
              <w:rPr>
                <w:rFonts w:ascii="Arial" w:eastAsia="宋体" w:hAnsi="Arial" w:cs="Arial"/>
                <w:color w:val="000000"/>
                <w:sz w:val="16"/>
                <w:szCs w:val="16"/>
              </w:rPr>
              <w:t>4 </w:t>
            </w:r>
          </w:p>
        </w:tc>
        <w:tc>
          <w:tcPr>
            <w:tcW w:w="0" w:type="auto"/>
            <w:shd w:val="clear" w:color="auto" w:fill="FFFFFF"/>
            <w:tcMar>
              <w:top w:w="40" w:type="dxa"/>
              <w:left w:w="0" w:type="dxa"/>
              <w:bottom w:w="40" w:type="dxa"/>
              <w:right w:w="20" w:type="dxa"/>
            </w:tcMar>
            <w:vAlign w:val="bottom"/>
          </w:tcPr>
          <w:p w14:paraId="643054BA"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643054BB"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4BC" w14:textId="77777777" w:rsidR="009F6D8A" w:rsidRDefault="00C50974">
            <w:pPr>
              <w:jc w:val="right"/>
              <w:textAlignment w:val="bottom"/>
            </w:pPr>
            <w:r>
              <w:rPr>
                <w:rFonts w:ascii="Arial" w:eastAsia="宋体" w:hAnsi="Arial" w:cs="Arial"/>
                <w:color w:val="000000"/>
                <w:sz w:val="16"/>
                <w:szCs w:val="16"/>
              </w:rPr>
              <w:t>2 </w:t>
            </w:r>
          </w:p>
        </w:tc>
        <w:tc>
          <w:tcPr>
            <w:tcW w:w="0" w:type="auto"/>
            <w:shd w:val="clear" w:color="auto" w:fill="FFFFFF"/>
            <w:tcMar>
              <w:top w:w="40" w:type="dxa"/>
              <w:left w:w="0" w:type="dxa"/>
              <w:bottom w:w="40" w:type="dxa"/>
              <w:right w:w="20" w:type="dxa"/>
            </w:tcMar>
            <w:vAlign w:val="bottom"/>
          </w:tcPr>
          <w:p w14:paraId="643054BD" w14:textId="77777777" w:rsidR="009F6D8A" w:rsidRDefault="00C50974">
            <w:pPr>
              <w:jc w:val="right"/>
              <w:textAlignment w:val="bottom"/>
            </w:pPr>
            <w:r>
              <w:rPr>
                <w:rFonts w:ascii="Arial" w:eastAsia="宋体" w:hAnsi="Arial" w:cs="Arial"/>
                <w:color w:val="000000"/>
                <w:sz w:val="16"/>
                <w:szCs w:val="16"/>
              </w:rPr>
              <w:t>%</w:t>
            </w:r>
          </w:p>
        </w:tc>
      </w:tr>
      <w:tr w:rsidR="009F6D8A" w14:paraId="643054CB" w14:textId="77777777">
        <w:trPr>
          <w:hidden/>
        </w:trPr>
        <w:tc>
          <w:tcPr>
            <w:tcW w:w="0" w:type="auto"/>
            <w:gridSpan w:val="3"/>
            <w:shd w:val="clear" w:color="auto" w:fill="auto"/>
            <w:vAlign w:val="bottom"/>
          </w:tcPr>
          <w:p w14:paraId="643054BF" w14:textId="77777777" w:rsidR="009F6D8A" w:rsidRDefault="009F6D8A">
            <w:pPr>
              <w:rPr>
                <w:rFonts w:ascii="宋体"/>
                <w:vanish/>
              </w:rPr>
            </w:pPr>
          </w:p>
        </w:tc>
        <w:tc>
          <w:tcPr>
            <w:tcW w:w="0" w:type="auto"/>
            <w:gridSpan w:val="3"/>
            <w:shd w:val="clear" w:color="auto" w:fill="auto"/>
            <w:vAlign w:val="bottom"/>
          </w:tcPr>
          <w:p w14:paraId="643054C0" w14:textId="77777777" w:rsidR="009F6D8A" w:rsidRDefault="009F6D8A">
            <w:pPr>
              <w:rPr>
                <w:rFonts w:ascii="宋体"/>
                <w:vanish/>
              </w:rPr>
            </w:pPr>
          </w:p>
        </w:tc>
        <w:tc>
          <w:tcPr>
            <w:tcW w:w="0" w:type="auto"/>
            <w:gridSpan w:val="3"/>
            <w:shd w:val="clear" w:color="auto" w:fill="auto"/>
            <w:vAlign w:val="bottom"/>
          </w:tcPr>
          <w:p w14:paraId="643054C1" w14:textId="77777777" w:rsidR="009F6D8A" w:rsidRDefault="009F6D8A">
            <w:pPr>
              <w:rPr>
                <w:rFonts w:ascii="宋体"/>
                <w:vanish/>
              </w:rPr>
            </w:pPr>
          </w:p>
        </w:tc>
        <w:tc>
          <w:tcPr>
            <w:tcW w:w="0" w:type="auto"/>
            <w:gridSpan w:val="3"/>
            <w:shd w:val="clear" w:color="auto" w:fill="auto"/>
            <w:vAlign w:val="bottom"/>
          </w:tcPr>
          <w:p w14:paraId="643054C2" w14:textId="77777777" w:rsidR="009F6D8A" w:rsidRDefault="009F6D8A">
            <w:pPr>
              <w:rPr>
                <w:rFonts w:ascii="宋体"/>
                <w:vanish/>
              </w:rPr>
            </w:pPr>
          </w:p>
        </w:tc>
        <w:tc>
          <w:tcPr>
            <w:tcW w:w="0" w:type="auto"/>
            <w:gridSpan w:val="3"/>
            <w:shd w:val="clear" w:color="auto" w:fill="auto"/>
            <w:vAlign w:val="bottom"/>
          </w:tcPr>
          <w:p w14:paraId="643054C3" w14:textId="77777777" w:rsidR="009F6D8A" w:rsidRDefault="009F6D8A">
            <w:pPr>
              <w:rPr>
                <w:rFonts w:ascii="宋体"/>
                <w:vanish/>
              </w:rPr>
            </w:pPr>
          </w:p>
        </w:tc>
        <w:tc>
          <w:tcPr>
            <w:tcW w:w="0" w:type="auto"/>
            <w:gridSpan w:val="3"/>
            <w:shd w:val="clear" w:color="auto" w:fill="auto"/>
            <w:vAlign w:val="bottom"/>
          </w:tcPr>
          <w:p w14:paraId="643054C4" w14:textId="77777777" w:rsidR="009F6D8A" w:rsidRDefault="009F6D8A">
            <w:pPr>
              <w:rPr>
                <w:rFonts w:ascii="宋体"/>
                <w:vanish/>
              </w:rPr>
            </w:pPr>
          </w:p>
        </w:tc>
        <w:tc>
          <w:tcPr>
            <w:tcW w:w="0" w:type="auto"/>
            <w:gridSpan w:val="3"/>
            <w:shd w:val="clear" w:color="auto" w:fill="auto"/>
            <w:vAlign w:val="bottom"/>
          </w:tcPr>
          <w:p w14:paraId="643054C5" w14:textId="77777777" w:rsidR="009F6D8A" w:rsidRDefault="009F6D8A">
            <w:pPr>
              <w:rPr>
                <w:rFonts w:ascii="宋体"/>
                <w:vanish/>
              </w:rPr>
            </w:pPr>
          </w:p>
        </w:tc>
        <w:tc>
          <w:tcPr>
            <w:tcW w:w="0" w:type="auto"/>
            <w:gridSpan w:val="3"/>
            <w:shd w:val="clear" w:color="auto" w:fill="auto"/>
            <w:vAlign w:val="bottom"/>
          </w:tcPr>
          <w:p w14:paraId="643054C6" w14:textId="77777777" w:rsidR="009F6D8A" w:rsidRDefault="009F6D8A">
            <w:pPr>
              <w:rPr>
                <w:rFonts w:ascii="宋体"/>
                <w:vanish/>
              </w:rPr>
            </w:pPr>
          </w:p>
        </w:tc>
        <w:tc>
          <w:tcPr>
            <w:tcW w:w="0" w:type="auto"/>
            <w:gridSpan w:val="3"/>
            <w:shd w:val="clear" w:color="auto" w:fill="auto"/>
            <w:vAlign w:val="bottom"/>
          </w:tcPr>
          <w:p w14:paraId="643054C7" w14:textId="77777777" w:rsidR="009F6D8A" w:rsidRDefault="009F6D8A">
            <w:pPr>
              <w:rPr>
                <w:rFonts w:ascii="宋体"/>
                <w:vanish/>
              </w:rPr>
            </w:pPr>
          </w:p>
        </w:tc>
        <w:tc>
          <w:tcPr>
            <w:tcW w:w="0" w:type="auto"/>
            <w:gridSpan w:val="3"/>
            <w:shd w:val="clear" w:color="auto" w:fill="auto"/>
            <w:vAlign w:val="bottom"/>
          </w:tcPr>
          <w:p w14:paraId="643054C8" w14:textId="77777777" w:rsidR="009F6D8A" w:rsidRDefault="009F6D8A">
            <w:pPr>
              <w:rPr>
                <w:rFonts w:ascii="宋体"/>
                <w:vanish/>
              </w:rPr>
            </w:pPr>
          </w:p>
        </w:tc>
        <w:tc>
          <w:tcPr>
            <w:tcW w:w="0" w:type="auto"/>
            <w:gridSpan w:val="3"/>
            <w:shd w:val="clear" w:color="auto" w:fill="auto"/>
            <w:vAlign w:val="bottom"/>
          </w:tcPr>
          <w:p w14:paraId="643054C9" w14:textId="77777777" w:rsidR="009F6D8A" w:rsidRDefault="009F6D8A">
            <w:pPr>
              <w:rPr>
                <w:rFonts w:ascii="宋体"/>
                <w:vanish/>
              </w:rPr>
            </w:pPr>
          </w:p>
        </w:tc>
        <w:tc>
          <w:tcPr>
            <w:tcW w:w="0" w:type="auto"/>
            <w:gridSpan w:val="3"/>
            <w:shd w:val="clear" w:color="auto" w:fill="auto"/>
            <w:vAlign w:val="bottom"/>
          </w:tcPr>
          <w:p w14:paraId="643054CA" w14:textId="77777777" w:rsidR="009F6D8A" w:rsidRDefault="009F6D8A">
            <w:pPr>
              <w:rPr>
                <w:rFonts w:ascii="宋体"/>
                <w:vanish/>
              </w:rPr>
            </w:pPr>
          </w:p>
        </w:tc>
      </w:tr>
      <w:tr w:rsidR="009F6D8A" w14:paraId="643054D8" w14:textId="77777777">
        <w:trPr>
          <w:hidden/>
        </w:trPr>
        <w:tc>
          <w:tcPr>
            <w:tcW w:w="0" w:type="auto"/>
            <w:gridSpan w:val="3"/>
            <w:shd w:val="clear" w:color="auto" w:fill="auto"/>
            <w:vAlign w:val="bottom"/>
          </w:tcPr>
          <w:p w14:paraId="643054CC" w14:textId="77777777" w:rsidR="009F6D8A" w:rsidRDefault="009F6D8A">
            <w:pPr>
              <w:rPr>
                <w:rFonts w:ascii="宋体"/>
                <w:vanish/>
              </w:rPr>
            </w:pPr>
          </w:p>
        </w:tc>
        <w:tc>
          <w:tcPr>
            <w:tcW w:w="0" w:type="auto"/>
            <w:gridSpan w:val="3"/>
            <w:shd w:val="clear" w:color="auto" w:fill="auto"/>
            <w:vAlign w:val="bottom"/>
          </w:tcPr>
          <w:p w14:paraId="643054CD" w14:textId="77777777" w:rsidR="009F6D8A" w:rsidRDefault="009F6D8A">
            <w:pPr>
              <w:rPr>
                <w:rFonts w:ascii="宋体"/>
                <w:vanish/>
              </w:rPr>
            </w:pPr>
          </w:p>
        </w:tc>
        <w:tc>
          <w:tcPr>
            <w:tcW w:w="0" w:type="auto"/>
            <w:gridSpan w:val="3"/>
            <w:shd w:val="clear" w:color="auto" w:fill="auto"/>
            <w:vAlign w:val="bottom"/>
          </w:tcPr>
          <w:p w14:paraId="643054CE" w14:textId="77777777" w:rsidR="009F6D8A" w:rsidRDefault="009F6D8A">
            <w:pPr>
              <w:rPr>
                <w:rFonts w:ascii="宋体"/>
                <w:vanish/>
              </w:rPr>
            </w:pPr>
          </w:p>
        </w:tc>
        <w:tc>
          <w:tcPr>
            <w:tcW w:w="0" w:type="auto"/>
            <w:gridSpan w:val="3"/>
            <w:shd w:val="clear" w:color="auto" w:fill="auto"/>
            <w:vAlign w:val="bottom"/>
          </w:tcPr>
          <w:p w14:paraId="643054CF" w14:textId="77777777" w:rsidR="009F6D8A" w:rsidRDefault="009F6D8A">
            <w:pPr>
              <w:rPr>
                <w:rFonts w:ascii="宋体"/>
                <w:vanish/>
              </w:rPr>
            </w:pPr>
          </w:p>
        </w:tc>
        <w:tc>
          <w:tcPr>
            <w:tcW w:w="0" w:type="auto"/>
            <w:gridSpan w:val="3"/>
            <w:shd w:val="clear" w:color="auto" w:fill="auto"/>
            <w:vAlign w:val="bottom"/>
          </w:tcPr>
          <w:p w14:paraId="643054D0" w14:textId="77777777" w:rsidR="009F6D8A" w:rsidRDefault="009F6D8A">
            <w:pPr>
              <w:rPr>
                <w:rFonts w:ascii="宋体"/>
                <w:vanish/>
              </w:rPr>
            </w:pPr>
          </w:p>
        </w:tc>
        <w:tc>
          <w:tcPr>
            <w:tcW w:w="0" w:type="auto"/>
            <w:gridSpan w:val="3"/>
            <w:shd w:val="clear" w:color="auto" w:fill="auto"/>
            <w:vAlign w:val="bottom"/>
          </w:tcPr>
          <w:p w14:paraId="643054D1" w14:textId="77777777" w:rsidR="009F6D8A" w:rsidRDefault="009F6D8A">
            <w:pPr>
              <w:rPr>
                <w:rFonts w:ascii="宋体"/>
                <w:vanish/>
              </w:rPr>
            </w:pPr>
          </w:p>
        </w:tc>
        <w:tc>
          <w:tcPr>
            <w:tcW w:w="0" w:type="auto"/>
            <w:gridSpan w:val="3"/>
            <w:shd w:val="clear" w:color="auto" w:fill="auto"/>
            <w:vAlign w:val="bottom"/>
          </w:tcPr>
          <w:p w14:paraId="643054D2" w14:textId="77777777" w:rsidR="009F6D8A" w:rsidRDefault="009F6D8A">
            <w:pPr>
              <w:rPr>
                <w:rFonts w:ascii="宋体"/>
                <w:vanish/>
              </w:rPr>
            </w:pPr>
          </w:p>
        </w:tc>
        <w:tc>
          <w:tcPr>
            <w:tcW w:w="0" w:type="auto"/>
            <w:gridSpan w:val="3"/>
            <w:shd w:val="clear" w:color="auto" w:fill="auto"/>
            <w:vAlign w:val="bottom"/>
          </w:tcPr>
          <w:p w14:paraId="643054D3" w14:textId="77777777" w:rsidR="009F6D8A" w:rsidRDefault="009F6D8A">
            <w:pPr>
              <w:rPr>
                <w:rFonts w:ascii="宋体"/>
                <w:vanish/>
              </w:rPr>
            </w:pPr>
          </w:p>
        </w:tc>
        <w:tc>
          <w:tcPr>
            <w:tcW w:w="0" w:type="auto"/>
            <w:gridSpan w:val="3"/>
            <w:shd w:val="clear" w:color="auto" w:fill="auto"/>
            <w:vAlign w:val="bottom"/>
          </w:tcPr>
          <w:p w14:paraId="643054D4" w14:textId="77777777" w:rsidR="009F6D8A" w:rsidRDefault="009F6D8A">
            <w:pPr>
              <w:rPr>
                <w:rFonts w:ascii="宋体"/>
                <w:vanish/>
              </w:rPr>
            </w:pPr>
          </w:p>
        </w:tc>
        <w:tc>
          <w:tcPr>
            <w:tcW w:w="0" w:type="auto"/>
            <w:gridSpan w:val="3"/>
            <w:shd w:val="clear" w:color="auto" w:fill="auto"/>
            <w:vAlign w:val="bottom"/>
          </w:tcPr>
          <w:p w14:paraId="643054D5" w14:textId="77777777" w:rsidR="009F6D8A" w:rsidRDefault="009F6D8A">
            <w:pPr>
              <w:rPr>
                <w:rFonts w:ascii="宋体"/>
                <w:vanish/>
              </w:rPr>
            </w:pPr>
          </w:p>
        </w:tc>
        <w:tc>
          <w:tcPr>
            <w:tcW w:w="0" w:type="auto"/>
            <w:gridSpan w:val="3"/>
            <w:shd w:val="clear" w:color="auto" w:fill="auto"/>
            <w:vAlign w:val="bottom"/>
          </w:tcPr>
          <w:p w14:paraId="643054D6" w14:textId="77777777" w:rsidR="009F6D8A" w:rsidRDefault="009F6D8A">
            <w:pPr>
              <w:rPr>
                <w:rFonts w:ascii="宋体"/>
                <w:vanish/>
              </w:rPr>
            </w:pPr>
          </w:p>
        </w:tc>
        <w:tc>
          <w:tcPr>
            <w:tcW w:w="0" w:type="auto"/>
            <w:gridSpan w:val="3"/>
            <w:shd w:val="clear" w:color="auto" w:fill="auto"/>
            <w:vAlign w:val="bottom"/>
          </w:tcPr>
          <w:p w14:paraId="643054D7" w14:textId="77777777" w:rsidR="009F6D8A" w:rsidRDefault="009F6D8A">
            <w:pPr>
              <w:rPr>
                <w:rFonts w:ascii="宋体"/>
                <w:vanish/>
              </w:rPr>
            </w:pPr>
          </w:p>
        </w:tc>
      </w:tr>
      <w:tr w:rsidR="009F6D8A" w14:paraId="643054E5" w14:textId="77777777">
        <w:trPr>
          <w:hidden/>
        </w:trPr>
        <w:tc>
          <w:tcPr>
            <w:tcW w:w="0" w:type="auto"/>
            <w:gridSpan w:val="3"/>
            <w:shd w:val="clear" w:color="auto" w:fill="auto"/>
            <w:vAlign w:val="bottom"/>
          </w:tcPr>
          <w:p w14:paraId="643054D9" w14:textId="77777777" w:rsidR="009F6D8A" w:rsidRDefault="009F6D8A">
            <w:pPr>
              <w:rPr>
                <w:rFonts w:ascii="宋体"/>
                <w:vanish/>
              </w:rPr>
            </w:pPr>
          </w:p>
        </w:tc>
        <w:tc>
          <w:tcPr>
            <w:tcW w:w="0" w:type="auto"/>
            <w:gridSpan w:val="3"/>
            <w:shd w:val="clear" w:color="auto" w:fill="auto"/>
            <w:vAlign w:val="bottom"/>
          </w:tcPr>
          <w:p w14:paraId="643054DA" w14:textId="77777777" w:rsidR="009F6D8A" w:rsidRDefault="009F6D8A">
            <w:pPr>
              <w:rPr>
                <w:rFonts w:ascii="宋体"/>
                <w:vanish/>
              </w:rPr>
            </w:pPr>
          </w:p>
        </w:tc>
        <w:tc>
          <w:tcPr>
            <w:tcW w:w="0" w:type="auto"/>
            <w:gridSpan w:val="3"/>
            <w:shd w:val="clear" w:color="auto" w:fill="auto"/>
            <w:vAlign w:val="bottom"/>
          </w:tcPr>
          <w:p w14:paraId="643054DB" w14:textId="77777777" w:rsidR="009F6D8A" w:rsidRDefault="009F6D8A">
            <w:pPr>
              <w:rPr>
                <w:rFonts w:ascii="宋体"/>
                <w:vanish/>
              </w:rPr>
            </w:pPr>
          </w:p>
        </w:tc>
        <w:tc>
          <w:tcPr>
            <w:tcW w:w="0" w:type="auto"/>
            <w:gridSpan w:val="3"/>
            <w:shd w:val="clear" w:color="auto" w:fill="auto"/>
            <w:vAlign w:val="bottom"/>
          </w:tcPr>
          <w:p w14:paraId="643054DC" w14:textId="77777777" w:rsidR="009F6D8A" w:rsidRDefault="009F6D8A">
            <w:pPr>
              <w:rPr>
                <w:rFonts w:ascii="宋体"/>
                <w:vanish/>
              </w:rPr>
            </w:pPr>
          </w:p>
        </w:tc>
        <w:tc>
          <w:tcPr>
            <w:tcW w:w="0" w:type="auto"/>
            <w:gridSpan w:val="3"/>
            <w:shd w:val="clear" w:color="auto" w:fill="auto"/>
            <w:vAlign w:val="bottom"/>
          </w:tcPr>
          <w:p w14:paraId="643054DD" w14:textId="77777777" w:rsidR="009F6D8A" w:rsidRDefault="009F6D8A">
            <w:pPr>
              <w:rPr>
                <w:rFonts w:ascii="宋体"/>
                <w:vanish/>
              </w:rPr>
            </w:pPr>
          </w:p>
        </w:tc>
        <w:tc>
          <w:tcPr>
            <w:tcW w:w="0" w:type="auto"/>
            <w:gridSpan w:val="3"/>
            <w:shd w:val="clear" w:color="auto" w:fill="auto"/>
            <w:vAlign w:val="bottom"/>
          </w:tcPr>
          <w:p w14:paraId="643054DE" w14:textId="77777777" w:rsidR="009F6D8A" w:rsidRDefault="009F6D8A">
            <w:pPr>
              <w:rPr>
                <w:rFonts w:ascii="宋体"/>
                <w:vanish/>
              </w:rPr>
            </w:pPr>
          </w:p>
        </w:tc>
        <w:tc>
          <w:tcPr>
            <w:tcW w:w="0" w:type="auto"/>
            <w:gridSpan w:val="3"/>
            <w:shd w:val="clear" w:color="auto" w:fill="auto"/>
            <w:vAlign w:val="bottom"/>
          </w:tcPr>
          <w:p w14:paraId="643054DF" w14:textId="77777777" w:rsidR="009F6D8A" w:rsidRDefault="009F6D8A">
            <w:pPr>
              <w:rPr>
                <w:rFonts w:ascii="宋体"/>
                <w:vanish/>
              </w:rPr>
            </w:pPr>
          </w:p>
        </w:tc>
        <w:tc>
          <w:tcPr>
            <w:tcW w:w="0" w:type="auto"/>
            <w:gridSpan w:val="3"/>
            <w:shd w:val="clear" w:color="auto" w:fill="auto"/>
            <w:vAlign w:val="bottom"/>
          </w:tcPr>
          <w:p w14:paraId="643054E0" w14:textId="77777777" w:rsidR="009F6D8A" w:rsidRDefault="009F6D8A">
            <w:pPr>
              <w:rPr>
                <w:rFonts w:ascii="宋体"/>
                <w:vanish/>
              </w:rPr>
            </w:pPr>
          </w:p>
        </w:tc>
        <w:tc>
          <w:tcPr>
            <w:tcW w:w="0" w:type="auto"/>
            <w:gridSpan w:val="3"/>
            <w:shd w:val="clear" w:color="auto" w:fill="auto"/>
            <w:vAlign w:val="bottom"/>
          </w:tcPr>
          <w:p w14:paraId="643054E1" w14:textId="77777777" w:rsidR="009F6D8A" w:rsidRDefault="009F6D8A">
            <w:pPr>
              <w:rPr>
                <w:rFonts w:ascii="宋体"/>
                <w:vanish/>
              </w:rPr>
            </w:pPr>
          </w:p>
        </w:tc>
        <w:tc>
          <w:tcPr>
            <w:tcW w:w="0" w:type="auto"/>
            <w:gridSpan w:val="3"/>
            <w:shd w:val="clear" w:color="auto" w:fill="auto"/>
            <w:vAlign w:val="bottom"/>
          </w:tcPr>
          <w:p w14:paraId="643054E2" w14:textId="77777777" w:rsidR="009F6D8A" w:rsidRDefault="009F6D8A">
            <w:pPr>
              <w:rPr>
                <w:rFonts w:ascii="宋体"/>
                <w:vanish/>
              </w:rPr>
            </w:pPr>
          </w:p>
        </w:tc>
        <w:tc>
          <w:tcPr>
            <w:tcW w:w="0" w:type="auto"/>
            <w:gridSpan w:val="3"/>
            <w:shd w:val="clear" w:color="auto" w:fill="auto"/>
            <w:vAlign w:val="bottom"/>
          </w:tcPr>
          <w:p w14:paraId="643054E3" w14:textId="77777777" w:rsidR="009F6D8A" w:rsidRDefault="009F6D8A">
            <w:pPr>
              <w:rPr>
                <w:rFonts w:ascii="宋体"/>
                <w:vanish/>
              </w:rPr>
            </w:pPr>
          </w:p>
        </w:tc>
        <w:tc>
          <w:tcPr>
            <w:tcW w:w="0" w:type="auto"/>
            <w:gridSpan w:val="3"/>
            <w:shd w:val="clear" w:color="auto" w:fill="auto"/>
            <w:vAlign w:val="bottom"/>
          </w:tcPr>
          <w:p w14:paraId="643054E4" w14:textId="77777777" w:rsidR="009F6D8A" w:rsidRDefault="009F6D8A">
            <w:pPr>
              <w:rPr>
                <w:rFonts w:ascii="宋体"/>
                <w:vanish/>
              </w:rPr>
            </w:pPr>
          </w:p>
        </w:tc>
      </w:tr>
      <w:tr w:rsidR="009F6D8A" w14:paraId="643054F2" w14:textId="77777777">
        <w:trPr>
          <w:hidden/>
        </w:trPr>
        <w:tc>
          <w:tcPr>
            <w:tcW w:w="0" w:type="auto"/>
            <w:gridSpan w:val="3"/>
            <w:shd w:val="clear" w:color="auto" w:fill="auto"/>
            <w:vAlign w:val="bottom"/>
          </w:tcPr>
          <w:p w14:paraId="643054E6" w14:textId="77777777" w:rsidR="009F6D8A" w:rsidRDefault="009F6D8A">
            <w:pPr>
              <w:rPr>
                <w:rFonts w:ascii="宋体"/>
                <w:vanish/>
              </w:rPr>
            </w:pPr>
          </w:p>
        </w:tc>
        <w:tc>
          <w:tcPr>
            <w:tcW w:w="0" w:type="auto"/>
            <w:gridSpan w:val="3"/>
            <w:shd w:val="clear" w:color="auto" w:fill="auto"/>
            <w:vAlign w:val="bottom"/>
          </w:tcPr>
          <w:p w14:paraId="643054E7" w14:textId="77777777" w:rsidR="009F6D8A" w:rsidRDefault="009F6D8A">
            <w:pPr>
              <w:rPr>
                <w:rFonts w:ascii="宋体"/>
                <w:vanish/>
              </w:rPr>
            </w:pPr>
          </w:p>
        </w:tc>
        <w:tc>
          <w:tcPr>
            <w:tcW w:w="0" w:type="auto"/>
            <w:gridSpan w:val="3"/>
            <w:shd w:val="clear" w:color="auto" w:fill="auto"/>
            <w:vAlign w:val="bottom"/>
          </w:tcPr>
          <w:p w14:paraId="643054E8" w14:textId="77777777" w:rsidR="009F6D8A" w:rsidRDefault="009F6D8A">
            <w:pPr>
              <w:rPr>
                <w:rFonts w:ascii="宋体"/>
                <w:vanish/>
              </w:rPr>
            </w:pPr>
          </w:p>
        </w:tc>
        <w:tc>
          <w:tcPr>
            <w:tcW w:w="0" w:type="auto"/>
            <w:gridSpan w:val="3"/>
            <w:shd w:val="clear" w:color="auto" w:fill="auto"/>
            <w:vAlign w:val="bottom"/>
          </w:tcPr>
          <w:p w14:paraId="643054E9" w14:textId="77777777" w:rsidR="009F6D8A" w:rsidRDefault="009F6D8A">
            <w:pPr>
              <w:rPr>
                <w:rFonts w:ascii="宋体"/>
                <w:vanish/>
              </w:rPr>
            </w:pPr>
          </w:p>
        </w:tc>
        <w:tc>
          <w:tcPr>
            <w:tcW w:w="0" w:type="auto"/>
            <w:gridSpan w:val="3"/>
            <w:shd w:val="clear" w:color="auto" w:fill="auto"/>
            <w:vAlign w:val="bottom"/>
          </w:tcPr>
          <w:p w14:paraId="643054EA" w14:textId="77777777" w:rsidR="009F6D8A" w:rsidRDefault="009F6D8A">
            <w:pPr>
              <w:rPr>
                <w:rFonts w:ascii="宋体"/>
                <w:vanish/>
              </w:rPr>
            </w:pPr>
          </w:p>
        </w:tc>
        <w:tc>
          <w:tcPr>
            <w:tcW w:w="0" w:type="auto"/>
            <w:gridSpan w:val="3"/>
            <w:shd w:val="clear" w:color="auto" w:fill="auto"/>
            <w:vAlign w:val="bottom"/>
          </w:tcPr>
          <w:p w14:paraId="643054EB" w14:textId="77777777" w:rsidR="009F6D8A" w:rsidRDefault="009F6D8A">
            <w:pPr>
              <w:rPr>
                <w:rFonts w:ascii="宋体"/>
                <w:vanish/>
              </w:rPr>
            </w:pPr>
          </w:p>
        </w:tc>
        <w:tc>
          <w:tcPr>
            <w:tcW w:w="0" w:type="auto"/>
            <w:gridSpan w:val="3"/>
            <w:shd w:val="clear" w:color="auto" w:fill="auto"/>
            <w:vAlign w:val="bottom"/>
          </w:tcPr>
          <w:p w14:paraId="643054EC" w14:textId="77777777" w:rsidR="009F6D8A" w:rsidRDefault="009F6D8A">
            <w:pPr>
              <w:rPr>
                <w:rFonts w:ascii="宋体"/>
                <w:vanish/>
              </w:rPr>
            </w:pPr>
          </w:p>
        </w:tc>
        <w:tc>
          <w:tcPr>
            <w:tcW w:w="0" w:type="auto"/>
            <w:gridSpan w:val="3"/>
            <w:shd w:val="clear" w:color="auto" w:fill="auto"/>
            <w:vAlign w:val="bottom"/>
          </w:tcPr>
          <w:p w14:paraId="643054ED" w14:textId="77777777" w:rsidR="009F6D8A" w:rsidRDefault="009F6D8A">
            <w:pPr>
              <w:rPr>
                <w:rFonts w:ascii="宋体"/>
                <w:vanish/>
              </w:rPr>
            </w:pPr>
          </w:p>
        </w:tc>
        <w:tc>
          <w:tcPr>
            <w:tcW w:w="0" w:type="auto"/>
            <w:gridSpan w:val="3"/>
            <w:shd w:val="clear" w:color="auto" w:fill="auto"/>
            <w:vAlign w:val="bottom"/>
          </w:tcPr>
          <w:p w14:paraId="643054EE" w14:textId="77777777" w:rsidR="009F6D8A" w:rsidRDefault="009F6D8A">
            <w:pPr>
              <w:rPr>
                <w:rFonts w:ascii="宋体"/>
                <w:vanish/>
              </w:rPr>
            </w:pPr>
          </w:p>
        </w:tc>
        <w:tc>
          <w:tcPr>
            <w:tcW w:w="0" w:type="auto"/>
            <w:gridSpan w:val="3"/>
            <w:shd w:val="clear" w:color="auto" w:fill="auto"/>
            <w:vAlign w:val="bottom"/>
          </w:tcPr>
          <w:p w14:paraId="643054EF" w14:textId="77777777" w:rsidR="009F6D8A" w:rsidRDefault="009F6D8A">
            <w:pPr>
              <w:rPr>
                <w:rFonts w:ascii="宋体"/>
                <w:vanish/>
              </w:rPr>
            </w:pPr>
          </w:p>
        </w:tc>
        <w:tc>
          <w:tcPr>
            <w:tcW w:w="0" w:type="auto"/>
            <w:gridSpan w:val="3"/>
            <w:shd w:val="clear" w:color="auto" w:fill="auto"/>
            <w:vAlign w:val="bottom"/>
          </w:tcPr>
          <w:p w14:paraId="643054F0" w14:textId="77777777" w:rsidR="009F6D8A" w:rsidRDefault="009F6D8A">
            <w:pPr>
              <w:rPr>
                <w:rFonts w:ascii="宋体"/>
                <w:vanish/>
              </w:rPr>
            </w:pPr>
          </w:p>
        </w:tc>
        <w:tc>
          <w:tcPr>
            <w:tcW w:w="0" w:type="auto"/>
            <w:gridSpan w:val="3"/>
            <w:shd w:val="clear" w:color="auto" w:fill="auto"/>
            <w:vAlign w:val="bottom"/>
          </w:tcPr>
          <w:p w14:paraId="643054F1" w14:textId="77777777" w:rsidR="009F6D8A" w:rsidRDefault="009F6D8A">
            <w:pPr>
              <w:rPr>
                <w:rFonts w:ascii="宋体"/>
                <w:vanish/>
              </w:rPr>
            </w:pPr>
          </w:p>
        </w:tc>
      </w:tr>
      <w:tr w:rsidR="009F6D8A" w14:paraId="64305509" w14:textId="77777777">
        <w:tc>
          <w:tcPr>
            <w:tcW w:w="0" w:type="auto"/>
            <w:gridSpan w:val="3"/>
            <w:shd w:val="clear" w:color="auto" w:fill="E1E1E1"/>
            <w:tcMar>
              <w:top w:w="40" w:type="dxa"/>
              <w:left w:w="380" w:type="dxa"/>
              <w:bottom w:w="40" w:type="dxa"/>
              <w:right w:w="20" w:type="dxa"/>
            </w:tcMar>
            <w:vAlign w:val="bottom"/>
          </w:tcPr>
          <w:p w14:paraId="643054F3" w14:textId="77777777" w:rsidR="009F6D8A" w:rsidRDefault="00C50974">
            <w:pPr>
              <w:textAlignment w:val="bottom"/>
            </w:pPr>
            <w:r>
              <w:rPr>
                <w:rFonts w:ascii="Arial" w:eastAsia="宋体" w:hAnsi="Arial" w:cs="Arial"/>
                <w:color w:val="000000"/>
                <w:sz w:val="16"/>
                <w:szCs w:val="16"/>
              </w:rPr>
              <w:t>Total net revenues</w:t>
            </w:r>
          </w:p>
        </w:tc>
        <w:tc>
          <w:tcPr>
            <w:tcW w:w="0" w:type="auto"/>
            <w:tcBorders>
              <w:top w:val="single" w:sz="8" w:space="0" w:color="000000"/>
            </w:tcBorders>
            <w:shd w:val="clear" w:color="auto" w:fill="E1E1E1"/>
            <w:tcMar>
              <w:top w:w="40" w:type="dxa"/>
              <w:left w:w="20" w:type="dxa"/>
              <w:bottom w:w="40" w:type="dxa"/>
              <w:right w:w="0" w:type="dxa"/>
            </w:tcMar>
            <w:vAlign w:val="bottom"/>
          </w:tcPr>
          <w:p w14:paraId="643054F4"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54F5" w14:textId="77777777" w:rsidR="009F6D8A" w:rsidRDefault="00C50974">
            <w:pPr>
              <w:jc w:val="right"/>
              <w:textAlignment w:val="bottom"/>
            </w:pPr>
            <w:r>
              <w:rPr>
                <w:rFonts w:ascii="Arial" w:eastAsia="宋体" w:hAnsi="Arial" w:cs="Arial"/>
                <w:color w:val="000000"/>
                <w:sz w:val="16"/>
                <w:szCs w:val="16"/>
              </w:rPr>
              <w:t>5,306 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54F6"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4F7"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54F8"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54F9" w14:textId="77777777" w:rsidR="009F6D8A" w:rsidRDefault="00C50974">
            <w:pPr>
              <w:jc w:val="right"/>
              <w:textAlignment w:val="bottom"/>
            </w:pPr>
            <w:r>
              <w:rPr>
                <w:rFonts w:ascii="Arial" w:eastAsia="宋体" w:hAnsi="Arial" w:cs="Arial"/>
                <w:color w:val="000000"/>
                <w:sz w:val="16"/>
                <w:szCs w:val="16"/>
              </w:rPr>
              <w:t>149 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54FA"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4FB"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54FC"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54FD" w14:textId="77777777" w:rsidR="009F6D8A" w:rsidRDefault="00C50974">
            <w:pPr>
              <w:jc w:val="right"/>
              <w:textAlignment w:val="bottom"/>
            </w:pPr>
            <w:r>
              <w:rPr>
                <w:rFonts w:ascii="Arial" w:eastAsia="宋体" w:hAnsi="Arial" w:cs="Arial"/>
                <w:color w:val="000000"/>
                <w:sz w:val="16"/>
                <w:szCs w:val="16"/>
              </w:rPr>
              <w:t>5,157 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54FE"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4FF" w14:textId="77777777" w:rsidR="009F6D8A" w:rsidRDefault="009F6D8A">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64305500" w14:textId="77777777" w:rsidR="009F6D8A" w:rsidRDefault="00C50974">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64305501" w14:textId="77777777" w:rsidR="009F6D8A" w:rsidRDefault="00C50974">
            <w:pPr>
              <w:jc w:val="right"/>
              <w:textAlignment w:val="bottom"/>
            </w:pPr>
            <w:r>
              <w:rPr>
                <w:rFonts w:ascii="Arial" w:eastAsia="宋体" w:hAnsi="Arial" w:cs="Arial"/>
                <w:color w:val="000000"/>
                <w:sz w:val="16"/>
                <w:szCs w:val="16"/>
              </w:rPr>
              <w:t>4,158 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5502" w14:textId="77777777" w:rsidR="009F6D8A" w:rsidRDefault="009F6D8A">
            <w:pPr>
              <w:jc w:val="right"/>
              <w:rPr>
                <w:rFonts w:ascii="宋体"/>
              </w:rPr>
            </w:pPr>
          </w:p>
        </w:tc>
        <w:tc>
          <w:tcPr>
            <w:tcW w:w="0" w:type="auto"/>
            <w:gridSpan w:val="3"/>
            <w:shd w:val="clear" w:color="auto" w:fill="E1E1E1"/>
            <w:tcMar>
              <w:top w:w="0" w:type="dxa"/>
              <w:left w:w="20" w:type="dxa"/>
              <w:bottom w:w="0" w:type="dxa"/>
              <w:right w:w="20" w:type="dxa"/>
            </w:tcMar>
            <w:vAlign w:val="bottom"/>
          </w:tcPr>
          <w:p w14:paraId="64305503"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5504" w14:textId="77777777" w:rsidR="009F6D8A" w:rsidRDefault="00C50974">
            <w:pPr>
              <w:jc w:val="right"/>
              <w:textAlignment w:val="bottom"/>
            </w:pPr>
            <w:r>
              <w:rPr>
                <w:rFonts w:ascii="Arial" w:eastAsia="宋体" w:hAnsi="Arial" w:cs="Arial"/>
                <w:color w:val="000000"/>
                <w:sz w:val="16"/>
                <w:szCs w:val="16"/>
              </w:rPr>
              <w:t>28 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5505" w14:textId="77777777" w:rsidR="009F6D8A" w:rsidRDefault="00C50974">
            <w:pPr>
              <w:jc w:val="right"/>
              <w:textAlignment w:val="bottom"/>
            </w:pPr>
            <w:r>
              <w:rPr>
                <w:rFonts w:ascii="Arial" w:eastAsia="宋体" w:hAnsi="Arial" w:cs="Arial"/>
                <w:color w:val="000000"/>
                <w:sz w:val="16"/>
                <w:szCs w:val="16"/>
              </w:rPr>
              <w:t>%</w:t>
            </w:r>
          </w:p>
        </w:tc>
        <w:tc>
          <w:tcPr>
            <w:tcW w:w="0" w:type="auto"/>
            <w:gridSpan w:val="3"/>
            <w:shd w:val="clear" w:color="auto" w:fill="E1E1E1"/>
            <w:tcMar>
              <w:top w:w="0" w:type="dxa"/>
              <w:left w:w="20" w:type="dxa"/>
              <w:bottom w:w="0" w:type="dxa"/>
              <w:right w:w="20" w:type="dxa"/>
            </w:tcMar>
            <w:vAlign w:val="bottom"/>
          </w:tcPr>
          <w:p w14:paraId="64305506" w14:textId="77777777" w:rsidR="009F6D8A" w:rsidRDefault="009F6D8A">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64305507" w14:textId="77777777" w:rsidR="009F6D8A" w:rsidRDefault="00C50974">
            <w:pPr>
              <w:jc w:val="right"/>
              <w:textAlignment w:val="bottom"/>
            </w:pPr>
            <w:r>
              <w:rPr>
                <w:rFonts w:ascii="Arial" w:eastAsia="宋体" w:hAnsi="Arial" w:cs="Arial"/>
                <w:color w:val="000000"/>
                <w:sz w:val="16"/>
                <w:szCs w:val="16"/>
              </w:rPr>
              <w:t>25 </w:t>
            </w:r>
          </w:p>
        </w:tc>
        <w:tc>
          <w:tcPr>
            <w:tcW w:w="0" w:type="auto"/>
            <w:tcBorders>
              <w:top w:val="single" w:sz="8" w:space="0" w:color="000000"/>
            </w:tcBorders>
            <w:shd w:val="clear" w:color="auto" w:fill="E1E1E1"/>
            <w:tcMar>
              <w:top w:w="40" w:type="dxa"/>
              <w:left w:w="0" w:type="dxa"/>
              <w:bottom w:w="40" w:type="dxa"/>
              <w:right w:w="20" w:type="dxa"/>
            </w:tcMar>
            <w:vAlign w:val="bottom"/>
          </w:tcPr>
          <w:p w14:paraId="64305508" w14:textId="77777777" w:rsidR="009F6D8A" w:rsidRDefault="00C50974">
            <w:pPr>
              <w:jc w:val="right"/>
              <w:textAlignment w:val="bottom"/>
            </w:pPr>
            <w:r>
              <w:rPr>
                <w:rFonts w:ascii="Arial" w:eastAsia="宋体" w:hAnsi="Arial" w:cs="Arial"/>
                <w:color w:val="000000"/>
                <w:sz w:val="16"/>
                <w:szCs w:val="16"/>
              </w:rPr>
              <w:t>%</w:t>
            </w:r>
          </w:p>
        </w:tc>
      </w:tr>
    </w:tbl>
    <w:p w14:paraId="6430550A" w14:textId="77777777" w:rsidR="009F6D8A" w:rsidRDefault="009F6D8A">
      <w:pPr>
        <w:rPr>
          <w:vanish/>
        </w:rPr>
      </w:pPr>
    </w:p>
    <w:tbl>
      <w:tblPr>
        <w:tblW w:w="877" w:type="pct"/>
        <w:tblCellMar>
          <w:top w:w="15" w:type="dxa"/>
          <w:left w:w="15" w:type="dxa"/>
          <w:bottom w:w="15" w:type="dxa"/>
          <w:right w:w="15" w:type="dxa"/>
        </w:tblCellMar>
        <w:tblLook w:val="04A0" w:firstRow="1" w:lastRow="0" w:firstColumn="1" w:lastColumn="0" w:noHBand="0" w:noVBand="1"/>
      </w:tblPr>
      <w:tblGrid>
        <w:gridCol w:w="36"/>
        <w:gridCol w:w="1390"/>
        <w:gridCol w:w="36"/>
      </w:tblGrid>
      <w:tr w:rsidR="009F6D8A" w14:paraId="6430550E" w14:textId="77777777">
        <w:tc>
          <w:tcPr>
            <w:tcW w:w="50" w:type="pct"/>
            <w:shd w:val="clear" w:color="auto" w:fill="auto"/>
            <w:vAlign w:val="bottom"/>
          </w:tcPr>
          <w:p w14:paraId="6430550B" w14:textId="77777777" w:rsidR="009F6D8A" w:rsidRDefault="009F6D8A">
            <w:pPr>
              <w:rPr>
                <w:rFonts w:ascii="宋体"/>
              </w:rPr>
            </w:pPr>
          </w:p>
        </w:tc>
        <w:tc>
          <w:tcPr>
            <w:tcW w:w="4945" w:type="pct"/>
            <w:shd w:val="clear" w:color="auto" w:fill="auto"/>
            <w:vAlign w:val="bottom"/>
          </w:tcPr>
          <w:p w14:paraId="6430550C" w14:textId="77777777" w:rsidR="009F6D8A" w:rsidRDefault="009F6D8A">
            <w:pPr>
              <w:rPr>
                <w:rFonts w:ascii="宋体"/>
              </w:rPr>
            </w:pPr>
          </w:p>
        </w:tc>
        <w:tc>
          <w:tcPr>
            <w:tcW w:w="5" w:type="pct"/>
            <w:shd w:val="clear" w:color="auto" w:fill="auto"/>
            <w:vAlign w:val="bottom"/>
          </w:tcPr>
          <w:p w14:paraId="6430550D" w14:textId="77777777" w:rsidR="009F6D8A" w:rsidRDefault="009F6D8A">
            <w:pPr>
              <w:rPr>
                <w:rFonts w:ascii="宋体"/>
              </w:rPr>
            </w:pPr>
          </w:p>
        </w:tc>
      </w:tr>
      <w:tr w:rsidR="009F6D8A" w14:paraId="64305510"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50F" w14:textId="77777777" w:rsidR="009F6D8A" w:rsidRDefault="009F6D8A">
            <w:pPr>
              <w:rPr>
                <w:rFonts w:ascii="宋体"/>
              </w:rPr>
            </w:pPr>
          </w:p>
        </w:tc>
      </w:tr>
    </w:tbl>
    <w:p w14:paraId="64305511" w14:textId="77777777" w:rsidR="009F6D8A" w:rsidRDefault="00C50974">
      <w:pPr>
        <w:spacing w:after="60"/>
        <w:ind w:hanging="360"/>
        <w:jc w:val="both"/>
      </w:pPr>
      <w:r>
        <w:rPr>
          <w:rFonts w:ascii="Arial" w:eastAsia="宋体" w:hAnsi="Arial" w:cs="Arial"/>
          <w:color w:val="000000"/>
          <w:sz w:val="10"/>
          <w:szCs w:val="10"/>
        </w:rPr>
        <w:t>(1)</w:t>
      </w:r>
      <w:r>
        <w:rPr>
          <w:rFonts w:ascii="Arial" w:eastAsia="宋体" w:hAnsi="Arial" w:cs="Arial"/>
          <w:color w:val="000000"/>
          <w:sz w:val="16"/>
          <w:szCs w:val="16"/>
        </w:rPr>
        <w:t xml:space="preserve">We define exchange rate effect as the year-over-year impact of foreign currency movements using prior period foreign currency rates applied to current year transactional currency amounts excluding hedging activity. </w:t>
      </w:r>
    </w:p>
    <w:p w14:paraId="64305512" w14:textId="77777777" w:rsidR="009F6D8A" w:rsidRDefault="00C50974">
      <w:pPr>
        <w:spacing w:after="60"/>
        <w:ind w:hanging="360"/>
        <w:jc w:val="both"/>
      </w:pPr>
      <w:r>
        <w:rPr>
          <w:rFonts w:ascii="Arial" w:eastAsia="宋体" w:hAnsi="Arial" w:cs="Arial"/>
          <w:color w:val="000000"/>
          <w:sz w:val="10"/>
          <w:szCs w:val="10"/>
        </w:rPr>
        <w:t>(2)</w:t>
      </w:r>
      <w:r>
        <w:rPr>
          <w:rFonts w:ascii="Arial" w:eastAsia="宋体" w:hAnsi="Arial" w:cs="Arial"/>
          <w:color w:val="000000"/>
          <w:sz w:val="16"/>
          <w:szCs w:val="16"/>
        </w:rPr>
        <w:t>We define FX-Neutral GMV as GMV minus</w:t>
      </w:r>
      <w:r>
        <w:rPr>
          <w:rFonts w:ascii="Arial" w:eastAsia="宋体" w:hAnsi="Arial" w:cs="Arial"/>
          <w:color w:val="000000"/>
          <w:sz w:val="16"/>
          <w:szCs w:val="16"/>
        </w:rPr>
        <w:t xml:space="preserve"> the exchange rate effect. We define the non-GAAP financial measures of FX-Neutral net revenues as net revenues minus the exchange rate effect.</w:t>
      </w:r>
    </w:p>
    <w:p w14:paraId="64305513" w14:textId="77777777" w:rsidR="009F6D8A" w:rsidRDefault="00C50974">
      <w:pPr>
        <w:spacing w:after="60"/>
        <w:ind w:hanging="360"/>
        <w:jc w:val="both"/>
      </w:pPr>
      <w:r>
        <w:rPr>
          <w:rFonts w:ascii="Arial" w:eastAsia="宋体" w:hAnsi="Arial" w:cs="Arial"/>
          <w:color w:val="000000"/>
          <w:sz w:val="10"/>
          <w:szCs w:val="10"/>
        </w:rPr>
        <w:t>(3)</w:t>
      </w:r>
      <w:r>
        <w:rPr>
          <w:rFonts w:ascii="Arial" w:eastAsia="宋体" w:hAnsi="Arial" w:cs="Arial"/>
          <w:color w:val="000000"/>
          <w:sz w:val="16"/>
          <w:szCs w:val="16"/>
        </w:rPr>
        <w:t>Net transaction revenues were net of $18 million and $46 million of hedging activity during the three and six</w:t>
      </w:r>
      <w:r>
        <w:rPr>
          <w:rFonts w:ascii="Arial" w:eastAsia="宋体" w:hAnsi="Arial" w:cs="Arial"/>
          <w:color w:val="000000"/>
          <w:sz w:val="16"/>
          <w:szCs w:val="16"/>
        </w:rPr>
        <w:t xml:space="preserve"> months ended June 30, 2021, and net of $17 million hedging activity during the three and six months ended June 30, 2020, respectively.</w:t>
      </w:r>
    </w:p>
    <w:p w14:paraId="64305514" w14:textId="77777777" w:rsidR="009F6D8A" w:rsidRDefault="009F6D8A">
      <w:pPr>
        <w:spacing w:after="60"/>
        <w:jc w:val="both"/>
      </w:pPr>
    </w:p>
    <w:p w14:paraId="64305515" w14:textId="77777777" w:rsidR="009F6D8A" w:rsidRDefault="00C50974">
      <w:r>
        <w:rPr>
          <w:rFonts w:ascii="Arial" w:eastAsia="宋体" w:hAnsi="Arial" w:cs="Arial"/>
          <w:b/>
          <w:bCs/>
          <w:i/>
          <w:iCs/>
          <w:color w:val="000000"/>
          <w:sz w:val="20"/>
          <w:szCs w:val="20"/>
        </w:rPr>
        <w:t xml:space="preserve">Liquidity and Capital Resources </w:t>
      </w:r>
    </w:p>
    <w:p w14:paraId="64305516" w14:textId="77777777" w:rsidR="009F6D8A" w:rsidRDefault="009F6D8A"/>
    <w:p w14:paraId="64305517" w14:textId="77777777" w:rsidR="009F6D8A" w:rsidRDefault="00C50974">
      <w:r>
        <w:rPr>
          <w:rFonts w:ascii="Arial" w:eastAsia="宋体" w:hAnsi="Arial" w:cs="Arial"/>
          <w:b/>
          <w:bCs/>
          <w:i/>
          <w:iCs/>
          <w:color w:val="000000"/>
          <w:sz w:val="20"/>
          <w:szCs w:val="20"/>
        </w:rPr>
        <w:t>Cash Flows</w:t>
      </w:r>
      <w:r>
        <w:rPr>
          <w:rFonts w:ascii="Arial" w:eastAsia="宋体" w:hAnsi="Arial" w:cs="Arial"/>
          <w:b/>
          <w:bCs/>
          <w:color w:val="000000"/>
          <w:sz w:val="20"/>
          <w:szCs w:val="20"/>
        </w:rPr>
        <w:t> </w:t>
      </w:r>
    </w:p>
    <w:tbl>
      <w:tblPr>
        <w:tblW w:w="4985" w:type="pct"/>
        <w:tblInd w:w="-255" w:type="dxa"/>
        <w:tblCellMar>
          <w:top w:w="15" w:type="dxa"/>
          <w:left w:w="15" w:type="dxa"/>
          <w:bottom w:w="15" w:type="dxa"/>
          <w:right w:w="15" w:type="dxa"/>
        </w:tblCellMar>
        <w:tblLook w:val="04A0" w:firstRow="1" w:lastRow="0" w:firstColumn="1" w:lastColumn="0" w:noHBand="0" w:noVBand="1"/>
      </w:tblPr>
      <w:tblGrid>
        <w:gridCol w:w="40"/>
        <w:gridCol w:w="5655"/>
        <w:gridCol w:w="38"/>
        <w:gridCol w:w="121"/>
        <w:gridCol w:w="1096"/>
        <w:gridCol w:w="36"/>
        <w:gridCol w:w="36"/>
        <w:gridCol w:w="36"/>
        <w:gridCol w:w="36"/>
        <w:gridCol w:w="121"/>
        <w:gridCol w:w="1060"/>
        <w:gridCol w:w="36"/>
      </w:tblGrid>
      <w:tr w:rsidR="009F6D8A" w14:paraId="64305524" w14:textId="77777777">
        <w:tc>
          <w:tcPr>
            <w:tcW w:w="50" w:type="pct"/>
            <w:shd w:val="clear" w:color="auto" w:fill="auto"/>
            <w:vAlign w:val="bottom"/>
          </w:tcPr>
          <w:p w14:paraId="64305518" w14:textId="77777777" w:rsidR="009F6D8A" w:rsidRDefault="009F6D8A">
            <w:pPr>
              <w:rPr>
                <w:rFonts w:ascii="宋体"/>
              </w:rPr>
            </w:pPr>
          </w:p>
        </w:tc>
        <w:tc>
          <w:tcPr>
            <w:tcW w:w="3427" w:type="pct"/>
            <w:shd w:val="clear" w:color="auto" w:fill="auto"/>
            <w:vAlign w:val="bottom"/>
          </w:tcPr>
          <w:p w14:paraId="64305519" w14:textId="77777777" w:rsidR="009F6D8A" w:rsidRDefault="009F6D8A">
            <w:pPr>
              <w:rPr>
                <w:rFonts w:ascii="宋体"/>
              </w:rPr>
            </w:pPr>
          </w:p>
        </w:tc>
        <w:tc>
          <w:tcPr>
            <w:tcW w:w="5" w:type="pct"/>
            <w:shd w:val="clear" w:color="auto" w:fill="auto"/>
            <w:vAlign w:val="bottom"/>
          </w:tcPr>
          <w:p w14:paraId="6430551A" w14:textId="77777777" w:rsidR="009F6D8A" w:rsidRDefault="009F6D8A">
            <w:pPr>
              <w:rPr>
                <w:rFonts w:ascii="宋体"/>
              </w:rPr>
            </w:pPr>
          </w:p>
        </w:tc>
        <w:tc>
          <w:tcPr>
            <w:tcW w:w="50" w:type="pct"/>
            <w:shd w:val="clear" w:color="auto" w:fill="auto"/>
            <w:vAlign w:val="bottom"/>
          </w:tcPr>
          <w:p w14:paraId="6430551B" w14:textId="77777777" w:rsidR="009F6D8A" w:rsidRDefault="009F6D8A">
            <w:pPr>
              <w:rPr>
                <w:rFonts w:ascii="宋体"/>
              </w:rPr>
            </w:pPr>
          </w:p>
        </w:tc>
        <w:tc>
          <w:tcPr>
            <w:tcW w:w="685" w:type="pct"/>
            <w:shd w:val="clear" w:color="auto" w:fill="auto"/>
            <w:vAlign w:val="bottom"/>
          </w:tcPr>
          <w:p w14:paraId="6430551C" w14:textId="77777777" w:rsidR="009F6D8A" w:rsidRDefault="009F6D8A">
            <w:pPr>
              <w:rPr>
                <w:rFonts w:ascii="宋体"/>
              </w:rPr>
            </w:pPr>
          </w:p>
        </w:tc>
        <w:tc>
          <w:tcPr>
            <w:tcW w:w="5" w:type="pct"/>
            <w:shd w:val="clear" w:color="auto" w:fill="auto"/>
            <w:vAlign w:val="bottom"/>
          </w:tcPr>
          <w:p w14:paraId="6430551D" w14:textId="77777777" w:rsidR="009F6D8A" w:rsidRDefault="009F6D8A">
            <w:pPr>
              <w:rPr>
                <w:rFonts w:ascii="宋体"/>
              </w:rPr>
            </w:pPr>
          </w:p>
        </w:tc>
        <w:tc>
          <w:tcPr>
            <w:tcW w:w="5" w:type="pct"/>
            <w:shd w:val="clear" w:color="auto" w:fill="auto"/>
            <w:vAlign w:val="bottom"/>
          </w:tcPr>
          <w:p w14:paraId="6430551E" w14:textId="77777777" w:rsidR="009F6D8A" w:rsidRDefault="009F6D8A">
            <w:pPr>
              <w:rPr>
                <w:rFonts w:ascii="宋体"/>
              </w:rPr>
            </w:pPr>
          </w:p>
        </w:tc>
        <w:tc>
          <w:tcPr>
            <w:tcW w:w="26" w:type="pct"/>
            <w:shd w:val="clear" w:color="auto" w:fill="auto"/>
            <w:vAlign w:val="bottom"/>
          </w:tcPr>
          <w:p w14:paraId="6430551F" w14:textId="77777777" w:rsidR="009F6D8A" w:rsidRDefault="009F6D8A">
            <w:pPr>
              <w:rPr>
                <w:rFonts w:ascii="宋体"/>
              </w:rPr>
            </w:pPr>
          </w:p>
        </w:tc>
        <w:tc>
          <w:tcPr>
            <w:tcW w:w="5" w:type="pct"/>
            <w:shd w:val="clear" w:color="auto" w:fill="auto"/>
            <w:vAlign w:val="bottom"/>
          </w:tcPr>
          <w:p w14:paraId="64305520" w14:textId="77777777" w:rsidR="009F6D8A" w:rsidRDefault="009F6D8A">
            <w:pPr>
              <w:rPr>
                <w:rFonts w:ascii="宋体"/>
              </w:rPr>
            </w:pPr>
          </w:p>
        </w:tc>
        <w:tc>
          <w:tcPr>
            <w:tcW w:w="50" w:type="pct"/>
            <w:shd w:val="clear" w:color="auto" w:fill="auto"/>
            <w:vAlign w:val="bottom"/>
          </w:tcPr>
          <w:p w14:paraId="64305521" w14:textId="77777777" w:rsidR="009F6D8A" w:rsidRDefault="009F6D8A">
            <w:pPr>
              <w:rPr>
                <w:rFonts w:ascii="宋体"/>
              </w:rPr>
            </w:pPr>
          </w:p>
        </w:tc>
        <w:tc>
          <w:tcPr>
            <w:tcW w:w="685" w:type="pct"/>
            <w:shd w:val="clear" w:color="auto" w:fill="auto"/>
            <w:vAlign w:val="bottom"/>
          </w:tcPr>
          <w:p w14:paraId="64305522" w14:textId="77777777" w:rsidR="009F6D8A" w:rsidRDefault="009F6D8A">
            <w:pPr>
              <w:rPr>
                <w:rFonts w:ascii="宋体"/>
              </w:rPr>
            </w:pPr>
          </w:p>
        </w:tc>
        <w:tc>
          <w:tcPr>
            <w:tcW w:w="5" w:type="pct"/>
            <w:shd w:val="clear" w:color="auto" w:fill="auto"/>
            <w:vAlign w:val="bottom"/>
          </w:tcPr>
          <w:p w14:paraId="64305523" w14:textId="77777777" w:rsidR="009F6D8A" w:rsidRDefault="009F6D8A">
            <w:pPr>
              <w:rPr>
                <w:rFonts w:ascii="宋体"/>
              </w:rPr>
            </w:pPr>
          </w:p>
        </w:tc>
      </w:tr>
      <w:tr w:rsidR="009F6D8A" w14:paraId="64305527" w14:textId="77777777">
        <w:tc>
          <w:tcPr>
            <w:tcW w:w="0" w:type="auto"/>
            <w:gridSpan w:val="3"/>
            <w:shd w:val="clear" w:color="auto" w:fill="auto"/>
            <w:tcMar>
              <w:top w:w="40" w:type="dxa"/>
              <w:left w:w="20" w:type="dxa"/>
              <w:bottom w:w="40" w:type="dxa"/>
              <w:right w:w="20" w:type="dxa"/>
            </w:tcMar>
            <w:vAlign w:val="bottom"/>
          </w:tcPr>
          <w:p w14:paraId="64305525" w14:textId="77777777" w:rsidR="009F6D8A" w:rsidRDefault="00C50974">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64305526" w14:textId="77777777" w:rsidR="009F6D8A" w:rsidRDefault="00C50974">
            <w:pPr>
              <w:jc w:val="center"/>
              <w:textAlignment w:val="bottom"/>
            </w:pPr>
            <w:r>
              <w:rPr>
                <w:rFonts w:ascii="Arial" w:eastAsia="宋体" w:hAnsi="Arial" w:cs="Arial"/>
                <w:b/>
                <w:bCs/>
                <w:color w:val="000000"/>
                <w:sz w:val="16"/>
                <w:szCs w:val="16"/>
              </w:rPr>
              <w:t>Six Months Ended June 30,</w:t>
            </w:r>
          </w:p>
        </w:tc>
      </w:tr>
      <w:tr w:rsidR="009F6D8A" w14:paraId="6430552C" w14:textId="77777777">
        <w:tc>
          <w:tcPr>
            <w:tcW w:w="0" w:type="auto"/>
            <w:gridSpan w:val="3"/>
            <w:shd w:val="clear" w:color="auto" w:fill="auto"/>
            <w:tcMar>
              <w:top w:w="40" w:type="dxa"/>
              <w:left w:w="20" w:type="dxa"/>
              <w:bottom w:w="40" w:type="dxa"/>
              <w:right w:w="20" w:type="dxa"/>
            </w:tcMar>
            <w:vAlign w:val="bottom"/>
          </w:tcPr>
          <w:p w14:paraId="64305528" w14:textId="77777777" w:rsidR="009F6D8A" w:rsidRDefault="00C50974">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4305529" w14:textId="77777777" w:rsidR="009F6D8A" w:rsidRDefault="00C50974">
            <w:pPr>
              <w:jc w:val="center"/>
              <w:textAlignment w:val="bottom"/>
            </w:pPr>
            <w:r>
              <w:rPr>
                <w:rFonts w:ascii="Arial" w:eastAsia="宋体" w:hAnsi="Arial" w:cs="Arial"/>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52A" w14:textId="77777777" w:rsidR="009F6D8A" w:rsidRDefault="009F6D8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430552B" w14:textId="77777777" w:rsidR="009F6D8A" w:rsidRDefault="00C50974">
            <w:pPr>
              <w:jc w:val="center"/>
              <w:textAlignment w:val="bottom"/>
            </w:pPr>
            <w:r>
              <w:rPr>
                <w:rFonts w:ascii="Arial" w:eastAsia="宋体" w:hAnsi="Arial" w:cs="Arial"/>
                <w:b/>
                <w:bCs/>
                <w:color w:val="000000"/>
                <w:sz w:val="16"/>
                <w:szCs w:val="16"/>
              </w:rPr>
              <w:t>2020</w:t>
            </w:r>
          </w:p>
        </w:tc>
      </w:tr>
      <w:tr w:rsidR="009F6D8A" w14:paraId="6430552F" w14:textId="77777777">
        <w:tc>
          <w:tcPr>
            <w:tcW w:w="0" w:type="auto"/>
            <w:gridSpan w:val="3"/>
            <w:shd w:val="clear" w:color="auto" w:fill="auto"/>
            <w:tcMar>
              <w:top w:w="40" w:type="dxa"/>
              <w:left w:w="20" w:type="dxa"/>
              <w:bottom w:w="40" w:type="dxa"/>
              <w:right w:w="20" w:type="dxa"/>
            </w:tcMar>
            <w:vAlign w:val="bottom"/>
          </w:tcPr>
          <w:p w14:paraId="6430552D" w14:textId="77777777" w:rsidR="009F6D8A" w:rsidRDefault="00C50974">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30552E" w14:textId="77777777" w:rsidR="009F6D8A" w:rsidRDefault="00C50974">
            <w:pPr>
              <w:jc w:val="center"/>
              <w:textAlignment w:val="bottom"/>
            </w:pPr>
            <w:r>
              <w:rPr>
                <w:rFonts w:ascii="Arial" w:eastAsia="宋体" w:hAnsi="Arial" w:cs="Arial"/>
                <w:b/>
                <w:bCs/>
                <w:color w:val="000000"/>
                <w:sz w:val="16"/>
                <w:szCs w:val="16"/>
              </w:rPr>
              <w:t xml:space="preserve">(In </w:t>
            </w:r>
            <w:r>
              <w:rPr>
                <w:rFonts w:ascii="Arial" w:eastAsia="宋体" w:hAnsi="Arial" w:cs="Arial"/>
                <w:b/>
                <w:bCs/>
                <w:color w:val="000000"/>
                <w:sz w:val="16"/>
                <w:szCs w:val="16"/>
              </w:rPr>
              <w:t>millions)</w:t>
            </w:r>
          </w:p>
        </w:tc>
      </w:tr>
      <w:tr w:rsidR="009F6D8A" w14:paraId="64305534" w14:textId="77777777">
        <w:tc>
          <w:tcPr>
            <w:tcW w:w="0" w:type="auto"/>
            <w:gridSpan w:val="3"/>
            <w:shd w:val="clear" w:color="auto" w:fill="E2E2E2"/>
            <w:tcMar>
              <w:top w:w="40" w:type="dxa"/>
              <w:left w:w="20" w:type="dxa"/>
              <w:bottom w:w="40" w:type="dxa"/>
              <w:right w:w="20" w:type="dxa"/>
            </w:tcMar>
            <w:vAlign w:val="bottom"/>
          </w:tcPr>
          <w:p w14:paraId="64305530" w14:textId="77777777" w:rsidR="009F6D8A" w:rsidRDefault="00C50974">
            <w:pPr>
              <w:textAlignment w:val="bottom"/>
            </w:pPr>
            <w:r>
              <w:rPr>
                <w:rFonts w:ascii="Arial" w:eastAsia="宋体" w:hAnsi="Arial" w:cs="Arial"/>
                <w:color w:val="000000"/>
                <w:sz w:val="18"/>
                <w:szCs w:val="18"/>
              </w:rPr>
              <w:t>Net cash provided by (used in):</w:t>
            </w:r>
          </w:p>
        </w:tc>
        <w:tc>
          <w:tcPr>
            <w:tcW w:w="0" w:type="auto"/>
            <w:gridSpan w:val="3"/>
            <w:shd w:val="clear" w:color="auto" w:fill="E2E2E2"/>
            <w:tcMar>
              <w:top w:w="40" w:type="dxa"/>
              <w:left w:w="20" w:type="dxa"/>
              <w:bottom w:w="40" w:type="dxa"/>
              <w:right w:w="20" w:type="dxa"/>
            </w:tcMar>
            <w:vAlign w:val="bottom"/>
          </w:tcPr>
          <w:p w14:paraId="64305531" w14:textId="77777777" w:rsidR="009F6D8A" w:rsidRDefault="00C50974">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64305532" w14:textId="77777777" w:rsidR="009F6D8A" w:rsidRDefault="009F6D8A">
            <w:pPr>
              <w:rPr>
                <w:rFonts w:ascii="宋体"/>
              </w:rPr>
            </w:pPr>
          </w:p>
        </w:tc>
        <w:tc>
          <w:tcPr>
            <w:tcW w:w="0" w:type="auto"/>
            <w:gridSpan w:val="3"/>
            <w:shd w:val="clear" w:color="auto" w:fill="E2E2E2"/>
            <w:tcMar>
              <w:top w:w="40" w:type="dxa"/>
              <w:left w:w="20" w:type="dxa"/>
              <w:bottom w:w="40" w:type="dxa"/>
              <w:right w:w="20" w:type="dxa"/>
            </w:tcMar>
            <w:vAlign w:val="bottom"/>
          </w:tcPr>
          <w:p w14:paraId="64305533" w14:textId="77777777" w:rsidR="009F6D8A" w:rsidRDefault="00C50974">
            <w:pPr>
              <w:textAlignment w:val="bottom"/>
            </w:pPr>
            <w:r>
              <w:rPr>
                <w:rFonts w:ascii="Arial" w:eastAsia="宋体" w:hAnsi="Arial" w:cs="Arial"/>
                <w:color w:val="000000"/>
                <w:sz w:val="18"/>
                <w:szCs w:val="18"/>
              </w:rPr>
              <w:t> </w:t>
            </w:r>
          </w:p>
        </w:tc>
      </w:tr>
      <w:tr w:rsidR="009F6D8A" w14:paraId="6430553D" w14:textId="77777777">
        <w:tc>
          <w:tcPr>
            <w:tcW w:w="0" w:type="auto"/>
            <w:gridSpan w:val="3"/>
            <w:shd w:val="clear" w:color="auto" w:fill="FFFFFF"/>
            <w:tcMar>
              <w:top w:w="40" w:type="dxa"/>
              <w:left w:w="380" w:type="dxa"/>
              <w:bottom w:w="40" w:type="dxa"/>
              <w:right w:w="20" w:type="dxa"/>
            </w:tcMar>
            <w:vAlign w:val="bottom"/>
          </w:tcPr>
          <w:p w14:paraId="64305535" w14:textId="77777777" w:rsidR="009F6D8A" w:rsidRDefault="00C50974">
            <w:pPr>
              <w:textAlignment w:val="bottom"/>
            </w:pPr>
            <w:r>
              <w:rPr>
                <w:rFonts w:ascii="Arial" w:eastAsia="宋体" w:hAnsi="Arial" w:cs="Arial"/>
                <w:color w:val="000000"/>
                <w:sz w:val="18"/>
                <w:szCs w:val="18"/>
              </w:rPr>
              <w:t>Continuing operating activities</w:t>
            </w:r>
          </w:p>
        </w:tc>
        <w:tc>
          <w:tcPr>
            <w:tcW w:w="0" w:type="auto"/>
            <w:shd w:val="clear" w:color="auto" w:fill="FFFFFF"/>
            <w:tcMar>
              <w:top w:w="40" w:type="dxa"/>
              <w:left w:w="20" w:type="dxa"/>
              <w:bottom w:w="40" w:type="dxa"/>
              <w:right w:w="0" w:type="dxa"/>
            </w:tcMar>
            <w:vAlign w:val="bottom"/>
          </w:tcPr>
          <w:p w14:paraId="64305536"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5537" w14:textId="77777777" w:rsidR="009F6D8A" w:rsidRDefault="00C50974">
            <w:pPr>
              <w:jc w:val="right"/>
              <w:textAlignment w:val="bottom"/>
            </w:pPr>
            <w:r>
              <w:rPr>
                <w:rFonts w:ascii="Arial" w:eastAsia="宋体" w:hAnsi="Arial" w:cs="Arial"/>
                <w:color w:val="000000"/>
                <w:sz w:val="18"/>
                <w:szCs w:val="18"/>
              </w:rPr>
              <w:t>1,957 </w:t>
            </w:r>
          </w:p>
        </w:tc>
        <w:tc>
          <w:tcPr>
            <w:tcW w:w="0" w:type="auto"/>
            <w:shd w:val="clear" w:color="auto" w:fill="FFFFFF"/>
            <w:tcMar>
              <w:top w:w="40" w:type="dxa"/>
              <w:left w:w="0" w:type="dxa"/>
              <w:bottom w:w="40" w:type="dxa"/>
              <w:right w:w="20" w:type="dxa"/>
            </w:tcMar>
            <w:vAlign w:val="bottom"/>
          </w:tcPr>
          <w:p w14:paraId="64305538"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539"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553A" w14:textId="77777777" w:rsidR="009F6D8A" w:rsidRDefault="00C50974">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430553B" w14:textId="77777777" w:rsidR="009F6D8A" w:rsidRDefault="00C50974">
            <w:pPr>
              <w:jc w:val="right"/>
              <w:textAlignment w:val="bottom"/>
            </w:pPr>
            <w:r>
              <w:rPr>
                <w:rFonts w:ascii="Arial" w:eastAsia="宋体" w:hAnsi="Arial" w:cs="Arial"/>
                <w:color w:val="000000"/>
                <w:sz w:val="18"/>
                <w:szCs w:val="18"/>
              </w:rPr>
              <w:t>1,528 </w:t>
            </w:r>
          </w:p>
        </w:tc>
        <w:tc>
          <w:tcPr>
            <w:tcW w:w="0" w:type="auto"/>
            <w:shd w:val="clear" w:color="auto" w:fill="FFFFFF"/>
            <w:tcMar>
              <w:top w:w="40" w:type="dxa"/>
              <w:left w:w="0" w:type="dxa"/>
              <w:bottom w:w="40" w:type="dxa"/>
              <w:right w:w="20" w:type="dxa"/>
            </w:tcMar>
            <w:vAlign w:val="bottom"/>
          </w:tcPr>
          <w:p w14:paraId="6430553C" w14:textId="77777777" w:rsidR="009F6D8A" w:rsidRDefault="009F6D8A">
            <w:pPr>
              <w:jc w:val="right"/>
              <w:rPr>
                <w:rFonts w:ascii="宋体"/>
              </w:rPr>
            </w:pPr>
          </w:p>
        </w:tc>
      </w:tr>
      <w:tr w:rsidR="009F6D8A" w14:paraId="64305544" w14:textId="77777777">
        <w:tc>
          <w:tcPr>
            <w:tcW w:w="0" w:type="auto"/>
            <w:gridSpan w:val="3"/>
            <w:shd w:val="clear" w:color="auto" w:fill="E2E2E2"/>
            <w:tcMar>
              <w:top w:w="40" w:type="dxa"/>
              <w:left w:w="380" w:type="dxa"/>
              <w:bottom w:w="40" w:type="dxa"/>
              <w:right w:w="20" w:type="dxa"/>
            </w:tcMar>
            <w:vAlign w:val="bottom"/>
          </w:tcPr>
          <w:p w14:paraId="6430553E" w14:textId="77777777" w:rsidR="009F6D8A" w:rsidRDefault="00C50974">
            <w:pPr>
              <w:textAlignment w:val="bottom"/>
            </w:pPr>
            <w:r>
              <w:rPr>
                <w:rFonts w:ascii="Arial" w:eastAsia="宋体" w:hAnsi="Arial" w:cs="Arial"/>
                <w:color w:val="000000"/>
                <w:sz w:val="18"/>
                <w:szCs w:val="18"/>
              </w:rPr>
              <w:t>Continuing investing activities</w:t>
            </w:r>
          </w:p>
        </w:tc>
        <w:tc>
          <w:tcPr>
            <w:tcW w:w="0" w:type="auto"/>
            <w:gridSpan w:val="2"/>
            <w:shd w:val="clear" w:color="auto" w:fill="E2E2E2"/>
            <w:tcMar>
              <w:top w:w="40" w:type="dxa"/>
              <w:left w:w="20" w:type="dxa"/>
              <w:bottom w:w="40" w:type="dxa"/>
              <w:right w:w="0" w:type="dxa"/>
            </w:tcMar>
            <w:vAlign w:val="bottom"/>
          </w:tcPr>
          <w:p w14:paraId="6430553F" w14:textId="77777777" w:rsidR="009F6D8A" w:rsidRDefault="00C50974">
            <w:pPr>
              <w:jc w:val="right"/>
              <w:textAlignment w:val="bottom"/>
            </w:pPr>
            <w:r>
              <w:rPr>
                <w:rFonts w:ascii="Arial" w:eastAsia="宋体" w:hAnsi="Arial" w:cs="Arial"/>
                <w:color w:val="000000"/>
                <w:sz w:val="18"/>
                <w:szCs w:val="18"/>
              </w:rPr>
              <w:t>(3,089)</w:t>
            </w:r>
          </w:p>
        </w:tc>
        <w:tc>
          <w:tcPr>
            <w:tcW w:w="0" w:type="auto"/>
            <w:shd w:val="clear" w:color="auto" w:fill="E2E2E2"/>
            <w:tcMar>
              <w:top w:w="40" w:type="dxa"/>
              <w:left w:w="0" w:type="dxa"/>
              <w:bottom w:w="40" w:type="dxa"/>
              <w:right w:w="20" w:type="dxa"/>
            </w:tcMar>
            <w:vAlign w:val="bottom"/>
          </w:tcPr>
          <w:p w14:paraId="64305540"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541"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542" w14:textId="77777777" w:rsidR="009F6D8A" w:rsidRDefault="00C50974">
            <w:pPr>
              <w:jc w:val="right"/>
              <w:textAlignment w:val="bottom"/>
            </w:pPr>
            <w:r>
              <w:rPr>
                <w:rFonts w:ascii="Arial" w:eastAsia="宋体" w:hAnsi="Arial" w:cs="Arial"/>
                <w:color w:val="000000"/>
                <w:sz w:val="18"/>
                <w:szCs w:val="18"/>
              </w:rPr>
              <w:t>(2,152)</w:t>
            </w:r>
          </w:p>
        </w:tc>
        <w:tc>
          <w:tcPr>
            <w:tcW w:w="0" w:type="auto"/>
            <w:shd w:val="clear" w:color="auto" w:fill="E2E2E2"/>
            <w:tcMar>
              <w:top w:w="40" w:type="dxa"/>
              <w:left w:w="0" w:type="dxa"/>
              <w:bottom w:w="40" w:type="dxa"/>
              <w:right w:w="20" w:type="dxa"/>
            </w:tcMar>
            <w:vAlign w:val="bottom"/>
          </w:tcPr>
          <w:p w14:paraId="64305543" w14:textId="77777777" w:rsidR="009F6D8A" w:rsidRDefault="009F6D8A">
            <w:pPr>
              <w:jc w:val="right"/>
              <w:rPr>
                <w:rFonts w:ascii="宋体"/>
              </w:rPr>
            </w:pPr>
          </w:p>
        </w:tc>
      </w:tr>
      <w:tr w:rsidR="009F6D8A" w14:paraId="6430554B" w14:textId="77777777">
        <w:tc>
          <w:tcPr>
            <w:tcW w:w="0" w:type="auto"/>
            <w:gridSpan w:val="3"/>
            <w:shd w:val="clear" w:color="auto" w:fill="FFFFFF"/>
            <w:tcMar>
              <w:top w:w="40" w:type="dxa"/>
              <w:left w:w="380" w:type="dxa"/>
              <w:bottom w:w="40" w:type="dxa"/>
              <w:right w:w="20" w:type="dxa"/>
            </w:tcMar>
            <w:vAlign w:val="bottom"/>
          </w:tcPr>
          <w:p w14:paraId="64305545" w14:textId="77777777" w:rsidR="009F6D8A" w:rsidRDefault="00C50974">
            <w:pPr>
              <w:textAlignment w:val="bottom"/>
            </w:pPr>
            <w:r>
              <w:rPr>
                <w:rFonts w:ascii="Arial" w:eastAsia="宋体" w:hAnsi="Arial" w:cs="Arial"/>
                <w:color w:val="000000"/>
                <w:sz w:val="18"/>
                <w:szCs w:val="18"/>
              </w:rPr>
              <w:t>Continuing financing activities</w:t>
            </w:r>
          </w:p>
        </w:tc>
        <w:tc>
          <w:tcPr>
            <w:tcW w:w="0" w:type="auto"/>
            <w:gridSpan w:val="2"/>
            <w:shd w:val="clear" w:color="auto" w:fill="FFFFFF"/>
            <w:tcMar>
              <w:top w:w="40" w:type="dxa"/>
              <w:left w:w="20" w:type="dxa"/>
              <w:bottom w:w="40" w:type="dxa"/>
              <w:right w:w="0" w:type="dxa"/>
            </w:tcMar>
            <w:vAlign w:val="bottom"/>
          </w:tcPr>
          <w:p w14:paraId="64305546" w14:textId="77777777" w:rsidR="009F6D8A" w:rsidRDefault="00C50974">
            <w:pPr>
              <w:jc w:val="right"/>
              <w:textAlignment w:val="bottom"/>
            </w:pPr>
            <w:r>
              <w:rPr>
                <w:rFonts w:ascii="Arial" w:eastAsia="宋体" w:hAnsi="Arial" w:cs="Arial"/>
                <w:color w:val="000000"/>
                <w:sz w:val="18"/>
                <w:szCs w:val="18"/>
              </w:rPr>
              <w:t>(685)</w:t>
            </w:r>
          </w:p>
        </w:tc>
        <w:tc>
          <w:tcPr>
            <w:tcW w:w="0" w:type="auto"/>
            <w:shd w:val="clear" w:color="auto" w:fill="FFFFFF"/>
            <w:tcMar>
              <w:top w:w="40" w:type="dxa"/>
              <w:left w:w="0" w:type="dxa"/>
              <w:bottom w:w="40" w:type="dxa"/>
              <w:right w:w="20" w:type="dxa"/>
            </w:tcMar>
            <w:vAlign w:val="bottom"/>
          </w:tcPr>
          <w:p w14:paraId="64305547"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548"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549" w14:textId="77777777" w:rsidR="009F6D8A" w:rsidRDefault="00C50974">
            <w:pPr>
              <w:jc w:val="right"/>
              <w:textAlignment w:val="bottom"/>
            </w:pPr>
            <w:r>
              <w:rPr>
                <w:rFonts w:ascii="Arial" w:eastAsia="宋体" w:hAnsi="Arial" w:cs="Arial"/>
                <w:color w:val="000000"/>
                <w:sz w:val="18"/>
                <w:szCs w:val="18"/>
              </w:rPr>
              <w:t>(3,363)</w:t>
            </w:r>
          </w:p>
        </w:tc>
        <w:tc>
          <w:tcPr>
            <w:tcW w:w="0" w:type="auto"/>
            <w:shd w:val="clear" w:color="auto" w:fill="FFFFFF"/>
            <w:tcMar>
              <w:top w:w="40" w:type="dxa"/>
              <w:left w:w="0" w:type="dxa"/>
              <w:bottom w:w="40" w:type="dxa"/>
              <w:right w:w="20" w:type="dxa"/>
            </w:tcMar>
            <w:vAlign w:val="bottom"/>
          </w:tcPr>
          <w:p w14:paraId="6430554A" w14:textId="77777777" w:rsidR="009F6D8A" w:rsidRDefault="009F6D8A">
            <w:pPr>
              <w:jc w:val="right"/>
              <w:rPr>
                <w:rFonts w:ascii="宋体"/>
              </w:rPr>
            </w:pPr>
          </w:p>
        </w:tc>
      </w:tr>
      <w:tr w:rsidR="009F6D8A" w14:paraId="64305552" w14:textId="77777777">
        <w:tc>
          <w:tcPr>
            <w:tcW w:w="0" w:type="auto"/>
            <w:gridSpan w:val="3"/>
            <w:shd w:val="clear" w:color="auto" w:fill="E2E2E2"/>
            <w:tcMar>
              <w:top w:w="40" w:type="dxa"/>
              <w:left w:w="380" w:type="dxa"/>
              <w:bottom w:w="40" w:type="dxa"/>
              <w:right w:w="20" w:type="dxa"/>
            </w:tcMar>
            <w:vAlign w:val="bottom"/>
          </w:tcPr>
          <w:p w14:paraId="6430554C" w14:textId="77777777" w:rsidR="009F6D8A" w:rsidRDefault="00C50974">
            <w:pPr>
              <w:textAlignment w:val="bottom"/>
            </w:pPr>
            <w:r>
              <w:rPr>
                <w:rFonts w:ascii="Arial" w:eastAsia="宋体" w:hAnsi="Arial" w:cs="Arial"/>
                <w:color w:val="000000"/>
                <w:sz w:val="18"/>
                <w:szCs w:val="18"/>
              </w:rPr>
              <w:t xml:space="preserve">Effect of exchange rates on cash, cash </w:t>
            </w:r>
            <w:r>
              <w:rPr>
                <w:rFonts w:ascii="Arial" w:eastAsia="宋体" w:hAnsi="Arial" w:cs="Arial"/>
                <w:color w:val="000000"/>
                <w:sz w:val="18"/>
                <w:szCs w:val="18"/>
              </w:rPr>
              <w:t>equivalents and restricted cash</w:t>
            </w:r>
          </w:p>
        </w:tc>
        <w:tc>
          <w:tcPr>
            <w:tcW w:w="0" w:type="auto"/>
            <w:gridSpan w:val="2"/>
            <w:shd w:val="clear" w:color="auto" w:fill="E2E2E2"/>
            <w:tcMar>
              <w:top w:w="40" w:type="dxa"/>
              <w:left w:w="20" w:type="dxa"/>
              <w:bottom w:w="40" w:type="dxa"/>
              <w:right w:w="0" w:type="dxa"/>
            </w:tcMar>
            <w:vAlign w:val="bottom"/>
          </w:tcPr>
          <w:p w14:paraId="6430554D" w14:textId="77777777" w:rsidR="009F6D8A" w:rsidRDefault="00C50974">
            <w:pPr>
              <w:jc w:val="right"/>
              <w:textAlignment w:val="bottom"/>
            </w:pPr>
            <w:r>
              <w:rPr>
                <w:rFonts w:ascii="Arial" w:eastAsia="宋体" w:hAnsi="Arial" w:cs="Arial"/>
                <w:color w:val="000000"/>
                <w:sz w:val="18"/>
                <w:szCs w:val="18"/>
              </w:rPr>
              <w:t>(5)</w:t>
            </w:r>
          </w:p>
        </w:tc>
        <w:tc>
          <w:tcPr>
            <w:tcW w:w="0" w:type="auto"/>
            <w:shd w:val="clear" w:color="auto" w:fill="E2E2E2"/>
            <w:tcMar>
              <w:top w:w="40" w:type="dxa"/>
              <w:left w:w="0" w:type="dxa"/>
              <w:bottom w:w="40" w:type="dxa"/>
              <w:right w:w="20" w:type="dxa"/>
            </w:tcMar>
            <w:vAlign w:val="bottom"/>
          </w:tcPr>
          <w:p w14:paraId="6430554E"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54F"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550" w14:textId="77777777" w:rsidR="009F6D8A" w:rsidRDefault="00C50974">
            <w:pPr>
              <w:jc w:val="right"/>
              <w:textAlignment w:val="bottom"/>
            </w:pPr>
            <w:r>
              <w:rPr>
                <w:rFonts w:ascii="Arial" w:eastAsia="宋体" w:hAnsi="Arial" w:cs="Arial"/>
                <w:color w:val="000000"/>
                <w:sz w:val="18"/>
                <w:szCs w:val="18"/>
              </w:rPr>
              <w:t>(26)</w:t>
            </w:r>
          </w:p>
        </w:tc>
        <w:tc>
          <w:tcPr>
            <w:tcW w:w="0" w:type="auto"/>
            <w:shd w:val="clear" w:color="auto" w:fill="E2E2E2"/>
            <w:tcMar>
              <w:top w:w="40" w:type="dxa"/>
              <w:left w:w="0" w:type="dxa"/>
              <w:bottom w:w="40" w:type="dxa"/>
              <w:right w:w="20" w:type="dxa"/>
            </w:tcMar>
            <w:vAlign w:val="bottom"/>
          </w:tcPr>
          <w:p w14:paraId="64305551" w14:textId="77777777" w:rsidR="009F6D8A" w:rsidRDefault="009F6D8A">
            <w:pPr>
              <w:jc w:val="right"/>
              <w:rPr>
                <w:rFonts w:ascii="宋体"/>
              </w:rPr>
            </w:pPr>
          </w:p>
        </w:tc>
      </w:tr>
      <w:tr w:rsidR="009F6D8A" w14:paraId="64305559" w14:textId="77777777">
        <w:tc>
          <w:tcPr>
            <w:tcW w:w="0" w:type="auto"/>
            <w:gridSpan w:val="3"/>
            <w:shd w:val="clear" w:color="auto" w:fill="FFFFFF"/>
            <w:tcMar>
              <w:top w:w="40" w:type="dxa"/>
              <w:left w:w="380" w:type="dxa"/>
              <w:bottom w:w="40" w:type="dxa"/>
              <w:right w:w="20" w:type="dxa"/>
            </w:tcMar>
            <w:vAlign w:val="bottom"/>
          </w:tcPr>
          <w:p w14:paraId="64305553" w14:textId="77777777" w:rsidR="009F6D8A" w:rsidRDefault="00C50974">
            <w:pPr>
              <w:textAlignment w:val="bottom"/>
            </w:pPr>
            <w:r>
              <w:rPr>
                <w:rFonts w:ascii="Arial" w:eastAsia="宋体" w:hAnsi="Arial" w:cs="Arial"/>
                <w:color w:val="000000"/>
                <w:sz w:val="18"/>
                <w:szCs w:val="18"/>
              </w:rPr>
              <w:t>Net increase in cash, cash equivalents and restricted cash - discontinued operations</w:t>
            </w:r>
          </w:p>
        </w:tc>
        <w:tc>
          <w:tcPr>
            <w:tcW w:w="0" w:type="auto"/>
            <w:gridSpan w:val="2"/>
            <w:shd w:val="clear" w:color="auto" w:fill="FFFFFF"/>
            <w:tcMar>
              <w:top w:w="40" w:type="dxa"/>
              <w:left w:w="20" w:type="dxa"/>
              <w:bottom w:w="40" w:type="dxa"/>
              <w:right w:w="0" w:type="dxa"/>
            </w:tcMar>
            <w:vAlign w:val="bottom"/>
          </w:tcPr>
          <w:p w14:paraId="64305554" w14:textId="77777777" w:rsidR="009F6D8A" w:rsidRDefault="00C50974">
            <w:pPr>
              <w:jc w:val="right"/>
              <w:textAlignment w:val="bottom"/>
            </w:pPr>
            <w:r>
              <w:rPr>
                <w:rFonts w:ascii="Arial" w:eastAsia="宋体" w:hAnsi="Arial" w:cs="Arial"/>
                <w:color w:val="000000"/>
                <w:sz w:val="18"/>
                <w:szCs w:val="18"/>
              </w:rPr>
              <w:t>2,534 </w:t>
            </w:r>
          </w:p>
        </w:tc>
        <w:tc>
          <w:tcPr>
            <w:tcW w:w="0" w:type="auto"/>
            <w:shd w:val="clear" w:color="auto" w:fill="FFFFFF"/>
            <w:tcMar>
              <w:top w:w="40" w:type="dxa"/>
              <w:left w:w="0" w:type="dxa"/>
              <w:bottom w:w="40" w:type="dxa"/>
              <w:right w:w="20" w:type="dxa"/>
            </w:tcMar>
            <w:vAlign w:val="bottom"/>
          </w:tcPr>
          <w:p w14:paraId="64305555"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556"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557" w14:textId="77777777" w:rsidR="009F6D8A" w:rsidRDefault="00C50974">
            <w:pPr>
              <w:jc w:val="right"/>
              <w:textAlignment w:val="bottom"/>
            </w:pPr>
            <w:r>
              <w:rPr>
                <w:rFonts w:ascii="Arial" w:eastAsia="宋体" w:hAnsi="Arial" w:cs="Arial"/>
                <w:color w:val="000000"/>
                <w:sz w:val="18"/>
                <w:szCs w:val="18"/>
              </w:rPr>
              <w:t>4,042 </w:t>
            </w:r>
          </w:p>
        </w:tc>
        <w:tc>
          <w:tcPr>
            <w:tcW w:w="0" w:type="auto"/>
            <w:shd w:val="clear" w:color="auto" w:fill="FFFFFF"/>
            <w:tcMar>
              <w:top w:w="40" w:type="dxa"/>
              <w:left w:w="0" w:type="dxa"/>
              <w:bottom w:w="40" w:type="dxa"/>
              <w:right w:w="20" w:type="dxa"/>
            </w:tcMar>
            <w:vAlign w:val="bottom"/>
          </w:tcPr>
          <w:p w14:paraId="64305558" w14:textId="77777777" w:rsidR="009F6D8A" w:rsidRDefault="009F6D8A">
            <w:pPr>
              <w:jc w:val="right"/>
              <w:rPr>
                <w:rFonts w:ascii="宋体"/>
              </w:rPr>
            </w:pPr>
          </w:p>
        </w:tc>
      </w:tr>
      <w:tr w:rsidR="009F6D8A" w14:paraId="64305562" w14:textId="77777777">
        <w:tc>
          <w:tcPr>
            <w:tcW w:w="0" w:type="auto"/>
            <w:gridSpan w:val="3"/>
            <w:shd w:val="clear" w:color="auto" w:fill="E2E2E2"/>
            <w:tcMar>
              <w:top w:w="40" w:type="dxa"/>
              <w:left w:w="20" w:type="dxa"/>
              <w:bottom w:w="40" w:type="dxa"/>
              <w:right w:w="20" w:type="dxa"/>
            </w:tcMar>
            <w:vAlign w:val="bottom"/>
          </w:tcPr>
          <w:p w14:paraId="6430555A" w14:textId="77777777" w:rsidR="009F6D8A" w:rsidRDefault="00C50974">
            <w:pPr>
              <w:textAlignment w:val="bottom"/>
            </w:pPr>
            <w:r>
              <w:rPr>
                <w:rFonts w:ascii="Arial" w:eastAsia="宋体" w:hAnsi="Arial" w:cs="Arial"/>
                <w:color w:val="000000"/>
                <w:sz w:val="18"/>
                <w:szCs w:val="18"/>
              </w:rPr>
              <w:t>Net increase (decrease) in cash, cash equivalents and restricted cash</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555B"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555C" w14:textId="77777777" w:rsidR="009F6D8A" w:rsidRDefault="00C50974">
            <w:pPr>
              <w:jc w:val="right"/>
              <w:textAlignment w:val="bottom"/>
            </w:pPr>
            <w:r>
              <w:rPr>
                <w:rFonts w:ascii="Arial" w:eastAsia="宋体" w:hAnsi="Arial" w:cs="Arial"/>
                <w:color w:val="000000"/>
                <w:sz w:val="18"/>
                <w:szCs w:val="18"/>
              </w:rPr>
              <w:t>712 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555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55E" w14:textId="77777777" w:rsidR="009F6D8A" w:rsidRDefault="009F6D8A">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6430555F" w14:textId="77777777" w:rsidR="009F6D8A" w:rsidRDefault="00C50974">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64305560" w14:textId="77777777" w:rsidR="009F6D8A" w:rsidRDefault="00C50974">
            <w:pPr>
              <w:jc w:val="right"/>
              <w:textAlignment w:val="bottom"/>
            </w:pPr>
            <w:r>
              <w:rPr>
                <w:rFonts w:ascii="Arial" w:eastAsia="宋体" w:hAnsi="Arial" w:cs="Arial"/>
                <w:color w:val="000000"/>
                <w:sz w:val="18"/>
                <w:szCs w:val="18"/>
              </w:rPr>
              <w:t>29 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64305561" w14:textId="77777777" w:rsidR="009F6D8A" w:rsidRDefault="009F6D8A">
            <w:pPr>
              <w:jc w:val="right"/>
              <w:rPr>
                <w:rFonts w:ascii="宋体"/>
              </w:rPr>
            </w:pPr>
          </w:p>
        </w:tc>
      </w:tr>
    </w:tbl>
    <w:p w14:paraId="64305563" w14:textId="77777777" w:rsidR="009F6D8A" w:rsidRDefault="00C50974">
      <w:r>
        <w:rPr>
          <w:rFonts w:ascii="Arial" w:eastAsia="宋体" w:hAnsi="Arial" w:cs="Arial"/>
          <w:color w:val="000000"/>
          <w:sz w:val="20"/>
          <w:szCs w:val="20"/>
        </w:rPr>
        <w:t> </w:t>
      </w:r>
    </w:p>
    <w:p w14:paraId="64305564" w14:textId="77777777" w:rsidR="009F6D8A" w:rsidRDefault="00C50974">
      <w:pPr>
        <w:ind w:firstLine="270"/>
      </w:pPr>
      <w:r>
        <w:rPr>
          <w:rFonts w:ascii="Arial" w:eastAsia="宋体" w:hAnsi="Arial" w:cs="Arial"/>
          <w:i/>
          <w:iCs/>
          <w:color w:val="000000"/>
          <w:sz w:val="20"/>
          <w:szCs w:val="20"/>
        </w:rPr>
        <w:t>Continuing Operating Activities</w:t>
      </w:r>
    </w:p>
    <w:p w14:paraId="64305565" w14:textId="77777777" w:rsidR="009F6D8A" w:rsidRDefault="009F6D8A">
      <w:pPr>
        <w:jc w:val="both"/>
      </w:pPr>
    </w:p>
    <w:p w14:paraId="64305566" w14:textId="77777777" w:rsidR="009F6D8A" w:rsidRDefault="00C50974">
      <w:pPr>
        <w:ind w:firstLine="540"/>
        <w:jc w:val="both"/>
      </w:pPr>
      <w:r>
        <w:rPr>
          <w:rFonts w:ascii="Arial" w:eastAsia="宋体" w:hAnsi="Arial" w:cs="Arial"/>
          <w:color w:val="000000"/>
          <w:sz w:val="20"/>
          <w:szCs w:val="20"/>
        </w:rPr>
        <w:t>Cash provided by continuing operating activities of $2.0 billion in the six months ended June 30, 2021 compared to cash provided by continuing operating activities of $1.5 billion in the six months ended June 30, 2020 was primarily attributable to an incre</w:t>
      </w:r>
      <w:r>
        <w:rPr>
          <w:rFonts w:ascii="Arial" w:eastAsia="宋体" w:hAnsi="Arial" w:cs="Arial"/>
          <w:color w:val="000000"/>
          <w:sz w:val="20"/>
          <w:szCs w:val="20"/>
        </w:rPr>
        <w:t xml:space="preserve">ase in operating income from continuing operations of $260 million. The increase in operating income from continuing operations was primarily due to an increase in revenues, primarily as </w:t>
      </w:r>
    </w:p>
    <w:p w14:paraId="64305567" w14:textId="77777777" w:rsidR="009F6D8A" w:rsidRDefault="009F6D8A">
      <w:pPr>
        <w:jc w:val="center"/>
      </w:pPr>
    </w:p>
    <w:p w14:paraId="64305568" w14:textId="77777777" w:rsidR="009F6D8A" w:rsidRDefault="00C50974">
      <w:pPr>
        <w:jc w:val="center"/>
      </w:pPr>
      <w:r>
        <w:rPr>
          <w:rFonts w:ascii="Arial" w:eastAsia="宋体" w:hAnsi="Arial" w:cs="Arial"/>
          <w:color w:val="000000"/>
          <w:sz w:val="20"/>
          <w:szCs w:val="20"/>
        </w:rPr>
        <w:t>47</w:t>
      </w:r>
    </w:p>
    <w:p w14:paraId="64305569" w14:textId="77777777" w:rsidR="009F6D8A" w:rsidRDefault="00C50974">
      <w:r>
        <w:pict w14:anchorId="64305832">
          <v:rect id="_x0000_i1071" style="width:415.3pt;height:1.5pt" o:hralign="center" o:hrstd="t" o:hr="t" fillcolor="#a0a0a0" stroked="f"/>
        </w:pict>
      </w:r>
    </w:p>
    <w:p w14:paraId="6430556A" w14:textId="77777777" w:rsidR="009F6D8A" w:rsidRDefault="009F6D8A"/>
    <w:p w14:paraId="6430556B" w14:textId="77777777" w:rsidR="009F6D8A" w:rsidRDefault="00C50974">
      <w:pPr>
        <w:jc w:val="both"/>
      </w:pPr>
      <w:r>
        <w:rPr>
          <w:rFonts w:ascii="Arial" w:eastAsia="宋体" w:hAnsi="Arial" w:cs="Arial"/>
          <w:color w:val="000000"/>
          <w:sz w:val="20"/>
          <w:szCs w:val="20"/>
        </w:rPr>
        <w:t>a result of higher GMV due to improved traffic and buyer acqu</w:t>
      </w:r>
      <w:r>
        <w:rPr>
          <w:rFonts w:ascii="Arial" w:eastAsia="宋体" w:hAnsi="Arial" w:cs="Arial"/>
          <w:color w:val="000000"/>
          <w:sz w:val="20"/>
          <w:szCs w:val="20"/>
        </w:rPr>
        <w:t>isition as noted in our comments on “Net Transaction Revenues” during the pandemic. The remaining changes in continuing operating cash flows are attributable to changes in non-cash items and working capital movements. Net income from discontinued operation</w:t>
      </w:r>
      <w:r>
        <w:rPr>
          <w:rFonts w:ascii="Arial" w:eastAsia="宋体" w:hAnsi="Arial" w:cs="Arial"/>
          <w:color w:val="000000"/>
          <w:sz w:val="20"/>
          <w:szCs w:val="20"/>
        </w:rPr>
        <w:t>s, net of income taxes in the six months ended June 30, 2021 was primarily related to the gain on the sale of the Classifieds business in the second quarter of 2021. Net income from discontinued operations, net of income taxes in the six months ended June </w:t>
      </w:r>
      <w:r>
        <w:rPr>
          <w:rFonts w:ascii="Arial" w:eastAsia="宋体" w:hAnsi="Arial" w:cs="Arial"/>
          <w:color w:val="000000"/>
          <w:sz w:val="20"/>
          <w:szCs w:val="20"/>
        </w:rPr>
        <w:t>30, 2020 was primarily related to the gain on the sale of the StubHub business in the first quarter of 2020. Our operating cash flows arise primarily from cash received from our customers on our platforms offset by cash payments for sales and marketing, em</w:t>
      </w:r>
      <w:r>
        <w:rPr>
          <w:rFonts w:ascii="Arial" w:eastAsia="宋体" w:hAnsi="Arial" w:cs="Arial"/>
          <w:color w:val="000000"/>
          <w:sz w:val="20"/>
          <w:szCs w:val="20"/>
        </w:rPr>
        <w:t>ployee compensation and payment processing expenses.</w:t>
      </w:r>
    </w:p>
    <w:p w14:paraId="6430556C" w14:textId="77777777" w:rsidR="009F6D8A" w:rsidRDefault="009F6D8A">
      <w:pPr>
        <w:ind w:firstLine="540"/>
        <w:jc w:val="both"/>
      </w:pPr>
    </w:p>
    <w:p w14:paraId="6430556D" w14:textId="77777777" w:rsidR="009F6D8A" w:rsidRDefault="00C50974">
      <w:pPr>
        <w:ind w:firstLine="270"/>
      </w:pPr>
      <w:r>
        <w:rPr>
          <w:rFonts w:ascii="Arial" w:eastAsia="宋体" w:hAnsi="Arial" w:cs="Arial"/>
          <w:i/>
          <w:iCs/>
          <w:color w:val="000000"/>
          <w:sz w:val="20"/>
          <w:szCs w:val="20"/>
        </w:rPr>
        <w:t>Continuing Investing Activities</w:t>
      </w:r>
    </w:p>
    <w:p w14:paraId="6430556E" w14:textId="77777777" w:rsidR="009F6D8A" w:rsidRDefault="009F6D8A">
      <w:pPr>
        <w:ind w:firstLine="270"/>
      </w:pPr>
    </w:p>
    <w:p w14:paraId="6430556F" w14:textId="77777777" w:rsidR="009F6D8A" w:rsidRDefault="00C50974">
      <w:pPr>
        <w:ind w:firstLine="540"/>
        <w:jc w:val="both"/>
      </w:pPr>
      <w:r>
        <w:rPr>
          <w:rFonts w:ascii="Arial" w:eastAsia="宋体" w:hAnsi="Arial" w:cs="Arial"/>
          <w:color w:val="000000"/>
          <w:sz w:val="20"/>
          <w:szCs w:val="20"/>
        </w:rPr>
        <w:t>Cash used in continuing investing activities of $3.1 billion in the six months ended June 30, 2021 was primarily attributable to cash paid for investments of $9.7 billio</w:t>
      </w:r>
      <w:r>
        <w:rPr>
          <w:rFonts w:ascii="Arial" w:eastAsia="宋体" w:hAnsi="Arial" w:cs="Arial"/>
          <w:color w:val="000000"/>
          <w:sz w:val="20"/>
          <w:szCs w:val="20"/>
        </w:rPr>
        <w:t xml:space="preserve">n and property and equipment of $182 million, partially offset by proceeds of $6.8 billion from the maturities and sales of investments. </w:t>
      </w:r>
    </w:p>
    <w:p w14:paraId="64305570" w14:textId="77777777" w:rsidR="009F6D8A" w:rsidRDefault="009F6D8A">
      <w:pPr>
        <w:ind w:firstLine="540"/>
        <w:jc w:val="both"/>
      </w:pPr>
    </w:p>
    <w:p w14:paraId="64305571" w14:textId="77777777" w:rsidR="009F6D8A" w:rsidRDefault="00C50974">
      <w:pPr>
        <w:ind w:firstLine="270"/>
      </w:pPr>
      <w:r>
        <w:rPr>
          <w:rFonts w:ascii="Arial" w:eastAsia="宋体" w:hAnsi="Arial" w:cs="Arial"/>
          <w:i/>
          <w:iCs/>
          <w:color w:val="000000"/>
          <w:sz w:val="20"/>
          <w:szCs w:val="20"/>
        </w:rPr>
        <w:t>Continuing Financing Activities</w:t>
      </w:r>
    </w:p>
    <w:p w14:paraId="64305572" w14:textId="77777777" w:rsidR="009F6D8A" w:rsidRDefault="009F6D8A"/>
    <w:p w14:paraId="64305573" w14:textId="77777777" w:rsidR="009F6D8A" w:rsidRDefault="00C50974">
      <w:pPr>
        <w:ind w:firstLine="540"/>
        <w:jc w:val="both"/>
      </w:pPr>
      <w:r>
        <w:rPr>
          <w:rFonts w:ascii="Arial" w:eastAsia="宋体" w:hAnsi="Arial" w:cs="Arial"/>
          <w:color w:val="000000"/>
          <w:sz w:val="20"/>
          <w:szCs w:val="20"/>
        </w:rPr>
        <w:t>Cash used in continuing financing activities of $685 million in the six months ended</w:t>
      </w:r>
      <w:r>
        <w:rPr>
          <w:rFonts w:ascii="Arial" w:eastAsia="宋体" w:hAnsi="Arial" w:cs="Arial"/>
          <w:color w:val="000000"/>
          <w:sz w:val="20"/>
          <w:szCs w:val="20"/>
        </w:rPr>
        <w:t xml:space="preserve"> June 30, 2021 was primarily attributable to debt repayments of $1.2 billion, which was comprised of $750 million related to our 6.000% senior fixed rate notes due 2056 that were redeemed and $405 million related to our 2.600% senior fixed rate notes due 2</w:t>
      </w:r>
      <w:r>
        <w:rPr>
          <w:rFonts w:ascii="Arial" w:eastAsia="宋体" w:hAnsi="Arial" w:cs="Arial"/>
          <w:color w:val="000000"/>
          <w:sz w:val="20"/>
          <w:szCs w:val="20"/>
        </w:rPr>
        <w:t>022 that were repurchased pursuant to a tender offer, cash paid to repurchase $1.7 billion of common stock and $243 million paid in cash dividends, partially offset by proceeds from debt issuances of $2.5 billion and net funds receivable and payable activi</w:t>
      </w:r>
      <w:r>
        <w:rPr>
          <w:rFonts w:ascii="Arial" w:eastAsia="宋体" w:hAnsi="Arial" w:cs="Arial"/>
          <w:color w:val="000000"/>
          <w:sz w:val="20"/>
          <w:szCs w:val="20"/>
        </w:rPr>
        <w:t xml:space="preserve">ty of $30 million. </w:t>
      </w:r>
    </w:p>
    <w:p w14:paraId="64305574" w14:textId="77777777" w:rsidR="009F6D8A" w:rsidRDefault="009F6D8A">
      <w:pPr>
        <w:ind w:firstLine="540"/>
        <w:jc w:val="both"/>
      </w:pPr>
    </w:p>
    <w:p w14:paraId="64305575" w14:textId="77777777" w:rsidR="009F6D8A" w:rsidRDefault="00C50974">
      <w:pPr>
        <w:ind w:firstLine="540"/>
        <w:jc w:val="both"/>
      </w:pPr>
      <w:r>
        <w:rPr>
          <w:rFonts w:ascii="Arial" w:eastAsia="宋体" w:hAnsi="Arial" w:cs="Arial"/>
          <w:color w:val="000000"/>
          <w:sz w:val="20"/>
          <w:szCs w:val="20"/>
        </w:rPr>
        <w:t>The negative effect of exchange rate movements on cash, cash equivalents and restricted cash was due to the strengthening of the U.S. dollar against other currencies, primarily the Korean won during the six months ended June 30, 2021 c</w:t>
      </w:r>
      <w:r>
        <w:rPr>
          <w:rFonts w:ascii="Arial" w:eastAsia="宋体" w:hAnsi="Arial" w:cs="Arial"/>
          <w:color w:val="000000"/>
          <w:sz w:val="20"/>
          <w:szCs w:val="20"/>
        </w:rPr>
        <w:t>ompared to the 2020 year-end rate.</w:t>
      </w:r>
    </w:p>
    <w:p w14:paraId="64305576" w14:textId="77777777" w:rsidR="009F6D8A" w:rsidRDefault="009F6D8A">
      <w:pPr>
        <w:ind w:firstLine="540"/>
      </w:pPr>
    </w:p>
    <w:p w14:paraId="64305577" w14:textId="77777777" w:rsidR="009F6D8A" w:rsidRDefault="00C50974">
      <w:pPr>
        <w:ind w:firstLine="270"/>
      </w:pPr>
      <w:r>
        <w:rPr>
          <w:rFonts w:ascii="Arial" w:eastAsia="宋体" w:hAnsi="Arial" w:cs="Arial"/>
          <w:b/>
          <w:bCs/>
          <w:i/>
          <w:iCs/>
          <w:color w:val="000000"/>
          <w:sz w:val="20"/>
          <w:szCs w:val="20"/>
        </w:rPr>
        <w:t>Stock Repurchases</w:t>
      </w:r>
    </w:p>
    <w:p w14:paraId="64305578" w14:textId="77777777" w:rsidR="009F6D8A" w:rsidRDefault="009F6D8A"/>
    <w:p w14:paraId="64305579" w14:textId="77777777" w:rsidR="009F6D8A" w:rsidRDefault="00C50974">
      <w:pPr>
        <w:ind w:firstLine="540"/>
        <w:jc w:val="both"/>
      </w:pPr>
      <w:r>
        <w:rPr>
          <w:rFonts w:ascii="Arial" w:eastAsia="宋体" w:hAnsi="Arial" w:cs="Arial"/>
          <w:color w:val="000000"/>
          <w:sz w:val="20"/>
          <w:szCs w:val="20"/>
        </w:rPr>
        <w:t>In January 2020, our Board authorized a $5.0 billion stock repurchase program and in February 2021, our Board authorized an additional $4.0 billion stock repurchase program. These stock repurchase prog</w:t>
      </w:r>
      <w:r>
        <w:rPr>
          <w:rFonts w:ascii="Arial" w:eastAsia="宋体" w:hAnsi="Arial" w:cs="Arial"/>
          <w:color w:val="000000"/>
          <w:sz w:val="20"/>
          <w:szCs w:val="20"/>
        </w:rPr>
        <w:t xml:space="preserve">rams have no expiration from the date of authorization. </w:t>
      </w:r>
    </w:p>
    <w:p w14:paraId="6430557A" w14:textId="77777777" w:rsidR="009F6D8A" w:rsidRDefault="009F6D8A">
      <w:pPr>
        <w:ind w:firstLine="540"/>
        <w:jc w:val="both"/>
      </w:pPr>
    </w:p>
    <w:p w14:paraId="6430557B" w14:textId="77777777" w:rsidR="009F6D8A" w:rsidRDefault="00C50974">
      <w:pPr>
        <w:ind w:firstLine="540"/>
        <w:jc w:val="both"/>
      </w:pPr>
      <w:r>
        <w:rPr>
          <w:rFonts w:ascii="Arial" w:eastAsia="宋体" w:hAnsi="Arial" w:cs="Arial"/>
          <w:color w:val="000000"/>
          <w:sz w:val="20"/>
          <w:szCs w:val="20"/>
        </w:rPr>
        <w:t>Our stock repurchase programs are intended to programmatically offset the impact of dilution from our equity compensation programs and, subject to market conditions and other factors, to make opport</w:t>
      </w:r>
      <w:r>
        <w:rPr>
          <w:rFonts w:ascii="Arial" w:eastAsia="宋体" w:hAnsi="Arial" w:cs="Arial"/>
          <w:color w:val="000000"/>
          <w:sz w:val="20"/>
          <w:szCs w:val="20"/>
        </w:rPr>
        <w:t>unistic and programmatic repurchases of our common stock to reduce our outstanding share count. Any share repurchases under our stock repurchase programs may be made through open market transactions, block trades, privately negotiated transactions (includi</w:t>
      </w:r>
      <w:r>
        <w:rPr>
          <w:rFonts w:ascii="Arial" w:eastAsia="宋体" w:hAnsi="Arial" w:cs="Arial"/>
          <w:color w:val="000000"/>
          <w:sz w:val="20"/>
          <w:szCs w:val="20"/>
        </w:rPr>
        <w:t>ng accelerated share repurchase transactions) or other means at times and in such amounts as management deems appropriate and will be funded from our working capital or other financing alternatives.</w:t>
      </w:r>
    </w:p>
    <w:p w14:paraId="6430557C" w14:textId="77777777" w:rsidR="009F6D8A" w:rsidRDefault="009F6D8A">
      <w:pPr>
        <w:ind w:firstLine="540"/>
        <w:jc w:val="both"/>
      </w:pPr>
    </w:p>
    <w:p w14:paraId="6430557D" w14:textId="77777777" w:rsidR="009F6D8A" w:rsidRDefault="00C50974">
      <w:pPr>
        <w:ind w:firstLine="540"/>
        <w:jc w:val="both"/>
      </w:pPr>
      <w:r>
        <w:rPr>
          <w:rFonts w:ascii="Arial" w:eastAsia="宋体" w:hAnsi="Arial" w:cs="Arial"/>
          <w:color w:val="000000"/>
          <w:sz w:val="20"/>
          <w:szCs w:val="20"/>
        </w:rPr>
        <w:t xml:space="preserve">During the six months ended June 30, 2021, we </w:t>
      </w:r>
      <w:r>
        <w:rPr>
          <w:rFonts w:ascii="Arial" w:eastAsia="宋体" w:hAnsi="Arial" w:cs="Arial"/>
          <w:color w:val="000000"/>
          <w:sz w:val="20"/>
          <w:szCs w:val="20"/>
        </w:rPr>
        <w:t>repurchased approximately $1.8 billion of our common stock under our stock repurchase programs. As of June 30, 2021, a total of approximately $4.2 billion remained available for future repurchases of our common stock under our stock repurchase programs. </w:t>
      </w:r>
      <w:r>
        <w:rPr>
          <w:rFonts w:ascii="Arial" w:eastAsia="宋体" w:hAnsi="Arial" w:cs="Arial"/>
          <w:color w:val="212529"/>
          <w:sz w:val="20"/>
          <w:szCs w:val="20"/>
        </w:rPr>
        <w:t>In</w:t>
      </w:r>
      <w:r>
        <w:rPr>
          <w:rFonts w:ascii="Arial" w:eastAsia="宋体" w:hAnsi="Arial" w:cs="Arial"/>
          <w:color w:val="212529"/>
          <w:sz w:val="20"/>
          <w:szCs w:val="20"/>
        </w:rPr>
        <w:t xml:space="preserve"> August 2021, our Board authorized an additional $3.0 billion stock repurchase program, with no expiration from the date of authorization.</w:t>
      </w:r>
    </w:p>
    <w:p w14:paraId="6430557E" w14:textId="77777777" w:rsidR="009F6D8A" w:rsidRDefault="009F6D8A">
      <w:pPr>
        <w:ind w:firstLine="540"/>
        <w:jc w:val="both"/>
      </w:pPr>
    </w:p>
    <w:p w14:paraId="6430557F" w14:textId="77777777" w:rsidR="009F6D8A" w:rsidRDefault="00C50974">
      <w:pPr>
        <w:ind w:firstLine="540"/>
        <w:jc w:val="both"/>
      </w:pPr>
      <w:r>
        <w:rPr>
          <w:rFonts w:ascii="Arial" w:eastAsia="宋体" w:hAnsi="Arial" w:cs="Arial"/>
          <w:color w:val="000000"/>
          <w:sz w:val="20"/>
          <w:szCs w:val="20"/>
        </w:rPr>
        <w:t>We expect, subject to market conditions and other uncertainties, to continue making opportunistic and programmatic r</w:t>
      </w:r>
      <w:r>
        <w:rPr>
          <w:rFonts w:ascii="Arial" w:eastAsia="宋体" w:hAnsi="Arial" w:cs="Arial"/>
          <w:color w:val="000000"/>
          <w:sz w:val="20"/>
          <w:szCs w:val="20"/>
        </w:rPr>
        <w:t>epurchases of our common stock. However, our stock repurchase programs may be limited or terminated at any time without prior notice. The timing and actual number of shares repurchased will depend on a variety of factors, including corporate and regulatory</w:t>
      </w:r>
      <w:r>
        <w:rPr>
          <w:rFonts w:ascii="Arial" w:eastAsia="宋体" w:hAnsi="Arial" w:cs="Arial"/>
          <w:color w:val="000000"/>
          <w:sz w:val="20"/>
          <w:szCs w:val="20"/>
        </w:rPr>
        <w:t xml:space="preserve"> requirements, the impacts of the COVID-19 pandemic, price and other market conditions and management’s determination as to the appropriate use of our cash. </w:t>
      </w:r>
    </w:p>
    <w:p w14:paraId="64305580" w14:textId="77777777" w:rsidR="009F6D8A" w:rsidRDefault="009F6D8A">
      <w:pPr>
        <w:ind w:firstLine="540"/>
        <w:jc w:val="both"/>
      </w:pPr>
    </w:p>
    <w:p w14:paraId="64305581" w14:textId="77777777" w:rsidR="009F6D8A" w:rsidRDefault="009F6D8A">
      <w:pPr>
        <w:jc w:val="center"/>
      </w:pPr>
    </w:p>
    <w:p w14:paraId="64305582" w14:textId="77777777" w:rsidR="009F6D8A" w:rsidRDefault="00C50974">
      <w:pPr>
        <w:jc w:val="center"/>
      </w:pPr>
      <w:r>
        <w:rPr>
          <w:rFonts w:ascii="Arial" w:eastAsia="宋体" w:hAnsi="Arial" w:cs="Arial"/>
          <w:color w:val="000000"/>
          <w:sz w:val="20"/>
          <w:szCs w:val="20"/>
        </w:rPr>
        <w:t>48</w:t>
      </w:r>
    </w:p>
    <w:p w14:paraId="64305583" w14:textId="77777777" w:rsidR="009F6D8A" w:rsidRDefault="00C50974">
      <w:r>
        <w:pict w14:anchorId="64305833">
          <v:rect id="_x0000_i1072" style="width:415.3pt;height:1.5pt" o:hralign="center" o:hrstd="t" o:hr="t" fillcolor="#a0a0a0" stroked="f"/>
        </w:pict>
      </w:r>
    </w:p>
    <w:p w14:paraId="64305584" w14:textId="77777777" w:rsidR="009F6D8A" w:rsidRDefault="009F6D8A"/>
    <w:p w14:paraId="64305585" w14:textId="77777777" w:rsidR="009F6D8A" w:rsidRDefault="00C50974">
      <w:pPr>
        <w:ind w:firstLine="270"/>
      </w:pPr>
      <w:r>
        <w:rPr>
          <w:rFonts w:ascii="Arial" w:eastAsia="宋体" w:hAnsi="Arial" w:cs="Arial"/>
          <w:b/>
          <w:bCs/>
          <w:i/>
          <w:iCs/>
          <w:color w:val="000000"/>
          <w:sz w:val="20"/>
          <w:szCs w:val="20"/>
        </w:rPr>
        <w:t>Dividends</w:t>
      </w:r>
    </w:p>
    <w:p w14:paraId="64305586" w14:textId="77777777" w:rsidR="009F6D8A" w:rsidRDefault="009F6D8A">
      <w:pPr>
        <w:ind w:firstLine="270"/>
      </w:pPr>
    </w:p>
    <w:p w14:paraId="64305587" w14:textId="77777777" w:rsidR="009F6D8A" w:rsidRDefault="00C50974">
      <w:pPr>
        <w:ind w:firstLine="540"/>
        <w:jc w:val="both"/>
      </w:pPr>
      <w:r>
        <w:rPr>
          <w:rFonts w:ascii="Arial" w:eastAsia="宋体" w:hAnsi="Arial" w:cs="Arial"/>
          <w:color w:val="000000"/>
          <w:sz w:val="20"/>
          <w:szCs w:val="20"/>
        </w:rPr>
        <w:t>The Company paid a total of $121 million and $243 million in cash dividends dur</w:t>
      </w:r>
      <w:r>
        <w:rPr>
          <w:rFonts w:ascii="Arial" w:eastAsia="宋体" w:hAnsi="Arial" w:cs="Arial"/>
          <w:color w:val="000000"/>
          <w:sz w:val="20"/>
          <w:szCs w:val="20"/>
        </w:rPr>
        <w:t>ing the three and six months ended June 30, 2021 and $112 million and $226 million during the three and six June 30, 2020, respectively. In August 2021, our Board of Directors declared a cash dividend of $0.18 per share of common stock to be paid on Septem</w:t>
      </w:r>
      <w:r>
        <w:rPr>
          <w:rFonts w:ascii="Arial" w:eastAsia="宋体" w:hAnsi="Arial" w:cs="Arial"/>
          <w:color w:val="000000"/>
          <w:sz w:val="20"/>
          <w:szCs w:val="20"/>
        </w:rPr>
        <w:t>ber 17, 2021 to stockholders of record as of September 1, 2021.</w:t>
      </w:r>
    </w:p>
    <w:p w14:paraId="64305588" w14:textId="77777777" w:rsidR="009F6D8A" w:rsidRDefault="009F6D8A">
      <w:pPr>
        <w:ind w:firstLine="540"/>
        <w:jc w:val="both"/>
      </w:pPr>
    </w:p>
    <w:p w14:paraId="64305589" w14:textId="77777777" w:rsidR="009F6D8A" w:rsidRDefault="00C50974">
      <w:pPr>
        <w:ind w:firstLine="270"/>
      </w:pPr>
      <w:r>
        <w:rPr>
          <w:rFonts w:ascii="Arial" w:eastAsia="宋体" w:hAnsi="Arial" w:cs="Arial"/>
          <w:b/>
          <w:bCs/>
          <w:i/>
          <w:iCs/>
          <w:color w:val="000000"/>
          <w:sz w:val="20"/>
          <w:szCs w:val="20"/>
        </w:rPr>
        <w:t>Debt</w:t>
      </w:r>
    </w:p>
    <w:p w14:paraId="6430558A" w14:textId="77777777" w:rsidR="009F6D8A" w:rsidRDefault="009F6D8A">
      <w:pPr>
        <w:ind w:firstLine="90"/>
      </w:pPr>
    </w:p>
    <w:p w14:paraId="6430558B" w14:textId="77777777" w:rsidR="009F6D8A" w:rsidRDefault="00C50974">
      <w:pPr>
        <w:ind w:firstLine="270"/>
      </w:pPr>
      <w:r>
        <w:rPr>
          <w:rFonts w:ascii="Arial" w:eastAsia="宋体" w:hAnsi="Arial" w:cs="Arial"/>
          <w:i/>
          <w:iCs/>
          <w:color w:val="000000"/>
          <w:sz w:val="20"/>
          <w:szCs w:val="20"/>
        </w:rPr>
        <w:t>Senior Notes</w:t>
      </w:r>
    </w:p>
    <w:p w14:paraId="6430558C" w14:textId="77777777" w:rsidR="009F6D8A" w:rsidRDefault="009F6D8A">
      <w:pPr>
        <w:ind w:firstLine="540"/>
        <w:jc w:val="both"/>
      </w:pPr>
    </w:p>
    <w:p w14:paraId="6430558D" w14:textId="77777777" w:rsidR="009F6D8A" w:rsidRDefault="00C50974">
      <w:pPr>
        <w:ind w:firstLine="540"/>
        <w:jc w:val="both"/>
      </w:pPr>
      <w:r>
        <w:rPr>
          <w:rFonts w:ascii="Arial" w:eastAsia="宋体" w:hAnsi="Arial" w:cs="Arial"/>
          <w:color w:val="000000"/>
          <w:sz w:val="20"/>
          <w:szCs w:val="20"/>
        </w:rPr>
        <w:t>As of June 30, 2021, we had floating- and fixed-rate senior notes outstanding for an aggregate principal amount of $9.1 billion. The net proceeds from the issuances of the</w:t>
      </w:r>
      <w:r>
        <w:rPr>
          <w:rFonts w:ascii="Arial" w:eastAsia="宋体" w:hAnsi="Arial" w:cs="Arial"/>
          <w:color w:val="000000"/>
          <w:sz w:val="20"/>
          <w:szCs w:val="20"/>
        </w:rPr>
        <w:t>se senior notes are used for general corporate purposes, including, among other things, capital expenditures, share repurchases, repayment of indebtedness and possible acquisitions. The floating rate notes are not redeemable prior to maturity. We may redee</w:t>
      </w:r>
      <w:r>
        <w:rPr>
          <w:rFonts w:ascii="Arial" w:eastAsia="宋体" w:hAnsi="Arial" w:cs="Arial"/>
          <w:color w:val="000000"/>
          <w:sz w:val="20"/>
          <w:szCs w:val="20"/>
        </w:rPr>
        <w:t>m some or all of the other fixed rate notes of each series at any time and from time to time prior to their maturity, generally at a make-whole redemption price plus accrued and unpaid interest. If a change of control triggering event (as defined in the ap</w:t>
      </w:r>
      <w:r>
        <w:rPr>
          <w:rFonts w:ascii="Arial" w:eastAsia="宋体" w:hAnsi="Arial" w:cs="Arial"/>
          <w:color w:val="000000"/>
          <w:sz w:val="20"/>
          <w:szCs w:val="20"/>
        </w:rPr>
        <w:t>plicable senior notes) occurs with respect to the 3.800% fixed rate notes due 2022, the floating rate notes due 2023, the 2.750% fixed rate notes due 2023, the 1.900% fixed rate notes due 2025, the 1.400% fixed rate notes due 2026, the 3.600% fixed rate no</w:t>
      </w:r>
      <w:r>
        <w:rPr>
          <w:rFonts w:ascii="Arial" w:eastAsia="宋体" w:hAnsi="Arial" w:cs="Arial"/>
          <w:color w:val="000000"/>
          <w:sz w:val="20"/>
          <w:szCs w:val="20"/>
        </w:rPr>
        <w:t>tes due 2027, the 2.700% fixed rate notes due 2030, the 2.600% fixed rate notes due 2031 or the 3.650% fixed rate notes due 2051, we must, subject to certain exceptions, offer to repurchase all of the notes of the applicable series at a price equal to 101%</w:t>
      </w:r>
      <w:r>
        <w:rPr>
          <w:rFonts w:ascii="Arial" w:eastAsia="宋体" w:hAnsi="Arial" w:cs="Arial"/>
          <w:color w:val="000000"/>
          <w:sz w:val="20"/>
          <w:szCs w:val="20"/>
        </w:rPr>
        <w:t xml:space="preserve"> of the principal amount plus accrued and unpaid interest. For additional details related to our senior notes, please see “Note 9 – Debt” to the condensed consolidated financial statements included in this report. </w:t>
      </w:r>
    </w:p>
    <w:p w14:paraId="6430558E" w14:textId="77777777" w:rsidR="009F6D8A" w:rsidRDefault="009F6D8A">
      <w:pPr>
        <w:ind w:firstLine="540"/>
        <w:jc w:val="both"/>
      </w:pPr>
    </w:p>
    <w:p w14:paraId="6430558F" w14:textId="77777777" w:rsidR="009F6D8A" w:rsidRDefault="00C50974">
      <w:pPr>
        <w:ind w:firstLine="540"/>
        <w:jc w:val="both"/>
      </w:pPr>
      <w:r>
        <w:rPr>
          <w:rFonts w:ascii="Arial" w:eastAsia="宋体" w:hAnsi="Arial" w:cs="Arial"/>
          <w:color w:val="000000"/>
          <w:sz w:val="20"/>
          <w:szCs w:val="20"/>
        </w:rPr>
        <w:t>During 2020, we began to hedge the varia</w:t>
      </w:r>
      <w:r>
        <w:rPr>
          <w:rFonts w:ascii="Arial" w:eastAsia="宋体" w:hAnsi="Arial" w:cs="Arial"/>
          <w:color w:val="000000"/>
          <w:sz w:val="20"/>
          <w:szCs w:val="20"/>
        </w:rPr>
        <w:t>bility of the cash flows in interest payments associated with our floating-rate debt using interest rate swaps. These interest rate swap agreements effectively convert our LIBOR-based floating-rate debt to a fixed-rate basis, reducing the impact of interes</w:t>
      </w:r>
      <w:r>
        <w:rPr>
          <w:rFonts w:ascii="Arial" w:eastAsia="宋体" w:hAnsi="Arial" w:cs="Arial"/>
          <w:color w:val="000000"/>
          <w:sz w:val="20"/>
          <w:szCs w:val="20"/>
        </w:rPr>
        <w:t>t-rate changes on future interest expense. The total notional amount of these interest swaps was $400 million as of June 30, 2021 with terms calling for us to receive interest at a variable rate and to pay interest at a fixed rate. Our interest rate swap c</w:t>
      </w:r>
      <w:r>
        <w:rPr>
          <w:rFonts w:ascii="Arial" w:eastAsia="宋体" w:hAnsi="Arial" w:cs="Arial"/>
          <w:color w:val="000000"/>
          <w:sz w:val="20"/>
          <w:szCs w:val="20"/>
        </w:rPr>
        <w:t>ontracts have maturity dates in 2023.</w:t>
      </w:r>
    </w:p>
    <w:p w14:paraId="64305590" w14:textId="77777777" w:rsidR="009F6D8A" w:rsidRDefault="009F6D8A">
      <w:pPr>
        <w:ind w:firstLine="540"/>
        <w:jc w:val="both"/>
      </w:pPr>
    </w:p>
    <w:p w14:paraId="64305591" w14:textId="77777777" w:rsidR="009F6D8A" w:rsidRDefault="00C50974">
      <w:pPr>
        <w:ind w:firstLine="540"/>
        <w:jc w:val="both"/>
      </w:pPr>
      <w:r>
        <w:rPr>
          <w:rFonts w:ascii="Arial" w:eastAsia="宋体" w:hAnsi="Arial" w:cs="Arial"/>
          <w:color w:val="000000"/>
          <w:sz w:val="20"/>
          <w:szCs w:val="20"/>
        </w:rPr>
        <w:t>The indenture pursuant to which the senior notes were issued includes customary covenants that, among other things and subject to exceptions, limit our ability to incur, assume or guarantee debt secured by liens on sp</w:t>
      </w:r>
      <w:r>
        <w:rPr>
          <w:rFonts w:ascii="Arial" w:eastAsia="宋体" w:hAnsi="Arial" w:cs="Arial"/>
          <w:color w:val="000000"/>
          <w:sz w:val="20"/>
          <w:szCs w:val="20"/>
        </w:rPr>
        <w:t>ecified assets or enter into sale and lease-back transactions with respect to specified properties, and also includes customary events of default with customary grace periods in certain circumstances, including payment defaults and bankruptcy-related defau</w:t>
      </w:r>
      <w:r>
        <w:rPr>
          <w:rFonts w:ascii="Arial" w:eastAsia="宋体" w:hAnsi="Arial" w:cs="Arial"/>
          <w:color w:val="000000"/>
          <w:sz w:val="20"/>
          <w:szCs w:val="20"/>
        </w:rPr>
        <w:t>lts.</w:t>
      </w:r>
    </w:p>
    <w:p w14:paraId="64305592" w14:textId="77777777" w:rsidR="009F6D8A" w:rsidRDefault="009F6D8A">
      <w:pPr>
        <w:ind w:firstLine="270"/>
      </w:pPr>
    </w:p>
    <w:p w14:paraId="64305593" w14:textId="77777777" w:rsidR="009F6D8A" w:rsidRDefault="00C50974">
      <w:pPr>
        <w:ind w:firstLine="270"/>
      </w:pPr>
      <w:r>
        <w:rPr>
          <w:rFonts w:ascii="Arial" w:eastAsia="宋体" w:hAnsi="Arial" w:cs="Arial"/>
          <w:i/>
          <w:iCs/>
          <w:color w:val="000000"/>
          <w:sz w:val="20"/>
          <w:szCs w:val="20"/>
        </w:rPr>
        <w:t>Commercial Paper</w:t>
      </w:r>
    </w:p>
    <w:p w14:paraId="64305594" w14:textId="77777777" w:rsidR="009F6D8A" w:rsidRDefault="009F6D8A">
      <w:pPr>
        <w:ind w:firstLine="360"/>
      </w:pPr>
    </w:p>
    <w:p w14:paraId="64305595" w14:textId="77777777" w:rsidR="009F6D8A" w:rsidRDefault="00C50974">
      <w:pPr>
        <w:ind w:firstLine="540"/>
        <w:jc w:val="both"/>
      </w:pPr>
      <w:r>
        <w:rPr>
          <w:rFonts w:ascii="Arial" w:eastAsia="宋体" w:hAnsi="Arial" w:cs="Arial"/>
          <w:color w:val="000000"/>
          <w:sz w:val="20"/>
          <w:szCs w:val="20"/>
        </w:rPr>
        <w:t>We have a commercial paper program pursuant to which we may issue commercial paper notes in an aggregate principal amount at maturity of up to $1.5 billion outstanding at any time with maturities of up to 397 days from the date of i</w:t>
      </w:r>
      <w:r>
        <w:rPr>
          <w:rFonts w:ascii="Arial" w:eastAsia="宋体" w:hAnsi="Arial" w:cs="Arial"/>
          <w:color w:val="000000"/>
          <w:sz w:val="20"/>
          <w:szCs w:val="20"/>
        </w:rPr>
        <w:t xml:space="preserve">ssue. As of June 30, 2021, there were no commercial paper notes outstanding. </w:t>
      </w:r>
    </w:p>
    <w:p w14:paraId="64305596" w14:textId="77777777" w:rsidR="009F6D8A" w:rsidRDefault="009F6D8A">
      <w:pPr>
        <w:ind w:firstLine="360"/>
      </w:pPr>
    </w:p>
    <w:p w14:paraId="64305597" w14:textId="77777777" w:rsidR="009F6D8A" w:rsidRDefault="00C50974">
      <w:pPr>
        <w:ind w:firstLine="270"/>
      </w:pPr>
      <w:r>
        <w:rPr>
          <w:rFonts w:ascii="Arial" w:eastAsia="宋体" w:hAnsi="Arial" w:cs="Arial"/>
          <w:i/>
          <w:iCs/>
          <w:color w:val="000000"/>
          <w:sz w:val="20"/>
          <w:szCs w:val="20"/>
        </w:rPr>
        <w:t>Credit Agreement</w:t>
      </w:r>
    </w:p>
    <w:p w14:paraId="64305598" w14:textId="77777777" w:rsidR="009F6D8A" w:rsidRDefault="009F6D8A">
      <w:pPr>
        <w:ind w:firstLine="90"/>
        <w:jc w:val="both"/>
      </w:pPr>
    </w:p>
    <w:p w14:paraId="64305599" w14:textId="77777777" w:rsidR="009F6D8A" w:rsidRDefault="00C50974">
      <w:pPr>
        <w:ind w:firstLine="540"/>
        <w:jc w:val="both"/>
      </w:pPr>
      <w:r>
        <w:rPr>
          <w:rFonts w:ascii="Arial" w:eastAsia="宋体" w:hAnsi="Arial" w:cs="Arial"/>
          <w:color w:val="000000"/>
          <w:sz w:val="20"/>
          <w:szCs w:val="20"/>
        </w:rPr>
        <w:t xml:space="preserve">In March 2020, we entered into a credit agreement that provides for an unsecured $2 billion five-year credit facility. We may also, subject to the </w:t>
      </w:r>
      <w:r>
        <w:rPr>
          <w:rFonts w:ascii="Arial" w:eastAsia="宋体" w:hAnsi="Arial" w:cs="Arial"/>
          <w:color w:val="000000"/>
          <w:sz w:val="20"/>
          <w:szCs w:val="20"/>
        </w:rPr>
        <w:t>agreement of the applicable lenders, increase commitments under the revolving credit facility by up to $1 billion. Funds borrowed under the credit agreement may be used for working capital, capital expenditures, acquisitions and other general corporate pur</w:t>
      </w:r>
      <w:r>
        <w:rPr>
          <w:rFonts w:ascii="Arial" w:eastAsia="宋体" w:hAnsi="Arial" w:cs="Arial"/>
          <w:color w:val="000000"/>
          <w:sz w:val="20"/>
          <w:szCs w:val="20"/>
        </w:rPr>
        <w:t>poses. The credit agreement replaced our prior $2 billion unsecured revolving credit agreement dated November 2015, which was terminated effective March 2020.</w:t>
      </w:r>
    </w:p>
    <w:p w14:paraId="6430559A" w14:textId="77777777" w:rsidR="009F6D8A" w:rsidRDefault="009F6D8A">
      <w:pPr>
        <w:ind w:firstLine="540"/>
        <w:jc w:val="both"/>
      </w:pPr>
    </w:p>
    <w:p w14:paraId="6430559B" w14:textId="77777777" w:rsidR="009F6D8A" w:rsidRDefault="00C50974">
      <w:pPr>
        <w:ind w:firstLine="540"/>
        <w:jc w:val="both"/>
      </w:pPr>
      <w:r>
        <w:rPr>
          <w:rFonts w:ascii="Arial" w:eastAsia="宋体" w:hAnsi="Arial" w:cs="Arial"/>
          <w:color w:val="000000"/>
          <w:sz w:val="20"/>
          <w:szCs w:val="20"/>
        </w:rPr>
        <w:t>As of June 30, 2021, no borrowings were outstanding under our $2 billion credit agreement. Howev</w:t>
      </w:r>
      <w:r>
        <w:rPr>
          <w:rFonts w:ascii="Arial" w:eastAsia="宋体" w:hAnsi="Arial" w:cs="Arial"/>
          <w:color w:val="000000"/>
          <w:sz w:val="20"/>
          <w:szCs w:val="20"/>
        </w:rPr>
        <w:t>er, as described above, we have an up to $1.5 billion commercial paper program and are required to maintain available borrowing capacity under our credit agreement in order to repay commercial paper borrowings in the event we are unable to repay those borr</w:t>
      </w:r>
      <w:r>
        <w:rPr>
          <w:rFonts w:ascii="Arial" w:eastAsia="宋体" w:hAnsi="Arial" w:cs="Arial"/>
          <w:color w:val="000000"/>
          <w:sz w:val="20"/>
          <w:szCs w:val="20"/>
        </w:rPr>
        <w:t xml:space="preserve">owings from other sources when they become due, in an aggregate amount of $1.5 billion. As of June 30, 2021, no borrowings were outstanding under our commercial paper program; therefore, </w:t>
      </w:r>
    </w:p>
    <w:p w14:paraId="6430559C" w14:textId="77777777" w:rsidR="009F6D8A" w:rsidRDefault="009F6D8A">
      <w:pPr>
        <w:jc w:val="center"/>
      </w:pPr>
    </w:p>
    <w:p w14:paraId="6430559D" w14:textId="77777777" w:rsidR="009F6D8A" w:rsidRDefault="00C50974">
      <w:pPr>
        <w:jc w:val="center"/>
      </w:pPr>
      <w:r>
        <w:rPr>
          <w:rFonts w:ascii="Arial" w:eastAsia="宋体" w:hAnsi="Arial" w:cs="Arial"/>
          <w:color w:val="000000"/>
          <w:sz w:val="20"/>
          <w:szCs w:val="20"/>
        </w:rPr>
        <w:t>49</w:t>
      </w:r>
    </w:p>
    <w:p w14:paraId="6430559E" w14:textId="77777777" w:rsidR="009F6D8A" w:rsidRDefault="00C50974">
      <w:r>
        <w:pict w14:anchorId="64305834">
          <v:rect id="_x0000_i1073" style="width:415.3pt;height:1.5pt" o:hralign="center" o:hrstd="t" o:hr="t" fillcolor="#a0a0a0" stroked="f"/>
        </w:pict>
      </w:r>
    </w:p>
    <w:p w14:paraId="6430559F" w14:textId="77777777" w:rsidR="009F6D8A" w:rsidRDefault="009F6D8A"/>
    <w:p w14:paraId="643055A0" w14:textId="77777777" w:rsidR="009F6D8A" w:rsidRDefault="00C50974">
      <w:pPr>
        <w:jc w:val="both"/>
      </w:pPr>
      <w:r>
        <w:rPr>
          <w:rFonts w:ascii="Arial" w:eastAsia="宋体" w:hAnsi="Arial" w:cs="Arial"/>
          <w:color w:val="000000"/>
          <w:sz w:val="20"/>
          <w:szCs w:val="20"/>
        </w:rPr>
        <w:t xml:space="preserve">$2.0 billion of borrowing capacity was available for </w:t>
      </w:r>
      <w:r>
        <w:rPr>
          <w:rFonts w:ascii="Arial" w:eastAsia="宋体" w:hAnsi="Arial" w:cs="Arial"/>
          <w:color w:val="000000"/>
          <w:sz w:val="20"/>
          <w:szCs w:val="20"/>
        </w:rPr>
        <w:t>other purposes permitted by the credit agreement. The credit agreement includes a covenant limiting our consolidated leverage ratio to no more than 4.0:1.0, subject to, upon the occurrence of a qualified material acquisition, if so elected by us, a step-up</w:t>
      </w:r>
      <w:r>
        <w:rPr>
          <w:rFonts w:ascii="Arial" w:eastAsia="宋体" w:hAnsi="Arial" w:cs="Arial"/>
          <w:color w:val="000000"/>
          <w:sz w:val="20"/>
          <w:szCs w:val="20"/>
        </w:rPr>
        <w:t xml:space="preserve"> to 4.5:1.0 for the four fiscal quarters completed following such qualified material acquisition. The credit agreement includes customary events of default, with corresponding grace periods in certain circumstances, including payment defaults, cross-defaul</w:t>
      </w:r>
      <w:r>
        <w:rPr>
          <w:rFonts w:ascii="Arial" w:eastAsia="宋体" w:hAnsi="Arial" w:cs="Arial"/>
          <w:color w:val="000000"/>
          <w:sz w:val="20"/>
          <w:szCs w:val="20"/>
        </w:rPr>
        <w:t>ts and bankruptcy-related defaults.</w:t>
      </w:r>
      <w:r>
        <w:rPr>
          <w:rFonts w:ascii="Arial" w:eastAsia="宋体" w:hAnsi="Arial" w:cs="Arial"/>
          <w:color w:val="000000"/>
        </w:rPr>
        <w:t xml:space="preserve"> </w:t>
      </w:r>
      <w:r>
        <w:rPr>
          <w:rFonts w:ascii="Arial" w:eastAsia="宋体" w:hAnsi="Arial" w:cs="Arial"/>
          <w:color w:val="000000"/>
          <w:sz w:val="20"/>
          <w:szCs w:val="20"/>
        </w:rPr>
        <w:t>In addition, the credit agreement contains customary affirmative and negative covenants, including restrictions regarding the incurrence of liens and subsidiary indebtedness, in each case, subject to customary exceptions</w:t>
      </w:r>
      <w:r>
        <w:rPr>
          <w:rFonts w:ascii="Arial" w:eastAsia="宋体" w:hAnsi="Arial" w:cs="Arial"/>
          <w:color w:val="000000"/>
          <w:sz w:val="20"/>
          <w:szCs w:val="20"/>
        </w:rPr>
        <w:t>. The credit agreement also contains customary representations and warranties.</w:t>
      </w:r>
    </w:p>
    <w:p w14:paraId="643055A1" w14:textId="77777777" w:rsidR="009F6D8A" w:rsidRDefault="009F6D8A">
      <w:pPr>
        <w:ind w:firstLine="540"/>
      </w:pPr>
    </w:p>
    <w:p w14:paraId="643055A2" w14:textId="77777777" w:rsidR="009F6D8A" w:rsidRDefault="00C50974">
      <w:pPr>
        <w:ind w:firstLine="540"/>
        <w:jc w:val="both"/>
      </w:pPr>
      <w:r>
        <w:rPr>
          <w:rFonts w:ascii="Arial" w:eastAsia="宋体" w:hAnsi="Arial" w:cs="Arial"/>
          <w:color w:val="000000"/>
          <w:sz w:val="20"/>
          <w:szCs w:val="20"/>
        </w:rPr>
        <w:t>We were in compliance with all financial covenants in our outstanding debt instruments for the six months ended June 30, 2021.</w:t>
      </w:r>
    </w:p>
    <w:p w14:paraId="643055A3" w14:textId="77777777" w:rsidR="009F6D8A" w:rsidRDefault="009F6D8A">
      <w:pPr>
        <w:ind w:firstLine="540"/>
      </w:pPr>
    </w:p>
    <w:p w14:paraId="643055A4" w14:textId="77777777" w:rsidR="009F6D8A" w:rsidRDefault="00C50974">
      <w:pPr>
        <w:ind w:firstLine="270"/>
      </w:pPr>
      <w:r>
        <w:rPr>
          <w:rFonts w:ascii="Arial" w:eastAsia="宋体" w:hAnsi="Arial" w:cs="Arial"/>
          <w:i/>
          <w:iCs/>
          <w:color w:val="000000"/>
          <w:sz w:val="20"/>
          <w:szCs w:val="20"/>
        </w:rPr>
        <w:t>Credit Ratings</w:t>
      </w:r>
    </w:p>
    <w:p w14:paraId="643055A5" w14:textId="77777777" w:rsidR="009F6D8A" w:rsidRDefault="009F6D8A">
      <w:pPr>
        <w:ind w:firstLine="270"/>
      </w:pPr>
    </w:p>
    <w:p w14:paraId="643055A6" w14:textId="77777777" w:rsidR="009F6D8A" w:rsidRDefault="00C50974">
      <w:pPr>
        <w:ind w:firstLine="540"/>
        <w:jc w:val="both"/>
      </w:pPr>
      <w:r>
        <w:rPr>
          <w:rFonts w:ascii="Arial" w:eastAsia="宋体" w:hAnsi="Arial" w:cs="Arial"/>
          <w:color w:val="000000"/>
          <w:sz w:val="20"/>
          <w:szCs w:val="20"/>
        </w:rPr>
        <w:t>As of June 30, 2021, we were rat</w:t>
      </w:r>
      <w:r>
        <w:rPr>
          <w:rFonts w:ascii="Arial" w:eastAsia="宋体" w:hAnsi="Arial" w:cs="Arial"/>
          <w:color w:val="000000"/>
          <w:sz w:val="20"/>
          <w:szCs w:val="20"/>
        </w:rPr>
        <w:t>ed investment grade by Standard and Poor’s Financial Services, LLC (long-term rated BBB+, short-term rated A-2, with a stable outlook) and Moody’s Investor Service (long-term rated Baa1, short-term rated P-2, with a stable outlook). We disclose these ratin</w:t>
      </w:r>
      <w:r>
        <w:rPr>
          <w:rFonts w:ascii="Arial" w:eastAsia="宋体" w:hAnsi="Arial" w:cs="Arial"/>
          <w:color w:val="000000"/>
          <w:sz w:val="20"/>
          <w:szCs w:val="20"/>
        </w:rPr>
        <w:t xml:space="preserve">gs to enhance the understanding of our sources of liquidity and the effects of our ratings on our costs of funds. Our borrowing costs depend, in part, on our credit ratings and any actions taken by these credit rating agencies to lower our credit ratings, </w:t>
      </w:r>
      <w:r>
        <w:rPr>
          <w:rFonts w:ascii="Arial" w:eastAsia="宋体" w:hAnsi="Arial" w:cs="Arial"/>
          <w:color w:val="000000"/>
          <w:sz w:val="20"/>
          <w:szCs w:val="20"/>
        </w:rPr>
        <w:t xml:space="preserve">as described above, will likely increase our borrowing costs. </w:t>
      </w:r>
    </w:p>
    <w:p w14:paraId="643055A7" w14:textId="77777777" w:rsidR="009F6D8A" w:rsidRDefault="009F6D8A">
      <w:pPr>
        <w:ind w:firstLine="540"/>
      </w:pPr>
    </w:p>
    <w:p w14:paraId="643055A8" w14:textId="77777777" w:rsidR="009F6D8A" w:rsidRDefault="00C50974">
      <w:r>
        <w:rPr>
          <w:rFonts w:ascii="Arial" w:eastAsia="宋体" w:hAnsi="Arial" w:cs="Arial"/>
          <w:b/>
          <w:bCs/>
          <w:i/>
          <w:iCs/>
          <w:color w:val="000000"/>
          <w:sz w:val="20"/>
          <w:szCs w:val="20"/>
        </w:rPr>
        <w:t>Liquidity and Capital Resource Requirements</w:t>
      </w:r>
    </w:p>
    <w:p w14:paraId="643055A9" w14:textId="77777777" w:rsidR="009F6D8A" w:rsidRDefault="009F6D8A"/>
    <w:p w14:paraId="643055AA" w14:textId="77777777" w:rsidR="009F6D8A" w:rsidRDefault="00C50974">
      <w:pPr>
        <w:ind w:firstLine="540"/>
        <w:jc w:val="both"/>
      </w:pPr>
      <w:r>
        <w:rPr>
          <w:rFonts w:ascii="Arial" w:eastAsia="宋体" w:hAnsi="Arial" w:cs="Arial"/>
          <w:color w:val="000000"/>
          <w:sz w:val="20"/>
          <w:szCs w:val="20"/>
        </w:rPr>
        <w:t>As of June 30, 2021 and December 31, 2020, we had assets classified as cash and cash equivalents, as well as short-term and long-term non-equity in</w:t>
      </w:r>
      <w:r>
        <w:rPr>
          <w:rFonts w:ascii="Arial" w:eastAsia="宋体" w:hAnsi="Arial" w:cs="Arial"/>
          <w:color w:val="000000"/>
          <w:sz w:val="20"/>
          <w:szCs w:val="20"/>
        </w:rPr>
        <w:t>vestments from continuing operations, in an aggregate amount of $7.6 billion and $3.8 billion, respectively. As of June 30, 2021, this amount included assets held in certain of our foreign operations totaling approximately $5.1 billion. As we repatriate th</w:t>
      </w:r>
      <w:r>
        <w:rPr>
          <w:rFonts w:ascii="Arial" w:eastAsia="宋体" w:hAnsi="Arial" w:cs="Arial"/>
          <w:color w:val="000000"/>
          <w:sz w:val="20"/>
          <w:szCs w:val="20"/>
        </w:rPr>
        <w:t>ese funds to the U.S., we will be required to pay income taxes in certain U.S. states and applicable foreign withholding taxes on those amounts during the period when such repatriation occurs. We have accrued deferred taxes for the tax effect of repatriati</w:t>
      </w:r>
      <w:r>
        <w:rPr>
          <w:rFonts w:ascii="Arial" w:eastAsia="宋体" w:hAnsi="Arial" w:cs="Arial"/>
          <w:color w:val="000000"/>
          <w:sz w:val="20"/>
          <w:szCs w:val="20"/>
        </w:rPr>
        <w:t xml:space="preserve">ng the funds to the U.S. </w:t>
      </w:r>
    </w:p>
    <w:p w14:paraId="643055AB" w14:textId="77777777" w:rsidR="009F6D8A" w:rsidRDefault="009F6D8A">
      <w:pPr>
        <w:ind w:firstLine="540"/>
        <w:jc w:val="both"/>
      </w:pPr>
    </w:p>
    <w:p w14:paraId="643055AC" w14:textId="77777777" w:rsidR="009F6D8A" w:rsidRDefault="00C50974">
      <w:pPr>
        <w:ind w:firstLine="540"/>
        <w:jc w:val="both"/>
      </w:pPr>
      <w:r>
        <w:rPr>
          <w:rFonts w:ascii="Arial" w:eastAsia="宋体" w:hAnsi="Arial" w:cs="Arial"/>
          <w:color w:val="000000"/>
          <w:sz w:val="20"/>
          <w:szCs w:val="20"/>
        </w:rPr>
        <w:t>We actively monitor all counterparties that hold our cash and cash equivalents and non-equity investments, focusing primarily on the safety of principal and secondarily on improving yield on these assets. We diversify our cash an</w:t>
      </w:r>
      <w:r>
        <w:rPr>
          <w:rFonts w:ascii="Arial" w:eastAsia="宋体" w:hAnsi="Arial" w:cs="Arial"/>
          <w:color w:val="000000"/>
          <w:sz w:val="20"/>
          <w:szCs w:val="20"/>
        </w:rPr>
        <w:t>d cash equivalents and investments among various counterparties in order to reduce our exposure should any one of these counterparties fail or encounter difficulties. To date, we have not experienced any material loss or lack of access to our invested cash</w:t>
      </w:r>
      <w:r>
        <w:rPr>
          <w:rFonts w:ascii="Arial" w:eastAsia="宋体" w:hAnsi="Arial" w:cs="Arial"/>
          <w:color w:val="000000"/>
          <w:sz w:val="20"/>
          <w:szCs w:val="20"/>
        </w:rPr>
        <w:t>, cash equivalents or short-term investments; however, we can provide no assurances that access to our invested cash, cash equivalents or short-term investments will not be impacted by adverse conditions in the financial markets, including, without limitat</w:t>
      </w:r>
      <w:r>
        <w:rPr>
          <w:rFonts w:ascii="Arial" w:eastAsia="宋体" w:hAnsi="Arial" w:cs="Arial"/>
          <w:color w:val="000000"/>
          <w:sz w:val="20"/>
          <w:szCs w:val="20"/>
        </w:rPr>
        <w:t>ion, as a result of the impact of the COVID-19 pandemic. At any point in time we have funds in our operating accounts and customer accounts that are deposited and invested with third party financial institutions.</w:t>
      </w:r>
    </w:p>
    <w:p w14:paraId="643055AD" w14:textId="77777777" w:rsidR="009F6D8A" w:rsidRDefault="009F6D8A">
      <w:pPr>
        <w:ind w:firstLine="540"/>
        <w:jc w:val="both"/>
      </w:pPr>
    </w:p>
    <w:p w14:paraId="643055AE" w14:textId="77777777" w:rsidR="009F6D8A" w:rsidRDefault="00C50974">
      <w:pPr>
        <w:ind w:firstLine="540"/>
        <w:jc w:val="both"/>
      </w:pPr>
      <w:r>
        <w:rPr>
          <w:rFonts w:ascii="Arial" w:eastAsia="宋体" w:hAnsi="Arial" w:cs="Arial"/>
          <w:color w:val="000000"/>
          <w:sz w:val="20"/>
          <w:szCs w:val="20"/>
        </w:rPr>
        <w:t xml:space="preserve">We believe that our existing cash, </w:t>
      </w:r>
      <w:r>
        <w:rPr>
          <w:rFonts w:ascii="Arial" w:eastAsia="宋体" w:hAnsi="Arial" w:cs="Arial"/>
          <w:color w:val="000000"/>
          <w:sz w:val="20"/>
          <w:szCs w:val="20"/>
        </w:rPr>
        <w:t>cash equivalents and short-term and long-term investments, together with cash expected to be generated from operations, borrowings available under our credit agreement and commercial paper program, and our access to capital markets, will be sufficient to f</w:t>
      </w:r>
      <w:r>
        <w:rPr>
          <w:rFonts w:ascii="Arial" w:eastAsia="宋体" w:hAnsi="Arial" w:cs="Arial"/>
          <w:color w:val="000000"/>
          <w:sz w:val="20"/>
          <w:szCs w:val="20"/>
        </w:rPr>
        <w:t>und our operating activities, anticipated capital expenditures, repayment of debt and stock repurchases for the foreseeable future. However, COVID-19 and related measures to contain its impact have caused material disruptions in both national and global fi</w:t>
      </w:r>
      <w:r>
        <w:rPr>
          <w:rFonts w:ascii="Arial" w:eastAsia="宋体" w:hAnsi="Arial" w:cs="Arial"/>
          <w:color w:val="000000"/>
          <w:sz w:val="20"/>
          <w:szCs w:val="20"/>
        </w:rPr>
        <w:t>nancial markets and economies. The future impact of COVID-19 and these containment measures cannot be predicted with certainty and may increase our borrowing costs and other costs of capital and otherwise adversely affect our business, results of operation</w:t>
      </w:r>
      <w:r>
        <w:rPr>
          <w:rFonts w:ascii="Arial" w:eastAsia="宋体" w:hAnsi="Arial" w:cs="Arial"/>
          <w:color w:val="000000"/>
          <w:sz w:val="20"/>
          <w:szCs w:val="20"/>
        </w:rPr>
        <w:t>s, financial condition and liquidity, and we cannot assure that we will have access to external financing at times and on terms we consider acceptable, or at all, or that we will not experience other liquidity issues going forward.</w:t>
      </w:r>
    </w:p>
    <w:p w14:paraId="643055AF" w14:textId="77777777" w:rsidR="009F6D8A" w:rsidRDefault="009F6D8A">
      <w:pPr>
        <w:ind w:firstLine="540"/>
        <w:jc w:val="both"/>
      </w:pPr>
    </w:p>
    <w:p w14:paraId="643055B0" w14:textId="77777777" w:rsidR="009F6D8A" w:rsidRDefault="00C50974">
      <w:r>
        <w:rPr>
          <w:rFonts w:ascii="Arial" w:eastAsia="宋体" w:hAnsi="Arial" w:cs="Arial"/>
          <w:b/>
          <w:bCs/>
          <w:i/>
          <w:iCs/>
          <w:color w:val="000000"/>
          <w:sz w:val="20"/>
          <w:szCs w:val="20"/>
        </w:rPr>
        <w:t>Off-Balance Sheet Arran</w:t>
      </w:r>
      <w:r>
        <w:rPr>
          <w:rFonts w:ascii="Arial" w:eastAsia="宋体" w:hAnsi="Arial" w:cs="Arial"/>
          <w:b/>
          <w:bCs/>
          <w:i/>
          <w:iCs/>
          <w:color w:val="000000"/>
          <w:sz w:val="20"/>
          <w:szCs w:val="20"/>
        </w:rPr>
        <w:t>gements</w:t>
      </w:r>
    </w:p>
    <w:p w14:paraId="643055B1" w14:textId="77777777" w:rsidR="009F6D8A" w:rsidRDefault="009F6D8A"/>
    <w:p w14:paraId="643055B2" w14:textId="77777777" w:rsidR="009F6D8A" w:rsidRDefault="00C50974">
      <w:pPr>
        <w:ind w:firstLine="540"/>
        <w:jc w:val="both"/>
      </w:pPr>
      <w:r>
        <w:rPr>
          <w:rFonts w:ascii="Arial" w:eastAsia="宋体" w:hAnsi="Arial" w:cs="Arial"/>
          <w:color w:val="000000"/>
          <w:sz w:val="20"/>
          <w:szCs w:val="20"/>
        </w:rPr>
        <w:t>As of June 30, 2021, we had no off-balance sheet arrangements that have, or are reasonably likely to have, a current or future material effect on our consolidated financial condition, results of operations, liquidity, capital expenditures or capit</w:t>
      </w:r>
      <w:r>
        <w:rPr>
          <w:rFonts w:ascii="Arial" w:eastAsia="宋体" w:hAnsi="Arial" w:cs="Arial"/>
          <w:color w:val="000000"/>
          <w:sz w:val="20"/>
          <w:szCs w:val="20"/>
        </w:rPr>
        <w:t xml:space="preserve">al resources. </w:t>
      </w:r>
    </w:p>
    <w:p w14:paraId="643055B3" w14:textId="77777777" w:rsidR="009F6D8A" w:rsidRDefault="009F6D8A">
      <w:pPr>
        <w:ind w:firstLine="540"/>
        <w:jc w:val="both"/>
      </w:pPr>
    </w:p>
    <w:p w14:paraId="643055B4" w14:textId="77777777" w:rsidR="009F6D8A" w:rsidRDefault="009F6D8A">
      <w:pPr>
        <w:jc w:val="center"/>
      </w:pPr>
    </w:p>
    <w:p w14:paraId="643055B5" w14:textId="77777777" w:rsidR="009F6D8A" w:rsidRDefault="00C50974">
      <w:pPr>
        <w:jc w:val="center"/>
      </w:pPr>
      <w:r>
        <w:rPr>
          <w:rFonts w:ascii="Arial" w:eastAsia="宋体" w:hAnsi="Arial" w:cs="Arial"/>
          <w:color w:val="000000"/>
          <w:sz w:val="20"/>
          <w:szCs w:val="20"/>
        </w:rPr>
        <w:t>50</w:t>
      </w:r>
    </w:p>
    <w:p w14:paraId="643055B6" w14:textId="77777777" w:rsidR="009F6D8A" w:rsidRDefault="00C50974">
      <w:r>
        <w:pict w14:anchorId="64305835">
          <v:rect id="_x0000_i1074" style="width:415.3pt;height:1.5pt" o:hralign="center" o:hrstd="t" o:hr="t" fillcolor="#a0a0a0" stroked="f"/>
        </w:pict>
      </w:r>
    </w:p>
    <w:p w14:paraId="643055B7" w14:textId="77777777" w:rsidR="009F6D8A" w:rsidRDefault="009F6D8A"/>
    <w:p w14:paraId="643055B8" w14:textId="77777777" w:rsidR="009F6D8A" w:rsidRDefault="00C50974">
      <w:pPr>
        <w:ind w:firstLine="540"/>
        <w:jc w:val="both"/>
      </w:pPr>
      <w:r>
        <w:rPr>
          <w:rFonts w:ascii="Arial" w:eastAsia="宋体" w:hAnsi="Arial" w:cs="Arial"/>
          <w:color w:val="000000"/>
          <w:sz w:val="20"/>
          <w:szCs w:val="20"/>
        </w:rPr>
        <w:t>We have a cash pooling arrangement with a financial institution for cash management purposes. This arrangement allows for cash withdrawals from the financial institution based upon our aggregate operating cash balances held within th</w:t>
      </w:r>
      <w:r>
        <w:rPr>
          <w:rFonts w:ascii="Arial" w:eastAsia="宋体" w:hAnsi="Arial" w:cs="Arial"/>
          <w:color w:val="000000"/>
          <w:sz w:val="20"/>
          <w:szCs w:val="20"/>
        </w:rPr>
        <w:t>e same financial institution (“Aggregate Cash Deposits”). This arrangement also allows us to withdraw amounts exceeding the Aggregate Cash Deposits up to an agreed-upon limit. The net balance of the withdrawals and the Aggregate Cash Deposits are used by t</w:t>
      </w:r>
      <w:r>
        <w:rPr>
          <w:rFonts w:ascii="Arial" w:eastAsia="宋体" w:hAnsi="Arial" w:cs="Arial"/>
          <w:color w:val="000000"/>
          <w:sz w:val="20"/>
          <w:szCs w:val="20"/>
        </w:rPr>
        <w:t xml:space="preserve">he financial institution as a basis for calculating our net interest expense or income under the arrangement. As of June 30, 2021, we had a total of $2.1 billion in aggregate cash deposits, partially offset by $1.9 billion in cash withdrawals, held within </w:t>
      </w:r>
      <w:r>
        <w:rPr>
          <w:rFonts w:ascii="Arial" w:eastAsia="宋体" w:hAnsi="Arial" w:cs="Arial"/>
          <w:color w:val="000000"/>
          <w:sz w:val="20"/>
          <w:szCs w:val="20"/>
        </w:rPr>
        <w:t>the financial institution under the cash pooling arrangement.</w:t>
      </w:r>
    </w:p>
    <w:p w14:paraId="643055B9" w14:textId="77777777" w:rsidR="009F6D8A" w:rsidRDefault="009F6D8A">
      <w:pPr>
        <w:jc w:val="both"/>
      </w:pPr>
    </w:p>
    <w:p w14:paraId="643055BA" w14:textId="77777777" w:rsidR="009F6D8A" w:rsidRDefault="00C50974">
      <w:r>
        <w:rPr>
          <w:rFonts w:ascii="Arial" w:eastAsia="宋体" w:hAnsi="Arial" w:cs="Arial"/>
          <w:b/>
          <w:bCs/>
          <w:i/>
          <w:iCs/>
          <w:color w:val="000000"/>
          <w:sz w:val="20"/>
          <w:szCs w:val="20"/>
        </w:rPr>
        <w:t>Indemnification Provisions</w:t>
      </w:r>
    </w:p>
    <w:p w14:paraId="643055BB" w14:textId="77777777" w:rsidR="009F6D8A" w:rsidRDefault="009F6D8A"/>
    <w:p w14:paraId="643055BC" w14:textId="77777777" w:rsidR="009F6D8A" w:rsidRDefault="00C50974">
      <w:pPr>
        <w:ind w:firstLine="540"/>
        <w:jc w:val="both"/>
      </w:pPr>
      <w:r>
        <w:rPr>
          <w:rFonts w:ascii="Arial" w:eastAsia="宋体" w:hAnsi="Arial" w:cs="Arial"/>
          <w:color w:val="000000"/>
          <w:sz w:val="20"/>
          <w:szCs w:val="20"/>
        </w:rPr>
        <w:t>We entered into a separation and distribution agreement and various other agreements with PayPal to govern the separation and relationship of the two companies. Thes</w:t>
      </w:r>
      <w:r>
        <w:rPr>
          <w:rFonts w:ascii="Arial" w:eastAsia="宋体" w:hAnsi="Arial" w:cs="Arial"/>
          <w:color w:val="000000"/>
          <w:sz w:val="20"/>
          <w:szCs w:val="20"/>
        </w:rPr>
        <w:t>e agreements provide for specific indemnity and liability obligations and could lead to disputes between us and PayPal, which may be significant. In addition, the indemnity rights we have against PayPal under the agreements may not be sufficient to protect</w:t>
      </w:r>
      <w:r>
        <w:rPr>
          <w:rFonts w:ascii="Arial" w:eastAsia="宋体" w:hAnsi="Arial" w:cs="Arial"/>
          <w:color w:val="000000"/>
          <w:sz w:val="20"/>
          <w:szCs w:val="20"/>
        </w:rPr>
        <w:t xml:space="preserve"> us and our indemnity obligations to PayPal may be significant.</w:t>
      </w:r>
    </w:p>
    <w:p w14:paraId="643055BD" w14:textId="77777777" w:rsidR="009F6D8A" w:rsidRDefault="009F6D8A">
      <w:pPr>
        <w:ind w:firstLine="540"/>
        <w:jc w:val="both"/>
      </w:pPr>
    </w:p>
    <w:p w14:paraId="643055BE" w14:textId="77777777" w:rsidR="009F6D8A" w:rsidRDefault="00C50974">
      <w:pPr>
        <w:ind w:firstLine="540"/>
        <w:jc w:val="both"/>
      </w:pPr>
      <w:r>
        <w:rPr>
          <w:rFonts w:ascii="Arial" w:eastAsia="宋体" w:hAnsi="Arial" w:cs="Arial"/>
          <w:color w:val="000000"/>
          <w:sz w:val="20"/>
          <w:szCs w:val="20"/>
        </w:rPr>
        <w:t>In addition, we have entered into indemnification agreements with each of our directors, executive officers and certain other officers. These agreements require us to indemnify such individua</w:t>
      </w:r>
      <w:r>
        <w:rPr>
          <w:rFonts w:ascii="Arial" w:eastAsia="宋体" w:hAnsi="Arial" w:cs="Arial"/>
          <w:color w:val="000000"/>
          <w:sz w:val="20"/>
          <w:szCs w:val="20"/>
        </w:rPr>
        <w:t>ls, to the fullest extent permitted by Delaware law, for certain liabilities to which they may become subject as a result of their affiliation with us.</w:t>
      </w:r>
    </w:p>
    <w:p w14:paraId="643055BF" w14:textId="77777777" w:rsidR="009F6D8A" w:rsidRDefault="009F6D8A">
      <w:pPr>
        <w:ind w:firstLine="540"/>
        <w:jc w:val="both"/>
      </w:pPr>
    </w:p>
    <w:p w14:paraId="643055C0" w14:textId="77777777" w:rsidR="009F6D8A" w:rsidRDefault="00C50974">
      <w:pPr>
        <w:ind w:firstLine="540"/>
        <w:jc w:val="both"/>
      </w:pPr>
      <w:r>
        <w:rPr>
          <w:rFonts w:ascii="Arial" w:eastAsia="宋体" w:hAnsi="Arial" w:cs="Arial"/>
          <w:color w:val="000000"/>
          <w:sz w:val="20"/>
          <w:szCs w:val="20"/>
        </w:rPr>
        <w:t>In the ordinary course of business, we have included limited indemnification provisions in certain of o</w:t>
      </w:r>
      <w:r>
        <w:rPr>
          <w:rFonts w:ascii="Arial" w:eastAsia="宋体" w:hAnsi="Arial" w:cs="Arial"/>
          <w:color w:val="000000"/>
          <w:sz w:val="20"/>
          <w:szCs w:val="20"/>
        </w:rPr>
        <w:t>ur agreements with parties with which we have commercial relations, including our standard marketing, promotions and application programming interface license agreements. Under these contracts, we generally indemnify, hold harmless and agree to reimburse t</w:t>
      </w:r>
      <w:r>
        <w:rPr>
          <w:rFonts w:ascii="Arial" w:eastAsia="宋体" w:hAnsi="Arial" w:cs="Arial"/>
          <w:color w:val="000000"/>
          <w:sz w:val="20"/>
          <w:szCs w:val="20"/>
        </w:rPr>
        <w:t>he indemnified party for losses suffered or incurred by the indemnified party in connection with claims by a third party with respect to our domain names, trademarks, logos and other branding elements to the extent that such marks are applicable to our per</w:t>
      </w:r>
      <w:r>
        <w:rPr>
          <w:rFonts w:ascii="Arial" w:eastAsia="宋体" w:hAnsi="Arial" w:cs="Arial"/>
          <w:color w:val="000000"/>
          <w:sz w:val="20"/>
          <w:szCs w:val="20"/>
        </w:rPr>
        <w:t>formance under the subject agreement. In certain cases, we have agreed to provide indemnification for intellectual property infringement. It is not possible to determine the maximum potential loss under these indemnification provisions due to our limited h</w:t>
      </w:r>
      <w:r>
        <w:rPr>
          <w:rFonts w:ascii="Arial" w:eastAsia="宋体" w:hAnsi="Arial" w:cs="Arial"/>
          <w:color w:val="000000"/>
          <w:sz w:val="20"/>
          <w:szCs w:val="20"/>
        </w:rPr>
        <w:t xml:space="preserve">istory of prior indemnification claims and the unique facts and circumstances involved in each particular provision. To date, losses recorded in our condensed consolidated statement of income in connection with our indemnification provisions have not been </w:t>
      </w:r>
      <w:r>
        <w:rPr>
          <w:rFonts w:ascii="Arial" w:eastAsia="宋体" w:hAnsi="Arial" w:cs="Arial"/>
          <w:color w:val="000000"/>
          <w:sz w:val="20"/>
          <w:szCs w:val="20"/>
        </w:rPr>
        <w:t>significant, either individually or collectively.</w:t>
      </w:r>
    </w:p>
    <w:p w14:paraId="643055C1" w14:textId="77777777" w:rsidR="009F6D8A" w:rsidRDefault="009F6D8A"/>
    <w:p w14:paraId="643055C2" w14:textId="77777777" w:rsidR="009F6D8A" w:rsidRDefault="00C50974">
      <w:pPr>
        <w:ind w:hanging="1080"/>
      </w:pPr>
      <w:r>
        <w:rPr>
          <w:rFonts w:ascii="Arial" w:eastAsia="宋体" w:hAnsi="Arial" w:cs="Arial"/>
          <w:b/>
          <w:bCs/>
          <w:color w:val="000000"/>
          <w:sz w:val="20"/>
          <w:szCs w:val="20"/>
        </w:rPr>
        <w:t>Item 3:    Quantitative and Qualitative Disclosures About Market Risk</w:t>
      </w:r>
    </w:p>
    <w:p w14:paraId="643055C3" w14:textId="77777777" w:rsidR="009F6D8A" w:rsidRDefault="009F6D8A">
      <w:pPr>
        <w:jc w:val="both"/>
      </w:pPr>
    </w:p>
    <w:p w14:paraId="643055C4" w14:textId="77777777" w:rsidR="009F6D8A" w:rsidRDefault="00C50974">
      <w:pPr>
        <w:jc w:val="both"/>
      </w:pPr>
      <w:r>
        <w:rPr>
          <w:rFonts w:ascii="Arial" w:eastAsia="宋体" w:hAnsi="Arial" w:cs="Arial"/>
          <w:b/>
          <w:bCs/>
          <w:i/>
          <w:iCs/>
          <w:color w:val="000000"/>
          <w:sz w:val="20"/>
          <w:szCs w:val="20"/>
        </w:rPr>
        <w:t>Interest Rate Risk</w:t>
      </w:r>
    </w:p>
    <w:p w14:paraId="643055C5" w14:textId="77777777" w:rsidR="009F6D8A" w:rsidRDefault="009F6D8A">
      <w:pPr>
        <w:ind w:firstLine="540"/>
        <w:jc w:val="both"/>
      </w:pPr>
    </w:p>
    <w:p w14:paraId="643055C6" w14:textId="77777777" w:rsidR="009F6D8A" w:rsidRDefault="00C50974">
      <w:pPr>
        <w:ind w:firstLine="540"/>
        <w:jc w:val="both"/>
      </w:pPr>
      <w:r>
        <w:rPr>
          <w:rFonts w:ascii="Arial" w:eastAsia="宋体" w:hAnsi="Arial" w:cs="Arial"/>
          <w:color w:val="000000"/>
          <w:sz w:val="20"/>
          <w:szCs w:val="20"/>
        </w:rPr>
        <w:t>We are exposed to interest rate risk relating to our investments and outstanding debt. In addition, adverse econom</w:t>
      </w:r>
      <w:r>
        <w:rPr>
          <w:rFonts w:ascii="Arial" w:eastAsia="宋体" w:hAnsi="Arial" w:cs="Arial"/>
          <w:color w:val="000000"/>
          <w:sz w:val="20"/>
          <w:szCs w:val="20"/>
        </w:rPr>
        <w:t xml:space="preserve">ic conditions and events (including volatility or distress in the equity and/or debt or credit markets) may impact regional and global financial markets. These events and conditions could cause us to write down our assets or investments. We seek to reduce </w:t>
      </w:r>
      <w:r>
        <w:rPr>
          <w:rFonts w:ascii="Arial" w:eastAsia="宋体" w:hAnsi="Arial" w:cs="Arial"/>
          <w:color w:val="000000"/>
          <w:sz w:val="20"/>
          <w:szCs w:val="20"/>
        </w:rPr>
        <w:t>earnings volatility that may result from adverse economic conditions and events or changes in interest rates.</w:t>
      </w:r>
    </w:p>
    <w:p w14:paraId="643055C7" w14:textId="77777777" w:rsidR="009F6D8A" w:rsidRDefault="009F6D8A">
      <w:pPr>
        <w:ind w:firstLine="450"/>
        <w:jc w:val="both"/>
      </w:pPr>
    </w:p>
    <w:p w14:paraId="643055C8" w14:textId="77777777" w:rsidR="009F6D8A" w:rsidRDefault="00C50974">
      <w:pPr>
        <w:ind w:firstLine="540"/>
        <w:jc w:val="both"/>
      </w:pPr>
      <w:r>
        <w:rPr>
          <w:rFonts w:ascii="Arial" w:eastAsia="宋体" w:hAnsi="Arial" w:cs="Arial"/>
          <w:color w:val="000000"/>
          <w:sz w:val="20"/>
          <w:szCs w:val="20"/>
        </w:rPr>
        <w:t xml:space="preserve">The primary objective of our investment activities is to preserve principal while at the same time improving yields without significantly increasing risk. To achieve this objective, we maintain our cash equivalents and short-term and long-term investments </w:t>
      </w:r>
      <w:r>
        <w:rPr>
          <w:rFonts w:ascii="Arial" w:eastAsia="宋体" w:hAnsi="Arial" w:cs="Arial"/>
          <w:color w:val="000000"/>
          <w:sz w:val="20"/>
          <w:szCs w:val="20"/>
        </w:rPr>
        <w:t>in a variety of asset types, including bank deposits, government bonds and corporate debt securities. As of June 30, 2021, approximately 11% of our total cash and investments was held in cash and cash equivalents. As such, changes in interest rates will im</w:t>
      </w:r>
      <w:r>
        <w:rPr>
          <w:rFonts w:ascii="Arial" w:eastAsia="宋体" w:hAnsi="Arial" w:cs="Arial"/>
          <w:color w:val="000000"/>
          <w:sz w:val="20"/>
          <w:szCs w:val="20"/>
        </w:rPr>
        <w:t xml:space="preserve">pact interest income. As discussed below, the fair market values of our fixed rate securities may be adversely affected due to a rise in interest rates, and we may suffer losses in principal if we are forced to sell securities that have declined in market </w:t>
      </w:r>
      <w:r>
        <w:rPr>
          <w:rFonts w:ascii="Arial" w:eastAsia="宋体" w:hAnsi="Arial" w:cs="Arial"/>
          <w:color w:val="000000"/>
          <w:sz w:val="20"/>
          <w:szCs w:val="20"/>
        </w:rPr>
        <w:t xml:space="preserve">value due to changes in interest rates. </w:t>
      </w:r>
    </w:p>
    <w:p w14:paraId="643055C9" w14:textId="77777777" w:rsidR="009F6D8A" w:rsidRDefault="00C50974">
      <w:pPr>
        <w:jc w:val="both"/>
      </w:pPr>
      <w:r>
        <w:rPr>
          <w:rFonts w:ascii="Arial" w:eastAsia="宋体" w:hAnsi="Arial" w:cs="Arial"/>
          <w:color w:val="000000"/>
          <w:sz w:val="14"/>
          <w:szCs w:val="14"/>
        </w:rPr>
        <w:t> </w:t>
      </w:r>
    </w:p>
    <w:p w14:paraId="643055CA" w14:textId="77777777" w:rsidR="009F6D8A" w:rsidRDefault="009F6D8A">
      <w:pPr>
        <w:jc w:val="center"/>
      </w:pPr>
    </w:p>
    <w:p w14:paraId="643055CB" w14:textId="77777777" w:rsidR="009F6D8A" w:rsidRDefault="00C50974">
      <w:pPr>
        <w:jc w:val="center"/>
      </w:pPr>
      <w:r>
        <w:rPr>
          <w:rFonts w:ascii="Arial" w:eastAsia="宋体" w:hAnsi="Arial" w:cs="Arial"/>
          <w:color w:val="000000"/>
          <w:sz w:val="20"/>
          <w:szCs w:val="20"/>
        </w:rPr>
        <w:t>51</w:t>
      </w:r>
    </w:p>
    <w:p w14:paraId="643055CC" w14:textId="77777777" w:rsidR="009F6D8A" w:rsidRDefault="00C50974">
      <w:r>
        <w:pict w14:anchorId="64305836">
          <v:rect id="_x0000_i1075" style="width:415.3pt;height:1.5pt" o:hralign="center" o:hrstd="t" o:hr="t" fillcolor="#a0a0a0" stroked="f"/>
        </w:pict>
      </w:r>
    </w:p>
    <w:p w14:paraId="643055CD" w14:textId="77777777" w:rsidR="009F6D8A" w:rsidRDefault="009F6D8A"/>
    <w:p w14:paraId="643055CE" w14:textId="77777777" w:rsidR="009F6D8A" w:rsidRDefault="00C50974">
      <w:pPr>
        <w:ind w:firstLine="540"/>
        <w:jc w:val="both"/>
      </w:pPr>
      <w:r>
        <w:rPr>
          <w:rFonts w:ascii="Arial" w:eastAsia="宋体" w:hAnsi="Arial" w:cs="Arial"/>
          <w:color w:val="000000"/>
          <w:sz w:val="20"/>
          <w:szCs w:val="20"/>
        </w:rPr>
        <w:t xml:space="preserve">As of June 30, 2021, the balance of our corporate debt and government bond securities was $5.5 billion, which represented approximately 29% of our total cash and investments. Investments in both </w:t>
      </w:r>
      <w:r>
        <w:rPr>
          <w:rFonts w:ascii="Arial" w:eastAsia="宋体" w:hAnsi="Arial" w:cs="Arial"/>
          <w:color w:val="000000"/>
          <w:sz w:val="20"/>
          <w:szCs w:val="20"/>
        </w:rPr>
        <w:t>fixed-rate and floating-rate interest-earning instruments carry varying degrees of interest rate risk. The fair market value of our fixed-rate investment securities may be adversely impacted due to a rise in interest rates. In general, fixed-rate securitie</w:t>
      </w:r>
      <w:r>
        <w:rPr>
          <w:rFonts w:ascii="Arial" w:eastAsia="宋体" w:hAnsi="Arial" w:cs="Arial"/>
          <w:color w:val="000000"/>
          <w:sz w:val="20"/>
          <w:szCs w:val="20"/>
        </w:rPr>
        <w:t>s with longer maturities are subject to greater interest rate risk than those with shorter maturities. While floating rate securities generally are subject to less interest rate risk than fixed-rate securities, floating-rate securities may produce less inc</w:t>
      </w:r>
      <w:r>
        <w:rPr>
          <w:rFonts w:ascii="Arial" w:eastAsia="宋体" w:hAnsi="Arial" w:cs="Arial"/>
          <w:color w:val="000000"/>
          <w:sz w:val="20"/>
          <w:szCs w:val="20"/>
        </w:rPr>
        <w:t>ome than expected if interest rates decrease and may also suffer a decline in market value if interest rates increase. Due in part to these factors, our investment income may fall short of expectations or we may suffer losses in principal if we sell securi</w:t>
      </w:r>
      <w:r>
        <w:rPr>
          <w:rFonts w:ascii="Arial" w:eastAsia="宋体" w:hAnsi="Arial" w:cs="Arial"/>
          <w:color w:val="000000"/>
          <w:sz w:val="20"/>
          <w:szCs w:val="20"/>
        </w:rPr>
        <w:t>ties that have declined in market value due to changes in interest rates. A hypothetical 100 basis point increase in interest rates would have resulted in a decrease in the fair value of our investments of $25 million and $5 million as of June 30, 2021 and</w:t>
      </w:r>
      <w:r>
        <w:rPr>
          <w:rFonts w:ascii="Arial" w:eastAsia="宋体" w:hAnsi="Arial" w:cs="Arial"/>
          <w:color w:val="000000"/>
          <w:sz w:val="20"/>
          <w:szCs w:val="20"/>
        </w:rPr>
        <w:t xml:space="preserve"> December 31, 2020, respectively.</w:t>
      </w:r>
    </w:p>
    <w:p w14:paraId="643055CF" w14:textId="77777777" w:rsidR="009F6D8A" w:rsidRDefault="009F6D8A">
      <w:pPr>
        <w:ind w:firstLine="540"/>
        <w:jc w:val="both"/>
      </w:pPr>
    </w:p>
    <w:p w14:paraId="643055D0" w14:textId="77777777" w:rsidR="009F6D8A" w:rsidRDefault="00C50974">
      <w:pPr>
        <w:ind w:firstLine="540"/>
        <w:jc w:val="both"/>
      </w:pPr>
      <w:r>
        <w:rPr>
          <w:rFonts w:ascii="Arial" w:eastAsia="宋体" w:hAnsi="Arial" w:cs="Arial"/>
          <w:color w:val="000000"/>
          <w:sz w:val="20"/>
          <w:szCs w:val="20"/>
        </w:rPr>
        <w:t>As of June 30, 2021, we had an aggregate principal amount of $9.1 billion of outstanding senior notes, of which 96% bore interest at fixed rates. During 2020, we began to hedge the variability of the cash flows in interes</w:t>
      </w:r>
      <w:r>
        <w:rPr>
          <w:rFonts w:ascii="Arial" w:eastAsia="宋体" w:hAnsi="Arial" w:cs="Arial"/>
          <w:color w:val="000000"/>
          <w:sz w:val="20"/>
          <w:szCs w:val="20"/>
        </w:rPr>
        <w:t>t payments associated with our floating-rate debt using interest rate swaps. These interest rate swap agreements effectively convert our LIBOR-based floating-rate debt to a fixed-rate basis, reducing the impact of interest-rate changes on future interest e</w:t>
      </w:r>
      <w:r>
        <w:rPr>
          <w:rFonts w:ascii="Arial" w:eastAsia="宋体" w:hAnsi="Arial" w:cs="Arial"/>
          <w:color w:val="000000"/>
          <w:sz w:val="20"/>
          <w:szCs w:val="20"/>
        </w:rPr>
        <w:t>xpense. The total notional amount of these interest swaps was $400 million as of June 30, 2021 with terms calling for us to receive interest at a variable rate and to pay interest at a fixed rate. Our interest rate swap contracts have maturity dates in 202</w:t>
      </w:r>
      <w:r>
        <w:rPr>
          <w:rFonts w:ascii="Arial" w:eastAsia="宋体" w:hAnsi="Arial" w:cs="Arial"/>
          <w:color w:val="000000"/>
          <w:sz w:val="20"/>
          <w:szCs w:val="20"/>
        </w:rPr>
        <w:t>3. At June 30, 2021, we did not have an unhedged balance on our floating-rate debt. We considered the historical volatility of short-term interest rates and determined that it was reasonably possible that an adverse change of 100 basis points could be expe</w:t>
      </w:r>
      <w:r>
        <w:rPr>
          <w:rFonts w:ascii="Arial" w:eastAsia="宋体" w:hAnsi="Arial" w:cs="Arial"/>
          <w:color w:val="000000"/>
          <w:sz w:val="20"/>
          <w:szCs w:val="20"/>
        </w:rPr>
        <w:t xml:space="preserve">rienced in the near term. A hypothetical 1% (100 basis points) decrease in interest rates would have resulted in a decrease in the fair values of our floating to fixed rate interest swaps of approximately $6 million at June 30, 2021. </w:t>
      </w:r>
    </w:p>
    <w:p w14:paraId="643055D1" w14:textId="77777777" w:rsidR="009F6D8A" w:rsidRDefault="009F6D8A">
      <w:pPr>
        <w:ind w:firstLine="540"/>
        <w:jc w:val="both"/>
      </w:pPr>
    </w:p>
    <w:p w14:paraId="643055D2" w14:textId="77777777" w:rsidR="009F6D8A" w:rsidRDefault="00C50974">
      <w:pPr>
        <w:ind w:firstLine="540"/>
        <w:jc w:val="both"/>
      </w:pPr>
      <w:r>
        <w:rPr>
          <w:rFonts w:ascii="Arial" w:eastAsia="宋体" w:hAnsi="Arial" w:cs="Arial"/>
          <w:color w:val="000000"/>
          <w:sz w:val="20"/>
          <w:szCs w:val="20"/>
        </w:rPr>
        <w:t>Further changes in i</w:t>
      </w:r>
      <w:r>
        <w:rPr>
          <w:rFonts w:ascii="Arial" w:eastAsia="宋体" w:hAnsi="Arial" w:cs="Arial"/>
          <w:color w:val="000000"/>
          <w:sz w:val="20"/>
          <w:szCs w:val="20"/>
        </w:rPr>
        <w:t>nterest rates will impact interest expense on any borrowings under our revolving credit facility, which bear interest at floating rates, and the interest rate on any commercial paper borrowings we make and any debt securities we may issue in the future and</w:t>
      </w:r>
      <w:r>
        <w:rPr>
          <w:rFonts w:ascii="Arial" w:eastAsia="宋体" w:hAnsi="Arial" w:cs="Arial"/>
          <w:color w:val="000000"/>
          <w:sz w:val="20"/>
          <w:szCs w:val="20"/>
        </w:rPr>
        <w:t xml:space="preserve">, accordingly, will impact interest expense. For additional details related to our debt, see “Note 9 – Debt” to the condensed consolidated financial statements included in this report. </w:t>
      </w:r>
    </w:p>
    <w:p w14:paraId="643055D3" w14:textId="77777777" w:rsidR="009F6D8A" w:rsidRDefault="00C50974">
      <w:pPr>
        <w:jc w:val="both"/>
      </w:pPr>
      <w:r>
        <w:rPr>
          <w:rFonts w:ascii="Arial" w:eastAsia="宋体" w:hAnsi="Arial" w:cs="Arial"/>
          <w:color w:val="000000"/>
          <w:sz w:val="20"/>
          <w:szCs w:val="20"/>
        </w:rPr>
        <w:t> </w:t>
      </w:r>
    </w:p>
    <w:p w14:paraId="643055D4" w14:textId="77777777" w:rsidR="009F6D8A" w:rsidRDefault="00C50974">
      <w:pPr>
        <w:jc w:val="both"/>
      </w:pPr>
      <w:r>
        <w:rPr>
          <w:rFonts w:ascii="Arial" w:eastAsia="宋体" w:hAnsi="Arial" w:cs="Arial"/>
          <w:b/>
          <w:bCs/>
          <w:i/>
          <w:iCs/>
          <w:color w:val="000000"/>
          <w:sz w:val="20"/>
          <w:szCs w:val="20"/>
        </w:rPr>
        <w:t>Equity Price Risk</w:t>
      </w:r>
    </w:p>
    <w:p w14:paraId="643055D5" w14:textId="77777777" w:rsidR="009F6D8A" w:rsidRDefault="009F6D8A">
      <w:pPr>
        <w:jc w:val="both"/>
      </w:pPr>
    </w:p>
    <w:p w14:paraId="643055D6" w14:textId="77777777" w:rsidR="009F6D8A" w:rsidRDefault="00C50974">
      <w:pPr>
        <w:jc w:val="both"/>
      </w:pPr>
      <w:r>
        <w:rPr>
          <w:rFonts w:ascii="Arial" w:eastAsia="宋体" w:hAnsi="Arial" w:cs="Arial"/>
          <w:i/>
          <w:iCs/>
          <w:color w:val="000000"/>
          <w:sz w:val="20"/>
          <w:szCs w:val="20"/>
        </w:rPr>
        <w:t>Equity investments</w:t>
      </w:r>
      <w:r>
        <w:rPr>
          <w:rFonts w:ascii="Arial" w:eastAsia="宋体" w:hAnsi="Arial" w:cs="Arial"/>
          <w:color w:val="000000"/>
          <w:sz w:val="20"/>
          <w:szCs w:val="20"/>
        </w:rPr>
        <w:t xml:space="preserve"> </w:t>
      </w:r>
    </w:p>
    <w:p w14:paraId="643055D7" w14:textId="77777777" w:rsidR="009F6D8A" w:rsidRDefault="009F6D8A">
      <w:pPr>
        <w:ind w:firstLine="270"/>
        <w:jc w:val="both"/>
      </w:pPr>
    </w:p>
    <w:p w14:paraId="643055D8" w14:textId="77777777" w:rsidR="009F6D8A" w:rsidRDefault="00C50974">
      <w:pPr>
        <w:ind w:firstLine="540"/>
        <w:jc w:val="both"/>
      </w:pPr>
      <w:r>
        <w:rPr>
          <w:rFonts w:ascii="Arial" w:eastAsia="宋体" w:hAnsi="Arial" w:cs="Arial"/>
          <w:color w:val="000000"/>
          <w:sz w:val="20"/>
          <w:szCs w:val="20"/>
        </w:rPr>
        <w:t>On June 24, 2021, we complet</w:t>
      </w:r>
      <w:r>
        <w:rPr>
          <w:rFonts w:ascii="Arial" w:eastAsia="宋体" w:hAnsi="Arial" w:cs="Arial"/>
          <w:color w:val="000000"/>
          <w:sz w:val="20"/>
          <w:szCs w:val="20"/>
        </w:rPr>
        <w:t>ed the transfer of our Classifieds business to Adevinta. Upon completion of the transfer we received an equity interest in Adevinta. The equity investment is accounted for under the fair value option and changes in Adevinta’s stock price and equity volatil</w:t>
      </w:r>
      <w:r>
        <w:rPr>
          <w:rFonts w:ascii="Arial" w:eastAsia="宋体" w:hAnsi="Arial" w:cs="Arial"/>
          <w:color w:val="000000"/>
          <w:sz w:val="20"/>
          <w:szCs w:val="20"/>
        </w:rPr>
        <w:t>ity may have a significant impact on the value of our equity investment in Adevinta. As of June 30, 2021, a one dollar change in Adevinta’s common stock, would increase or decrease the fair value of the investment by approximately $540 million. For additio</w:t>
      </w:r>
      <w:r>
        <w:rPr>
          <w:rFonts w:ascii="Arial" w:eastAsia="宋体" w:hAnsi="Arial" w:cs="Arial"/>
          <w:color w:val="000000"/>
          <w:sz w:val="20"/>
          <w:szCs w:val="20"/>
        </w:rPr>
        <w:t>nal details related to the investment, please see “Note 6 – Investments” to our condensed consolidated financial statements included in this report.</w:t>
      </w:r>
    </w:p>
    <w:p w14:paraId="643055D9" w14:textId="77777777" w:rsidR="009F6D8A" w:rsidRDefault="009F6D8A">
      <w:pPr>
        <w:ind w:firstLine="540"/>
        <w:jc w:val="both"/>
      </w:pPr>
    </w:p>
    <w:p w14:paraId="643055DA" w14:textId="77777777" w:rsidR="009F6D8A" w:rsidRDefault="00C50974">
      <w:pPr>
        <w:ind w:firstLine="540"/>
        <w:jc w:val="both"/>
      </w:pPr>
      <w:r>
        <w:rPr>
          <w:rFonts w:ascii="Arial" w:eastAsia="宋体" w:hAnsi="Arial" w:cs="Arial"/>
          <w:color w:val="000000"/>
          <w:sz w:val="20"/>
          <w:szCs w:val="20"/>
        </w:rPr>
        <w:t>Our remaining equity investments are primarily investments in privately-held companies. Our consolidated r</w:t>
      </w:r>
      <w:r>
        <w:rPr>
          <w:rFonts w:ascii="Arial" w:eastAsia="宋体" w:hAnsi="Arial" w:cs="Arial"/>
          <w:color w:val="000000"/>
          <w:sz w:val="20"/>
          <w:szCs w:val="20"/>
        </w:rPr>
        <w:t>esults of operations include, as a component of interest and other, net, our share of the net income or loss of the equity investments accounted for under the equity method of accounting. Equity investments without readily determinable fair values are acco</w:t>
      </w:r>
      <w:r>
        <w:rPr>
          <w:rFonts w:ascii="Arial" w:eastAsia="宋体" w:hAnsi="Arial" w:cs="Arial"/>
          <w:color w:val="000000"/>
          <w:sz w:val="20"/>
          <w:szCs w:val="20"/>
        </w:rPr>
        <w:t>unted for at cost, less impairment and adjusted for subsequent observable price changes obtained from orderly transactions for identical or similar investments issued by the same investee. Such changes in the basis of the equity investment are recognized i</w:t>
      </w:r>
      <w:r>
        <w:rPr>
          <w:rFonts w:ascii="Arial" w:eastAsia="宋体" w:hAnsi="Arial" w:cs="Arial"/>
          <w:color w:val="000000"/>
          <w:sz w:val="20"/>
          <w:szCs w:val="20"/>
        </w:rPr>
        <w:t xml:space="preserve">n interest and other, net. </w:t>
      </w:r>
    </w:p>
    <w:p w14:paraId="643055DB" w14:textId="77777777" w:rsidR="009F6D8A" w:rsidRDefault="009F6D8A">
      <w:pPr>
        <w:ind w:firstLine="540"/>
        <w:jc w:val="both"/>
      </w:pPr>
    </w:p>
    <w:p w14:paraId="643055DC" w14:textId="77777777" w:rsidR="009F6D8A" w:rsidRDefault="00C50974">
      <w:pPr>
        <w:ind w:firstLine="540"/>
        <w:jc w:val="both"/>
      </w:pPr>
      <w:r>
        <w:rPr>
          <w:rFonts w:ascii="Arial" w:eastAsia="宋体" w:hAnsi="Arial" w:cs="Arial"/>
          <w:color w:val="000000"/>
          <w:sz w:val="20"/>
          <w:szCs w:val="20"/>
        </w:rPr>
        <w:t xml:space="preserve">As of June 30, 2021, our equity investments totaled $10.9 billion, which represented approximately 59% of our total cash and investments, and primarily related to our equity investment in Adevinta. </w:t>
      </w:r>
    </w:p>
    <w:p w14:paraId="643055DD" w14:textId="77777777" w:rsidR="009F6D8A" w:rsidRDefault="009F6D8A">
      <w:pPr>
        <w:jc w:val="both"/>
      </w:pPr>
    </w:p>
    <w:p w14:paraId="643055DE" w14:textId="77777777" w:rsidR="009F6D8A" w:rsidRDefault="00C50974">
      <w:pPr>
        <w:jc w:val="both"/>
      </w:pPr>
      <w:r>
        <w:rPr>
          <w:rFonts w:ascii="Arial" w:eastAsia="宋体" w:hAnsi="Arial" w:cs="Arial"/>
          <w:i/>
          <w:iCs/>
          <w:color w:val="000000"/>
          <w:sz w:val="20"/>
          <w:szCs w:val="20"/>
        </w:rPr>
        <w:t>Warrant</w:t>
      </w:r>
    </w:p>
    <w:p w14:paraId="643055DF" w14:textId="77777777" w:rsidR="009F6D8A" w:rsidRDefault="009F6D8A">
      <w:pPr>
        <w:ind w:firstLine="540"/>
        <w:jc w:val="both"/>
      </w:pPr>
    </w:p>
    <w:p w14:paraId="643055E0" w14:textId="77777777" w:rsidR="009F6D8A" w:rsidRDefault="00C50974">
      <w:pPr>
        <w:ind w:firstLine="540"/>
        <w:jc w:val="both"/>
      </w:pPr>
      <w:r>
        <w:rPr>
          <w:rFonts w:ascii="Arial" w:eastAsia="宋体" w:hAnsi="Arial" w:cs="Arial"/>
          <w:color w:val="000000"/>
          <w:sz w:val="20"/>
          <w:szCs w:val="20"/>
        </w:rPr>
        <w:t>We entered into a warrant agreement in conjunction with a commercial agreement with Adyen that, subject to meeting certain conditions, entitles us to acquire a fixed number of shares up to 5% of Adyen’s fully diluted issued and outstanding share capital at</w:t>
      </w:r>
      <w:r>
        <w:rPr>
          <w:rFonts w:ascii="Arial" w:eastAsia="宋体" w:hAnsi="Arial" w:cs="Arial"/>
          <w:color w:val="000000"/>
          <w:sz w:val="20"/>
          <w:szCs w:val="20"/>
        </w:rPr>
        <w:t xml:space="preserve"> a specific date. The warrant is accounted for as a derivative instrument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xml:space="preserve">. Changes in Adyen’s common stock price and equity volatility may have a </w:t>
      </w:r>
    </w:p>
    <w:p w14:paraId="643055E1" w14:textId="77777777" w:rsidR="009F6D8A" w:rsidRDefault="009F6D8A">
      <w:pPr>
        <w:jc w:val="center"/>
      </w:pPr>
    </w:p>
    <w:p w14:paraId="643055E2" w14:textId="77777777" w:rsidR="009F6D8A" w:rsidRDefault="00C50974">
      <w:pPr>
        <w:jc w:val="center"/>
      </w:pPr>
      <w:r>
        <w:rPr>
          <w:rFonts w:ascii="Arial" w:eastAsia="宋体" w:hAnsi="Arial" w:cs="Arial"/>
          <w:color w:val="000000"/>
          <w:sz w:val="20"/>
          <w:szCs w:val="20"/>
        </w:rPr>
        <w:t>52</w:t>
      </w:r>
    </w:p>
    <w:p w14:paraId="643055E3" w14:textId="77777777" w:rsidR="009F6D8A" w:rsidRDefault="00C50974">
      <w:r>
        <w:pict w14:anchorId="64305837">
          <v:rect id="_x0000_i1076" style="width:415.3pt;height:1.5pt" o:hralign="center" o:hrstd="t" o:hr="t" fillcolor="#a0a0a0" stroked="f"/>
        </w:pict>
      </w:r>
    </w:p>
    <w:p w14:paraId="643055E4" w14:textId="77777777" w:rsidR="009F6D8A" w:rsidRDefault="009F6D8A"/>
    <w:p w14:paraId="643055E5" w14:textId="77777777" w:rsidR="009F6D8A" w:rsidRDefault="00C50974">
      <w:pPr>
        <w:jc w:val="both"/>
      </w:pPr>
      <w:r>
        <w:rPr>
          <w:rFonts w:ascii="Arial" w:eastAsia="宋体" w:hAnsi="Arial" w:cs="Arial"/>
          <w:color w:val="000000"/>
          <w:sz w:val="20"/>
          <w:szCs w:val="20"/>
        </w:rPr>
        <w:t>significant impact on the value of the warrant. As of Jun</w:t>
      </w:r>
      <w:r>
        <w:rPr>
          <w:rFonts w:ascii="Arial" w:eastAsia="宋体" w:hAnsi="Arial" w:cs="Arial"/>
          <w:color w:val="000000"/>
          <w:sz w:val="20"/>
          <w:szCs w:val="20"/>
        </w:rPr>
        <w:t>e 30, 2021, a one dollar change in Adyen’s common stock, holding other factors constant, would increase or decrease the fair value of the warrant by approximately $1 million. For additional details related to the warrant, please see “Note 7 – Derivative In</w:t>
      </w:r>
      <w:r>
        <w:rPr>
          <w:rFonts w:ascii="Arial" w:eastAsia="宋体" w:hAnsi="Arial" w:cs="Arial"/>
          <w:color w:val="000000"/>
          <w:sz w:val="20"/>
          <w:szCs w:val="20"/>
        </w:rPr>
        <w:t>struments” to our condensed consolidated financial statements included in this report.</w:t>
      </w:r>
    </w:p>
    <w:p w14:paraId="643055E6" w14:textId="77777777" w:rsidR="009F6D8A" w:rsidRDefault="009F6D8A">
      <w:pPr>
        <w:ind w:firstLine="495"/>
        <w:jc w:val="both"/>
      </w:pPr>
    </w:p>
    <w:p w14:paraId="643055E7" w14:textId="77777777" w:rsidR="009F6D8A" w:rsidRDefault="00C50974">
      <w:pPr>
        <w:jc w:val="both"/>
      </w:pPr>
      <w:r>
        <w:rPr>
          <w:rFonts w:ascii="Arial" w:eastAsia="宋体" w:hAnsi="Arial" w:cs="Arial"/>
          <w:b/>
          <w:bCs/>
          <w:i/>
          <w:iCs/>
          <w:color w:val="000000"/>
          <w:sz w:val="20"/>
          <w:szCs w:val="20"/>
        </w:rPr>
        <w:t>Foreign Currency Risk</w:t>
      </w:r>
    </w:p>
    <w:p w14:paraId="643055E8" w14:textId="77777777" w:rsidR="009F6D8A" w:rsidRDefault="009F6D8A">
      <w:pPr>
        <w:jc w:val="both"/>
      </w:pPr>
    </w:p>
    <w:p w14:paraId="643055E9" w14:textId="77777777" w:rsidR="009F6D8A" w:rsidRDefault="00C50974">
      <w:pPr>
        <w:ind w:firstLine="540"/>
        <w:jc w:val="both"/>
      </w:pPr>
      <w:r>
        <w:rPr>
          <w:rFonts w:ascii="Arial" w:eastAsia="宋体" w:hAnsi="Arial" w:cs="Arial"/>
          <w:color w:val="000000"/>
          <w:sz w:val="20"/>
          <w:szCs w:val="20"/>
        </w:rPr>
        <w:t>Our commerce platforms operate globally, resulting in certain revenues and costs that are denominated in foreign currencies, primarily the Britis</w:t>
      </w:r>
      <w:r>
        <w:rPr>
          <w:rFonts w:ascii="Arial" w:eastAsia="宋体" w:hAnsi="Arial" w:cs="Arial"/>
          <w:color w:val="000000"/>
          <w:sz w:val="20"/>
          <w:szCs w:val="20"/>
        </w:rPr>
        <w:t xml:space="preserve">h pound, euro and Australian dollar, subjecting us to foreign currency risk, which may adversely impact our financial results. We transact business in various foreign currencies and have significant international revenues as well as costs. In addition, we </w:t>
      </w:r>
      <w:r>
        <w:rPr>
          <w:rFonts w:ascii="Arial" w:eastAsia="宋体" w:hAnsi="Arial" w:cs="Arial"/>
          <w:color w:val="000000"/>
          <w:sz w:val="20"/>
          <w:szCs w:val="20"/>
        </w:rPr>
        <w:t xml:space="preserve">charge our international subsidiaries for their use of intellectual property and technology and for certain corporate services we provide. Our cash flow and results of operations that are exposed to foreign exchange rate fluctuations may differ materially </w:t>
      </w:r>
      <w:r>
        <w:rPr>
          <w:rFonts w:ascii="Arial" w:eastAsia="宋体" w:hAnsi="Arial" w:cs="Arial"/>
          <w:color w:val="000000"/>
          <w:sz w:val="20"/>
          <w:szCs w:val="20"/>
        </w:rPr>
        <w:t>from expectations and we may record significant gains or losses due to foreign currency fluctuations and related hedging activities.</w:t>
      </w:r>
    </w:p>
    <w:p w14:paraId="643055EA" w14:textId="77777777" w:rsidR="009F6D8A" w:rsidRDefault="009F6D8A">
      <w:pPr>
        <w:jc w:val="both"/>
      </w:pPr>
    </w:p>
    <w:p w14:paraId="643055EB" w14:textId="77777777" w:rsidR="009F6D8A" w:rsidRDefault="00C50974">
      <w:pPr>
        <w:ind w:firstLine="540"/>
        <w:jc w:val="both"/>
      </w:pPr>
      <w:r>
        <w:rPr>
          <w:rFonts w:ascii="Arial" w:eastAsia="宋体" w:hAnsi="Arial" w:cs="Arial"/>
          <w:color w:val="000000"/>
          <w:sz w:val="20"/>
          <w:szCs w:val="20"/>
        </w:rPr>
        <w:t>We have a foreign exchange exposure management program designed to identify material foreign currency exposures, manage th</w:t>
      </w:r>
      <w:r>
        <w:rPr>
          <w:rFonts w:ascii="Arial" w:eastAsia="宋体" w:hAnsi="Arial" w:cs="Arial"/>
          <w:color w:val="000000"/>
          <w:sz w:val="20"/>
          <w:szCs w:val="20"/>
        </w:rPr>
        <w:t xml:space="preserve">ese exposures and reduce the potential effects of currency fluctuations on our reported condensed consolidated cash flows and results of operations through the purchase of foreign currency exchange contracts. The effectiveness of the program and resulting </w:t>
      </w:r>
      <w:r>
        <w:rPr>
          <w:rFonts w:ascii="Arial" w:eastAsia="宋体" w:hAnsi="Arial" w:cs="Arial"/>
          <w:color w:val="000000"/>
          <w:sz w:val="20"/>
          <w:szCs w:val="20"/>
        </w:rPr>
        <w:t>usage of foreign exchange derivative contracts is at times limited by our ability to achieve cash flow hedge accounting. For additional details related to our derivative instruments, please see “Note 7 – Derivative Instruments” to our condensed consolidate</w:t>
      </w:r>
      <w:r>
        <w:rPr>
          <w:rFonts w:ascii="Arial" w:eastAsia="宋体" w:hAnsi="Arial" w:cs="Arial"/>
          <w:color w:val="000000"/>
          <w:sz w:val="20"/>
          <w:szCs w:val="20"/>
        </w:rPr>
        <w:t xml:space="preserve">d financial statements included in this report. </w:t>
      </w:r>
    </w:p>
    <w:p w14:paraId="643055EC" w14:textId="77777777" w:rsidR="009F6D8A" w:rsidRDefault="009F6D8A">
      <w:pPr>
        <w:ind w:firstLine="540"/>
        <w:jc w:val="both"/>
      </w:pPr>
    </w:p>
    <w:p w14:paraId="643055ED" w14:textId="77777777" w:rsidR="009F6D8A" w:rsidRDefault="00C50974">
      <w:pPr>
        <w:ind w:firstLine="540"/>
        <w:jc w:val="both"/>
      </w:pPr>
      <w:r>
        <w:rPr>
          <w:rFonts w:ascii="Arial" w:eastAsia="宋体" w:hAnsi="Arial" w:cs="Arial"/>
          <w:color w:val="000000"/>
          <w:sz w:val="20"/>
          <w:szCs w:val="20"/>
        </w:rPr>
        <w:t>We use foreign exchange derivative contracts to help protect our forecasted U.S. dollar-equivalent earnings from adverse changes in foreign currency exchange rates. These hedging contracts reduce, but do no</w:t>
      </w:r>
      <w:r>
        <w:rPr>
          <w:rFonts w:ascii="Arial" w:eastAsia="宋体" w:hAnsi="Arial" w:cs="Arial"/>
          <w:color w:val="000000"/>
          <w:sz w:val="20"/>
          <w:szCs w:val="20"/>
        </w:rPr>
        <w:t>t entirely eliminate, the impact of adverse currency exchange rate movements. Most of these contracts are designated as cash flow hedges for accounting purposes. For qualifying cash flow hedges, the derivative’s gain or loss is initially reported as a comp</w:t>
      </w:r>
      <w:r>
        <w:rPr>
          <w:rFonts w:ascii="Arial" w:eastAsia="宋体" w:hAnsi="Arial" w:cs="Arial"/>
          <w:color w:val="000000"/>
          <w:sz w:val="20"/>
          <w:szCs w:val="20"/>
        </w:rPr>
        <w:t>onent of accumulated other comprehensive income and subsequently reclassified into earnings in the same period the forecasted transaction affects earnings. For contracts not designated as cash flow hedges for accounting purposes, the derivative’s gain or l</w:t>
      </w:r>
      <w:r>
        <w:rPr>
          <w:rFonts w:ascii="Arial" w:eastAsia="宋体" w:hAnsi="Arial" w:cs="Arial"/>
          <w:color w:val="000000"/>
          <w:sz w:val="20"/>
          <w:szCs w:val="20"/>
        </w:rPr>
        <w:t xml:space="preserve">oss is recognized immediately in earnings in our condensed consolidated statement of income. However, only certain revenue and costs are eligible for cash flow hedge accounting. </w:t>
      </w:r>
    </w:p>
    <w:p w14:paraId="643055EE" w14:textId="77777777" w:rsidR="009F6D8A" w:rsidRDefault="009F6D8A">
      <w:pPr>
        <w:jc w:val="both"/>
      </w:pPr>
    </w:p>
    <w:p w14:paraId="643055EF" w14:textId="77777777" w:rsidR="009F6D8A" w:rsidRDefault="00C50974">
      <w:pPr>
        <w:spacing w:after="60"/>
        <w:ind w:firstLine="540"/>
        <w:jc w:val="both"/>
      </w:pPr>
      <w:r>
        <w:rPr>
          <w:rFonts w:ascii="Arial" w:eastAsia="宋体" w:hAnsi="Arial" w:cs="Arial"/>
          <w:color w:val="000000"/>
          <w:sz w:val="20"/>
          <w:szCs w:val="20"/>
        </w:rPr>
        <w:t>The following table illustrates the fair values of outstanding foreign excha</w:t>
      </w:r>
      <w:r>
        <w:rPr>
          <w:rFonts w:ascii="Arial" w:eastAsia="宋体" w:hAnsi="Arial" w:cs="Arial"/>
          <w:color w:val="000000"/>
          <w:sz w:val="20"/>
          <w:szCs w:val="20"/>
        </w:rPr>
        <w:t xml:space="preserve">nge contracts designated as cash flow hedges and the before-tax effect on fair values of a hypothetical adverse change in the foreign exchange rates that existed as of June 30, 2021. The sensitivity for foreign currency contracts is based on a 20% adverse </w:t>
      </w:r>
      <w:r>
        <w:rPr>
          <w:rFonts w:ascii="Arial" w:eastAsia="宋体" w:hAnsi="Arial" w:cs="Arial"/>
          <w:color w:val="000000"/>
          <w:sz w:val="20"/>
          <w:szCs w:val="20"/>
        </w:rPr>
        <w:t>change in foreign exchange rates, against relevant functional currencies.</w:t>
      </w:r>
    </w:p>
    <w:tbl>
      <w:tblPr>
        <w:tblW w:w="5000" w:type="pct"/>
        <w:tblCellMar>
          <w:top w:w="15" w:type="dxa"/>
          <w:left w:w="15" w:type="dxa"/>
          <w:bottom w:w="15" w:type="dxa"/>
          <w:right w:w="15" w:type="dxa"/>
        </w:tblCellMar>
        <w:tblLook w:val="04A0" w:firstRow="1" w:lastRow="0" w:firstColumn="1" w:lastColumn="0" w:noHBand="0" w:noVBand="1"/>
      </w:tblPr>
      <w:tblGrid>
        <w:gridCol w:w="37"/>
        <w:gridCol w:w="5940"/>
        <w:gridCol w:w="36"/>
        <w:gridCol w:w="122"/>
        <w:gridCol w:w="1131"/>
        <w:gridCol w:w="36"/>
        <w:gridCol w:w="36"/>
        <w:gridCol w:w="36"/>
        <w:gridCol w:w="36"/>
        <w:gridCol w:w="122"/>
        <w:gridCol w:w="768"/>
        <w:gridCol w:w="36"/>
      </w:tblGrid>
      <w:tr w:rsidR="009F6D8A" w14:paraId="643055FC" w14:textId="77777777">
        <w:tc>
          <w:tcPr>
            <w:tcW w:w="50" w:type="pct"/>
            <w:shd w:val="clear" w:color="auto" w:fill="auto"/>
            <w:vAlign w:val="bottom"/>
          </w:tcPr>
          <w:p w14:paraId="643055F0" w14:textId="77777777" w:rsidR="009F6D8A" w:rsidRDefault="009F6D8A">
            <w:pPr>
              <w:rPr>
                <w:rFonts w:ascii="宋体"/>
              </w:rPr>
            </w:pPr>
          </w:p>
        </w:tc>
        <w:tc>
          <w:tcPr>
            <w:tcW w:w="3629" w:type="pct"/>
            <w:shd w:val="clear" w:color="auto" w:fill="auto"/>
            <w:vAlign w:val="bottom"/>
          </w:tcPr>
          <w:p w14:paraId="643055F1" w14:textId="77777777" w:rsidR="009F6D8A" w:rsidRDefault="009F6D8A">
            <w:pPr>
              <w:rPr>
                <w:rFonts w:ascii="宋体"/>
              </w:rPr>
            </w:pPr>
          </w:p>
        </w:tc>
        <w:tc>
          <w:tcPr>
            <w:tcW w:w="5" w:type="pct"/>
            <w:shd w:val="clear" w:color="auto" w:fill="auto"/>
            <w:vAlign w:val="bottom"/>
          </w:tcPr>
          <w:p w14:paraId="643055F2" w14:textId="77777777" w:rsidR="009F6D8A" w:rsidRDefault="009F6D8A">
            <w:pPr>
              <w:rPr>
                <w:rFonts w:ascii="宋体"/>
              </w:rPr>
            </w:pPr>
          </w:p>
        </w:tc>
        <w:tc>
          <w:tcPr>
            <w:tcW w:w="50" w:type="pct"/>
            <w:shd w:val="clear" w:color="auto" w:fill="auto"/>
            <w:vAlign w:val="bottom"/>
          </w:tcPr>
          <w:p w14:paraId="643055F3" w14:textId="77777777" w:rsidR="009F6D8A" w:rsidRDefault="009F6D8A">
            <w:pPr>
              <w:rPr>
                <w:rFonts w:ascii="宋体"/>
              </w:rPr>
            </w:pPr>
          </w:p>
        </w:tc>
        <w:tc>
          <w:tcPr>
            <w:tcW w:w="617" w:type="pct"/>
            <w:shd w:val="clear" w:color="auto" w:fill="auto"/>
            <w:vAlign w:val="bottom"/>
          </w:tcPr>
          <w:p w14:paraId="643055F4" w14:textId="77777777" w:rsidR="009F6D8A" w:rsidRDefault="009F6D8A">
            <w:pPr>
              <w:rPr>
                <w:rFonts w:ascii="宋体"/>
              </w:rPr>
            </w:pPr>
          </w:p>
        </w:tc>
        <w:tc>
          <w:tcPr>
            <w:tcW w:w="5" w:type="pct"/>
            <w:shd w:val="clear" w:color="auto" w:fill="auto"/>
            <w:vAlign w:val="bottom"/>
          </w:tcPr>
          <w:p w14:paraId="643055F5" w14:textId="77777777" w:rsidR="009F6D8A" w:rsidRDefault="009F6D8A">
            <w:pPr>
              <w:rPr>
                <w:rFonts w:ascii="宋体"/>
              </w:rPr>
            </w:pPr>
          </w:p>
        </w:tc>
        <w:tc>
          <w:tcPr>
            <w:tcW w:w="5" w:type="pct"/>
            <w:shd w:val="clear" w:color="auto" w:fill="auto"/>
            <w:vAlign w:val="bottom"/>
          </w:tcPr>
          <w:p w14:paraId="643055F6" w14:textId="77777777" w:rsidR="009F6D8A" w:rsidRDefault="009F6D8A">
            <w:pPr>
              <w:rPr>
                <w:rFonts w:ascii="宋体"/>
              </w:rPr>
            </w:pPr>
          </w:p>
        </w:tc>
        <w:tc>
          <w:tcPr>
            <w:tcW w:w="26" w:type="pct"/>
            <w:shd w:val="clear" w:color="auto" w:fill="auto"/>
            <w:vAlign w:val="bottom"/>
          </w:tcPr>
          <w:p w14:paraId="643055F7" w14:textId="77777777" w:rsidR="009F6D8A" w:rsidRDefault="009F6D8A">
            <w:pPr>
              <w:rPr>
                <w:rFonts w:ascii="宋体"/>
              </w:rPr>
            </w:pPr>
          </w:p>
        </w:tc>
        <w:tc>
          <w:tcPr>
            <w:tcW w:w="5" w:type="pct"/>
            <w:shd w:val="clear" w:color="auto" w:fill="auto"/>
            <w:vAlign w:val="bottom"/>
          </w:tcPr>
          <w:p w14:paraId="643055F8" w14:textId="77777777" w:rsidR="009F6D8A" w:rsidRDefault="009F6D8A">
            <w:pPr>
              <w:rPr>
                <w:rFonts w:ascii="宋体"/>
              </w:rPr>
            </w:pPr>
          </w:p>
        </w:tc>
        <w:tc>
          <w:tcPr>
            <w:tcW w:w="50" w:type="pct"/>
            <w:shd w:val="clear" w:color="auto" w:fill="auto"/>
            <w:vAlign w:val="bottom"/>
          </w:tcPr>
          <w:p w14:paraId="643055F9" w14:textId="77777777" w:rsidR="009F6D8A" w:rsidRDefault="009F6D8A">
            <w:pPr>
              <w:rPr>
                <w:rFonts w:ascii="宋体"/>
              </w:rPr>
            </w:pPr>
          </w:p>
        </w:tc>
        <w:tc>
          <w:tcPr>
            <w:tcW w:w="551" w:type="pct"/>
            <w:shd w:val="clear" w:color="auto" w:fill="auto"/>
            <w:vAlign w:val="bottom"/>
          </w:tcPr>
          <w:p w14:paraId="643055FA" w14:textId="77777777" w:rsidR="009F6D8A" w:rsidRDefault="009F6D8A">
            <w:pPr>
              <w:rPr>
                <w:rFonts w:ascii="宋体"/>
              </w:rPr>
            </w:pPr>
          </w:p>
        </w:tc>
        <w:tc>
          <w:tcPr>
            <w:tcW w:w="5" w:type="pct"/>
            <w:shd w:val="clear" w:color="auto" w:fill="auto"/>
            <w:vAlign w:val="bottom"/>
          </w:tcPr>
          <w:p w14:paraId="643055FB" w14:textId="77777777" w:rsidR="009F6D8A" w:rsidRDefault="009F6D8A">
            <w:pPr>
              <w:rPr>
                <w:rFonts w:ascii="宋体"/>
              </w:rPr>
            </w:pPr>
          </w:p>
        </w:tc>
      </w:tr>
      <w:tr w:rsidR="009F6D8A" w14:paraId="64305601" w14:textId="77777777">
        <w:tc>
          <w:tcPr>
            <w:tcW w:w="0" w:type="auto"/>
            <w:gridSpan w:val="3"/>
            <w:shd w:val="clear" w:color="auto" w:fill="auto"/>
            <w:tcMar>
              <w:top w:w="40" w:type="dxa"/>
              <w:left w:w="20" w:type="dxa"/>
              <w:bottom w:w="40" w:type="dxa"/>
              <w:right w:w="20" w:type="dxa"/>
            </w:tcMar>
            <w:vAlign w:val="bottom"/>
          </w:tcPr>
          <w:p w14:paraId="643055FD" w14:textId="77777777" w:rsidR="009F6D8A" w:rsidRDefault="00C50974">
            <w:pPr>
              <w:textAlignment w:val="bottom"/>
            </w:pPr>
            <w:r>
              <w:rPr>
                <w:rFonts w:ascii="Arial" w:eastAsia="宋体" w:hAnsi="Arial" w:cs="Arial"/>
                <w:color w:val="000000"/>
                <w:sz w:val="14"/>
                <w:szCs w:val="14"/>
              </w:rPr>
              <w:t> </w:t>
            </w:r>
          </w:p>
        </w:tc>
        <w:tc>
          <w:tcPr>
            <w:tcW w:w="0" w:type="auto"/>
            <w:gridSpan w:val="3"/>
            <w:shd w:val="clear" w:color="auto" w:fill="auto"/>
            <w:tcMar>
              <w:top w:w="40" w:type="dxa"/>
              <w:left w:w="20" w:type="dxa"/>
              <w:bottom w:w="40" w:type="dxa"/>
              <w:right w:w="20" w:type="dxa"/>
            </w:tcMar>
            <w:vAlign w:val="bottom"/>
          </w:tcPr>
          <w:p w14:paraId="643055FE" w14:textId="77777777" w:rsidR="009F6D8A" w:rsidRDefault="00C50974">
            <w:pPr>
              <w:jc w:val="center"/>
              <w:textAlignment w:val="bottom"/>
            </w:pPr>
            <w:r>
              <w:rPr>
                <w:rFonts w:ascii="Arial" w:eastAsia="宋体" w:hAnsi="Arial" w:cs="Arial"/>
                <w:b/>
                <w:bCs/>
                <w:color w:val="000000"/>
                <w:sz w:val="16"/>
                <w:szCs w:val="16"/>
              </w:rPr>
              <w:t>Fair Value Asset/(Liability)</w:t>
            </w:r>
          </w:p>
        </w:tc>
        <w:tc>
          <w:tcPr>
            <w:tcW w:w="0" w:type="auto"/>
            <w:gridSpan w:val="3"/>
            <w:shd w:val="clear" w:color="auto" w:fill="auto"/>
            <w:tcMar>
              <w:top w:w="0" w:type="dxa"/>
              <w:left w:w="20" w:type="dxa"/>
              <w:bottom w:w="0" w:type="dxa"/>
              <w:right w:w="20" w:type="dxa"/>
            </w:tcMar>
            <w:vAlign w:val="bottom"/>
          </w:tcPr>
          <w:p w14:paraId="643055FF" w14:textId="77777777" w:rsidR="009F6D8A" w:rsidRDefault="009F6D8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4305600" w14:textId="77777777" w:rsidR="009F6D8A" w:rsidRDefault="00C50974">
            <w:pPr>
              <w:jc w:val="center"/>
              <w:textAlignment w:val="bottom"/>
            </w:pPr>
            <w:r>
              <w:rPr>
                <w:rFonts w:ascii="Arial" w:eastAsia="宋体" w:hAnsi="Arial" w:cs="Arial"/>
                <w:b/>
                <w:bCs/>
                <w:color w:val="000000"/>
                <w:sz w:val="16"/>
                <w:szCs w:val="16"/>
              </w:rPr>
              <w:t>Fair Value Sensitivity</w:t>
            </w:r>
          </w:p>
        </w:tc>
      </w:tr>
      <w:tr w:rsidR="009F6D8A" w14:paraId="64305604" w14:textId="77777777">
        <w:tc>
          <w:tcPr>
            <w:tcW w:w="0" w:type="auto"/>
            <w:gridSpan w:val="3"/>
            <w:shd w:val="clear" w:color="auto" w:fill="auto"/>
            <w:tcMar>
              <w:top w:w="0" w:type="dxa"/>
              <w:left w:w="20" w:type="dxa"/>
              <w:bottom w:w="0" w:type="dxa"/>
              <w:right w:w="20" w:type="dxa"/>
            </w:tcMar>
            <w:vAlign w:val="bottom"/>
          </w:tcPr>
          <w:p w14:paraId="64305602" w14:textId="77777777" w:rsidR="009F6D8A" w:rsidRDefault="009F6D8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4305603" w14:textId="77777777" w:rsidR="009F6D8A" w:rsidRDefault="00C50974">
            <w:pPr>
              <w:jc w:val="center"/>
              <w:textAlignment w:val="bottom"/>
            </w:pPr>
            <w:r>
              <w:rPr>
                <w:rFonts w:ascii="Arial" w:eastAsia="宋体" w:hAnsi="Arial" w:cs="Arial"/>
                <w:b/>
                <w:bCs/>
                <w:color w:val="000000"/>
                <w:sz w:val="16"/>
                <w:szCs w:val="16"/>
              </w:rPr>
              <w:t>(In millions)</w:t>
            </w:r>
          </w:p>
        </w:tc>
      </w:tr>
      <w:tr w:rsidR="009F6D8A" w14:paraId="6430560D" w14:textId="77777777">
        <w:tc>
          <w:tcPr>
            <w:tcW w:w="0" w:type="auto"/>
            <w:gridSpan w:val="3"/>
            <w:shd w:val="clear" w:color="auto" w:fill="E2E2E2"/>
            <w:tcMar>
              <w:top w:w="40" w:type="dxa"/>
              <w:left w:w="20" w:type="dxa"/>
              <w:bottom w:w="40" w:type="dxa"/>
              <w:right w:w="20" w:type="dxa"/>
            </w:tcMar>
            <w:vAlign w:val="bottom"/>
          </w:tcPr>
          <w:p w14:paraId="64305605" w14:textId="77777777" w:rsidR="009F6D8A" w:rsidRDefault="00C50974">
            <w:pPr>
              <w:textAlignment w:val="bottom"/>
            </w:pPr>
            <w:r>
              <w:rPr>
                <w:rFonts w:ascii="Arial" w:eastAsia="宋体" w:hAnsi="Arial" w:cs="Arial"/>
                <w:color w:val="000000"/>
                <w:sz w:val="18"/>
                <w:szCs w:val="18"/>
              </w:rPr>
              <w:t>Foreign exchange contracts - Cash flow hedges</w:t>
            </w:r>
          </w:p>
        </w:tc>
        <w:tc>
          <w:tcPr>
            <w:tcW w:w="0" w:type="auto"/>
            <w:shd w:val="clear" w:color="auto" w:fill="E2E2E2"/>
            <w:tcMar>
              <w:top w:w="40" w:type="dxa"/>
              <w:left w:w="20" w:type="dxa"/>
              <w:bottom w:w="40" w:type="dxa"/>
              <w:right w:w="0" w:type="dxa"/>
            </w:tcMar>
            <w:vAlign w:val="bottom"/>
          </w:tcPr>
          <w:p w14:paraId="64305606"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4305607" w14:textId="77777777" w:rsidR="009F6D8A" w:rsidRDefault="00C50974">
            <w:pPr>
              <w:jc w:val="right"/>
              <w:textAlignment w:val="bottom"/>
            </w:pPr>
            <w:r>
              <w:rPr>
                <w:rFonts w:ascii="Arial" w:eastAsia="宋体" w:hAnsi="Arial" w:cs="Arial"/>
                <w:color w:val="000000"/>
                <w:sz w:val="18"/>
                <w:szCs w:val="18"/>
              </w:rPr>
              <w:t>35 </w:t>
            </w:r>
          </w:p>
        </w:tc>
        <w:tc>
          <w:tcPr>
            <w:tcW w:w="0" w:type="auto"/>
            <w:shd w:val="clear" w:color="auto" w:fill="E2E2E2"/>
            <w:tcMar>
              <w:top w:w="40" w:type="dxa"/>
              <w:left w:w="0" w:type="dxa"/>
              <w:bottom w:w="40" w:type="dxa"/>
              <w:right w:w="20" w:type="dxa"/>
            </w:tcMar>
            <w:vAlign w:val="bottom"/>
          </w:tcPr>
          <w:p w14:paraId="64305608"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609"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560A" w14:textId="77777777" w:rsidR="009F6D8A" w:rsidRDefault="00C50974">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6430560B" w14:textId="77777777" w:rsidR="009F6D8A" w:rsidRDefault="00C50974">
            <w:pPr>
              <w:jc w:val="right"/>
              <w:textAlignment w:val="bottom"/>
            </w:pPr>
            <w:r>
              <w:rPr>
                <w:rFonts w:ascii="Arial" w:eastAsia="宋体" w:hAnsi="Arial" w:cs="Arial"/>
                <w:color w:val="000000"/>
                <w:sz w:val="18"/>
                <w:szCs w:val="18"/>
              </w:rPr>
              <w:t>(185)</w:t>
            </w:r>
          </w:p>
        </w:tc>
        <w:tc>
          <w:tcPr>
            <w:tcW w:w="0" w:type="auto"/>
            <w:shd w:val="clear" w:color="auto" w:fill="E2E2E2"/>
            <w:tcMar>
              <w:top w:w="40" w:type="dxa"/>
              <w:left w:w="0" w:type="dxa"/>
              <w:bottom w:w="40" w:type="dxa"/>
              <w:right w:w="20" w:type="dxa"/>
            </w:tcMar>
            <w:vAlign w:val="bottom"/>
          </w:tcPr>
          <w:p w14:paraId="6430560C" w14:textId="77777777" w:rsidR="009F6D8A" w:rsidRDefault="009F6D8A">
            <w:pPr>
              <w:jc w:val="right"/>
              <w:rPr>
                <w:rFonts w:ascii="宋体"/>
              </w:rPr>
            </w:pPr>
          </w:p>
        </w:tc>
      </w:tr>
      <w:tr w:rsidR="009F6D8A" w14:paraId="64305612" w14:textId="77777777">
        <w:trPr>
          <w:hidden/>
        </w:trPr>
        <w:tc>
          <w:tcPr>
            <w:tcW w:w="0" w:type="auto"/>
            <w:gridSpan w:val="3"/>
            <w:shd w:val="clear" w:color="auto" w:fill="auto"/>
            <w:vAlign w:val="bottom"/>
          </w:tcPr>
          <w:p w14:paraId="6430560E" w14:textId="77777777" w:rsidR="009F6D8A" w:rsidRDefault="009F6D8A">
            <w:pPr>
              <w:rPr>
                <w:rFonts w:ascii="宋体"/>
                <w:vanish/>
              </w:rPr>
            </w:pPr>
          </w:p>
        </w:tc>
        <w:tc>
          <w:tcPr>
            <w:tcW w:w="0" w:type="auto"/>
            <w:gridSpan w:val="3"/>
            <w:shd w:val="clear" w:color="auto" w:fill="auto"/>
            <w:vAlign w:val="bottom"/>
          </w:tcPr>
          <w:p w14:paraId="6430560F" w14:textId="77777777" w:rsidR="009F6D8A" w:rsidRDefault="009F6D8A">
            <w:pPr>
              <w:rPr>
                <w:rFonts w:ascii="宋体"/>
                <w:vanish/>
              </w:rPr>
            </w:pPr>
          </w:p>
        </w:tc>
        <w:tc>
          <w:tcPr>
            <w:tcW w:w="0" w:type="auto"/>
            <w:gridSpan w:val="3"/>
            <w:shd w:val="clear" w:color="auto" w:fill="auto"/>
            <w:vAlign w:val="bottom"/>
          </w:tcPr>
          <w:p w14:paraId="64305610" w14:textId="77777777" w:rsidR="009F6D8A" w:rsidRDefault="009F6D8A">
            <w:pPr>
              <w:rPr>
                <w:rFonts w:ascii="宋体"/>
                <w:vanish/>
              </w:rPr>
            </w:pPr>
          </w:p>
        </w:tc>
        <w:tc>
          <w:tcPr>
            <w:tcW w:w="0" w:type="auto"/>
            <w:gridSpan w:val="3"/>
            <w:shd w:val="clear" w:color="auto" w:fill="auto"/>
            <w:vAlign w:val="bottom"/>
          </w:tcPr>
          <w:p w14:paraId="64305611" w14:textId="77777777" w:rsidR="009F6D8A" w:rsidRDefault="009F6D8A">
            <w:pPr>
              <w:rPr>
                <w:rFonts w:ascii="宋体"/>
                <w:vanish/>
              </w:rPr>
            </w:pPr>
          </w:p>
        </w:tc>
      </w:tr>
    </w:tbl>
    <w:p w14:paraId="64305613" w14:textId="77777777" w:rsidR="009F6D8A" w:rsidRDefault="009F6D8A">
      <w:pPr>
        <w:ind w:firstLine="540"/>
        <w:jc w:val="both"/>
      </w:pPr>
    </w:p>
    <w:p w14:paraId="64305614" w14:textId="77777777" w:rsidR="009F6D8A" w:rsidRDefault="00C50974">
      <w:pPr>
        <w:ind w:firstLine="540"/>
        <w:jc w:val="both"/>
      </w:pPr>
      <w:r>
        <w:rPr>
          <w:rFonts w:ascii="Arial" w:eastAsia="宋体" w:hAnsi="Arial" w:cs="Arial"/>
          <w:color w:val="000000"/>
          <w:sz w:val="20"/>
          <w:szCs w:val="20"/>
        </w:rPr>
        <w:t xml:space="preserve">Since our risk </w:t>
      </w:r>
      <w:r>
        <w:rPr>
          <w:rFonts w:ascii="Arial" w:eastAsia="宋体" w:hAnsi="Arial" w:cs="Arial"/>
          <w:color w:val="000000"/>
          <w:sz w:val="20"/>
          <w:szCs w:val="20"/>
        </w:rPr>
        <w:t>management programs are highly effective, the potential loss in value described above would be largely offset by changes in the value of the underlying exposure.</w:t>
      </w:r>
    </w:p>
    <w:p w14:paraId="64305615" w14:textId="77777777" w:rsidR="009F6D8A" w:rsidRDefault="009F6D8A">
      <w:pPr>
        <w:ind w:firstLine="540"/>
        <w:jc w:val="both"/>
      </w:pPr>
    </w:p>
    <w:p w14:paraId="64305616" w14:textId="77777777" w:rsidR="009F6D8A" w:rsidRDefault="00C50974">
      <w:pPr>
        <w:ind w:firstLine="540"/>
        <w:jc w:val="both"/>
      </w:pPr>
      <w:r>
        <w:rPr>
          <w:rFonts w:ascii="Arial" w:eastAsia="宋体" w:hAnsi="Arial" w:cs="Arial"/>
          <w:color w:val="000000"/>
          <w:sz w:val="20"/>
          <w:szCs w:val="20"/>
        </w:rPr>
        <w:t xml:space="preserve">We also use foreign exchange contracts to offset the foreign exchange risk on our assets and </w:t>
      </w:r>
      <w:r>
        <w:rPr>
          <w:rFonts w:ascii="Arial" w:eastAsia="宋体" w:hAnsi="Arial" w:cs="Arial"/>
          <w:color w:val="000000"/>
          <w:sz w:val="20"/>
          <w:szCs w:val="20"/>
        </w:rPr>
        <w:t>liabilities denominated in currencies other than the functional currency of our subsidiaries. These contracts reduce, but do not entirely eliminate, the impact of currency exchange rate movements on our assets and liabilities. The foreign currency gains an</w:t>
      </w:r>
      <w:r>
        <w:rPr>
          <w:rFonts w:ascii="Arial" w:eastAsia="宋体" w:hAnsi="Arial" w:cs="Arial"/>
          <w:color w:val="000000"/>
          <w:sz w:val="20"/>
          <w:szCs w:val="20"/>
        </w:rPr>
        <w:t>d losses on the assets and liabilities are recorded in interest and other, net, which are offset by the gains and losses on the foreign exchange contracts.</w:t>
      </w:r>
    </w:p>
    <w:p w14:paraId="64305617" w14:textId="77777777" w:rsidR="009F6D8A" w:rsidRDefault="009F6D8A">
      <w:pPr>
        <w:jc w:val="both"/>
      </w:pPr>
    </w:p>
    <w:p w14:paraId="64305618" w14:textId="77777777" w:rsidR="009F6D8A" w:rsidRDefault="00C50974">
      <w:pPr>
        <w:ind w:firstLine="540"/>
        <w:jc w:val="both"/>
      </w:pPr>
      <w:r>
        <w:rPr>
          <w:rFonts w:ascii="Arial" w:eastAsia="宋体" w:hAnsi="Arial" w:cs="Arial"/>
          <w:color w:val="000000"/>
          <w:sz w:val="20"/>
          <w:szCs w:val="20"/>
        </w:rPr>
        <w:t>We considered the historical trends in currency exchange rates and determined that it was reasonabl</w:t>
      </w:r>
      <w:r>
        <w:rPr>
          <w:rFonts w:ascii="Arial" w:eastAsia="宋体" w:hAnsi="Arial" w:cs="Arial"/>
          <w:color w:val="000000"/>
          <w:sz w:val="20"/>
          <w:szCs w:val="20"/>
        </w:rPr>
        <w:t xml:space="preserve">y possible that adverse changes in exchange rates of 20% for all currencies could be experienced in the near term. These changes would have resulted in an adverse impact on income before income taxes of approximately $84 million as of June 30, 2021 taking </w:t>
      </w:r>
      <w:r>
        <w:rPr>
          <w:rFonts w:ascii="Arial" w:eastAsia="宋体" w:hAnsi="Arial" w:cs="Arial"/>
          <w:color w:val="000000"/>
          <w:sz w:val="20"/>
          <w:szCs w:val="20"/>
        </w:rPr>
        <w:t>into consideration the offsetting effect of foreign exchange forwards in place as of June 30, 2021.</w:t>
      </w:r>
    </w:p>
    <w:p w14:paraId="64305619" w14:textId="77777777" w:rsidR="009F6D8A" w:rsidRDefault="009F6D8A">
      <w:pPr>
        <w:jc w:val="center"/>
      </w:pPr>
    </w:p>
    <w:p w14:paraId="6430561A" w14:textId="77777777" w:rsidR="009F6D8A" w:rsidRDefault="00C50974">
      <w:pPr>
        <w:jc w:val="center"/>
      </w:pPr>
      <w:r>
        <w:rPr>
          <w:rFonts w:ascii="Arial" w:eastAsia="宋体" w:hAnsi="Arial" w:cs="Arial"/>
          <w:color w:val="000000"/>
          <w:sz w:val="20"/>
          <w:szCs w:val="20"/>
        </w:rPr>
        <w:t>53</w:t>
      </w:r>
    </w:p>
    <w:p w14:paraId="6430561B" w14:textId="77777777" w:rsidR="009F6D8A" w:rsidRDefault="00C50974">
      <w:r>
        <w:pict w14:anchorId="64305838">
          <v:rect id="_x0000_i1077" style="width:415.3pt;height:1.5pt" o:hralign="center" o:hrstd="t" o:hr="t" fillcolor="#a0a0a0" stroked="f"/>
        </w:pict>
      </w:r>
    </w:p>
    <w:p w14:paraId="6430561C" w14:textId="77777777" w:rsidR="009F6D8A" w:rsidRDefault="009F6D8A"/>
    <w:p w14:paraId="6430561D" w14:textId="77777777" w:rsidR="009F6D8A" w:rsidRDefault="009F6D8A">
      <w:pPr>
        <w:ind w:firstLine="540"/>
        <w:jc w:val="both"/>
      </w:pPr>
    </w:p>
    <w:p w14:paraId="6430561E" w14:textId="77777777" w:rsidR="009F6D8A" w:rsidRDefault="00C50974">
      <w:pPr>
        <w:ind w:hanging="1080"/>
      </w:pPr>
      <w:r>
        <w:rPr>
          <w:rFonts w:ascii="Arial" w:eastAsia="宋体" w:hAnsi="Arial" w:cs="Arial"/>
          <w:b/>
          <w:bCs/>
          <w:color w:val="000000"/>
          <w:sz w:val="20"/>
          <w:szCs w:val="20"/>
        </w:rPr>
        <w:t>Item 4:    Controls and Procedures</w:t>
      </w:r>
    </w:p>
    <w:p w14:paraId="6430561F" w14:textId="77777777" w:rsidR="009F6D8A" w:rsidRDefault="009F6D8A">
      <w:pPr>
        <w:ind w:hanging="1080"/>
      </w:pPr>
    </w:p>
    <w:p w14:paraId="64305620" w14:textId="77777777" w:rsidR="009F6D8A" w:rsidRDefault="00C50974">
      <w:pPr>
        <w:ind w:firstLine="540"/>
        <w:jc w:val="both"/>
      </w:pPr>
      <w:r>
        <w:rPr>
          <w:rFonts w:ascii="Arial" w:eastAsia="宋体" w:hAnsi="Arial" w:cs="Arial"/>
          <w:color w:val="000000"/>
          <w:sz w:val="20"/>
          <w:szCs w:val="20"/>
        </w:rPr>
        <w:t>(a) </w:t>
      </w:r>
      <w:r>
        <w:rPr>
          <w:rFonts w:ascii="Arial" w:eastAsia="宋体" w:hAnsi="Arial" w:cs="Arial"/>
          <w:i/>
          <w:iCs/>
          <w:color w:val="000000"/>
          <w:sz w:val="20"/>
          <w:szCs w:val="20"/>
        </w:rPr>
        <w:t>Evaluation of disclosure controls and procedures.</w:t>
      </w:r>
      <w:r>
        <w:rPr>
          <w:rFonts w:ascii="Arial" w:eastAsia="宋体" w:hAnsi="Arial" w:cs="Arial"/>
          <w:color w:val="000000"/>
          <w:sz w:val="20"/>
          <w:szCs w:val="20"/>
        </w:rPr>
        <w:t> Based on the evaluation of our disclosure controls and pro</w:t>
      </w:r>
      <w:r>
        <w:rPr>
          <w:rFonts w:ascii="Arial" w:eastAsia="宋体" w:hAnsi="Arial" w:cs="Arial"/>
          <w:color w:val="000000"/>
          <w:sz w:val="20"/>
          <w:szCs w:val="20"/>
        </w:rPr>
        <w:t>cedures (as defined in Rules 13a-15(e) and 15d-15(e) under the Securities Exchange Act of 1934, as amended, or the Exchange Act) required by Exchange Act Rules 13a-15(b) or 15d-15(b), our principal executive officer and our principal financial officer have</w:t>
      </w:r>
      <w:r>
        <w:rPr>
          <w:rFonts w:ascii="Arial" w:eastAsia="宋体" w:hAnsi="Arial" w:cs="Arial"/>
          <w:color w:val="000000"/>
          <w:sz w:val="20"/>
          <w:szCs w:val="20"/>
        </w:rPr>
        <w:t xml:space="preserve"> concluded that our disclosure controls and procedures were effective as of June 30, 2021.</w:t>
      </w:r>
    </w:p>
    <w:p w14:paraId="64305621" w14:textId="77777777" w:rsidR="009F6D8A" w:rsidRDefault="009F6D8A">
      <w:pPr>
        <w:ind w:firstLine="495"/>
        <w:jc w:val="both"/>
      </w:pPr>
    </w:p>
    <w:p w14:paraId="64305622" w14:textId="77777777" w:rsidR="009F6D8A" w:rsidRDefault="00C50974">
      <w:pPr>
        <w:ind w:firstLine="540"/>
        <w:jc w:val="both"/>
      </w:pPr>
      <w:r>
        <w:rPr>
          <w:rFonts w:ascii="Arial" w:eastAsia="宋体" w:hAnsi="Arial" w:cs="Arial"/>
          <w:color w:val="000000"/>
          <w:sz w:val="20"/>
          <w:szCs w:val="20"/>
        </w:rPr>
        <w:t>(b) </w:t>
      </w:r>
      <w:r>
        <w:rPr>
          <w:rFonts w:ascii="Arial" w:eastAsia="宋体" w:hAnsi="Arial" w:cs="Arial"/>
          <w:i/>
          <w:iCs/>
          <w:color w:val="000000"/>
          <w:sz w:val="20"/>
          <w:szCs w:val="20"/>
        </w:rPr>
        <w:t>Changes in internal controls.</w:t>
      </w:r>
      <w:r>
        <w:rPr>
          <w:rFonts w:ascii="Arial" w:eastAsia="宋体" w:hAnsi="Arial" w:cs="Arial"/>
          <w:color w:val="000000"/>
          <w:sz w:val="20"/>
          <w:szCs w:val="20"/>
        </w:rPr>
        <w:t> There were no changes in our internal control over financial reporting as defined in Exchange Act Rules 13a-15(f) that occurred du</w:t>
      </w:r>
      <w:r>
        <w:rPr>
          <w:rFonts w:ascii="Arial" w:eastAsia="宋体" w:hAnsi="Arial" w:cs="Arial"/>
          <w:color w:val="000000"/>
          <w:sz w:val="20"/>
          <w:szCs w:val="20"/>
        </w:rPr>
        <w:t xml:space="preserve">ring our most recently completed fiscal quarter that have materially affected, or are reasonably likely to materially affect, our internal control over financial reporting. </w:t>
      </w:r>
    </w:p>
    <w:p w14:paraId="64305623" w14:textId="77777777" w:rsidR="009F6D8A" w:rsidRDefault="009F6D8A">
      <w:pPr>
        <w:ind w:firstLine="540"/>
        <w:jc w:val="both"/>
      </w:pPr>
    </w:p>
    <w:p w14:paraId="64305624" w14:textId="77777777" w:rsidR="009F6D8A" w:rsidRDefault="009F6D8A">
      <w:pPr>
        <w:ind w:firstLine="540"/>
        <w:jc w:val="both"/>
      </w:pPr>
    </w:p>
    <w:p w14:paraId="64305625" w14:textId="77777777" w:rsidR="009F6D8A" w:rsidRDefault="009F6D8A">
      <w:pPr>
        <w:jc w:val="center"/>
      </w:pPr>
    </w:p>
    <w:p w14:paraId="64305626" w14:textId="77777777" w:rsidR="009F6D8A" w:rsidRDefault="00C50974">
      <w:pPr>
        <w:jc w:val="center"/>
      </w:pPr>
      <w:r>
        <w:rPr>
          <w:rFonts w:ascii="Arial" w:eastAsia="宋体" w:hAnsi="Arial" w:cs="Arial"/>
          <w:color w:val="000000"/>
          <w:sz w:val="20"/>
          <w:szCs w:val="20"/>
        </w:rPr>
        <w:t>54</w:t>
      </w:r>
    </w:p>
    <w:p w14:paraId="64305627" w14:textId="77777777" w:rsidR="009F6D8A" w:rsidRDefault="00C50974">
      <w:r>
        <w:pict w14:anchorId="64305839">
          <v:rect id="_x0000_i1078" style="width:415.3pt;height:1.5pt" o:hralign="center" o:hrstd="t" o:hr="t" fillcolor="#a0a0a0" stroked="f"/>
        </w:pict>
      </w:r>
    </w:p>
    <w:p w14:paraId="64305628" w14:textId="77777777" w:rsidR="009F6D8A" w:rsidRDefault="009F6D8A"/>
    <w:p w14:paraId="64305629" w14:textId="77777777" w:rsidR="009F6D8A" w:rsidRDefault="009F6D8A">
      <w:pPr>
        <w:jc w:val="center"/>
      </w:pPr>
    </w:p>
    <w:p w14:paraId="6430562A" w14:textId="77777777" w:rsidR="009F6D8A" w:rsidRDefault="00C50974">
      <w:pPr>
        <w:jc w:val="center"/>
      </w:pPr>
      <w:r>
        <w:rPr>
          <w:rFonts w:ascii="Arial" w:eastAsia="宋体" w:hAnsi="Arial" w:cs="Arial"/>
          <w:b/>
          <w:bCs/>
          <w:color w:val="000000"/>
          <w:sz w:val="20"/>
          <w:szCs w:val="20"/>
        </w:rPr>
        <w:t>PART II: OTHER INFORMATION</w:t>
      </w:r>
    </w:p>
    <w:p w14:paraId="6430562B" w14:textId="77777777" w:rsidR="009F6D8A" w:rsidRDefault="009F6D8A">
      <w:pPr>
        <w:jc w:val="center"/>
      </w:pPr>
    </w:p>
    <w:p w14:paraId="6430562C" w14:textId="77777777" w:rsidR="009F6D8A" w:rsidRDefault="00C50974">
      <w:pPr>
        <w:ind w:hanging="1080"/>
      </w:pPr>
      <w:r>
        <w:rPr>
          <w:rFonts w:ascii="Arial" w:eastAsia="宋体" w:hAnsi="Arial" w:cs="Arial"/>
          <w:b/>
          <w:bCs/>
          <w:color w:val="000000"/>
          <w:sz w:val="20"/>
          <w:szCs w:val="20"/>
        </w:rPr>
        <w:t>Item 1:    Legal Proceedings</w:t>
      </w:r>
    </w:p>
    <w:p w14:paraId="6430562D" w14:textId="77777777" w:rsidR="009F6D8A" w:rsidRDefault="009F6D8A">
      <w:pPr>
        <w:ind w:hanging="1080"/>
      </w:pPr>
    </w:p>
    <w:p w14:paraId="6430562E" w14:textId="77777777" w:rsidR="009F6D8A" w:rsidRDefault="00C50974">
      <w:pPr>
        <w:ind w:firstLine="450"/>
        <w:jc w:val="both"/>
      </w:pPr>
      <w:r>
        <w:rPr>
          <w:rFonts w:ascii="Arial" w:eastAsia="宋体" w:hAnsi="Arial" w:cs="Arial"/>
          <w:color w:val="000000"/>
          <w:sz w:val="20"/>
          <w:szCs w:val="20"/>
        </w:rPr>
        <w:t xml:space="preserve">The </w:t>
      </w:r>
      <w:r>
        <w:rPr>
          <w:rFonts w:ascii="Arial" w:eastAsia="宋体" w:hAnsi="Arial" w:cs="Arial"/>
          <w:color w:val="000000"/>
          <w:sz w:val="20"/>
          <w:szCs w:val="20"/>
        </w:rPr>
        <w:t>information set forth under “Note 11 – Commitments and Contingencies – Litigation and Other Legal Matters” to the condensed consolidated financial statements included in Part I, Item 1 of this Quarterly Report on Form 10-Q is incorporated herein by referen</w:t>
      </w:r>
      <w:r>
        <w:rPr>
          <w:rFonts w:ascii="Arial" w:eastAsia="宋体" w:hAnsi="Arial" w:cs="Arial"/>
          <w:color w:val="000000"/>
          <w:sz w:val="20"/>
          <w:szCs w:val="20"/>
        </w:rPr>
        <w:t>ce.</w:t>
      </w:r>
    </w:p>
    <w:p w14:paraId="6430562F" w14:textId="77777777" w:rsidR="009F6D8A" w:rsidRDefault="009F6D8A"/>
    <w:p w14:paraId="64305630" w14:textId="77777777" w:rsidR="009F6D8A" w:rsidRDefault="00C50974">
      <w:pPr>
        <w:ind w:hanging="1080"/>
      </w:pPr>
      <w:r>
        <w:rPr>
          <w:rFonts w:ascii="Arial" w:eastAsia="宋体" w:hAnsi="Arial" w:cs="Arial"/>
          <w:b/>
          <w:bCs/>
          <w:color w:val="000000"/>
          <w:sz w:val="20"/>
          <w:szCs w:val="20"/>
        </w:rPr>
        <w:t>Item 1A:</w:t>
      </w:r>
      <w:r>
        <w:rPr>
          <w:rFonts w:ascii="Arial" w:eastAsia="宋体" w:hAnsi="Arial" w:cs="Arial"/>
          <w:color w:val="000000"/>
          <w:sz w:val="20"/>
          <w:szCs w:val="20"/>
        </w:rPr>
        <w:t>    </w:t>
      </w:r>
      <w:r>
        <w:rPr>
          <w:rFonts w:ascii="Arial" w:eastAsia="宋体" w:hAnsi="Arial" w:cs="Arial"/>
          <w:b/>
          <w:bCs/>
          <w:color w:val="000000"/>
          <w:sz w:val="20"/>
          <w:szCs w:val="20"/>
        </w:rPr>
        <w:t xml:space="preserve">Risk Factors </w:t>
      </w:r>
    </w:p>
    <w:p w14:paraId="64305631" w14:textId="77777777" w:rsidR="009F6D8A" w:rsidRDefault="009F6D8A">
      <w:pPr>
        <w:ind w:hanging="1080"/>
        <w:jc w:val="both"/>
      </w:pPr>
    </w:p>
    <w:p w14:paraId="64305632" w14:textId="77777777" w:rsidR="009F6D8A" w:rsidRDefault="00C50974">
      <w:pPr>
        <w:ind w:firstLine="180"/>
        <w:jc w:val="both"/>
      </w:pPr>
      <w:r>
        <w:rPr>
          <w:rFonts w:ascii="Arial" w:eastAsia="宋体" w:hAnsi="Arial" w:cs="Arial"/>
          <w:b/>
          <w:bCs/>
          <w:i/>
          <w:iCs/>
          <w:color w:val="000000"/>
          <w:sz w:val="20"/>
          <w:szCs w:val="20"/>
          <w:u w:val="single"/>
        </w:rPr>
        <w:t>Risk Factors:</w:t>
      </w:r>
    </w:p>
    <w:p w14:paraId="64305633" w14:textId="77777777" w:rsidR="009F6D8A" w:rsidRDefault="009F6D8A">
      <w:pPr>
        <w:ind w:firstLine="450"/>
        <w:jc w:val="both"/>
      </w:pPr>
    </w:p>
    <w:p w14:paraId="64305634" w14:textId="77777777" w:rsidR="009F6D8A" w:rsidRDefault="00C50974">
      <w:pPr>
        <w:ind w:firstLine="450"/>
        <w:jc w:val="both"/>
      </w:pPr>
      <w:r>
        <w:rPr>
          <w:rFonts w:ascii="Arial" w:eastAsia="宋体" w:hAnsi="Arial" w:cs="Arial"/>
          <w:color w:val="000000"/>
          <w:sz w:val="20"/>
          <w:szCs w:val="20"/>
        </w:rPr>
        <w:t>We are subject to various risks and uncertainties that may affect our business, results of operations and financial condition including not limited to, those described in Part I, Item 1A, Risk Factors in our A</w:t>
      </w:r>
      <w:r>
        <w:rPr>
          <w:rFonts w:ascii="Arial" w:eastAsia="宋体" w:hAnsi="Arial" w:cs="Arial"/>
          <w:color w:val="000000"/>
          <w:sz w:val="20"/>
          <w:szCs w:val="20"/>
        </w:rPr>
        <w:t xml:space="preserve">nnual Report on Form 10-K for the year ended December 31, 2020 (“2020 Form 10-K”). Current global economic events and conditions may amplify many of these risks. These risks are not the only risks that may affect us. Additional risks that we are not aware </w:t>
      </w:r>
      <w:r>
        <w:rPr>
          <w:rFonts w:ascii="Arial" w:eastAsia="宋体" w:hAnsi="Arial" w:cs="Arial"/>
          <w:color w:val="000000"/>
          <w:sz w:val="20"/>
          <w:szCs w:val="20"/>
        </w:rPr>
        <w:t xml:space="preserve">of or do not believe are material at the time of this filing may also become important factors that adversely affect our business. Except as set forth below, there have been no material changes to the Company’s risk factors since the 2020 Form 10-K. </w:t>
      </w:r>
    </w:p>
    <w:p w14:paraId="64305635" w14:textId="77777777" w:rsidR="009F6D8A" w:rsidRDefault="009F6D8A">
      <w:pPr>
        <w:ind w:firstLine="450"/>
        <w:jc w:val="both"/>
      </w:pPr>
    </w:p>
    <w:p w14:paraId="64305636" w14:textId="77777777" w:rsidR="009F6D8A" w:rsidRDefault="00C50974">
      <w:pPr>
        <w:ind w:firstLine="180"/>
        <w:jc w:val="both"/>
      </w:pPr>
      <w:r>
        <w:rPr>
          <w:rFonts w:ascii="Arial" w:eastAsia="宋体" w:hAnsi="Arial" w:cs="Arial"/>
          <w:b/>
          <w:bCs/>
          <w:i/>
          <w:iCs/>
          <w:color w:val="000000"/>
          <w:sz w:val="20"/>
          <w:szCs w:val="20"/>
        </w:rPr>
        <w:t>Tran</w:t>
      </w:r>
      <w:r>
        <w:rPr>
          <w:rFonts w:ascii="Arial" w:eastAsia="宋体" w:hAnsi="Arial" w:cs="Arial"/>
          <w:b/>
          <w:bCs/>
          <w:i/>
          <w:iCs/>
          <w:color w:val="000000"/>
          <w:sz w:val="20"/>
          <w:szCs w:val="20"/>
        </w:rPr>
        <w:t>sactional Risk</w:t>
      </w:r>
    </w:p>
    <w:p w14:paraId="64305637" w14:textId="77777777" w:rsidR="009F6D8A" w:rsidRDefault="009F6D8A">
      <w:pPr>
        <w:ind w:firstLine="180"/>
        <w:jc w:val="both"/>
      </w:pPr>
    </w:p>
    <w:p w14:paraId="64305638" w14:textId="77777777" w:rsidR="009F6D8A" w:rsidRDefault="00C50974">
      <w:pPr>
        <w:ind w:firstLine="450"/>
        <w:jc w:val="both"/>
      </w:pPr>
      <w:r>
        <w:rPr>
          <w:rFonts w:ascii="Arial" w:eastAsia="宋体" w:hAnsi="Arial" w:cs="Arial"/>
          <w:i/>
          <w:iCs/>
          <w:color w:val="000000"/>
          <w:sz w:val="20"/>
          <w:szCs w:val="20"/>
        </w:rPr>
        <w:t>The closing of the proposed sale of our eBay Korea business is subject to various risks and uncertainties, may not be completed in accordance with expected plans or on the currently contemplated terms or timeline, or at all, and may not gen</w:t>
      </w:r>
      <w:r>
        <w:rPr>
          <w:rFonts w:ascii="Arial" w:eastAsia="宋体" w:hAnsi="Arial" w:cs="Arial"/>
          <w:i/>
          <w:iCs/>
          <w:color w:val="000000"/>
          <w:sz w:val="20"/>
          <w:szCs w:val="20"/>
        </w:rPr>
        <w:t>erate the anticipated returns to eBay, and the pending sale may be disruptive to our eBay Korea business.</w:t>
      </w:r>
    </w:p>
    <w:p w14:paraId="64305639" w14:textId="77777777" w:rsidR="009F6D8A" w:rsidRDefault="009F6D8A"/>
    <w:p w14:paraId="6430563A" w14:textId="77777777" w:rsidR="009F6D8A" w:rsidRDefault="00C50974">
      <w:pPr>
        <w:ind w:firstLine="450"/>
        <w:jc w:val="both"/>
      </w:pPr>
      <w:r>
        <w:rPr>
          <w:rFonts w:ascii="Arial" w:eastAsia="宋体" w:hAnsi="Arial" w:cs="Arial"/>
          <w:color w:val="000000"/>
          <w:sz w:val="20"/>
          <w:szCs w:val="20"/>
        </w:rPr>
        <w:t>We believe the transaction will close by the end of 2021 or in early 2022. However, the completion of the transaction is subject to receipt of certai</w:t>
      </w:r>
      <w:r>
        <w:rPr>
          <w:rFonts w:ascii="Arial" w:eastAsia="宋体" w:hAnsi="Arial" w:cs="Arial"/>
          <w:color w:val="000000"/>
          <w:sz w:val="20"/>
          <w:szCs w:val="20"/>
        </w:rPr>
        <w:t>n regulatory approvals and other customary closing conditions. We cannot assure you that the conditions to the closing of the transaction will be satisfied and, if those conditions are neither satisfied nor, where permissible, waived on a timely basis or a</w:t>
      </w:r>
      <w:r>
        <w:rPr>
          <w:rFonts w:ascii="Arial" w:eastAsia="宋体" w:hAnsi="Arial" w:cs="Arial"/>
          <w:color w:val="000000"/>
          <w:sz w:val="20"/>
          <w:szCs w:val="20"/>
        </w:rPr>
        <w:t xml:space="preserve">t all, we may be unable to complete the sale of the Korea business, or such completion may be delayed or completed on terms that are less favorable, perhaps materially, to us than the terms currently contemplated. </w:t>
      </w:r>
    </w:p>
    <w:p w14:paraId="6430563B" w14:textId="77777777" w:rsidR="009F6D8A" w:rsidRDefault="009F6D8A"/>
    <w:p w14:paraId="6430563C" w14:textId="77777777" w:rsidR="009F6D8A" w:rsidRDefault="00C50974">
      <w:pPr>
        <w:ind w:firstLine="450"/>
        <w:jc w:val="both"/>
      </w:pPr>
      <w:r>
        <w:rPr>
          <w:rFonts w:ascii="Arial" w:eastAsia="宋体" w:hAnsi="Arial" w:cs="Arial"/>
          <w:color w:val="000000"/>
          <w:sz w:val="20"/>
          <w:szCs w:val="20"/>
        </w:rPr>
        <w:t xml:space="preserve">If the proposed sale of the Korea </w:t>
      </w:r>
      <w:r>
        <w:rPr>
          <w:rFonts w:ascii="Arial" w:eastAsia="宋体" w:hAnsi="Arial" w:cs="Arial"/>
          <w:color w:val="000000"/>
          <w:sz w:val="20"/>
          <w:szCs w:val="20"/>
        </w:rPr>
        <w:t>business is delayed or not completed for any reason, including due to inability to satisfy the closing conditions set forth in the transaction agreement or industry or economic conditions outside of our control, including those related to the ongoing COVID</w:t>
      </w:r>
      <w:r>
        <w:rPr>
          <w:rFonts w:ascii="Arial" w:eastAsia="宋体" w:hAnsi="Arial" w:cs="Arial"/>
          <w:color w:val="000000"/>
          <w:sz w:val="20"/>
          <w:szCs w:val="20"/>
        </w:rPr>
        <w:t>-19 pandemic, investor confidence could decline and we could face negative publicity and possible litigation. In addition, in the event of a failed transaction, we will have expended significant management resources in an effort to complete the transaction</w:t>
      </w:r>
      <w:r>
        <w:rPr>
          <w:rFonts w:ascii="Arial" w:eastAsia="宋体" w:hAnsi="Arial" w:cs="Arial"/>
          <w:color w:val="000000"/>
          <w:sz w:val="20"/>
          <w:szCs w:val="20"/>
        </w:rPr>
        <w:t xml:space="preserve"> and, although in some circumstances we may be entitled to a termination fee, we will have incurred significant transaction costs. Accordingly, if the proposed sale of the Korea business is not completed on the timeline or terms currently contemplated, or </w:t>
      </w:r>
      <w:r>
        <w:rPr>
          <w:rFonts w:ascii="Arial" w:eastAsia="宋体" w:hAnsi="Arial" w:cs="Arial"/>
          <w:color w:val="000000"/>
          <w:sz w:val="20"/>
          <w:szCs w:val="20"/>
        </w:rPr>
        <w:t>at all, our business, results of operations, financial condition, cash flows and stock price may be adversely affected.</w:t>
      </w:r>
    </w:p>
    <w:p w14:paraId="6430563D" w14:textId="77777777" w:rsidR="009F6D8A" w:rsidRDefault="009F6D8A">
      <w:pPr>
        <w:jc w:val="center"/>
      </w:pPr>
    </w:p>
    <w:p w14:paraId="6430563E" w14:textId="77777777" w:rsidR="009F6D8A" w:rsidRDefault="00C50974">
      <w:pPr>
        <w:jc w:val="center"/>
      </w:pPr>
      <w:r>
        <w:rPr>
          <w:rFonts w:ascii="Arial" w:eastAsia="宋体" w:hAnsi="Arial" w:cs="Arial"/>
          <w:color w:val="000000"/>
          <w:sz w:val="20"/>
          <w:szCs w:val="20"/>
        </w:rPr>
        <w:t>55</w:t>
      </w:r>
    </w:p>
    <w:p w14:paraId="6430563F" w14:textId="77777777" w:rsidR="009F6D8A" w:rsidRDefault="00C50974">
      <w:r>
        <w:pict w14:anchorId="6430583A">
          <v:rect id="_x0000_i1079" style="width:415.3pt;height:1.5pt" o:hralign="center" o:hrstd="t" o:hr="t" fillcolor="#a0a0a0" stroked="f"/>
        </w:pict>
      </w:r>
    </w:p>
    <w:p w14:paraId="64305640" w14:textId="77777777" w:rsidR="009F6D8A" w:rsidRDefault="009F6D8A"/>
    <w:p w14:paraId="64305641" w14:textId="77777777" w:rsidR="009F6D8A" w:rsidRDefault="00C50974">
      <w:pPr>
        <w:ind w:hanging="1080"/>
      </w:pPr>
      <w:r>
        <w:rPr>
          <w:rFonts w:ascii="Arial" w:eastAsia="宋体" w:hAnsi="Arial" w:cs="Arial"/>
          <w:b/>
          <w:bCs/>
          <w:color w:val="000000"/>
          <w:sz w:val="20"/>
          <w:szCs w:val="20"/>
        </w:rPr>
        <w:t>Item 2:</w:t>
      </w:r>
      <w:r>
        <w:rPr>
          <w:rFonts w:ascii="Arial" w:eastAsia="宋体" w:hAnsi="Arial" w:cs="Arial"/>
          <w:color w:val="000000"/>
          <w:sz w:val="20"/>
          <w:szCs w:val="20"/>
        </w:rPr>
        <w:t>    </w:t>
      </w:r>
      <w:r>
        <w:rPr>
          <w:rFonts w:ascii="Arial" w:eastAsia="宋体" w:hAnsi="Arial" w:cs="Arial"/>
          <w:b/>
          <w:bCs/>
          <w:color w:val="000000"/>
          <w:sz w:val="20"/>
          <w:szCs w:val="20"/>
        </w:rPr>
        <w:t xml:space="preserve">Unregistered Sales of Equity Securities and Use of Proceeds </w:t>
      </w:r>
    </w:p>
    <w:p w14:paraId="64305642" w14:textId="77777777" w:rsidR="009F6D8A" w:rsidRDefault="009F6D8A">
      <w:pPr>
        <w:ind w:firstLine="540"/>
      </w:pPr>
    </w:p>
    <w:p w14:paraId="64305643" w14:textId="77777777" w:rsidR="009F6D8A" w:rsidRDefault="00C50974">
      <w:pPr>
        <w:ind w:firstLine="450"/>
      </w:pPr>
      <w:r>
        <w:rPr>
          <w:rFonts w:ascii="Arial" w:eastAsia="宋体" w:hAnsi="Arial" w:cs="Arial"/>
          <w:color w:val="000000"/>
          <w:sz w:val="20"/>
          <w:szCs w:val="20"/>
        </w:rPr>
        <w:t xml:space="preserve">Stock repurchase activity during the three months ended </w:t>
      </w:r>
      <w:r>
        <w:rPr>
          <w:rFonts w:ascii="Arial" w:eastAsia="宋体" w:hAnsi="Arial" w:cs="Arial"/>
          <w:color w:val="000000"/>
          <w:sz w:val="20"/>
          <w:szCs w:val="20"/>
        </w:rPr>
        <w:t>June 30, 2021 was as follows:</w:t>
      </w:r>
    </w:p>
    <w:tbl>
      <w:tblPr>
        <w:tblW w:w="5000" w:type="pct"/>
        <w:tblCellMar>
          <w:top w:w="15" w:type="dxa"/>
          <w:left w:w="15" w:type="dxa"/>
          <w:bottom w:w="15" w:type="dxa"/>
          <w:right w:w="15" w:type="dxa"/>
        </w:tblCellMar>
        <w:tblLook w:val="04A0" w:firstRow="1" w:lastRow="0" w:firstColumn="1" w:lastColumn="0" w:noHBand="0" w:noVBand="1"/>
      </w:tblPr>
      <w:tblGrid>
        <w:gridCol w:w="43"/>
        <w:gridCol w:w="2759"/>
        <w:gridCol w:w="36"/>
        <w:gridCol w:w="36"/>
        <w:gridCol w:w="36"/>
        <w:gridCol w:w="36"/>
        <w:gridCol w:w="66"/>
        <w:gridCol w:w="1004"/>
        <w:gridCol w:w="36"/>
        <w:gridCol w:w="36"/>
        <w:gridCol w:w="173"/>
        <w:gridCol w:w="36"/>
        <w:gridCol w:w="115"/>
        <w:gridCol w:w="1052"/>
        <w:gridCol w:w="36"/>
        <w:gridCol w:w="44"/>
        <w:gridCol w:w="124"/>
        <w:gridCol w:w="36"/>
        <w:gridCol w:w="36"/>
        <w:gridCol w:w="36"/>
        <w:gridCol w:w="36"/>
        <w:gridCol w:w="64"/>
        <w:gridCol w:w="1030"/>
        <w:gridCol w:w="36"/>
        <w:gridCol w:w="36"/>
        <w:gridCol w:w="36"/>
        <w:gridCol w:w="36"/>
        <w:gridCol w:w="115"/>
        <w:gridCol w:w="1135"/>
        <w:gridCol w:w="36"/>
      </w:tblGrid>
      <w:tr w:rsidR="009F6D8A" w14:paraId="64305662" w14:textId="77777777">
        <w:tc>
          <w:tcPr>
            <w:tcW w:w="50" w:type="pct"/>
            <w:shd w:val="clear" w:color="auto" w:fill="auto"/>
            <w:vAlign w:val="bottom"/>
          </w:tcPr>
          <w:p w14:paraId="64305644" w14:textId="77777777" w:rsidR="009F6D8A" w:rsidRDefault="009F6D8A">
            <w:pPr>
              <w:rPr>
                <w:rFonts w:ascii="宋体"/>
              </w:rPr>
            </w:pPr>
          </w:p>
        </w:tc>
        <w:tc>
          <w:tcPr>
            <w:tcW w:w="1677" w:type="pct"/>
            <w:shd w:val="clear" w:color="auto" w:fill="auto"/>
            <w:vAlign w:val="bottom"/>
          </w:tcPr>
          <w:p w14:paraId="64305645" w14:textId="77777777" w:rsidR="009F6D8A" w:rsidRDefault="009F6D8A">
            <w:pPr>
              <w:rPr>
                <w:rFonts w:ascii="宋体"/>
              </w:rPr>
            </w:pPr>
          </w:p>
        </w:tc>
        <w:tc>
          <w:tcPr>
            <w:tcW w:w="5" w:type="pct"/>
            <w:shd w:val="clear" w:color="auto" w:fill="auto"/>
            <w:vAlign w:val="bottom"/>
          </w:tcPr>
          <w:p w14:paraId="64305646" w14:textId="77777777" w:rsidR="009F6D8A" w:rsidRDefault="009F6D8A">
            <w:pPr>
              <w:rPr>
                <w:rFonts w:ascii="宋体"/>
              </w:rPr>
            </w:pPr>
          </w:p>
        </w:tc>
        <w:tc>
          <w:tcPr>
            <w:tcW w:w="5" w:type="pct"/>
            <w:shd w:val="clear" w:color="auto" w:fill="auto"/>
            <w:vAlign w:val="bottom"/>
          </w:tcPr>
          <w:p w14:paraId="64305647" w14:textId="77777777" w:rsidR="009F6D8A" w:rsidRDefault="009F6D8A">
            <w:pPr>
              <w:rPr>
                <w:rFonts w:ascii="宋体"/>
              </w:rPr>
            </w:pPr>
          </w:p>
        </w:tc>
        <w:tc>
          <w:tcPr>
            <w:tcW w:w="26" w:type="pct"/>
            <w:shd w:val="clear" w:color="auto" w:fill="auto"/>
            <w:vAlign w:val="bottom"/>
          </w:tcPr>
          <w:p w14:paraId="64305648" w14:textId="77777777" w:rsidR="009F6D8A" w:rsidRDefault="009F6D8A">
            <w:pPr>
              <w:rPr>
                <w:rFonts w:ascii="宋体"/>
              </w:rPr>
            </w:pPr>
          </w:p>
        </w:tc>
        <w:tc>
          <w:tcPr>
            <w:tcW w:w="5" w:type="pct"/>
            <w:shd w:val="clear" w:color="auto" w:fill="auto"/>
            <w:vAlign w:val="bottom"/>
          </w:tcPr>
          <w:p w14:paraId="64305649" w14:textId="77777777" w:rsidR="009F6D8A" w:rsidRDefault="009F6D8A">
            <w:pPr>
              <w:rPr>
                <w:rFonts w:ascii="宋体"/>
              </w:rPr>
            </w:pPr>
          </w:p>
        </w:tc>
        <w:tc>
          <w:tcPr>
            <w:tcW w:w="50" w:type="pct"/>
            <w:shd w:val="clear" w:color="auto" w:fill="auto"/>
            <w:vAlign w:val="bottom"/>
          </w:tcPr>
          <w:p w14:paraId="6430564A" w14:textId="77777777" w:rsidR="009F6D8A" w:rsidRDefault="009F6D8A">
            <w:pPr>
              <w:rPr>
                <w:rFonts w:ascii="宋体"/>
              </w:rPr>
            </w:pPr>
          </w:p>
        </w:tc>
        <w:tc>
          <w:tcPr>
            <w:tcW w:w="654" w:type="pct"/>
            <w:shd w:val="clear" w:color="auto" w:fill="auto"/>
            <w:vAlign w:val="bottom"/>
          </w:tcPr>
          <w:p w14:paraId="6430564B" w14:textId="77777777" w:rsidR="009F6D8A" w:rsidRDefault="009F6D8A">
            <w:pPr>
              <w:rPr>
                <w:rFonts w:ascii="宋体"/>
              </w:rPr>
            </w:pPr>
          </w:p>
        </w:tc>
        <w:tc>
          <w:tcPr>
            <w:tcW w:w="5" w:type="pct"/>
            <w:shd w:val="clear" w:color="auto" w:fill="auto"/>
            <w:vAlign w:val="bottom"/>
          </w:tcPr>
          <w:p w14:paraId="6430564C" w14:textId="77777777" w:rsidR="009F6D8A" w:rsidRDefault="009F6D8A">
            <w:pPr>
              <w:rPr>
                <w:rFonts w:ascii="宋体"/>
              </w:rPr>
            </w:pPr>
          </w:p>
        </w:tc>
        <w:tc>
          <w:tcPr>
            <w:tcW w:w="5" w:type="pct"/>
            <w:shd w:val="clear" w:color="auto" w:fill="auto"/>
            <w:vAlign w:val="bottom"/>
          </w:tcPr>
          <w:p w14:paraId="6430564D" w14:textId="77777777" w:rsidR="009F6D8A" w:rsidRDefault="009F6D8A">
            <w:pPr>
              <w:rPr>
                <w:rFonts w:ascii="宋体"/>
              </w:rPr>
            </w:pPr>
          </w:p>
        </w:tc>
        <w:tc>
          <w:tcPr>
            <w:tcW w:w="128" w:type="pct"/>
            <w:shd w:val="clear" w:color="auto" w:fill="auto"/>
            <w:vAlign w:val="bottom"/>
          </w:tcPr>
          <w:p w14:paraId="6430564E" w14:textId="77777777" w:rsidR="009F6D8A" w:rsidRDefault="009F6D8A">
            <w:pPr>
              <w:rPr>
                <w:rFonts w:ascii="宋体"/>
              </w:rPr>
            </w:pPr>
          </w:p>
        </w:tc>
        <w:tc>
          <w:tcPr>
            <w:tcW w:w="5" w:type="pct"/>
            <w:shd w:val="clear" w:color="auto" w:fill="auto"/>
            <w:vAlign w:val="bottom"/>
          </w:tcPr>
          <w:p w14:paraId="6430564F" w14:textId="77777777" w:rsidR="009F6D8A" w:rsidRDefault="009F6D8A">
            <w:pPr>
              <w:rPr>
                <w:rFonts w:ascii="宋体"/>
              </w:rPr>
            </w:pPr>
          </w:p>
        </w:tc>
        <w:tc>
          <w:tcPr>
            <w:tcW w:w="50" w:type="pct"/>
            <w:shd w:val="clear" w:color="auto" w:fill="auto"/>
            <w:vAlign w:val="bottom"/>
          </w:tcPr>
          <w:p w14:paraId="64305650" w14:textId="77777777" w:rsidR="009F6D8A" w:rsidRDefault="009F6D8A">
            <w:pPr>
              <w:rPr>
                <w:rFonts w:ascii="宋体"/>
              </w:rPr>
            </w:pPr>
          </w:p>
        </w:tc>
        <w:tc>
          <w:tcPr>
            <w:tcW w:w="654" w:type="pct"/>
            <w:shd w:val="clear" w:color="auto" w:fill="auto"/>
            <w:vAlign w:val="bottom"/>
          </w:tcPr>
          <w:p w14:paraId="64305651" w14:textId="77777777" w:rsidR="009F6D8A" w:rsidRDefault="009F6D8A">
            <w:pPr>
              <w:rPr>
                <w:rFonts w:ascii="宋体"/>
              </w:rPr>
            </w:pPr>
          </w:p>
        </w:tc>
        <w:tc>
          <w:tcPr>
            <w:tcW w:w="5" w:type="pct"/>
            <w:shd w:val="clear" w:color="auto" w:fill="auto"/>
            <w:vAlign w:val="bottom"/>
          </w:tcPr>
          <w:p w14:paraId="64305652" w14:textId="77777777" w:rsidR="009F6D8A" w:rsidRDefault="009F6D8A">
            <w:pPr>
              <w:rPr>
                <w:rFonts w:ascii="宋体"/>
              </w:rPr>
            </w:pPr>
          </w:p>
        </w:tc>
        <w:tc>
          <w:tcPr>
            <w:tcW w:w="50" w:type="pct"/>
            <w:shd w:val="clear" w:color="auto" w:fill="auto"/>
            <w:vAlign w:val="bottom"/>
          </w:tcPr>
          <w:p w14:paraId="64305653" w14:textId="77777777" w:rsidR="009F6D8A" w:rsidRDefault="009F6D8A">
            <w:pPr>
              <w:rPr>
                <w:rFonts w:ascii="宋体"/>
              </w:rPr>
            </w:pPr>
          </w:p>
        </w:tc>
        <w:tc>
          <w:tcPr>
            <w:tcW w:w="98" w:type="pct"/>
            <w:shd w:val="clear" w:color="auto" w:fill="auto"/>
            <w:vAlign w:val="bottom"/>
          </w:tcPr>
          <w:p w14:paraId="64305654" w14:textId="77777777" w:rsidR="009F6D8A" w:rsidRDefault="009F6D8A">
            <w:pPr>
              <w:rPr>
                <w:rFonts w:ascii="宋体"/>
              </w:rPr>
            </w:pPr>
          </w:p>
        </w:tc>
        <w:tc>
          <w:tcPr>
            <w:tcW w:w="5" w:type="pct"/>
            <w:shd w:val="clear" w:color="auto" w:fill="auto"/>
            <w:vAlign w:val="bottom"/>
          </w:tcPr>
          <w:p w14:paraId="64305655" w14:textId="77777777" w:rsidR="009F6D8A" w:rsidRDefault="009F6D8A">
            <w:pPr>
              <w:rPr>
                <w:rFonts w:ascii="宋体"/>
              </w:rPr>
            </w:pPr>
          </w:p>
        </w:tc>
        <w:tc>
          <w:tcPr>
            <w:tcW w:w="5" w:type="pct"/>
            <w:shd w:val="clear" w:color="auto" w:fill="auto"/>
            <w:vAlign w:val="bottom"/>
          </w:tcPr>
          <w:p w14:paraId="64305656" w14:textId="77777777" w:rsidR="009F6D8A" w:rsidRDefault="009F6D8A">
            <w:pPr>
              <w:rPr>
                <w:rFonts w:ascii="宋体"/>
              </w:rPr>
            </w:pPr>
          </w:p>
        </w:tc>
        <w:tc>
          <w:tcPr>
            <w:tcW w:w="26" w:type="pct"/>
            <w:shd w:val="clear" w:color="auto" w:fill="auto"/>
            <w:vAlign w:val="bottom"/>
          </w:tcPr>
          <w:p w14:paraId="64305657" w14:textId="77777777" w:rsidR="009F6D8A" w:rsidRDefault="009F6D8A">
            <w:pPr>
              <w:rPr>
                <w:rFonts w:ascii="宋体"/>
              </w:rPr>
            </w:pPr>
          </w:p>
        </w:tc>
        <w:tc>
          <w:tcPr>
            <w:tcW w:w="5" w:type="pct"/>
            <w:shd w:val="clear" w:color="auto" w:fill="auto"/>
            <w:vAlign w:val="bottom"/>
          </w:tcPr>
          <w:p w14:paraId="64305658" w14:textId="77777777" w:rsidR="009F6D8A" w:rsidRDefault="009F6D8A">
            <w:pPr>
              <w:rPr>
                <w:rFonts w:ascii="宋体"/>
              </w:rPr>
            </w:pPr>
          </w:p>
        </w:tc>
        <w:tc>
          <w:tcPr>
            <w:tcW w:w="50" w:type="pct"/>
            <w:shd w:val="clear" w:color="auto" w:fill="auto"/>
            <w:vAlign w:val="bottom"/>
          </w:tcPr>
          <w:p w14:paraId="64305659" w14:textId="77777777" w:rsidR="009F6D8A" w:rsidRDefault="009F6D8A">
            <w:pPr>
              <w:rPr>
                <w:rFonts w:ascii="宋体"/>
              </w:rPr>
            </w:pPr>
          </w:p>
        </w:tc>
        <w:tc>
          <w:tcPr>
            <w:tcW w:w="668" w:type="pct"/>
            <w:shd w:val="clear" w:color="auto" w:fill="auto"/>
            <w:vAlign w:val="bottom"/>
          </w:tcPr>
          <w:p w14:paraId="6430565A" w14:textId="77777777" w:rsidR="009F6D8A" w:rsidRDefault="009F6D8A">
            <w:pPr>
              <w:rPr>
                <w:rFonts w:ascii="宋体"/>
              </w:rPr>
            </w:pPr>
          </w:p>
        </w:tc>
        <w:tc>
          <w:tcPr>
            <w:tcW w:w="5" w:type="pct"/>
            <w:shd w:val="clear" w:color="auto" w:fill="auto"/>
            <w:vAlign w:val="bottom"/>
          </w:tcPr>
          <w:p w14:paraId="6430565B" w14:textId="77777777" w:rsidR="009F6D8A" w:rsidRDefault="009F6D8A">
            <w:pPr>
              <w:rPr>
                <w:rFonts w:ascii="宋体"/>
              </w:rPr>
            </w:pPr>
          </w:p>
        </w:tc>
        <w:tc>
          <w:tcPr>
            <w:tcW w:w="5" w:type="pct"/>
            <w:shd w:val="clear" w:color="auto" w:fill="auto"/>
            <w:vAlign w:val="bottom"/>
          </w:tcPr>
          <w:p w14:paraId="6430565C" w14:textId="77777777" w:rsidR="009F6D8A" w:rsidRDefault="009F6D8A">
            <w:pPr>
              <w:rPr>
                <w:rFonts w:ascii="宋体"/>
              </w:rPr>
            </w:pPr>
          </w:p>
        </w:tc>
        <w:tc>
          <w:tcPr>
            <w:tcW w:w="26" w:type="pct"/>
            <w:shd w:val="clear" w:color="auto" w:fill="auto"/>
            <w:vAlign w:val="bottom"/>
          </w:tcPr>
          <w:p w14:paraId="6430565D" w14:textId="77777777" w:rsidR="009F6D8A" w:rsidRDefault="009F6D8A">
            <w:pPr>
              <w:rPr>
                <w:rFonts w:ascii="宋体"/>
              </w:rPr>
            </w:pPr>
          </w:p>
        </w:tc>
        <w:tc>
          <w:tcPr>
            <w:tcW w:w="5" w:type="pct"/>
            <w:shd w:val="clear" w:color="auto" w:fill="auto"/>
            <w:vAlign w:val="bottom"/>
          </w:tcPr>
          <w:p w14:paraId="6430565E" w14:textId="77777777" w:rsidR="009F6D8A" w:rsidRDefault="009F6D8A">
            <w:pPr>
              <w:rPr>
                <w:rFonts w:ascii="宋体"/>
              </w:rPr>
            </w:pPr>
          </w:p>
        </w:tc>
        <w:tc>
          <w:tcPr>
            <w:tcW w:w="50" w:type="pct"/>
            <w:shd w:val="clear" w:color="auto" w:fill="auto"/>
            <w:vAlign w:val="bottom"/>
          </w:tcPr>
          <w:p w14:paraId="6430565F" w14:textId="77777777" w:rsidR="009F6D8A" w:rsidRDefault="009F6D8A">
            <w:pPr>
              <w:rPr>
                <w:rFonts w:ascii="宋体"/>
              </w:rPr>
            </w:pPr>
          </w:p>
        </w:tc>
        <w:tc>
          <w:tcPr>
            <w:tcW w:w="668" w:type="pct"/>
            <w:shd w:val="clear" w:color="auto" w:fill="auto"/>
            <w:vAlign w:val="bottom"/>
          </w:tcPr>
          <w:p w14:paraId="64305660" w14:textId="77777777" w:rsidR="009F6D8A" w:rsidRDefault="009F6D8A">
            <w:pPr>
              <w:rPr>
                <w:rFonts w:ascii="宋体"/>
              </w:rPr>
            </w:pPr>
          </w:p>
        </w:tc>
        <w:tc>
          <w:tcPr>
            <w:tcW w:w="5" w:type="pct"/>
            <w:shd w:val="clear" w:color="auto" w:fill="auto"/>
            <w:vAlign w:val="bottom"/>
          </w:tcPr>
          <w:p w14:paraId="64305661" w14:textId="77777777" w:rsidR="009F6D8A" w:rsidRDefault="009F6D8A">
            <w:pPr>
              <w:rPr>
                <w:rFonts w:ascii="宋体"/>
              </w:rPr>
            </w:pPr>
          </w:p>
        </w:tc>
      </w:tr>
      <w:tr w:rsidR="009F6D8A" w14:paraId="64305677" w14:textId="77777777">
        <w:tc>
          <w:tcPr>
            <w:tcW w:w="0" w:type="auto"/>
            <w:gridSpan w:val="3"/>
            <w:shd w:val="clear" w:color="auto" w:fill="auto"/>
            <w:tcMar>
              <w:top w:w="40" w:type="dxa"/>
              <w:left w:w="20" w:type="dxa"/>
              <w:bottom w:w="40" w:type="dxa"/>
              <w:right w:w="20" w:type="dxa"/>
            </w:tcMar>
            <w:vAlign w:val="bottom"/>
          </w:tcPr>
          <w:p w14:paraId="64305663" w14:textId="77777777" w:rsidR="009F6D8A" w:rsidRDefault="00C50974">
            <w:pPr>
              <w:textAlignment w:val="bottom"/>
            </w:pPr>
            <w:r>
              <w:rPr>
                <w:rFonts w:ascii="Arial" w:eastAsia="宋体" w:hAnsi="Arial" w:cs="Arial"/>
                <w:b/>
                <w:bCs/>
                <w:color w:val="000000"/>
                <w:sz w:val="14"/>
                <w:szCs w:val="14"/>
              </w:rPr>
              <w:t>Period Ended</w:t>
            </w:r>
          </w:p>
        </w:tc>
        <w:tc>
          <w:tcPr>
            <w:tcW w:w="0" w:type="auto"/>
            <w:gridSpan w:val="3"/>
            <w:shd w:val="clear" w:color="auto" w:fill="auto"/>
            <w:tcMar>
              <w:top w:w="0" w:type="dxa"/>
              <w:left w:w="20" w:type="dxa"/>
              <w:bottom w:w="0" w:type="dxa"/>
              <w:right w:w="20" w:type="dxa"/>
            </w:tcMar>
            <w:vAlign w:val="bottom"/>
          </w:tcPr>
          <w:p w14:paraId="64305664"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5665" w14:textId="77777777" w:rsidR="009F6D8A" w:rsidRDefault="00C50974">
            <w:pPr>
              <w:jc w:val="center"/>
              <w:textAlignment w:val="bottom"/>
            </w:pPr>
            <w:r>
              <w:rPr>
                <w:rFonts w:ascii="Arial" w:eastAsia="宋体" w:hAnsi="Arial" w:cs="Arial"/>
                <w:b/>
                <w:bCs/>
                <w:color w:val="000000"/>
                <w:sz w:val="14"/>
                <w:szCs w:val="14"/>
              </w:rPr>
              <w:t>Total Number of</w:t>
            </w:r>
          </w:p>
          <w:p w14:paraId="64305666" w14:textId="77777777" w:rsidR="009F6D8A" w:rsidRDefault="00C50974">
            <w:pPr>
              <w:jc w:val="center"/>
              <w:textAlignment w:val="bottom"/>
            </w:pPr>
            <w:r>
              <w:rPr>
                <w:rFonts w:ascii="Arial" w:eastAsia="宋体" w:hAnsi="Arial" w:cs="Arial"/>
                <w:b/>
                <w:bCs/>
                <w:color w:val="000000"/>
                <w:sz w:val="14"/>
                <w:szCs w:val="14"/>
              </w:rPr>
              <w:t>Shares</w:t>
            </w:r>
          </w:p>
          <w:p w14:paraId="64305667" w14:textId="77777777" w:rsidR="009F6D8A" w:rsidRDefault="00C50974">
            <w:pPr>
              <w:jc w:val="center"/>
              <w:textAlignment w:val="bottom"/>
            </w:pPr>
            <w:r>
              <w:rPr>
                <w:rFonts w:ascii="Arial" w:eastAsia="宋体" w:hAnsi="Arial" w:cs="Arial"/>
                <w:b/>
                <w:bCs/>
                <w:color w:val="000000"/>
                <w:sz w:val="14"/>
                <w:szCs w:val="14"/>
              </w:rPr>
              <w:t>Purchased</w:t>
            </w:r>
          </w:p>
        </w:tc>
        <w:tc>
          <w:tcPr>
            <w:tcW w:w="0" w:type="auto"/>
            <w:gridSpan w:val="3"/>
            <w:shd w:val="clear" w:color="auto" w:fill="auto"/>
            <w:tcMar>
              <w:top w:w="0" w:type="dxa"/>
              <w:left w:w="20" w:type="dxa"/>
              <w:bottom w:w="0" w:type="dxa"/>
              <w:right w:w="20" w:type="dxa"/>
            </w:tcMar>
            <w:vAlign w:val="bottom"/>
          </w:tcPr>
          <w:p w14:paraId="64305668"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5669" w14:textId="77777777" w:rsidR="009F6D8A" w:rsidRDefault="00C50974">
            <w:pPr>
              <w:jc w:val="center"/>
              <w:textAlignment w:val="bottom"/>
            </w:pPr>
            <w:r>
              <w:rPr>
                <w:rFonts w:ascii="Arial" w:eastAsia="宋体" w:hAnsi="Arial" w:cs="Arial"/>
                <w:b/>
                <w:bCs/>
                <w:color w:val="000000"/>
                <w:sz w:val="14"/>
                <w:szCs w:val="14"/>
              </w:rPr>
              <w:t>Average Price Paid</w:t>
            </w:r>
          </w:p>
          <w:p w14:paraId="6430566A" w14:textId="77777777" w:rsidR="009F6D8A" w:rsidRDefault="00C50974">
            <w:pPr>
              <w:jc w:val="center"/>
              <w:textAlignment w:val="bottom"/>
            </w:pPr>
            <w:r>
              <w:rPr>
                <w:rFonts w:ascii="Arial" w:eastAsia="宋体" w:hAnsi="Arial" w:cs="Arial"/>
                <w:b/>
                <w:bCs/>
                <w:color w:val="000000"/>
                <w:sz w:val="14"/>
                <w:szCs w:val="14"/>
              </w:rPr>
              <w:t xml:space="preserve">per Share </w:t>
            </w:r>
            <w:r>
              <w:rPr>
                <w:rFonts w:ascii="Arial" w:eastAsia="宋体" w:hAnsi="Arial" w:cs="Arial"/>
                <w:b/>
                <w:bCs/>
                <w:color w:val="000000"/>
                <w:sz w:val="10"/>
                <w:szCs w:val="10"/>
              </w:rPr>
              <w:t>(2)</w:t>
            </w:r>
          </w:p>
        </w:tc>
        <w:tc>
          <w:tcPr>
            <w:tcW w:w="0" w:type="auto"/>
            <w:gridSpan w:val="3"/>
            <w:shd w:val="clear" w:color="auto" w:fill="auto"/>
            <w:tcMar>
              <w:top w:w="0" w:type="dxa"/>
              <w:left w:w="20" w:type="dxa"/>
              <w:bottom w:w="0" w:type="dxa"/>
              <w:right w:w="20" w:type="dxa"/>
            </w:tcMar>
            <w:vAlign w:val="bottom"/>
          </w:tcPr>
          <w:p w14:paraId="6430566B"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66C"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566D" w14:textId="77777777" w:rsidR="009F6D8A" w:rsidRDefault="00C50974">
            <w:pPr>
              <w:jc w:val="center"/>
              <w:textAlignment w:val="bottom"/>
            </w:pPr>
            <w:r>
              <w:rPr>
                <w:rFonts w:ascii="Arial" w:eastAsia="宋体" w:hAnsi="Arial" w:cs="Arial"/>
                <w:b/>
                <w:bCs/>
                <w:color w:val="000000"/>
                <w:sz w:val="14"/>
                <w:szCs w:val="14"/>
              </w:rPr>
              <w:t>Total Number of</w:t>
            </w:r>
          </w:p>
          <w:p w14:paraId="6430566E" w14:textId="77777777" w:rsidR="009F6D8A" w:rsidRDefault="00C50974">
            <w:pPr>
              <w:jc w:val="center"/>
              <w:textAlignment w:val="bottom"/>
            </w:pPr>
            <w:r>
              <w:rPr>
                <w:rFonts w:ascii="Arial" w:eastAsia="宋体" w:hAnsi="Arial" w:cs="Arial"/>
                <w:b/>
                <w:bCs/>
                <w:color w:val="000000"/>
                <w:sz w:val="14"/>
                <w:szCs w:val="14"/>
              </w:rPr>
              <w:t>Shares Purchased</w:t>
            </w:r>
          </w:p>
          <w:p w14:paraId="6430566F" w14:textId="77777777" w:rsidR="009F6D8A" w:rsidRDefault="00C50974">
            <w:pPr>
              <w:jc w:val="center"/>
              <w:textAlignment w:val="bottom"/>
            </w:pPr>
            <w:r>
              <w:rPr>
                <w:rFonts w:ascii="Arial" w:eastAsia="宋体" w:hAnsi="Arial" w:cs="Arial"/>
                <w:b/>
                <w:bCs/>
                <w:color w:val="000000"/>
                <w:sz w:val="14"/>
                <w:szCs w:val="14"/>
              </w:rPr>
              <w:t>as Part of Publicly</w:t>
            </w:r>
          </w:p>
          <w:p w14:paraId="64305670" w14:textId="77777777" w:rsidR="009F6D8A" w:rsidRDefault="00C50974">
            <w:pPr>
              <w:jc w:val="center"/>
              <w:textAlignment w:val="bottom"/>
            </w:pPr>
            <w:r>
              <w:rPr>
                <w:rFonts w:ascii="Arial" w:eastAsia="宋体" w:hAnsi="Arial" w:cs="Arial"/>
                <w:b/>
                <w:bCs/>
                <w:color w:val="000000"/>
                <w:sz w:val="14"/>
                <w:szCs w:val="14"/>
              </w:rPr>
              <w:t>Announced</w:t>
            </w:r>
          </w:p>
          <w:p w14:paraId="64305671" w14:textId="77777777" w:rsidR="009F6D8A" w:rsidRDefault="00C50974">
            <w:pPr>
              <w:jc w:val="center"/>
              <w:textAlignment w:val="bottom"/>
            </w:pPr>
            <w:r>
              <w:rPr>
                <w:rFonts w:ascii="Arial" w:eastAsia="宋体" w:hAnsi="Arial" w:cs="Arial"/>
                <w:b/>
                <w:bCs/>
                <w:color w:val="000000"/>
                <w:sz w:val="14"/>
                <w:szCs w:val="14"/>
              </w:rPr>
              <w:t>Programs</w:t>
            </w:r>
          </w:p>
        </w:tc>
        <w:tc>
          <w:tcPr>
            <w:tcW w:w="0" w:type="auto"/>
            <w:gridSpan w:val="3"/>
            <w:shd w:val="clear" w:color="auto" w:fill="auto"/>
            <w:tcMar>
              <w:top w:w="0" w:type="dxa"/>
              <w:left w:w="20" w:type="dxa"/>
              <w:bottom w:w="0" w:type="dxa"/>
              <w:right w:w="20" w:type="dxa"/>
            </w:tcMar>
            <w:vAlign w:val="bottom"/>
          </w:tcPr>
          <w:p w14:paraId="64305672"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5673" w14:textId="77777777" w:rsidR="009F6D8A" w:rsidRDefault="00C50974">
            <w:pPr>
              <w:jc w:val="center"/>
              <w:textAlignment w:val="bottom"/>
            </w:pPr>
            <w:r>
              <w:rPr>
                <w:rFonts w:ascii="Arial" w:eastAsia="宋体" w:hAnsi="Arial" w:cs="Arial"/>
                <w:b/>
                <w:bCs/>
                <w:color w:val="000000"/>
                <w:sz w:val="14"/>
                <w:szCs w:val="14"/>
              </w:rPr>
              <w:t>Maximum Dollar</w:t>
            </w:r>
          </w:p>
          <w:p w14:paraId="64305674" w14:textId="77777777" w:rsidR="009F6D8A" w:rsidRDefault="00C50974">
            <w:pPr>
              <w:jc w:val="center"/>
              <w:textAlignment w:val="bottom"/>
            </w:pPr>
            <w:r>
              <w:rPr>
                <w:rFonts w:ascii="Arial" w:eastAsia="宋体" w:hAnsi="Arial" w:cs="Arial"/>
                <w:b/>
                <w:bCs/>
                <w:color w:val="000000"/>
                <w:sz w:val="14"/>
                <w:szCs w:val="14"/>
              </w:rPr>
              <w:t>Value that May Yet</w:t>
            </w:r>
          </w:p>
          <w:p w14:paraId="64305675" w14:textId="77777777" w:rsidR="009F6D8A" w:rsidRDefault="00C50974">
            <w:pPr>
              <w:jc w:val="center"/>
              <w:textAlignment w:val="bottom"/>
            </w:pPr>
            <w:r>
              <w:rPr>
                <w:rFonts w:ascii="Arial" w:eastAsia="宋体" w:hAnsi="Arial" w:cs="Arial"/>
                <w:b/>
                <w:bCs/>
                <w:color w:val="000000"/>
                <w:sz w:val="14"/>
                <w:szCs w:val="14"/>
              </w:rPr>
              <w:t>be Purchased Under</w:t>
            </w:r>
          </w:p>
          <w:p w14:paraId="64305676" w14:textId="77777777" w:rsidR="009F6D8A" w:rsidRDefault="00C50974">
            <w:pPr>
              <w:jc w:val="center"/>
              <w:textAlignment w:val="bottom"/>
            </w:pPr>
            <w:r>
              <w:rPr>
                <w:rFonts w:ascii="Arial" w:eastAsia="宋体" w:hAnsi="Arial" w:cs="Arial"/>
                <w:b/>
                <w:bCs/>
                <w:color w:val="000000"/>
                <w:sz w:val="14"/>
                <w:szCs w:val="14"/>
              </w:rPr>
              <w:t>the Programs</w:t>
            </w:r>
            <w:r>
              <w:rPr>
                <w:rFonts w:ascii="Arial" w:eastAsia="宋体" w:hAnsi="Arial" w:cs="Arial"/>
                <w:b/>
                <w:bCs/>
                <w:color w:val="000000"/>
                <w:sz w:val="16"/>
                <w:szCs w:val="16"/>
              </w:rPr>
              <w:t xml:space="preserve"> </w:t>
            </w:r>
            <w:r>
              <w:rPr>
                <w:rFonts w:ascii="Arial" w:eastAsia="宋体" w:hAnsi="Arial" w:cs="Arial"/>
                <w:b/>
                <w:bCs/>
                <w:color w:val="000000"/>
                <w:sz w:val="10"/>
                <w:szCs w:val="10"/>
              </w:rPr>
              <w:t>(1)</w:t>
            </w:r>
          </w:p>
        </w:tc>
      </w:tr>
      <w:tr w:rsidR="009F6D8A" w14:paraId="64305688" w14:textId="77777777">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64305678" w14:textId="77777777" w:rsidR="009F6D8A" w:rsidRDefault="00C50974">
            <w:pPr>
              <w:textAlignment w:val="bottom"/>
            </w:pPr>
            <w:r>
              <w:rPr>
                <w:rFonts w:ascii="Arial" w:eastAsia="宋体" w:hAnsi="Arial" w:cs="Arial"/>
                <w:color w:val="000000"/>
                <w:sz w:val="17"/>
                <w:szCs w:val="17"/>
              </w:rPr>
              <w:t>April 30, 2021</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5679"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567A" w14:textId="77777777" w:rsidR="009F6D8A" w:rsidRDefault="00C50974">
            <w:pPr>
              <w:jc w:val="right"/>
              <w:textAlignment w:val="bottom"/>
            </w:pPr>
            <w:r>
              <w:rPr>
                <w:rFonts w:ascii="Arial" w:eastAsia="宋体" w:hAnsi="Arial" w:cs="Arial"/>
                <w:color w:val="000000"/>
                <w:sz w:val="17"/>
                <w:szCs w:val="17"/>
              </w:rPr>
              <w:t>1,155,902 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67B" w14:textId="77777777" w:rsidR="009F6D8A" w:rsidRDefault="009F6D8A">
            <w:pPr>
              <w:jc w:val="right"/>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567C"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567D" w14:textId="77777777" w:rsidR="009F6D8A" w:rsidRDefault="00C50974">
            <w:pPr>
              <w:textAlignment w:val="bottom"/>
            </w:pPr>
            <w:r>
              <w:rPr>
                <w:rFonts w:ascii="Arial" w:eastAsia="宋体" w:hAnsi="Arial" w:cs="Arial"/>
                <w:color w:val="000000"/>
                <w:sz w:val="17"/>
                <w:szCs w:val="17"/>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567E" w14:textId="77777777" w:rsidR="009F6D8A" w:rsidRDefault="00C50974">
            <w:pPr>
              <w:jc w:val="right"/>
              <w:textAlignment w:val="bottom"/>
            </w:pPr>
            <w:r>
              <w:rPr>
                <w:rFonts w:ascii="Arial" w:eastAsia="宋体" w:hAnsi="Arial" w:cs="Arial"/>
                <w:color w:val="000000"/>
                <w:sz w:val="17"/>
                <w:szCs w:val="17"/>
              </w:rPr>
              <w:t>55.85 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67F" w14:textId="77777777" w:rsidR="009F6D8A" w:rsidRDefault="009F6D8A">
            <w:pPr>
              <w:jc w:val="right"/>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5680" w14:textId="77777777" w:rsidR="009F6D8A" w:rsidRDefault="009F6D8A">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5681" w14:textId="77777777" w:rsidR="009F6D8A" w:rsidRDefault="009F6D8A">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64305682" w14:textId="77777777" w:rsidR="009F6D8A" w:rsidRDefault="00C50974">
            <w:pPr>
              <w:jc w:val="right"/>
              <w:textAlignment w:val="bottom"/>
            </w:pPr>
            <w:r>
              <w:rPr>
                <w:rFonts w:ascii="Arial" w:eastAsia="宋体" w:hAnsi="Arial" w:cs="Arial"/>
                <w:color w:val="000000"/>
                <w:sz w:val="17"/>
                <w:szCs w:val="17"/>
              </w:rPr>
              <w:t>1,155,902 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683" w14:textId="77777777" w:rsidR="009F6D8A" w:rsidRDefault="009F6D8A">
            <w:pPr>
              <w:jc w:val="right"/>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64305684" w14:textId="77777777" w:rsidR="009F6D8A" w:rsidRDefault="009F6D8A">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64305685" w14:textId="77777777" w:rsidR="009F6D8A" w:rsidRDefault="00C50974">
            <w:pPr>
              <w:textAlignment w:val="bottom"/>
            </w:pPr>
            <w:r>
              <w:rPr>
                <w:rFonts w:ascii="Arial" w:eastAsia="宋体" w:hAnsi="Arial" w:cs="Arial"/>
                <w:color w:val="000000"/>
                <w:sz w:val="17"/>
                <w:szCs w:val="17"/>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64305686" w14:textId="77777777" w:rsidR="009F6D8A" w:rsidRDefault="00C50974">
            <w:pPr>
              <w:jc w:val="right"/>
              <w:textAlignment w:val="bottom"/>
            </w:pPr>
            <w:r>
              <w:rPr>
                <w:rFonts w:ascii="Arial" w:eastAsia="宋体" w:hAnsi="Arial" w:cs="Arial"/>
                <w:color w:val="000000"/>
                <w:sz w:val="17"/>
                <w:szCs w:val="17"/>
              </w:rPr>
              <w:t>5,676,711,777 </w:t>
            </w:r>
          </w:p>
        </w:tc>
        <w:tc>
          <w:tcPr>
            <w:tcW w:w="0" w:type="auto"/>
            <w:tcBorders>
              <w:top w:val="single" w:sz="8" w:space="0" w:color="000000"/>
            </w:tcBorders>
            <w:shd w:val="clear" w:color="auto" w:fill="E2E2E2"/>
            <w:tcMar>
              <w:top w:w="40" w:type="dxa"/>
              <w:left w:w="0" w:type="dxa"/>
              <w:bottom w:w="40" w:type="dxa"/>
              <w:right w:w="20" w:type="dxa"/>
            </w:tcMar>
            <w:vAlign w:val="bottom"/>
          </w:tcPr>
          <w:p w14:paraId="64305687" w14:textId="77777777" w:rsidR="009F6D8A" w:rsidRDefault="009F6D8A">
            <w:pPr>
              <w:jc w:val="right"/>
              <w:rPr>
                <w:rFonts w:ascii="宋体"/>
              </w:rPr>
            </w:pPr>
          </w:p>
        </w:tc>
      </w:tr>
      <w:tr w:rsidR="009F6D8A" w14:paraId="64305699" w14:textId="77777777">
        <w:tc>
          <w:tcPr>
            <w:tcW w:w="0" w:type="auto"/>
            <w:gridSpan w:val="3"/>
            <w:shd w:val="clear" w:color="auto" w:fill="FFFFFF"/>
            <w:tcMar>
              <w:top w:w="40" w:type="dxa"/>
              <w:left w:w="20" w:type="dxa"/>
              <w:bottom w:w="40" w:type="dxa"/>
              <w:right w:w="20" w:type="dxa"/>
            </w:tcMar>
            <w:vAlign w:val="bottom"/>
          </w:tcPr>
          <w:p w14:paraId="64305689" w14:textId="77777777" w:rsidR="009F6D8A" w:rsidRDefault="00C50974">
            <w:pPr>
              <w:textAlignment w:val="bottom"/>
            </w:pPr>
            <w:r>
              <w:rPr>
                <w:rFonts w:ascii="Arial" w:eastAsia="宋体" w:hAnsi="Arial" w:cs="Arial"/>
                <w:color w:val="000000"/>
                <w:sz w:val="17"/>
                <w:szCs w:val="17"/>
              </w:rPr>
              <w:t>May 31, 2021</w:t>
            </w:r>
          </w:p>
        </w:tc>
        <w:tc>
          <w:tcPr>
            <w:tcW w:w="0" w:type="auto"/>
            <w:gridSpan w:val="3"/>
            <w:shd w:val="clear" w:color="auto" w:fill="FFFFFF"/>
            <w:tcMar>
              <w:top w:w="0" w:type="dxa"/>
              <w:left w:w="20" w:type="dxa"/>
              <w:bottom w:w="0" w:type="dxa"/>
              <w:right w:w="20" w:type="dxa"/>
            </w:tcMar>
            <w:vAlign w:val="bottom"/>
          </w:tcPr>
          <w:p w14:paraId="6430568A"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68B" w14:textId="77777777" w:rsidR="009F6D8A" w:rsidRDefault="00C50974">
            <w:pPr>
              <w:jc w:val="right"/>
              <w:textAlignment w:val="bottom"/>
            </w:pPr>
            <w:r>
              <w:rPr>
                <w:rFonts w:ascii="Arial" w:eastAsia="宋体" w:hAnsi="Arial" w:cs="Arial"/>
                <w:color w:val="000000"/>
                <w:sz w:val="17"/>
                <w:szCs w:val="17"/>
              </w:rPr>
              <w:t>11,242,900 </w:t>
            </w:r>
          </w:p>
        </w:tc>
        <w:tc>
          <w:tcPr>
            <w:tcW w:w="0" w:type="auto"/>
            <w:shd w:val="clear" w:color="auto" w:fill="FFFFFF"/>
            <w:tcMar>
              <w:top w:w="40" w:type="dxa"/>
              <w:left w:w="0" w:type="dxa"/>
              <w:bottom w:w="40" w:type="dxa"/>
              <w:right w:w="20" w:type="dxa"/>
            </w:tcMar>
            <w:vAlign w:val="bottom"/>
          </w:tcPr>
          <w:p w14:paraId="6430568C"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68D"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568E" w14:textId="77777777" w:rsidR="009F6D8A" w:rsidRDefault="00C50974">
            <w:pPr>
              <w:textAlignment w:val="bottom"/>
            </w:pPr>
            <w:r>
              <w:rPr>
                <w:rFonts w:ascii="Arial" w:eastAsia="宋体" w:hAnsi="Arial" w:cs="Arial"/>
                <w:color w:val="000000"/>
                <w:sz w:val="17"/>
                <w:szCs w:val="17"/>
              </w:rPr>
              <w:t>$</w:t>
            </w:r>
          </w:p>
        </w:tc>
        <w:tc>
          <w:tcPr>
            <w:tcW w:w="0" w:type="auto"/>
            <w:shd w:val="clear" w:color="auto" w:fill="FFFFFF"/>
            <w:tcMar>
              <w:top w:w="40" w:type="dxa"/>
              <w:left w:w="0" w:type="dxa"/>
              <w:bottom w:w="40" w:type="dxa"/>
              <w:right w:w="0" w:type="dxa"/>
            </w:tcMar>
            <w:vAlign w:val="bottom"/>
          </w:tcPr>
          <w:p w14:paraId="6430568F" w14:textId="77777777" w:rsidR="009F6D8A" w:rsidRDefault="00C50974">
            <w:pPr>
              <w:jc w:val="right"/>
              <w:textAlignment w:val="bottom"/>
            </w:pPr>
            <w:r>
              <w:rPr>
                <w:rFonts w:ascii="Arial" w:eastAsia="宋体" w:hAnsi="Arial" w:cs="Arial"/>
                <w:color w:val="000000"/>
                <w:sz w:val="17"/>
                <w:szCs w:val="17"/>
              </w:rPr>
              <w:t>60.06 </w:t>
            </w:r>
          </w:p>
        </w:tc>
        <w:tc>
          <w:tcPr>
            <w:tcW w:w="0" w:type="auto"/>
            <w:shd w:val="clear" w:color="auto" w:fill="FFFFFF"/>
            <w:tcMar>
              <w:top w:w="40" w:type="dxa"/>
              <w:left w:w="0" w:type="dxa"/>
              <w:bottom w:w="40" w:type="dxa"/>
              <w:right w:w="20" w:type="dxa"/>
            </w:tcMar>
            <w:vAlign w:val="bottom"/>
          </w:tcPr>
          <w:p w14:paraId="64305690"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691"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692" w14:textId="77777777" w:rsidR="009F6D8A" w:rsidRDefault="009F6D8A">
            <w:pPr>
              <w:rPr>
                <w:rFonts w:ascii="宋体"/>
              </w:rPr>
            </w:pPr>
          </w:p>
        </w:tc>
        <w:tc>
          <w:tcPr>
            <w:tcW w:w="0" w:type="auto"/>
            <w:gridSpan w:val="2"/>
            <w:shd w:val="clear" w:color="auto" w:fill="FFFFFF"/>
            <w:tcMar>
              <w:top w:w="40" w:type="dxa"/>
              <w:left w:w="20" w:type="dxa"/>
              <w:bottom w:w="40" w:type="dxa"/>
              <w:right w:w="0" w:type="dxa"/>
            </w:tcMar>
            <w:vAlign w:val="bottom"/>
          </w:tcPr>
          <w:p w14:paraId="64305693" w14:textId="77777777" w:rsidR="009F6D8A" w:rsidRDefault="00C50974">
            <w:pPr>
              <w:jc w:val="right"/>
              <w:textAlignment w:val="bottom"/>
            </w:pPr>
            <w:r>
              <w:rPr>
                <w:rFonts w:ascii="Arial" w:eastAsia="宋体" w:hAnsi="Arial" w:cs="Arial"/>
                <w:color w:val="000000"/>
                <w:sz w:val="17"/>
                <w:szCs w:val="17"/>
              </w:rPr>
              <w:t>11,242,900 </w:t>
            </w:r>
          </w:p>
        </w:tc>
        <w:tc>
          <w:tcPr>
            <w:tcW w:w="0" w:type="auto"/>
            <w:shd w:val="clear" w:color="auto" w:fill="FFFFFF"/>
            <w:tcMar>
              <w:top w:w="40" w:type="dxa"/>
              <w:left w:w="0" w:type="dxa"/>
              <w:bottom w:w="40" w:type="dxa"/>
              <w:right w:w="20" w:type="dxa"/>
            </w:tcMar>
            <w:vAlign w:val="bottom"/>
          </w:tcPr>
          <w:p w14:paraId="6430569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695" w14:textId="77777777" w:rsidR="009F6D8A" w:rsidRDefault="009F6D8A">
            <w:pPr>
              <w:rPr>
                <w:rFonts w:ascii="宋体"/>
              </w:rPr>
            </w:pPr>
          </w:p>
        </w:tc>
        <w:tc>
          <w:tcPr>
            <w:tcW w:w="0" w:type="auto"/>
            <w:shd w:val="clear" w:color="auto" w:fill="FFFFFF"/>
            <w:tcMar>
              <w:top w:w="40" w:type="dxa"/>
              <w:left w:w="20" w:type="dxa"/>
              <w:bottom w:w="40" w:type="dxa"/>
              <w:right w:w="0" w:type="dxa"/>
            </w:tcMar>
            <w:vAlign w:val="bottom"/>
          </w:tcPr>
          <w:p w14:paraId="64305696" w14:textId="77777777" w:rsidR="009F6D8A" w:rsidRDefault="00C50974">
            <w:pPr>
              <w:textAlignment w:val="bottom"/>
            </w:pPr>
            <w:r>
              <w:rPr>
                <w:rFonts w:ascii="Arial" w:eastAsia="宋体" w:hAnsi="Arial" w:cs="Arial"/>
                <w:color w:val="000000"/>
                <w:sz w:val="17"/>
                <w:szCs w:val="17"/>
              </w:rPr>
              <w:t>$</w:t>
            </w:r>
          </w:p>
        </w:tc>
        <w:tc>
          <w:tcPr>
            <w:tcW w:w="0" w:type="auto"/>
            <w:shd w:val="clear" w:color="auto" w:fill="FFFFFF"/>
            <w:tcMar>
              <w:top w:w="40" w:type="dxa"/>
              <w:left w:w="0" w:type="dxa"/>
              <w:bottom w:w="40" w:type="dxa"/>
              <w:right w:w="0" w:type="dxa"/>
            </w:tcMar>
            <w:vAlign w:val="bottom"/>
          </w:tcPr>
          <w:p w14:paraId="64305697" w14:textId="77777777" w:rsidR="009F6D8A" w:rsidRDefault="00C50974">
            <w:pPr>
              <w:jc w:val="right"/>
              <w:textAlignment w:val="bottom"/>
            </w:pPr>
            <w:r>
              <w:rPr>
                <w:rFonts w:ascii="Arial" w:eastAsia="宋体" w:hAnsi="Arial" w:cs="Arial"/>
                <w:color w:val="000000"/>
                <w:sz w:val="17"/>
                <w:szCs w:val="17"/>
              </w:rPr>
              <w:t>5,001,444,046 </w:t>
            </w:r>
          </w:p>
        </w:tc>
        <w:tc>
          <w:tcPr>
            <w:tcW w:w="0" w:type="auto"/>
            <w:shd w:val="clear" w:color="auto" w:fill="FFFFFF"/>
            <w:tcMar>
              <w:top w:w="40" w:type="dxa"/>
              <w:left w:w="0" w:type="dxa"/>
              <w:bottom w:w="40" w:type="dxa"/>
              <w:right w:w="20" w:type="dxa"/>
            </w:tcMar>
            <w:vAlign w:val="bottom"/>
          </w:tcPr>
          <w:p w14:paraId="64305698" w14:textId="77777777" w:rsidR="009F6D8A" w:rsidRDefault="009F6D8A">
            <w:pPr>
              <w:jc w:val="right"/>
              <w:rPr>
                <w:rFonts w:ascii="宋体"/>
              </w:rPr>
            </w:pPr>
          </w:p>
        </w:tc>
      </w:tr>
      <w:tr w:rsidR="009F6D8A" w14:paraId="643056AA" w14:textId="77777777">
        <w:tc>
          <w:tcPr>
            <w:tcW w:w="0" w:type="auto"/>
            <w:gridSpan w:val="3"/>
            <w:shd w:val="clear" w:color="auto" w:fill="E2E2E2"/>
            <w:tcMar>
              <w:top w:w="40" w:type="dxa"/>
              <w:left w:w="20" w:type="dxa"/>
              <w:bottom w:w="40" w:type="dxa"/>
              <w:right w:w="20" w:type="dxa"/>
            </w:tcMar>
            <w:vAlign w:val="bottom"/>
          </w:tcPr>
          <w:p w14:paraId="6430569A" w14:textId="77777777" w:rsidR="009F6D8A" w:rsidRDefault="00C50974">
            <w:pPr>
              <w:textAlignment w:val="bottom"/>
            </w:pPr>
            <w:r>
              <w:rPr>
                <w:rFonts w:ascii="Arial" w:eastAsia="宋体" w:hAnsi="Arial" w:cs="Arial"/>
                <w:color w:val="000000"/>
                <w:sz w:val="17"/>
                <w:szCs w:val="17"/>
              </w:rPr>
              <w:t>June 30, 2021</w:t>
            </w:r>
          </w:p>
        </w:tc>
        <w:tc>
          <w:tcPr>
            <w:tcW w:w="0" w:type="auto"/>
            <w:gridSpan w:val="3"/>
            <w:shd w:val="clear" w:color="auto" w:fill="E2E2E2"/>
            <w:tcMar>
              <w:top w:w="0" w:type="dxa"/>
              <w:left w:w="20" w:type="dxa"/>
              <w:bottom w:w="0" w:type="dxa"/>
              <w:right w:w="20" w:type="dxa"/>
            </w:tcMar>
            <w:vAlign w:val="bottom"/>
          </w:tcPr>
          <w:p w14:paraId="6430569B"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69C" w14:textId="77777777" w:rsidR="009F6D8A" w:rsidRDefault="00C50974">
            <w:pPr>
              <w:jc w:val="right"/>
              <w:textAlignment w:val="bottom"/>
            </w:pPr>
            <w:r>
              <w:rPr>
                <w:rFonts w:ascii="Arial" w:eastAsia="宋体" w:hAnsi="Arial" w:cs="Arial"/>
                <w:color w:val="000000"/>
                <w:sz w:val="17"/>
                <w:szCs w:val="17"/>
              </w:rPr>
              <w:t>11,565,000 </w:t>
            </w:r>
          </w:p>
        </w:tc>
        <w:tc>
          <w:tcPr>
            <w:tcW w:w="0" w:type="auto"/>
            <w:shd w:val="clear" w:color="auto" w:fill="E2E2E2"/>
            <w:tcMar>
              <w:top w:w="40" w:type="dxa"/>
              <w:left w:w="0" w:type="dxa"/>
              <w:bottom w:w="40" w:type="dxa"/>
              <w:right w:w="20" w:type="dxa"/>
            </w:tcMar>
            <w:vAlign w:val="bottom"/>
          </w:tcPr>
          <w:p w14:paraId="6430569D"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69E"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569F" w14:textId="77777777" w:rsidR="009F6D8A" w:rsidRDefault="00C50974">
            <w:pPr>
              <w:textAlignment w:val="bottom"/>
            </w:pPr>
            <w:r>
              <w:rPr>
                <w:rFonts w:ascii="Arial" w:eastAsia="宋体" w:hAnsi="Arial" w:cs="Arial"/>
                <w:color w:val="000000"/>
                <w:sz w:val="17"/>
                <w:szCs w:val="17"/>
              </w:rPr>
              <w:t>$</w:t>
            </w:r>
          </w:p>
        </w:tc>
        <w:tc>
          <w:tcPr>
            <w:tcW w:w="0" w:type="auto"/>
            <w:shd w:val="clear" w:color="auto" w:fill="E2E2E2"/>
            <w:tcMar>
              <w:top w:w="40" w:type="dxa"/>
              <w:left w:w="0" w:type="dxa"/>
              <w:bottom w:w="40" w:type="dxa"/>
              <w:right w:w="0" w:type="dxa"/>
            </w:tcMar>
            <w:vAlign w:val="bottom"/>
          </w:tcPr>
          <w:p w14:paraId="643056A0" w14:textId="77777777" w:rsidR="009F6D8A" w:rsidRDefault="00C50974">
            <w:pPr>
              <w:jc w:val="right"/>
              <w:textAlignment w:val="bottom"/>
            </w:pPr>
            <w:r>
              <w:rPr>
                <w:rFonts w:ascii="Arial" w:eastAsia="宋体" w:hAnsi="Arial" w:cs="Arial"/>
                <w:color w:val="000000"/>
                <w:sz w:val="17"/>
                <w:szCs w:val="17"/>
              </w:rPr>
              <w:t>65.73 </w:t>
            </w:r>
          </w:p>
        </w:tc>
        <w:tc>
          <w:tcPr>
            <w:tcW w:w="0" w:type="auto"/>
            <w:shd w:val="clear" w:color="auto" w:fill="E2E2E2"/>
            <w:tcMar>
              <w:top w:w="40" w:type="dxa"/>
              <w:left w:w="0" w:type="dxa"/>
              <w:bottom w:w="40" w:type="dxa"/>
              <w:right w:w="20" w:type="dxa"/>
            </w:tcMar>
            <w:vAlign w:val="bottom"/>
          </w:tcPr>
          <w:p w14:paraId="643056A1"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6A2" w14:textId="77777777" w:rsidR="009F6D8A" w:rsidRDefault="009F6D8A">
            <w:pPr>
              <w:rPr>
                <w:rFonts w:ascii="宋体"/>
              </w:rPr>
            </w:pPr>
          </w:p>
        </w:tc>
        <w:tc>
          <w:tcPr>
            <w:tcW w:w="0" w:type="auto"/>
            <w:gridSpan w:val="3"/>
            <w:shd w:val="clear" w:color="auto" w:fill="E2E2E2"/>
            <w:tcMar>
              <w:top w:w="0" w:type="dxa"/>
              <w:left w:w="20" w:type="dxa"/>
              <w:bottom w:w="0" w:type="dxa"/>
              <w:right w:w="20" w:type="dxa"/>
            </w:tcMar>
            <w:vAlign w:val="bottom"/>
          </w:tcPr>
          <w:p w14:paraId="643056A3" w14:textId="77777777" w:rsidR="009F6D8A" w:rsidRDefault="009F6D8A">
            <w:pPr>
              <w:rPr>
                <w:rFonts w:ascii="宋体"/>
              </w:rPr>
            </w:pPr>
          </w:p>
        </w:tc>
        <w:tc>
          <w:tcPr>
            <w:tcW w:w="0" w:type="auto"/>
            <w:gridSpan w:val="2"/>
            <w:shd w:val="clear" w:color="auto" w:fill="E2E2E2"/>
            <w:tcMar>
              <w:top w:w="40" w:type="dxa"/>
              <w:left w:w="20" w:type="dxa"/>
              <w:bottom w:w="40" w:type="dxa"/>
              <w:right w:w="0" w:type="dxa"/>
            </w:tcMar>
            <w:vAlign w:val="bottom"/>
          </w:tcPr>
          <w:p w14:paraId="643056A4" w14:textId="77777777" w:rsidR="009F6D8A" w:rsidRDefault="00C50974">
            <w:pPr>
              <w:jc w:val="right"/>
              <w:textAlignment w:val="bottom"/>
            </w:pPr>
            <w:r>
              <w:rPr>
                <w:rFonts w:ascii="Arial" w:eastAsia="宋体" w:hAnsi="Arial" w:cs="Arial"/>
                <w:color w:val="000000"/>
                <w:sz w:val="17"/>
                <w:szCs w:val="17"/>
              </w:rPr>
              <w:t>11,565,000 </w:t>
            </w:r>
          </w:p>
        </w:tc>
        <w:tc>
          <w:tcPr>
            <w:tcW w:w="0" w:type="auto"/>
            <w:shd w:val="clear" w:color="auto" w:fill="E2E2E2"/>
            <w:tcMar>
              <w:top w:w="40" w:type="dxa"/>
              <w:left w:w="0" w:type="dxa"/>
              <w:bottom w:w="40" w:type="dxa"/>
              <w:right w:w="20" w:type="dxa"/>
            </w:tcMar>
            <w:vAlign w:val="bottom"/>
          </w:tcPr>
          <w:p w14:paraId="643056A5" w14:textId="77777777" w:rsidR="009F6D8A" w:rsidRDefault="009F6D8A">
            <w:pPr>
              <w:jc w:val="right"/>
              <w:rPr>
                <w:rFonts w:ascii="宋体"/>
              </w:rPr>
            </w:pPr>
          </w:p>
        </w:tc>
        <w:tc>
          <w:tcPr>
            <w:tcW w:w="0" w:type="auto"/>
            <w:gridSpan w:val="3"/>
            <w:shd w:val="clear" w:color="auto" w:fill="E2E2E2"/>
            <w:tcMar>
              <w:top w:w="0" w:type="dxa"/>
              <w:left w:w="20" w:type="dxa"/>
              <w:bottom w:w="0" w:type="dxa"/>
              <w:right w:w="20" w:type="dxa"/>
            </w:tcMar>
            <w:vAlign w:val="bottom"/>
          </w:tcPr>
          <w:p w14:paraId="643056A6" w14:textId="77777777" w:rsidR="009F6D8A" w:rsidRDefault="009F6D8A">
            <w:pPr>
              <w:rPr>
                <w:rFonts w:ascii="宋体"/>
              </w:rPr>
            </w:pPr>
          </w:p>
        </w:tc>
        <w:tc>
          <w:tcPr>
            <w:tcW w:w="0" w:type="auto"/>
            <w:shd w:val="clear" w:color="auto" w:fill="E2E2E2"/>
            <w:tcMar>
              <w:top w:w="40" w:type="dxa"/>
              <w:left w:w="20" w:type="dxa"/>
              <w:bottom w:w="40" w:type="dxa"/>
              <w:right w:w="0" w:type="dxa"/>
            </w:tcMar>
            <w:vAlign w:val="bottom"/>
          </w:tcPr>
          <w:p w14:paraId="643056A7" w14:textId="77777777" w:rsidR="009F6D8A" w:rsidRDefault="00C50974">
            <w:pPr>
              <w:textAlignment w:val="bottom"/>
            </w:pPr>
            <w:r>
              <w:rPr>
                <w:rFonts w:ascii="Arial" w:eastAsia="宋体" w:hAnsi="Arial" w:cs="Arial"/>
                <w:color w:val="000000"/>
                <w:sz w:val="17"/>
                <w:szCs w:val="17"/>
              </w:rPr>
              <w:t>$</w:t>
            </w:r>
          </w:p>
        </w:tc>
        <w:tc>
          <w:tcPr>
            <w:tcW w:w="0" w:type="auto"/>
            <w:shd w:val="clear" w:color="auto" w:fill="E2E2E2"/>
            <w:tcMar>
              <w:top w:w="40" w:type="dxa"/>
              <w:left w:w="0" w:type="dxa"/>
              <w:bottom w:w="40" w:type="dxa"/>
              <w:right w:w="0" w:type="dxa"/>
            </w:tcMar>
            <w:vAlign w:val="bottom"/>
          </w:tcPr>
          <w:p w14:paraId="643056A8" w14:textId="77777777" w:rsidR="009F6D8A" w:rsidRDefault="00C50974">
            <w:pPr>
              <w:jc w:val="right"/>
              <w:textAlignment w:val="bottom"/>
            </w:pPr>
            <w:r>
              <w:rPr>
                <w:rFonts w:ascii="Arial" w:eastAsia="宋体" w:hAnsi="Arial" w:cs="Arial"/>
                <w:color w:val="000000"/>
                <w:sz w:val="17"/>
                <w:szCs w:val="17"/>
              </w:rPr>
              <w:t>4,241,249,572 </w:t>
            </w:r>
          </w:p>
        </w:tc>
        <w:tc>
          <w:tcPr>
            <w:tcW w:w="0" w:type="auto"/>
            <w:shd w:val="clear" w:color="auto" w:fill="E2E2E2"/>
            <w:tcMar>
              <w:top w:w="40" w:type="dxa"/>
              <w:left w:w="0" w:type="dxa"/>
              <w:bottom w:w="40" w:type="dxa"/>
              <w:right w:w="20" w:type="dxa"/>
            </w:tcMar>
            <w:vAlign w:val="bottom"/>
          </w:tcPr>
          <w:p w14:paraId="643056A9" w14:textId="77777777" w:rsidR="009F6D8A" w:rsidRDefault="009F6D8A">
            <w:pPr>
              <w:jc w:val="right"/>
              <w:rPr>
                <w:rFonts w:ascii="宋体"/>
              </w:rPr>
            </w:pPr>
          </w:p>
        </w:tc>
      </w:tr>
      <w:tr w:rsidR="009F6D8A" w14:paraId="643056B7" w14:textId="77777777">
        <w:tc>
          <w:tcPr>
            <w:tcW w:w="0" w:type="auto"/>
            <w:gridSpan w:val="3"/>
            <w:shd w:val="clear" w:color="auto" w:fill="FFFFFF"/>
            <w:tcMar>
              <w:top w:w="0" w:type="dxa"/>
              <w:left w:w="20" w:type="dxa"/>
              <w:bottom w:w="0" w:type="dxa"/>
              <w:right w:w="20" w:type="dxa"/>
            </w:tcMar>
            <w:vAlign w:val="bottom"/>
          </w:tcPr>
          <w:p w14:paraId="643056AB"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6AC" w14:textId="77777777" w:rsidR="009F6D8A" w:rsidRDefault="009F6D8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56AD" w14:textId="77777777" w:rsidR="009F6D8A" w:rsidRDefault="00C50974">
            <w:pPr>
              <w:jc w:val="right"/>
              <w:textAlignment w:val="bottom"/>
            </w:pPr>
            <w:r>
              <w:rPr>
                <w:rFonts w:ascii="Arial" w:eastAsia="宋体" w:hAnsi="Arial" w:cs="Arial"/>
                <w:color w:val="000000"/>
                <w:sz w:val="17"/>
                <w:szCs w:val="17"/>
              </w:rPr>
              <w:t>23,963,802 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56AE"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6AF"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6B0"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6B1"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6B2" w14:textId="77777777" w:rsidR="009F6D8A" w:rsidRDefault="009F6D8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43056B3" w14:textId="77777777" w:rsidR="009F6D8A" w:rsidRDefault="00C50974">
            <w:pPr>
              <w:jc w:val="right"/>
              <w:textAlignment w:val="bottom"/>
            </w:pPr>
            <w:r>
              <w:rPr>
                <w:rFonts w:ascii="Arial" w:eastAsia="宋体" w:hAnsi="Arial" w:cs="Arial"/>
                <w:color w:val="000000"/>
                <w:sz w:val="17"/>
                <w:szCs w:val="17"/>
              </w:rPr>
              <w:t>23,963,802 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43056B4" w14:textId="77777777" w:rsidR="009F6D8A" w:rsidRDefault="009F6D8A">
            <w:pPr>
              <w:jc w:val="right"/>
              <w:rPr>
                <w:rFonts w:ascii="宋体"/>
              </w:rPr>
            </w:pPr>
          </w:p>
        </w:tc>
        <w:tc>
          <w:tcPr>
            <w:tcW w:w="0" w:type="auto"/>
            <w:gridSpan w:val="3"/>
            <w:shd w:val="clear" w:color="auto" w:fill="FFFFFF"/>
            <w:tcMar>
              <w:top w:w="0" w:type="dxa"/>
              <w:left w:w="20" w:type="dxa"/>
              <w:bottom w:w="0" w:type="dxa"/>
              <w:right w:w="20" w:type="dxa"/>
            </w:tcMar>
            <w:vAlign w:val="bottom"/>
          </w:tcPr>
          <w:p w14:paraId="643056B5" w14:textId="77777777" w:rsidR="009F6D8A" w:rsidRDefault="009F6D8A">
            <w:pPr>
              <w:rPr>
                <w:rFonts w:ascii="宋体"/>
              </w:rPr>
            </w:pPr>
          </w:p>
        </w:tc>
        <w:tc>
          <w:tcPr>
            <w:tcW w:w="0" w:type="auto"/>
            <w:gridSpan w:val="3"/>
            <w:shd w:val="clear" w:color="auto" w:fill="FFFFFF"/>
            <w:tcMar>
              <w:top w:w="0" w:type="dxa"/>
              <w:left w:w="20" w:type="dxa"/>
              <w:bottom w:w="0" w:type="dxa"/>
              <w:right w:w="20" w:type="dxa"/>
            </w:tcMar>
            <w:vAlign w:val="bottom"/>
          </w:tcPr>
          <w:p w14:paraId="643056B6" w14:textId="77777777" w:rsidR="009F6D8A" w:rsidRDefault="009F6D8A">
            <w:pPr>
              <w:rPr>
                <w:rFonts w:ascii="宋体"/>
              </w:rPr>
            </w:pPr>
          </w:p>
        </w:tc>
      </w:tr>
    </w:tbl>
    <w:p w14:paraId="643056B8" w14:textId="77777777" w:rsidR="009F6D8A" w:rsidRDefault="009F6D8A">
      <w:pPr>
        <w:rPr>
          <w:vanish/>
        </w:rPr>
      </w:pPr>
    </w:p>
    <w:tbl>
      <w:tblPr>
        <w:tblW w:w="877" w:type="pct"/>
        <w:tblCellMar>
          <w:top w:w="15" w:type="dxa"/>
          <w:left w:w="15" w:type="dxa"/>
          <w:bottom w:w="15" w:type="dxa"/>
          <w:right w:w="15" w:type="dxa"/>
        </w:tblCellMar>
        <w:tblLook w:val="04A0" w:firstRow="1" w:lastRow="0" w:firstColumn="1" w:lastColumn="0" w:noHBand="0" w:noVBand="1"/>
      </w:tblPr>
      <w:tblGrid>
        <w:gridCol w:w="36"/>
        <w:gridCol w:w="1390"/>
        <w:gridCol w:w="36"/>
      </w:tblGrid>
      <w:tr w:rsidR="009F6D8A" w14:paraId="643056BC" w14:textId="77777777">
        <w:tc>
          <w:tcPr>
            <w:tcW w:w="50" w:type="pct"/>
            <w:shd w:val="clear" w:color="auto" w:fill="auto"/>
            <w:vAlign w:val="bottom"/>
          </w:tcPr>
          <w:p w14:paraId="643056B9" w14:textId="77777777" w:rsidR="009F6D8A" w:rsidRDefault="009F6D8A">
            <w:pPr>
              <w:rPr>
                <w:rFonts w:ascii="宋体"/>
              </w:rPr>
            </w:pPr>
          </w:p>
        </w:tc>
        <w:tc>
          <w:tcPr>
            <w:tcW w:w="4945" w:type="pct"/>
            <w:shd w:val="clear" w:color="auto" w:fill="auto"/>
            <w:vAlign w:val="bottom"/>
          </w:tcPr>
          <w:p w14:paraId="643056BA" w14:textId="77777777" w:rsidR="009F6D8A" w:rsidRDefault="009F6D8A">
            <w:pPr>
              <w:rPr>
                <w:rFonts w:ascii="宋体"/>
              </w:rPr>
            </w:pPr>
          </w:p>
        </w:tc>
        <w:tc>
          <w:tcPr>
            <w:tcW w:w="5" w:type="pct"/>
            <w:shd w:val="clear" w:color="auto" w:fill="auto"/>
            <w:vAlign w:val="bottom"/>
          </w:tcPr>
          <w:p w14:paraId="643056BB" w14:textId="77777777" w:rsidR="009F6D8A" w:rsidRDefault="009F6D8A">
            <w:pPr>
              <w:rPr>
                <w:rFonts w:ascii="宋体"/>
              </w:rPr>
            </w:pPr>
          </w:p>
        </w:tc>
      </w:tr>
      <w:tr w:rsidR="009F6D8A" w14:paraId="643056BE"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643056BD" w14:textId="77777777" w:rsidR="009F6D8A" w:rsidRDefault="009F6D8A">
            <w:pPr>
              <w:rPr>
                <w:rFonts w:ascii="宋体"/>
              </w:rPr>
            </w:pPr>
          </w:p>
        </w:tc>
      </w:tr>
    </w:tbl>
    <w:p w14:paraId="643056BF" w14:textId="77777777" w:rsidR="009F6D8A" w:rsidRDefault="00C50974">
      <w:pPr>
        <w:spacing w:before="60"/>
        <w:ind w:hanging="360"/>
        <w:jc w:val="both"/>
      </w:pPr>
      <w:r>
        <w:rPr>
          <w:rFonts w:ascii="sans-serif" w:eastAsia="宋体" w:hAnsi="sans-serif" w:cs="sans-serif"/>
          <w:color w:val="212529"/>
          <w:sz w:val="10"/>
          <w:szCs w:val="10"/>
        </w:rPr>
        <w:t>(1)</w:t>
      </w:r>
      <w:r>
        <w:rPr>
          <w:rFonts w:ascii="Arial" w:eastAsia="宋体" w:hAnsi="Arial" w:cs="Arial"/>
          <w:color w:val="000000"/>
          <w:sz w:val="16"/>
          <w:szCs w:val="16"/>
        </w:rPr>
        <w:t xml:space="preserve">In January 2020 our Board authorized a $5.0 billion stock repurchase program and in February 2021 our Board authorized an </w:t>
      </w:r>
      <w:r>
        <w:rPr>
          <w:rFonts w:ascii="Arial" w:eastAsia="宋体" w:hAnsi="Arial" w:cs="Arial"/>
          <w:color w:val="000000"/>
          <w:sz w:val="16"/>
          <w:szCs w:val="16"/>
        </w:rPr>
        <w:t>additional $4.0 billion stock repurchase program. These stock repurchase programs have no expiration from the date of authorization.</w:t>
      </w:r>
    </w:p>
    <w:p w14:paraId="643056C0" w14:textId="77777777" w:rsidR="009F6D8A" w:rsidRDefault="00C50974">
      <w:pPr>
        <w:spacing w:before="60" w:after="120"/>
        <w:jc w:val="both"/>
      </w:pPr>
      <w:r>
        <w:rPr>
          <w:rFonts w:ascii="Arial" w:eastAsia="宋体" w:hAnsi="Arial" w:cs="Arial"/>
          <w:color w:val="000000"/>
          <w:sz w:val="16"/>
          <w:szCs w:val="16"/>
        </w:rPr>
        <w:t>Our stock repurchase programs are intended to programmatically offset the impact of dilution from our equity compensation p</w:t>
      </w:r>
      <w:r>
        <w:rPr>
          <w:rFonts w:ascii="Arial" w:eastAsia="宋体" w:hAnsi="Arial" w:cs="Arial"/>
          <w:color w:val="000000"/>
          <w:sz w:val="16"/>
          <w:szCs w:val="16"/>
        </w:rPr>
        <w:t>rograms and, subject to market conditions and other factors, to make opportunistic and programmatic repurchases of our common stock to reduce our outstanding share count. Any share repurchases under our stock repurchase programs may be made through open ma</w:t>
      </w:r>
      <w:r>
        <w:rPr>
          <w:rFonts w:ascii="Arial" w:eastAsia="宋体" w:hAnsi="Arial" w:cs="Arial"/>
          <w:color w:val="000000"/>
          <w:sz w:val="16"/>
          <w:szCs w:val="16"/>
        </w:rPr>
        <w:t>rket transactions, block trades, privately negotiated transactions (including accelerated share repurchase transactions) or other means at times and in such amounts as management deems appropriate and will be funded from our working capital or other financ</w:t>
      </w:r>
      <w:r>
        <w:rPr>
          <w:rFonts w:ascii="Arial" w:eastAsia="宋体" w:hAnsi="Arial" w:cs="Arial"/>
          <w:color w:val="000000"/>
          <w:sz w:val="16"/>
          <w:szCs w:val="16"/>
        </w:rPr>
        <w:t xml:space="preserve">ing alternatives. </w:t>
      </w:r>
    </w:p>
    <w:p w14:paraId="643056C1" w14:textId="77777777" w:rsidR="009F6D8A" w:rsidRDefault="00C50974">
      <w:pPr>
        <w:jc w:val="both"/>
      </w:pPr>
      <w:r>
        <w:rPr>
          <w:rFonts w:ascii="Arial" w:eastAsia="宋体" w:hAnsi="Arial" w:cs="Arial"/>
          <w:color w:val="000000"/>
          <w:sz w:val="16"/>
          <w:szCs w:val="16"/>
        </w:rPr>
        <w:t xml:space="preserve">During the three months ended June 30, 2021, we repurchased approximately $1.5 billion of our common stock under our stock repurchase programs. As of June 30, 2021, a total of approximately $4.2 billion remained available for </w:t>
      </w:r>
      <w:r>
        <w:rPr>
          <w:rFonts w:ascii="Arial" w:eastAsia="宋体" w:hAnsi="Arial" w:cs="Arial"/>
          <w:color w:val="000000"/>
          <w:sz w:val="16"/>
          <w:szCs w:val="16"/>
        </w:rPr>
        <w:t>future repurchases of our common stock under our stock repurchase programs. In August 2021, our Board authorized an additional $3.0 billion stock repurchase program, with no expiration from the date of authorization.</w:t>
      </w:r>
    </w:p>
    <w:p w14:paraId="643056C2" w14:textId="77777777" w:rsidR="009F6D8A" w:rsidRDefault="00C50974">
      <w:pPr>
        <w:spacing w:before="120" w:after="120"/>
        <w:jc w:val="both"/>
      </w:pPr>
      <w:r>
        <w:rPr>
          <w:rFonts w:ascii="Arial" w:eastAsia="宋体" w:hAnsi="Arial" w:cs="Arial"/>
          <w:color w:val="000000"/>
          <w:sz w:val="16"/>
          <w:szCs w:val="16"/>
        </w:rPr>
        <w:t>We expect, subject to market conditions</w:t>
      </w:r>
      <w:r>
        <w:rPr>
          <w:rFonts w:ascii="Arial" w:eastAsia="宋体" w:hAnsi="Arial" w:cs="Arial"/>
          <w:color w:val="000000"/>
          <w:sz w:val="16"/>
          <w:szCs w:val="16"/>
        </w:rPr>
        <w:t xml:space="preserve"> and other uncertainties, to continue making opportunistic and programmatic repurchases of our common stock. However, our stock repurchase programs may be limited or terminated at any time without prior notice. The timing and actual number of shares repurc</w:t>
      </w:r>
      <w:r>
        <w:rPr>
          <w:rFonts w:ascii="Arial" w:eastAsia="宋体" w:hAnsi="Arial" w:cs="Arial"/>
          <w:color w:val="000000"/>
          <w:sz w:val="16"/>
          <w:szCs w:val="16"/>
        </w:rPr>
        <w:t>hased will depend on a variety of factors, including corporate and regulatory requirements, price and other market conditions and management’s determination as to the appropriate use of our cash. </w:t>
      </w:r>
    </w:p>
    <w:p w14:paraId="643056C3" w14:textId="77777777" w:rsidR="009F6D8A" w:rsidRDefault="00C50974">
      <w:pPr>
        <w:ind w:hanging="360"/>
      </w:pPr>
      <w:r>
        <w:rPr>
          <w:rFonts w:ascii="Arial" w:eastAsia="宋体" w:hAnsi="Arial" w:cs="Arial"/>
          <w:color w:val="000000"/>
          <w:sz w:val="10"/>
          <w:szCs w:val="10"/>
        </w:rPr>
        <w:t>(2)</w:t>
      </w:r>
      <w:r>
        <w:rPr>
          <w:rFonts w:ascii="Arial" w:eastAsia="宋体" w:hAnsi="Arial" w:cs="Arial"/>
          <w:color w:val="000000"/>
          <w:sz w:val="16"/>
          <w:szCs w:val="16"/>
        </w:rPr>
        <w:t>Excludes broker commissions.</w:t>
      </w:r>
    </w:p>
    <w:p w14:paraId="643056C4" w14:textId="77777777" w:rsidR="009F6D8A" w:rsidRDefault="009F6D8A">
      <w:pPr>
        <w:ind w:firstLine="450"/>
      </w:pPr>
    </w:p>
    <w:p w14:paraId="643056C5" w14:textId="77777777" w:rsidR="009F6D8A" w:rsidRDefault="00C50974">
      <w:pPr>
        <w:ind w:hanging="1080"/>
      </w:pPr>
      <w:r>
        <w:rPr>
          <w:rFonts w:ascii="Arial" w:eastAsia="宋体" w:hAnsi="Arial" w:cs="Arial"/>
          <w:b/>
          <w:bCs/>
          <w:color w:val="000000"/>
          <w:sz w:val="20"/>
          <w:szCs w:val="20"/>
        </w:rPr>
        <w:t>Item 3:</w:t>
      </w:r>
      <w:r>
        <w:rPr>
          <w:rFonts w:ascii="Arial" w:eastAsia="宋体" w:hAnsi="Arial" w:cs="Arial"/>
          <w:color w:val="000000"/>
          <w:sz w:val="20"/>
          <w:szCs w:val="20"/>
        </w:rPr>
        <w:t>    </w:t>
      </w:r>
      <w:r>
        <w:rPr>
          <w:rFonts w:ascii="Arial" w:eastAsia="宋体" w:hAnsi="Arial" w:cs="Arial"/>
          <w:b/>
          <w:bCs/>
          <w:color w:val="000000"/>
          <w:sz w:val="20"/>
          <w:szCs w:val="20"/>
        </w:rPr>
        <w:t xml:space="preserve">Defaults </w:t>
      </w:r>
      <w:r>
        <w:rPr>
          <w:rFonts w:ascii="Arial" w:eastAsia="宋体" w:hAnsi="Arial" w:cs="Arial"/>
          <w:b/>
          <w:bCs/>
          <w:color w:val="000000"/>
          <w:sz w:val="20"/>
          <w:szCs w:val="20"/>
        </w:rPr>
        <w:t>Upon Senior Securities</w:t>
      </w:r>
    </w:p>
    <w:p w14:paraId="643056C6" w14:textId="77777777" w:rsidR="009F6D8A" w:rsidRDefault="009F6D8A">
      <w:pPr>
        <w:ind w:hanging="1080"/>
      </w:pPr>
    </w:p>
    <w:p w14:paraId="643056C7" w14:textId="77777777" w:rsidR="009F6D8A" w:rsidRDefault="00C50974">
      <w:pPr>
        <w:ind w:firstLine="540"/>
      </w:pPr>
      <w:r>
        <w:rPr>
          <w:rFonts w:ascii="Arial" w:eastAsia="宋体" w:hAnsi="Arial" w:cs="Arial"/>
          <w:color w:val="000000"/>
          <w:sz w:val="20"/>
          <w:szCs w:val="20"/>
        </w:rPr>
        <w:t>Not applicable.</w:t>
      </w:r>
    </w:p>
    <w:p w14:paraId="643056C8" w14:textId="77777777" w:rsidR="009F6D8A" w:rsidRDefault="009F6D8A">
      <w:pPr>
        <w:ind w:hanging="1080"/>
      </w:pPr>
    </w:p>
    <w:p w14:paraId="643056C9" w14:textId="77777777" w:rsidR="009F6D8A" w:rsidRDefault="00C50974">
      <w:pPr>
        <w:ind w:hanging="1080"/>
      </w:pPr>
      <w:r>
        <w:rPr>
          <w:rFonts w:ascii="Arial" w:eastAsia="宋体" w:hAnsi="Arial" w:cs="Arial"/>
          <w:b/>
          <w:bCs/>
          <w:color w:val="000000"/>
          <w:sz w:val="20"/>
          <w:szCs w:val="20"/>
        </w:rPr>
        <w:t>Item 4:</w:t>
      </w:r>
      <w:r>
        <w:rPr>
          <w:rFonts w:ascii="Arial" w:eastAsia="宋体" w:hAnsi="Arial" w:cs="Arial"/>
          <w:color w:val="000000"/>
          <w:sz w:val="20"/>
          <w:szCs w:val="20"/>
        </w:rPr>
        <w:t>    </w:t>
      </w:r>
      <w:r>
        <w:rPr>
          <w:rFonts w:ascii="Arial" w:eastAsia="宋体" w:hAnsi="Arial" w:cs="Arial"/>
          <w:b/>
          <w:bCs/>
          <w:color w:val="000000"/>
          <w:sz w:val="20"/>
          <w:szCs w:val="20"/>
        </w:rPr>
        <w:t>Mine Safety Disclosures</w:t>
      </w:r>
    </w:p>
    <w:p w14:paraId="643056CA" w14:textId="77777777" w:rsidR="009F6D8A" w:rsidRDefault="009F6D8A">
      <w:pPr>
        <w:ind w:firstLine="540"/>
      </w:pPr>
    </w:p>
    <w:p w14:paraId="643056CB" w14:textId="77777777" w:rsidR="009F6D8A" w:rsidRDefault="00C50974">
      <w:pPr>
        <w:ind w:firstLine="540"/>
      </w:pPr>
      <w:r>
        <w:rPr>
          <w:rFonts w:ascii="Arial" w:eastAsia="宋体" w:hAnsi="Arial" w:cs="Arial"/>
          <w:color w:val="000000"/>
          <w:sz w:val="20"/>
          <w:szCs w:val="20"/>
        </w:rPr>
        <w:t>Not applicable.</w:t>
      </w:r>
    </w:p>
    <w:p w14:paraId="643056CC" w14:textId="77777777" w:rsidR="009F6D8A" w:rsidRDefault="009F6D8A">
      <w:pPr>
        <w:ind w:hanging="1080"/>
      </w:pPr>
    </w:p>
    <w:p w14:paraId="643056CD" w14:textId="77777777" w:rsidR="009F6D8A" w:rsidRDefault="00C50974">
      <w:pPr>
        <w:ind w:hanging="1080"/>
      </w:pPr>
      <w:r>
        <w:rPr>
          <w:rFonts w:ascii="Arial" w:eastAsia="宋体" w:hAnsi="Arial" w:cs="Arial"/>
          <w:b/>
          <w:bCs/>
          <w:color w:val="000000"/>
          <w:sz w:val="20"/>
          <w:szCs w:val="20"/>
        </w:rPr>
        <w:t>Item 5:</w:t>
      </w:r>
      <w:r>
        <w:rPr>
          <w:rFonts w:ascii="Arial" w:eastAsia="宋体" w:hAnsi="Arial" w:cs="Arial"/>
          <w:color w:val="000000"/>
          <w:sz w:val="20"/>
          <w:szCs w:val="20"/>
        </w:rPr>
        <w:t>    </w:t>
      </w:r>
      <w:r>
        <w:rPr>
          <w:rFonts w:ascii="Arial" w:eastAsia="宋体" w:hAnsi="Arial" w:cs="Arial"/>
          <w:b/>
          <w:bCs/>
          <w:color w:val="000000"/>
          <w:sz w:val="20"/>
          <w:szCs w:val="20"/>
        </w:rPr>
        <w:t>Other Information</w:t>
      </w:r>
    </w:p>
    <w:p w14:paraId="643056CE" w14:textId="77777777" w:rsidR="009F6D8A" w:rsidRDefault="009F6D8A">
      <w:pPr>
        <w:ind w:hanging="1080"/>
      </w:pPr>
    </w:p>
    <w:p w14:paraId="643056CF" w14:textId="77777777" w:rsidR="009F6D8A" w:rsidRDefault="00C50974">
      <w:pPr>
        <w:ind w:firstLine="540"/>
      </w:pPr>
      <w:r>
        <w:rPr>
          <w:rFonts w:ascii="Arial" w:eastAsia="宋体" w:hAnsi="Arial" w:cs="Arial"/>
          <w:color w:val="000000"/>
          <w:sz w:val="20"/>
          <w:szCs w:val="20"/>
        </w:rPr>
        <w:t>Not applicable.</w:t>
      </w:r>
    </w:p>
    <w:p w14:paraId="643056D0" w14:textId="77777777" w:rsidR="009F6D8A" w:rsidRDefault="009F6D8A">
      <w:pPr>
        <w:ind w:hanging="1080"/>
      </w:pPr>
    </w:p>
    <w:p w14:paraId="643056D1" w14:textId="77777777" w:rsidR="009F6D8A" w:rsidRDefault="00C50974">
      <w:pPr>
        <w:ind w:hanging="1080"/>
      </w:pPr>
      <w:r>
        <w:rPr>
          <w:rFonts w:ascii="Arial" w:eastAsia="宋体" w:hAnsi="Arial" w:cs="Arial"/>
          <w:b/>
          <w:bCs/>
          <w:color w:val="000000"/>
          <w:sz w:val="20"/>
          <w:szCs w:val="20"/>
        </w:rPr>
        <w:t>Item 6:</w:t>
      </w:r>
      <w:r>
        <w:rPr>
          <w:rFonts w:ascii="Arial" w:eastAsia="宋体" w:hAnsi="Arial" w:cs="Arial"/>
          <w:color w:val="000000"/>
          <w:sz w:val="20"/>
          <w:szCs w:val="20"/>
        </w:rPr>
        <w:t>    </w:t>
      </w:r>
      <w:r>
        <w:rPr>
          <w:rFonts w:ascii="Arial" w:eastAsia="宋体" w:hAnsi="Arial" w:cs="Arial"/>
          <w:b/>
          <w:bCs/>
          <w:color w:val="000000"/>
          <w:sz w:val="20"/>
          <w:szCs w:val="20"/>
        </w:rPr>
        <w:t xml:space="preserve">Exhibits </w:t>
      </w:r>
    </w:p>
    <w:p w14:paraId="643056D2" w14:textId="77777777" w:rsidR="009F6D8A" w:rsidRDefault="009F6D8A">
      <w:pPr>
        <w:ind w:hanging="1080"/>
      </w:pPr>
    </w:p>
    <w:p w14:paraId="643056D3" w14:textId="77777777" w:rsidR="009F6D8A" w:rsidRDefault="00C50974">
      <w:pPr>
        <w:ind w:firstLine="540"/>
      </w:pPr>
      <w:r>
        <w:rPr>
          <w:rFonts w:ascii="Arial" w:eastAsia="宋体" w:hAnsi="Arial" w:cs="Arial"/>
          <w:color w:val="000000"/>
          <w:sz w:val="20"/>
          <w:szCs w:val="20"/>
        </w:rPr>
        <w:t>The information required by this Item is set forth in the Index to Exhibits of this Quarterly</w:t>
      </w:r>
      <w:r>
        <w:rPr>
          <w:rFonts w:ascii="Arial" w:eastAsia="宋体" w:hAnsi="Arial" w:cs="Arial"/>
          <w:color w:val="000000"/>
          <w:sz w:val="20"/>
          <w:szCs w:val="20"/>
        </w:rPr>
        <w:t xml:space="preserve"> Report.</w:t>
      </w:r>
    </w:p>
    <w:p w14:paraId="643056D4" w14:textId="77777777" w:rsidR="009F6D8A" w:rsidRDefault="009F6D8A">
      <w:pPr>
        <w:jc w:val="center"/>
      </w:pPr>
    </w:p>
    <w:p w14:paraId="643056D5" w14:textId="77777777" w:rsidR="009F6D8A" w:rsidRDefault="00C50974">
      <w:pPr>
        <w:jc w:val="center"/>
      </w:pPr>
      <w:r>
        <w:rPr>
          <w:rFonts w:ascii="Arial" w:eastAsia="宋体" w:hAnsi="Arial" w:cs="Arial"/>
          <w:color w:val="000000"/>
          <w:sz w:val="20"/>
          <w:szCs w:val="20"/>
        </w:rPr>
        <w:t>56</w:t>
      </w:r>
    </w:p>
    <w:p w14:paraId="643056D6" w14:textId="77777777" w:rsidR="009F6D8A" w:rsidRDefault="00C50974">
      <w:r>
        <w:pict w14:anchorId="6430583B">
          <v:rect id="_x0000_i1080" style="width:415.3pt;height:1.5pt" o:hralign="center" o:hrstd="t" o:hr="t" fillcolor="#a0a0a0" stroked="f"/>
        </w:pict>
      </w:r>
    </w:p>
    <w:p w14:paraId="643056D7" w14:textId="77777777" w:rsidR="009F6D8A" w:rsidRDefault="009F6D8A"/>
    <w:p w14:paraId="643056D8" w14:textId="77777777" w:rsidR="009F6D8A" w:rsidRDefault="00C50974">
      <w:pPr>
        <w:jc w:val="center"/>
      </w:pPr>
      <w:r>
        <w:rPr>
          <w:rFonts w:ascii="Arial" w:eastAsia="宋体" w:hAnsi="Arial" w:cs="Arial"/>
          <w:b/>
          <w:bCs/>
          <w:color w:val="000000"/>
          <w:sz w:val="20"/>
          <w:szCs w:val="20"/>
        </w:rPr>
        <w:t xml:space="preserve">INDEX TO EXHIBITS </w:t>
      </w:r>
    </w:p>
    <w:p w14:paraId="643056D9" w14:textId="77777777" w:rsidR="009F6D8A" w:rsidRDefault="00C50974">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66"/>
        <w:gridCol w:w="863"/>
        <w:gridCol w:w="38"/>
        <w:gridCol w:w="36"/>
        <w:gridCol w:w="73"/>
        <w:gridCol w:w="36"/>
        <w:gridCol w:w="66"/>
        <w:gridCol w:w="864"/>
        <w:gridCol w:w="36"/>
        <w:gridCol w:w="63"/>
        <w:gridCol w:w="6157"/>
        <w:gridCol w:w="38"/>
      </w:tblGrid>
      <w:tr w:rsidR="009F6D8A" w14:paraId="643056E6" w14:textId="77777777">
        <w:tc>
          <w:tcPr>
            <w:tcW w:w="50" w:type="pct"/>
            <w:shd w:val="clear" w:color="auto" w:fill="auto"/>
            <w:vAlign w:val="bottom"/>
          </w:tcPr>
          <w:p w14:paraId="643056DA" w14:textId="77777777" w:rsidR="009F6D8A" w:rsidRDefault="009F6D8A">
            <w:pPr>
              <w:rPr>
                <w:rFonts w:ascii="宋体"/>
              </w:rPr>
            </w:pPr>
          </w:p>
        </w:tc>
        <w:tc>
          <w:tcPr>
            <w:tcW w:w="532" w:type="pct"/>
            <w:shd w:val="clear" w:color="auto" w:fill="auto"/>
            <w:vAlign w:val="bottom"/>
          </w:tcPr>
          <w:p w14:paraId="643056DB" w14:textId="77777777" w:rsidR="009F6D8A" w:rsidRDefault="009F6D8A">
            <w:pPr>
              <w:rPr>
                <w:rFonts w:ascii="宋体"/>
              </w:rPr>
            </w:pPr>
          </w:p>
        </w:tc>
        <w:tc>
          <w:tcPr>
            <w:tcW w:w="5" w:type="pct"/>
            <w:shd w:val="clear" w:color="auto" w:fill="auto"/>
            <w:vAlign w:val="bottom"/>
          </w:tcPr>
          <w:p w14:paraId="643056DC" w14:textId="77777777" w:rsidR="009F6D8A" w:rsidRDefault="009F6D8A">
            <w:pPr>
              <w:rPr>
                <w:rFonts w:ascii="宋体"/>
              </w:rPr>
            </w:pPr>
          </w:p>
        </w:tc>
        <w:tc>
          <w:tcPr>
            <w:tcW w:w="5" w:type="pct"/>
            <w:shd w:val="clear" w:color="auto" w:fill="auto"/>
            <w:vAlign w:val="bottom"/>
          </w:tcPr>
          <w:p w14:paraId="643056DD" w14:textId="77777777" w:rsidR="009F6D8A" w:rsidRDefault="009F6D8A">
            <w:pPr>
              <w:rPr>
                <w:rFonts w:ascii="宋体"/>
              </w:rPr>
            </w:pPr>
          </w:p>
        </w:tc>
        <w:tc>
          <w:tcPr>
            <w:tcW w:w="56" w:type="pct"/>
            <w:shd w:val="clear" w:color="auto" w:fill="auto"/>
            <w:vAlign w:val="bottom"/>
          </w:tcPr>
          <w:p w14:paraId="643056DE" w14:textId="77777777" w:rsidR="009F6D8A" w:rsidRDefault="009F6D8A">
            <w:pPr>
              <w:rPr>
                <w:rFonts w:ascii="宋体"/>
              </w:rPr>
            </w:pPr>
          </w:p>
        </w:tc>
        <w:tc>
          <w:tcPr>
            <w:tcW w:w="5" w:type="pct"/>
            <w:shd w:val="clear" w:color="auto" w:fill="auto"/>
            <w:vAlign w:val="bottom"/>
          </w:tcPr>
          <w:p w14:paraId="643056DF" w14:textId="77777777" w:rsidR="009F6D8A" w:rsidRDefault="009F6D8A">
            <w:pPr>
              <w:rPr>
                <w:rFonts w:ascii="宋体"/>
              </w:rPr>
            </w:pPr>
          </w:p>
        </w:tc>
        <w:tc>
          <w:tcPr>
            <w:tcW w:w="50" w:type="pct"/>
            <w:shd w:val="clear" w:color="auto" w:fill="auto"/>
            <w:vAlign w:val="bottom"/>
          </w:tcPr>
          <w:p w14:paraId="643056E0" w14:textId="77777777" w:rsidR="009F6D8A" w:rsidRDefault="009F6D8A">
            <w:pPr>
              <w:rPr>
                <w:rFonts w:ascii="宋体"/>
              </w:rPr>
            </w:pPr>
          </w:p>
        </w:tc>
        <w:tc>
          <w:tcPr>
            <w:tcW w:w="532" w:type="pct"/>
            <w:shd w:val="clear" w:color="auto" w:fill="auto"/>
            <w:vAlign w:val="bottom"/>
          </w:tcPr>
          <w:p w14:paraId="643056E1" w14:textId="77777777" w:rsidR="009F6D8A" w:rsidRDefault="009F6D8A">
            <w:pPr>
              <w:rPr>
                <w:rFonts w:ascii="宋体"/>
              </w:rPr>
            </w:pPr>
          </w:p>
        </w:tc>
        <w:tc>
          <w:tcPr>
            <w:tcW w:w="5" w:type="pct"/>
            <w:shd w:val="clear" w:color="auto" w:fill="auto"/>
            <w:vAlign w:val="bottom"/>
          </w:tcPr>
          <w:p w14:paraId="643056E2" w14:textId="77777777" w:rsidR="009F6D8A" w:rsidRDefault="009F6D8A">
            <w:pPr>
              <w:rPr>
                <w:rFonts w:ascii="宋体"/>
              </w:rPr>
            </w:pPr>
          </w:p>
        </w:tc>
        <w:tc>
          <w:tcPr>
            <w:tcW w:w="50" w:type="pct"/>
            <w:shd w:val="clear" w:color="auto" w:fill="auto"/>
            <w:vAlign w:val="bottom"/>
          </w:tcPr>
          <w:p w14:paraId="643056E3" w14:textId="77777777" w:rsidR="009F6D8A" w:rsidRDefault="009F6D8A">
            <w:pPr>
              <w:rPr>
                <w:rFonts w:ascii="宋体"/>
              </w:rPr>
            </w:pPr>
          </w:p>
        </w:tc>
        <w:tc>
          <w:tcPr>
            <w:tcW w:w="3704" w:type="pct"/>
            <w:shd w:val="clear" w:color="auto" w:fill="auto"/>
            <w:vAlign w:val="bottom"/>
          </w:tcPr>
          <w:p w14:paraId="643056E4" w14:textId="77777777" w:rsidR="009F6D8A" w:rsidRDefault="009F6D8A">
            <w:pPr>
              <w:rPr>
                <w:rFonts w:ascii="宋体"/>
              </w:rPr>
            </w:pPr>
          </w:p>
        </w:tc>
        <w:tc>
          <w:tcPr>
            <w:tcW w:w="5" w:type="pct"/>
            <w:shd w:val="clear" w:color="auto" w:fill="auto"/>
            <w:vAlign w:val="bottom"/>
          </w:tcPr>
          <w:p w14:paraId="643056E5" w14:textId="77777777" w:rsidR="009F6D8A" w:rsidRDefault="009F6D8A">
            <w:pPr>
              <w:rPr>
                <w:rFonts w:ascii="宋体"/>
              </w:rPr>
            </w:pPr>
          </w:p>
        </w:tc>
      </w:tr>
      <w:tr w:rsidR="009F6D8A" w14:paraId="643056EB" w14:textId="77777777">
        <w:tc>
          <w:tcPr>
            <w:tcW w:w="0" w:type="auto"/>
            <w:gridSpan w:val="3"/>
            <w:shd w:val="clear" w:color="auto" w:fill="auto"/>
            <w:tcMar>
              <w:top w:w="40" w:type="dxa"/>
              <w:left w:w="20" w:type="dxa"/>
              <w:bottom w:w="40" w:type="dxa"/>
              <w:right w:w="20" w:type="dxa"/>
            </w:tcMar>
            <w:vAlign w:val="bottom"/>
          </w:tcPr>
          <w:p w14:paraId="643056E7" w14:textId="77777777" w:rsidR="009F6D8A" w:rsidRDefault="00C50974">
            <w:pPr>
              <w:textAlignment w:val="bottom"/>
            </w:pPr>
            <w:r>
              <w:rPr>
                <w:rFonts w:ascii="Arial" w:eastAsia="宋体" w:hAnsi="Arial" w:cs="Arial"/>
                <w:b/>
                <w:bCs/>
                <w:color w:val="000000"/>
                <w:sz w:val="16"/>
                <w:szCs w:val="16"/>
              </w:rPr>
              <w:t>Exhibit Number</w:t>
            </w:r>
          </w:p>
        </w:tc>
        <w:tc>
          <w:tcPr>
            <w:tcW w:w="0" w:type="auto"/>
            <w:gridSpan w:val="3"/>
            <w:shd w:val="clear" w:color="auto" w:fill="auto"/>
            <w:tcMar>
              <w:top w:w="0" w:type="dxa"/>
              <w:left w:w="20" w:type="dxa"/>
              <w:bottom w:w="0" w:type="dxa"/>
              <w:right w:w="20" w:type="dxa"/>
            </w:tcMar>
            <w:vAlign w:val="bottom"/>
          </w:tcPr>
          <w:p w14:paraId="643056E8"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vAlign w:val="bottom"/>
          </w:tcPr>
          <w:p w14:paraId="643056E9" w14:textId="77777777" w:rsidR="009F6D8A" w:rsidRDefault="00C50974">
            <w:pPr>
              <w:textAlignment w:val="bottom"/>
            </w:pPr>
            <w:r>
              <w:rPr>
                <w:rFonts w:ascii="Arial" w:eastAsia="宋体" w:hAnsi="Arial" w:cs="Arial"/>
                <w:b/>
                <w:bCs/>
                <w:color w:val="000000"/>
                <w:sz w:val="16"/>
                <w:szCs w:val="16"/>
              </w:rPr>
              <w:t>Filed or furnished with this 10-Q</w:t>
            </w:r>
          </w:p>
        </w:tc>
        <w:tc>
          <w:tcPr>
            <w:tcW w:w="0" w:type="auto"/>
            <w:gridSpan w:val="3"/>
            <w:shd w:val="clear" w:color="auto" w:fill="auto"/>
            <w:tcMar>
              <w:top w:w="40" w:type="dxa"/>
              <w:left w:w="20" w:type="dxa"/>
              <w:bottom w:w="40" w:type="dxa"/>
              <w:right w:w="20" w:type="dxa"/>
            </w:tcMar>
            <w:vAlign w:val="bottom"/>
          </w:tcPr>
          <w:p w14:paraId="643056EA" w14:textId="77777777" w:rsidR="009F6D8A" w:rsidRDefault="00C50974">
            <w:pPr>
              <w:textAlignment w:val="bottom"/>
            </w:pPr>
            <w:r>
              <w:rPr>
                <w:rFonts w:ascii="Arial" w:eastAsia="宋体" w:hAnsi="Arial" w:cs="Arial"/>
                <w:b/>
                <w:bCs/>
                <w:color w:val="000000"/>
                <w:sz w:val="16"/>
                <w:szCs w:val="16"/>
              </w:rPr>
              <w:t>Description</w:t>
            </w:r>
          </w:p>
        </w:tc>
      </w:tr>
      <w:tr w:rsidR="009F6D8A" w14:paraId="643056F0" w14:textId="77777777">
        <w:tc>
          <w:tcPr>
            <w:tcW w:w="0" w:type="auto"/>
            <w:gridSpan w:val="3"/>
            <w:shd w:val="clear" w:color="auto" w:fill="auto"/>
            <w:tcMar>
              <w:top w:w="40" w:type="dxa"/>
              <w:left w:w="20" w:type="dxa"/>
              <w:bottom w:w="40" w:type="dxa"/>
              <w:right w:w="20" w:type="dxa"/>
            </w:tcMar>
          </w:tcPr>
          <w:p w14:paraId="643056EC" w14:textId="77777777" w:rsidR="009F6D8A" w:rsidRDefault="00C50974">
            <w:pPr>
              <w:textAlignment w:val="top"/>
            </w:pPr>
            <w:r>
              <w:rPr>
                <w:rFonts w:ascii="Arial" w:eastAsia="宋体" w:hAnsi="Arial" w:cs="Arial"/>
                <w:color w:val="000000"/>
                <w:sz w:val="18"/>
                <w:szCs w:val="18"/>
              </w:rPr>
              <w:t>2.01</w:t>
            </w:r>
          </w:p>
        </w:tc>
        <w:tc>
          <w:tcPr>
            <w:tcW w:w="0" w:type="auto"/>
            <w:gridSpan w:val="3"/>
            <w:shd w:val="clear" w:color="auto" w:fill="auto"/>
            <w:tcMar>
              <w:top w:w="0" w:type="dxa"/>
              <w:left w:w="20" w:type="dxa"/>
              <w:bottom w:w="0" w:type="dxa"/>
              <w:right w:w="20" w:type="dxa"/>
            </w:tcMar>
            <w:vAlign w:val="bottom"/>
          </w:tcPr>
          <w:p w14:paraId="643056ED"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6EE"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6EF" w14:textId="77777777" w:rsidR="009F6D8A" w:rsidRDefault="00C50974">
            <w:pPr>
              <w:textAlignment w:val="top"/>
            </w:pPr>
            <w:r>
              <w:rPr>
                <w:rFonts w:ascii="Arial" w:eastAsia="宋体" w:hAnsi="Arial" w:cs="Arial"/>
                <w:color w:val="000000"/>
                <w:sz w:val="18"/>
                <w:szCs w:val="18"/>
              </w:rPr>
              <w:t xml:space="preserve">Securities Purchase Agreement, dated as of June 30, 2021, by and among eBay Inc., eBay KTA (UK) Ltd., Emerald SPV Co., Ltd., and, </w:t>
            </w:r>
            <w:r>
              <w:rPr>
                <w:rFonts w:ascii="Arial" w:eastAsia="宋体" w:hAnsi="Arial" w:cs="Arial"/>
                <w:color w:val="000000"/>
                <w:sz w:val="18"/>
                <w:szCs w:val="18"/>
              </w:rPr>
              <w:t>solely for the purposes set forth therein, E-mart Inc.</w:t>
            </w:r>
            <w:r>
              <w:rPr>
                <w:rFonts w:ascii="Arial" w:eastAsia="宋体" w:hAnsi="Arial" w:cs="Arial"/>
                <w:color w:val="000000"/>
                <w:sz w:val="11"/>
                <w:szCs w:val="11"/>
              </w:rPr>
              <w:t>(1)</w:t>
            </w:r>
          </w:p>
        </w:tc>
      </w:tr>
      <w:tr w:rsidR="009F6D8A" w14:paraId="643056F5" w14:textId="77777777">
        <w:tc>
          <w:tcPr>
            <w:tcW w:w="0" w:type="auto"/>
            <w:gridSpan w:val="3"/>
            <w:shd w:val="clear" w:color="auto" w:fill="auto"/>
            <w:tcMar>
              <w:top w:w="40" w:type="dxa"/>
              <w:left w:w="20" w:type="dxa"/>
              <w:bottom w:w="40" w:type="dxa"/>
              <w:right w:w="20" w:type="dxa"/>
            </w:tcMar>
          </w:tcPr>
          <w:p w14:paraId="643056F1" w14:textId="77777777" w:rsidR="009F6D8A" w:rsidRDefault="00C50974">
            <w:pPr>
              <w:textAlignment w:val="top"/>
            </w:pPr>
            <w:r>
              <w:rPr>
                <w:rFonts w:ascii="Arial" w:eastAsia="宋体" w:hAnsi="Arial" w:cs="Arial"/>
                <w:color w:val="000000"/>
                <w:sz w:val="18"/>
                <w:szCs w:val="18"/>
              </w:rPr>
              <w:t>4.01</w:t>
            </w:r>
          </w:p>
        </w:tc>
        <w:tc>
          <w:tcPr>
            <w:tcW w:w="0" w:type="auto"/>
            <w:gridSpan w:val="3"/>
            <w:shd w:val="clear" w:color="auto" w:fill="auto"/>
            <w:tcMar>
              <w:top w:w="0" w:type="dxa"/>
              <w:left w:w="20" w:type="dxa"/>
              <w:bottom w:w="0" w:type="dxa"/>
              <w:right w:w="20" w:type="dxa"/>
            </w:tcMar>
            <w:vAlign w:val="bottom"/>
          </w:tcPr>
          <w:p w14:paraId="643056F2"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6F3"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6F4" w14:textId="77777777" w:rsidR="009F6D8A" w:rsidRDefault="00C50974">
            <w:pPr>
              <w:textAlignment w:val="top"/>
            </w:pPr>
            <w:r>
              <w:rPr>
                <w:rFonts w:ascii="Arial" w:eastAsia="宋体" w:hAnsi="Arial" w:cs="Arial"/>
                <w:color w:val="000000"/>
                <w:sz w:val="18"/>
                <w:szCs w:val="18"/>
              </w:rPr>
              <w:t>Form of 1.400% Note due 2026</w:t>
            </w:r>
            <w:r>
              <w:rPr>
                <w:rFonts w:ascii="Arial" w:eastAsia="宋体" w:hAnsi="Arial" w:cs="Arial"/>
                <w:color w:val="000000"/>
                <w:sz w:val="11"/>
                <w:szCs w:val="11"/>
              </w:rPr>
              <w:t>(2)</w:t>
            </w:r>
          </w:p>
        </w:tc>
      </w:tr>
      <w:tr w:rsidR="009F6D8A" w14:paraId="643056FA" w14:textId="77777777">
        <w:tc>
          <w:tcPr>
            <w:tcW w:w="0" w:type="auto"/>
            <w:gridSpan w:val="3"/>
            <w:shd w:val="clear" w:color="auto" w:fill="auto"/>
            <w:tcMar>
              <w:top w:w="40" w:type="dxa"/>
              <w:left w:w="20" w:type="dxa"/>
              <w:bottom w:w="40" w:type="dxa"/>
              <w:right w:w="20" w:type="dxa"/>
            </w:tcMar>
          </w:tcPr>
          <w:p w14:paraId="643056F6" w14:textId="77777777" w:rsidR="009F6D8A" w:rsidRDefault="00C50974">
            <w:pPr>
              <w:textAlignment w:val="top"/>
            </w:pPr>
            <w:r>
              <w:rPr>
                <w:rFonts w:ascii="Arial" w:eastAsia="宋体" w:hAnsi="Arial" w:cs="Arial"/>
                <w:color w:val="000000"/>
                <w:sz w:val="18"/>
                <w:szCs w:val="18"/>
              </w:rPr>
              <w:t>4.02</w:t>
            </w:r>
          </w:p>
        </w:tc>
        <w:tc>
          <w:tcPr>
            <w:tcW w:w="0" w:type="auto"/>
            <w:gridSpan w:val="3"/>
            <w:shd w:val="clear" w:color="auto" w:fill="auto"/>
            <w:tcMar>
              <w:top w:w="0" w:type="dxa"/>
              <w:left w:w="20" w:type="dxa"/>
              <w:bottom w:w="0" w:type="dxa"/>
              <w:right w:w="20" w:type="dxa"/>
            </w:tcMar>
            <w:vAlign w:val="bottom"/>
          </w:tcPr>
          <w:p w14:paraId="643056F7"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6F8"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6F9" w14:textId="77777777" w:rsidR="009F6D8A" w:rsidRDefault="00C50974">
            <w:pPr>
              <w:textAlignment w:val="top"/>
            </w:pPr>
            <w:r>
              <w:rPr>
                <w:rFonts w:ascii="Arial" w:eastAsia="宋体" w:hAnsi="Arial" w:cs="Arial"/>
                <w:color w:val="000000"/>
                <w:sz w:val="18"/>
                <w:szCs w:val="18"/>
              </w:rPr>
              <w:t>Form of 2.600% Note due 2031</w:t>
            </w:r>
            <w:r>
              <w:rPr>
                <w:rFonts w:ascii="Arial" w:eastAsia="宋体" w:hAnsi="Arial" w:cs="Arial"/>
                <w:color w:val="000000"/>
                <w:sz w:val="11"/>
                <w:szCs w:val="11"/>
              </w:rPr>
              <w:t>(2)</w:t>
            </w:r>
          </w:p>
        </w:tc>
      </w:tr>
      <w:tr w:rsidR="009F6D8A" w14:paraId="643056FF" w14:textId="77777777">
        <w:tc>
          <w:tcPr>
            <w:tcW w:w="0" w:type="auto"/>
            <w:gridSpan w:val="3"/>
            <w:shd w:val="clear" w:color="auto" w:fill="auto"/>
            <w:tcMar>
              <w:top w:w="40" w:type="dxa"/>
              <w:left w:w="20" w:type="dxa"/>
              <w:bottom w:w="40" w:type="dxa"/>
              <w:right w:w="20" w:type="dxa"/>
            </w:tcMar>
          </w:tcPr>
          <w:p w14:paraId="643056FB" w14:textId="77777777" w:rsidR="009F6D8A" w:rsidRDefault="00C50974">
            <w:pPr>
              <w:textAlignment w:val="top"/>
            </w:pPr>
            <w:r>
              <w:rPr>
                <w:rFonts w:ascii="Arial" w:eastAsia="宋体" w:hAnsi="Arial" w:cs="Arial"/>
                <w:color w:val="000000"/>
                <w:sz w:val="18"/>
                <w:szCs w:val="18"/>
              </w:rPr>
              <w:t>4.03</w:t>
            </w:r>
          </w:p>
        </w:tc>
        <w:tc>
          <w:tcPr>
            <w:tcW w:w="0" w:type="auto"/>
            <w:gridSpan w:val="3"/>
            <w:shd w:val="clear" w:color="auto" w:fill="auto"/>
            <w:tcMar>
              <w:top w:w="0" w:type="dxa"/>
              <w:left w:w="20" w:type="dxa"/>
              <w:bottom w:w="0" w:type="dxa"/>
              <w:right w:w="20" w:type="dxa"/>
            </w:tcMar>
            <w:vAlign w:val="bottom"/>
          </w:tcPr>
          <w:p w14:paraId="643056FC"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6FD"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6FE" w14:textId="77777777" w:rsidR="009F6D8A" w:rsidRDefault="00C50974">
            <w:pPr>
              <w:textAlignment w:val="top"/>
            </w:pPr>
            <w:r>
              <w:rPr>
                <w:rFonts w:ascii="Arial" w:eastAsia="宋体" w:hAnsi="Arial" w:cs="Arial"/>
                <w:color w:val="000000"/>
                <w:sz w:val="18"/>
                <w:szCs w:val="18"/>
              </w:rPr>
              <w:t>Form of 3.650% Note due 2051</w:t>
            </w:r>
            <w:r>
              <w:rPr>
                <w:rFonts w:ascii="Arial" w:eastAsia="宋体" w:hAnsi="Arial" w:cs="Arial"/>
                <w:color w:val="000000"/>
                <w:sz w:val="11"/>
                <w:szCs w:val="11"/>
              </w:rPr>
              <w:t>(2)</w:t>
            </w:r>
          </w:p>
        </w:tc>
      </w:tr>
      <w:tr w:rsidR="009F6D8A" w14:paraId="64305704" w14:textId="77777777">
        <w:tc>
          <w:tcPr>
            <w:tcW w:w="0" w:type="auto"/>
            <w:gridSpan w:val="3"/>
            <w:shd w:val="clear" w:color="auto" w:fill="auto"/>
            <w:tcMar>
              <w:top w:w="40" w:type="dxa"/>
              <w:left w:w="20" w:type="dxa"/>
              <w:bottom w:w="40" w:type="dxa"/>
              <w:right w:w="20" w:type="dxa"/>
            </w:tcMar>
          </w:tcPr>
          <w:p w14:paraId="64305700" w14:textId="77777777" w:rsidR="009F6D8A" w:rsidRDefault="00C50974">
            <w:pPr>
              <w:textAlignment w:val="top"/>
            </w:pPr>
            <w:r>
              <w:rPr>
                <w:rFonts w:ascii="Arial" w:eastAsia="宋体" w:hAnsi="Arial" w:cs="Arial"/>
                <w:color w:val="000000"/>
                <w:sz w:val="18"/>
                <w:szCs w:val="18"/>
              </w:rPr>
              <w:t>4.04</w:t>
            </w:r>
          </w:p>
        </w:tc>
        <w:tc>
          <w:tcPr>
            <w:tcW w:w="0" w:type="auto"/>
            <w:gridSpan w:val="3"/>
            <w:shd w:val="clear" w:color="auto" w:fill="auto"/>
            <w:tcMar>
              <w:top w:w="0" w:type="dxa"/>
              <w:left w:w="20" w:type="dxa"/>
              <w:bottom w:w="0" w:type="dxa"/>
              <w:right w:w="20" w:type="dxa"/>
            </w:tcMar>
            <w:vAlign w:val="bottom"/>
          </w:tcPr>
          <w:p w14:paraId="64305701"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702"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03" w14:textId="77777777" w:rsidR="009F6D8A" w:rsidRDefault="00C50974">
            <w:pPr>
              <w:textAlignment w:val="top"/>
            </w:pPr>
            <w:r>
              <w:rPr>
                <w:rFonts w:ascii="Arial" w:eastAsia="宋体" w:hAnsi="Arial" w:cs="Arial"/>
                <w:color w:val="000000"/>
                <w:sz w:val="18"/>
                <w:szCs w:val="18"/>
              </w:rPr>
              <w:t xml:space="preserve">Officers’ Certificate dated May 10, 2021 establishing the terms of </w:t>
            </w:r>
            <w:r>
              <w:rPr>
                <w:rFonts w:ascii="Arial" w:eastAsia="宋体" w:hAnsi="Arial" w:cs="Arial"/>
                <w:color w:val="000000"/>
                <w:sz w:val="18"/>
                <w:szCs w:val="18"/>
              </w:rPr>
              <w:t>the 1.400% Notes due 2026, 2.600% Notes due 2031 and the 3.650% Notes due 2051</w:t>
            </w:r>
            <w:r>
              <w:rPr>
                <w:rFonts w:ascii="Arial" w:eastAsia="宋体" w:hAnsi="Arial" w:cs="Arial"/>
                <w:color w:val="000000"/>
                <w:sz w:val="11"/>
                <w:szCs w:val="11"/>
              </w:rPr>
              <w:t>(2)</w:t>
            </w:r>
          </w:p>
        </w:tc>
      </w:tr>
      <w:tr w:rsidR="009F6D8A" w14:paraId="64305709" w14:textId="77777777">
        <w:tc>
          <w:tcPr>
            <w:tcW w:w="0" w:type="auto"/>
            <w:gridSpan w:val="3"/>
            <w:shd w:val="clear" w:color="auto" w:fill="auto"/>
            <w:tcMar>
              <w:top w:w="40" w:type="dxa"/>
              <w:left w:w="20" w:type="dxa"/>
              <w:bottom w:w="40" w:type="dxa"/>
              <w:right w:w="20" w:type="dxa"/>
            </w:tcMar>
          </w:tcPr>
          <w:p w14:paraId="64305705" w14:textId="77777777" w:rsidR="009F6D8A" w:rsidRDefault="00C50974">
            <w:pPr>
              <w:textAlignment w:val="top"/>
            </w:pPr>
            <w:r>
              <w:rPr>
                <w:rFonts w:ascii="Arial" w:eastAsia="宋体" w:hAnsi="Arial" w:cs="Arial"/>
                <w:color w:val="000000"/>
                <w:sz w:val="18"/>
                <w:szCs w:val="18"/>
              </w:rPr>
              <w:t>10.01+</w:t>
            </w:r>
          </w:p>
        </w:tc>
        <w:tc>
          <w:tcPr>
            <w:tcW w:w="0" w:type="auto"/>
            <w:gridSpan w:val="3"/>
            <w:shd w:val="clear" w:color="auto" w:fill="auto"/>
            <w:tcMar>
              <w:top w:w="0" w:type="dxa"/>
              <w:left w:w="20" w:type="dxa"/>
              <w:bottom w:w="0" w:type="dxa"/>
              <w:right w:w="20" w:type="dxa"/>
            </w:tcMar>
            <w:vAlign w:val="bottom"/>
          </w:tcPr>
          <w:p w14:paraId="64305706"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07" w14:textId="77777777" w:rsidR="009F6D8A" w:rsidRDefault="00C50974">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305708" w14:textId="77777777" w:rsidR="009F6D8A" w:rsidRDefault="00C50974">
            <w:pPr>
              <w:textAlignment w:val="top"/>
            </w:pPr>
            <w:hyperlink r:id="rId7" w:history="1">
              <w:r>
                <w:rPr>
                  <w:rStyle w:val="a5"/>
                  <w:rFonts w:ascii="Arial" w:eastAsia="宋体" w:hAnsi="Arial" w:cs="Arial"/>
                  <w:sz w:val="18"/>
                  <w:szCs w:val="18"/>
                </w:rPr>
                <w:t>Offer Letter dated May 7, 2021 between Registrant and</w:t>
              </w:r>
              <w:r>
                <w:rPr>
                  <w:rStyle w:val="a5"/>
                  <w:rFonts w:ascii="Arial" w:eastAsia="宋体" w:hAnsi="Arial" w:cs="Arial"/>
                  <w:sz w:val="18"/>
                  <w:szCs w:val="18"/>
                </w:rPr>
                <w:t xml:space="preserve"> Stephen Priest</w:t>
              </w:r>
            </w:hyperlink>
          </w:p>
        </w:tc>
      </w:tr>
      <w:tr w:rsidR="009F6D8A" w14:paraId="6430570E" w14:textId="77777777">
        <w:tc>
          <w:tcPr>
            <w:tcW w:w="0" w:type="auto"/>
            <w:gridSpan w:val="3"/>
            <w:shd w:val="clear" w:color="auto" w:fill="auto"/>
            <w:tcMar>
              <w:top w:w="40" w:type="dxa"/>
              <w:left w:w="20" w:type="dxa"/>
              <w:bottom w:w="40" w:type="dxa"/>
              <w:right w:w="20" w:type="dxa"/>
            </w:tcMar>
          </w:tcPr>
          <w:p w14:paraId="6430570A" w14:textId="77777777" w:rsidR="009F6D8A" w:rsidRDefault="00C50974">
            <w:pPr>
              <w:textAlignment w:val="top"/>
            </w:pPr>
            <w:r>
              <w:rPr>
                <w:rFonts w:ascii="Arial" w:eastAsia="宋体" w:hAnsi="Arial" w:cs="Arial"/>
                <w:color w:val="000000"/>
                <w:sz w:val="18"/>
                <w:szCs w:val="18"/>
              </w:rPr>
              <w:t>31.01</w:t>
            </w:r>
          </w:p>
        </w:tc>
        <w:tc>
          <w:tcPr>
            <w:tcW w:w="0" w:type="auto"/>
            <w:gridSpan w:val="3"/>
            <w:shd w:val="clear" w:color="auto" w:fill="auto"/>
            <w:tcMar>
              <w:top w:w="0" w:type="dxa"/>
              <w:left w:w="20" w:type="dxa"/>
              <w:bottom w:w="0" w:type="dxa"/>
              <w:right w:w="20" w:type="dxa"/>
            </w:tcMar>
            <w:vAlign w:val="bottom"/>
          </w:tcPr>
          <w:p w14:paraId="6430570B"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0C" w14:textId="77777777" w:rsidR="009F6D8A" w:rsidRDefault="00C50974">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30570D" w14:textId="77777777" w:rsidR="009F6D8A" w:rsidRDefault="00C50974">
            <w:pPr>
              <w:textAlignment w:val="top"/>
            </w:pPr>
            <w:hyperlink r:id="rId8" w:history="1">
              <w:r>
                <w:rPr>
                  <w:rStyle w:val="a5"/>
                  <w:rFonts w:ascii="Arial" w:eastAsia="宋体" w:hAnsi="Arial" w:cs="Arial"/>
                  <w:sz w:val="18"/>
                  <w:szCs w:val="18"/>
                </w:rPr>
                <w:t>Certification of Registrant’s Chief Executive Officer, as required by Section 302 of the Sarbanes-Oxley Act of 2002.</w:t>
              </w:r>
            </w:hyperlink>
          </w:p>
        </w:tc>
      </w:tr>
      <w:tr w:rsidR="009F6D8A" w14:paraId="64305713" w14:textId="77777777">
        <w:tc>
          <w:tcPr>
            <w:tcW w:w="0" w:type="auto"/>
            <w:gridSpan w:val="3"/>
            <w:shd w:val="clear" w:color="auto" w:fill="auto"/>
            <w:tcMar>
              <w:top w:w="40" w:type="dxa"/>
              <w:left w:w="20" w:type="dxa"/>
              <w:bottom w:w="40" w:type="dxa"/>
              <w:right w:w="20" w:type="dxa"/>
            </w:tcMar>
          </w:tcPr>
          <w:p w14:paraId="6430570F" w14:textId="77777777" w:rsidR="009F6D8A" w:rsidRDefault="00C50974">
            <w:pPr>
              <w:textAlignment w:val="top"/>
            </w:pPr>
            <w:r>
              <w:rPr>
                <w:rFonts w:ascii="Arial" w:eastAsia="宋体" w:hAnsi="Arial" w:cs="Arial"/>
                <w:color w:val="000000"/>
                <w:sz w:val="18"/>
                <w:szCs w:val="18"/>
              </w:rPr>
              <w:t>31.02</w:t>
            </w:r>
          </w:p>
        </w:tc>
        <w:tc>
          <w:tcPr>
            <w:tcW w:w="0" w:type="auto"/>
            <w:gridSpan w:val="3"/>
            <w:shd w:val="clear" w:color="auto" w:fill="auto"/>
            <w:tcMar>
              <w:top w:w="0" w:type="dxa"/>
              <w:left w:w="20" w:type="dxa"/>
              <w:bottom w:w="0" w:type="dxa"/>
              <w:right w:w="20" w:type="dxa"/>
            </w:tcMar>
            <w:vAlign w:val="bottom"/>
          </w:tcPr>
          <w:p w14:paraId="64305710"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11" w14:textId="77777777" w:rsidR="009F6D8A" w:rsidRDefault="00C50974">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305712" w14:textId="77777777" w:rsidR="009F6D8A" w:rsidRDefault="00C50974">
            <w:pPr>
              <w:textAlignment w:val="top"/>
            </w:pPr>
            <w:hyperlink r:id="rId9" w:history="1">
              <w:r>
                <w:rPr>
                  <w:rStyle w:val="a5"/>
                  <w:rFonts w:ascii="Arial" w:eastAsia="宋体" w:hAnsi="Arial" w:cs="Arial"/>
                  <w:sz w:val="18"/>
                  <w:szCs w:val="18"/>
                </w:rPr>
                <w:t>Certification of Registrant’s Chief Financial Officer, as required by Section 302 of the Sarbanes-Oxley Act of 2002.</w:t>
              </w:r>
            </w:hyperlink>
          </w:p>
        </w:tc>
      </w:tr>
      <w:tr w:rsidR="009F6D8A" w14:paraId="64305718" w14:textId="77777777">
        <w:tc>
          <w:tcPr>
            <w:tcW w:w="0" w:type="auto"/>
            <w:gridSpan w:val="3"/>
            <w:shd w:val="clear" w:color="auto" w:fill="auto"/>
            <w:tcMar>
              <w:top w:w="40" w:type="dxa"/>
              <w:left w:w="20" w:type="dxa"/>
              <w:bottom w:w="40" w:type="dxa"/>
              <w:right w:w="20" w:type="dxa"/>
            </w:tcMar>
          </w:tcPr>
          <w:p w14:paraId="64305714" w14:textId="77777777" w:rsidR="009F6D8A" w:rsidRDefault="00C50974">
            <w:pPr>
              <w:textAlignment w:val="top"/>
            </w:pPr>
            <w:r>
              <w:rPr>
                <w:rFonts w:ascii="Arial" w:eastAsia="宋体" w:hAnsi="Arial" w:cs="Arial"/>
                <w:color w:val="000000"/>
                <w:sz w:val="18"/>
                <w:szCs w:val="18"/>
              </w:rPr>
              <w:t>32.01</w:t>
            </w:r>
          </w:p>
        </w:tc>
        <w:tc>
          <w:tcPr>
            <w:tcW w:w="0" w:type="auto"/>
            <w:gridSpan w:val="3"/>
            <w:shd w:val="clear" w:color="auto" w:fill="auto"/>
            <w:tcMar>
              <w:top w:w="0" w:type="dxa"/>
              <w:left w:w="20" w:type="dxa"/>
              <w:bottom w:w="0" w:type="dxa"/>
              <w:right w:w="20" w:type="dxa"/>
            </w:tcMar>
            <w:vAlign w:val="bottom"/>
          </w:tcPr>
          <w:p w14:paraId="64305715"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16" w14:textId="77777777" w:rsidR="009F6D8A" w:rsidRDefault="00C50974">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305717" w14:textId="77777777" w:rsidR="009F6D8A" w:rsidRDefault="00C50974">
            <w:pPr>
              <w:textAlignment w:val="top"/>
            </w:pPr>
            <w:hyperlink r:id="rId10" w:history="1">
              <w:r>
                <w:rPr>
                  <w:rStyle w:val="a5"/>
                  <w:rFonts w:ascii="Arial" w:eastAsia="宋体" w:hAnsi="Arial" w:cs="Arial"/>
                  <w:sz w:val="18"/>
                  <w:szCs w:val="18"/>
                </w:rPr>
                <w:t>Certification of Registrant’s Chief Executive Officer, as required by Section 906 of the Sarbanes-Oxley Act of 2002.</w:t>
              </w:r>
            </w:hyperlink>
          </w:p>
        </w:tc>
      </w:tr>
      <w:tr w:rsidR="009F6D8A" w14:paraId="6430571D" w14:textId="77777777">
        <w:tc>
          <w:tcPr>
            <w:tcW w:w="0" w:type="auto"/>
            <w:gridSpan w:val="3"/>
            <w:shd w:val="clear" w:color="auto" w:fill="auto"/>
            <w:tcMar>
              <w:top w:w="40" w:type="dxa"/>
              <w:left w:w="20" w:type="dxa"/>
              <w:bottom w:w="40" w:type="dxa"/>
              <w:right w:w="20" w:type="dxa"/>
            </w:tcMar>
          </w:tcPr>
          <w:p w14:paraId="64305719" w14:textId="77777777" w:rsidR="009F6D8A" w:rsidRDefault="00C50974">
            <w:pPr>
              <w:textAlignment w:val="top"/>
            </w:pPr>
            <w:r>
              <w:rPr>
                <w:rFonts w:ascii="Arial" w:eastAsia="宋体" w:hAnsi="Arial" w:cs="Arial"/>
                <w:color w:val="000000"/>
                <w:sz w:val="18"/>
                <w:szCs w:val="18"/>
              </w:rPr>
              <w:t>32.02</w:t>
            </w:r>
          </w:p>
        </w:tc>
        <w:tc>
          <w:tcPr>
            <w:tcW w:w="0" w:type="auto"/>
            <w:gridSpan w:val="3"/>
            <w:shd w:val="clear" w:color="auto" w:fill="auto"/>
            <w:tcMar>
              <w:top w:w="0" w:type="dxa"/>
              <w:left w:w="20" w:type="dxa"/>
              <w:bottom w:w="0" w:type="dxa"/>
              <w:right w:w="20" w:type="dxa"/>
            </w:tcMar>
            <w:vAlign w:val="bottom"/>
          </w:tcPr>
          <w:p w14:paraId="6430571A"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1B" w14:textId="77777777" w:rsidR="009F6D8A" w:rsidRDefault="00C50974">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30571C" w14:textId="77777777" w:rsidR="009F6D8A" w:rsidRDefault="00C50974">
            <w:pPr>
              <w:textAlignment w:val="top"/>
            </w:pPr>
            <w:hyperlink r:id="rId11" w:history="1">
              <w:r>
                <w:rPr>
                  <w:rStyle w:val="a5"/>
                  <w:rFonts w:ascii="Arial" w:eastAsia="宋体" w:hAnsi="Arial" w:cs="Arial"/>
                  <w:sz w:val="18"/>
                  <w:szCs w:val="18"/>
                </w:rPr>
                <w:t>Certification of Registrant’s Chief Financial Officer, as required by Section 906 of the Sarbanes-Oxley Act of 2002.</w:t>
              </w:r>
            </w:hyperlink>
          </w:p>
        </w:tc>
      </w:tr>
      <w:tr w:rsidR="009F6D8A" w14:paraId="64305722" w14:textId="77777777">
        <w:tc>
          <w:tcPr>
            <w:tcW w:w="0" w:type="auto"/>
            <w:gridSpan w:val="3"/>
            <w:shd w:val="clear" w:color="auto" w:fill="auto"/>
            <w:tcMar>
              <w:top w:w="40" w:type="dxa"/>
              <w:left w:w="20" w:type="dxa"/>
              <w:bottom w:w="40" w:type="dxa"/>
              <w:right w:w="20" w:type="dxa"/>
            </w:tcMar>
          </w:tcPr>
          <w:p w14:paraId="6430571E" w14:textId="77777777" w:rsidR="009F6D8A" w:rsidRDefault="00C50974">
            <w:pPr>
              <w:textAlignment w:val="top"/>
            </w:pPr>
            <w:r>
              <w:rPr>
                <w:rFonts w:ascii="Arial" w:eastAsia="宋体" w:hAnsi="Arial" w:cs="Arial"/>
                <w:color w:val="000000"/>
                <w:sz w:val="18"/>
                <w:szCs w:val="18"/>
              </w:rPr>
              <w:t>101.INS</w:t>
            </w:r>
          </w:p>
        </w:tc>
        <w:tc>
          <w:tcPr>
            <w:tcW w:w="0" w:type="auto"/>
            <w:gridSpan w:val="3"/>
            <w:shd w:val="clear" w:color="auto" w:fill="auto"/>
            <w:tcMar>
              <w:top w:w="0" w:type="dxa"/>
              <w:left w:w="20" w:type="dxa"/>
              <w:bottom w:w="0" w:type="dxa"/>
              <w:right w:w="20" w:type="dxa"/>
            </w:tcMar>
            <w:vAlign w:val="bottom"/>
          </w:tcPr>
          <w:p w14:paraId="6430571F"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20" w14:textId="77777777" w:rsidR="009F6D8A" w:rsidRDefault="00C50974">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305721" w14:textId="77777777" w:rsidR="009F6D8A" w:rsidRDefault="00C50974">
            <w:pPr>
              <w:textAlignment w:val="top"/>
            </w:pPr>
            <w:r>
              <w:rPr>
                <w:rFonts w:ascii="Arial" w:eastAsia="宋体" w:hAnsi="Arial" w:cs="Arial"/>
                <w:color w:val="000000"/>
                <w:sz w:val="18"/>
                <w:szCs w:val="18"/>
              </w:rPr>
              <w:t>Inline XBRL Instance</w:t>
            </w:r>
            <w:r>
              <w:rPr>
                <w:rFonts w:ascii="Arial" w:eastAsia="宋体" w:hAnsi="Arial" w:cs="Arial"/>
                <w:color w:val="000000"/>
                <w:sz w:val="18"/>
                <w:szCs w:val="18"/>
              </w:rPr>
              <w:t xml:space="preserve"> Document (the Instance Document does not appear in the Interactive Data File because its XBRL tags are embedded within the Inline XBRL document)</w:t>
            </w:r>
          </w:p>
        </w:tc>
      </w:tr>
      <w:tr w:rsidR="009F6D8A" w14:paraId="64305727" w14:textId="77777777">
        <w:tc>
          <w:tcPr>
            <w:tcW w:w="0" w:type="auto"/>
            <w:gridSpan w:val="3"/>
            <w:shd w:val="clear" w:color="auto" w:fill="auto"/>
            <w:tcMar>
              <w:top w:w="40" w:type="dxa"/>
              <w:left w:w="20" w:type="dxa"/>
              <w:bottom w:w="40" w:type="dxa"/>
              <w:right w:w="20" w:type="dxa"/>
            </w:tcMar>
          </w:tcPr>
          <w:p w14:paraId="64305723" w14:textId="77777777" w:rsidR="009F6D8A" w:rsidRDefault="00C50974">
            <w:pPr>
              <w:textAlignment w:val="top"/>
            </w:pPr>
            <w:r>
              <w:rPr>
                <w:rFonts w:ascii="Arial" w:eastAsia="宋体" w:hAnsi="Arial" w:cs="Arial"/>
                <w:color w:val="000000"/>
                <w:sz w:val="18"/>
                <w:szCs w:val="18"/>
              </w:rPr>
              <w:t>101.SCH</w:t>
            </w:r>
          </w:p>
        </w:tc>
        <w:tc>
          <w:tcPr>
            <w:tcW w:w="0" w:type="auto"/>
            <w:gridSpan w:val="3"/>
            <w:shd w:val="clear" w:color="auto" w:fill="auto"/>
            <w:tcMar>
              <w:top w:w="0" w:type="dxa"/>
              <w:left w:w="20" w:type="dxa"/>
              <w:bottom w:w="0" w:type="dxa"/>
              <w:right w:w="20" w:type="dxa"/>
            </w:tcMar>
            <w:vAlign w:val="bottom"/>
          </w:tcPr>
          <w:p w14:paraId="64305724"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25" w14:textId="77777777" w:rsidR="009F6D8A" w:rsidRDefault="00C50974">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305726" w14:textId="77777777" w:rsidR="009F6D8A" w:rsidRDefault="00C50974">
            <w:pPr>
              <w:textAlignment w:val="top"/>
            </w:pPr>
            <w:r>
              <w:rPr>
                <w:rFonts w:ascii="Arial" w:eastAsia="宋体" w:hAnsi="Arial" w:cs="Arial"/>
                <w:color w:val="000000"/>
                <w:sz w:val="18"/>
                <w:szCs w:val="18"/>
              </w:rPr>
              <w:t>Inline XBRL Taxonomy Extension Schema Document</w:t>
            </w:r>
          </w:p>
        </w:tc>
      </w:tr>
      <w:tr w:rsidR="009F6D8A" w14:paraId="6430572C" w14:textId="77777777">
        <w:tc>
          <w:tcPr>
            <w:tcW w:w="0" w:type="auto"/>
            <w:gridSpan w:val="3"/>
            <w:shd w:val="clear" w:color="auto" w:fill="auto"/>
            <w:tcMar>
              <w:top w:w="40" w:type="dxa"/>
              <w:left w:w="20" w:type="dxa"/>
              <w:bottom w:w="40" w:type="dxa"/>
              <w:right w:w="20" w:type="dxa"/>
            </w:tcMar>
          </w:tcPr>
          <w:p w14:paraId="64305728" w14:textId="77777777" w:rsidR="009F6D8A" w:rsidRDefault="00C50974">
            <w:pPr>
              <w:textAlignment w:val="top"/>
            </w:pPr>
            <w:r>
              <w:rPr>
                <w:rFonts w:ascii="Arial" w:eastAsia="宋体" w:hAnsi="Arial" w:cs="Arial"/>
                <w:color w:val="000000"/>
                <w:sz w:val="18"/>
                <w:szCs w:val="18"/>
              </w:rPr>
              <w:t>101.CAL</w:t>
            </w:r>
          </w:p>
        </w:tc>
        <w:tc>
          <w:tcPr>
            <w:tcW w:w="0" w:type="auto"/>
            <w:gridSpan w:val="3"/>
            <w:shd w:val="clear" w:color="auto" w:fill="auto"/>
            <w:tcMar>
              <w:top w:w="0" w:type="dxa"/>
              <w:left w:w="20" w:type="dxa"/>
              <w:bottom w:w="0" w:type="dxa"/>
              <w:right w:w="20" w:type="dxa"/>
            </w:tcMar>
            <w:vAlign w:val="bottom"/>
          </w:tcPr>
          <w:p w14:paraId="64305729"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2A" w14:textId="77777777" w:rsidR="009F6D8A" w:rsidRDefault="00C50974">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30572B" w14:textId="77777777" w:rsidR="009F6D8A" w:rsidRDefault="00C50974">
            <w:pPr>
              <w:textAlignment w:val="top"/>
            </w:pPr>
            <w:r>
              <w:rPr>
                <w:rFonts w:ascii="Arial" w:eastAsia="宋体" w:hAnsi="Arial" w:cs="Arial"/>
                <w:color w:val="000000"/>
                <w:sz w:val="18"/>
                <w:szCs w:val="18"/>
              </w:rPr>
              <w:t xml:space="preserve">Inline XBRL Taxonomy Extension </w:t>
            </w:r>
            <w:r>
              <w:rPr>
                <w:rFonts w:ascii="Arial" w:eastAsia="宋体" w:hAnsi="Arial" w:cs="Arial"/>
                <w:color w:val="000000"/>
                <w:sz w:val="18"/>
                <w:szCs w:val="18"/>
              </w:rPr>
              <w:t>Calculation Linkbase Document</w:t>
            </w:r>
          </w:p>
        </w:tc>
      </w:tr>
      <w:tr w:rsidR="009F6D8A" w14:paraId="64305731" w14:textId="77777777">
        <w:tc>
          <w:tcPr>
            <w:tcW w:w="0" w:type="auto"/>
            <w:gridSpan w:val="3"/>
            <w:shd w:val="clear" w:color="auto" w:fill="auto"/>
            <w:tcMar>
              <w:top w:w="40" w:type="dxa"/>
              <w:left w:w="20" w:type="dxa"/>
              <w:bottom w:w="40" w:type="dxa"/>
              <w:right w:w="20" w:type="dxa"/>
            </w:tcMar>
          </w:tcPr>
          <w:p w14:paraId="6430572D" w14:textId="77777777" w:rsidR="009F6D8A" w:rsidRDefault="00C50974">
            <w:pPr>
              <w:textAlignment w:val="top"/>
            </w:pPr>
            <w:r>
              <w:rPr>
                <w:rFonts w:ascii="Arial" w:eastAsia="宋体" w:hAnsi="Arial" w:cs="Arial"/>
                <w:color w:val="000000"/>
                <w:sz w:val="18"/>
                <w:szCs w:val="18"/>
              </w:rPr>
              <w:t>101.DEF</w:t>
            </w:r>
          </w:p>
        </w:tc>
        <w:tc>
          <w:tcPr>
            <w:tcW w:w="0" w:type="auto"/>
            <w:gridSpan w:val="3"/>
            <w:shd w:val="clear" w:color="auto" w:fill="auto"/>
            <w:tcMar>
              <w:top w:w="0" w:type="dxa"/>
              <w:left w:w="20" w:type="dxa"/>
              <w:bottom w:w="0" w:type="dxa"/>
              <w:right w:w="20" w:type="dxa"/>
            </w:tcMar>
            <w:vAlign w:val="bottom"/>
          </w:tcPr>
          <w:p w14:paraId="6430572E"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2F" w14:textId="77777777" w:rsidR="009F6D8A" w:rsidRDefault="00C50974">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305730" w14:textId="77777777" w:rsidR="009F6D8A" w:rsidRDefault="00C50974">
            <w:pPr>
              <w:textAlignment w:val="top"/>
            </w:pPr>
            <w:r>
              <w:rPr>
                <w:rFonts w:ascii="Arial" w:eastAsia="宋体" w:hAnsi="Arial" w:cs="Arial"/>
                <w:color w:val="000000"/>
                <w:sz w:val="18"/>
                <w:szCs w:val="18"/>
              </w:rPr>
              <w:t>Inline XBRL Taxonomy Extension Definition Linkbase Document</w:t>
            </w:r>
          </w:p>
        </w:tc>
      </w:tr>
      <w:tr w:rsidR="009F6D8A" w14:paraId="64305736" w14:textId="77777777">
        <w:tc>
          <w:tcPr>
            <w:tcW w:w="0" w:type="auto"/>
            <w:gridSpan w:val="3"/>
            <w:shd w:val="clear" w:color="auto" w:fill="auto"/>
            <w:tcMar>
              <w:top w:w="40" w:type="dxa"/>
              <w:left w:w="20" w:type="dxa"/>
              <w:bottom w:w="40" w:type="dxa"/>
              <w:right w:w="20" w:type="dxa"/>
            </w:tcMar>
          </w:tcPr>
          <w:p w14:paraId="64305732" w14:textId="77777777" w:rsidR="009F6D8A" w:rsidRDefault="00C50974">
            <w:pPr>
              <w:textAlignment w:val="top"/>
            </w:pPr>
            <w:r>
              <w:rPr>
                <w:rFonts w:ascii="Arial" w:eastAsia="宋体" w:hAnsi="Arial" w:cs="Arial"/>
                <w:color w:val="000000"/>
                <w:sz w:val="18"/>
                <w:szCs w:val="18"/>
              </w:rPr>
              <w:t>101.LAB</w:t>
            </w:r>
          </w:p>
        </w:tc>
        <w:tc>
          <w:tcPr>
            <w:tcW w:w="0" w:type="auto"/>
            <w:gridSpan w:val="3"/>
            <w:shd w:val="clear" w:color="auto" w:fill="auto"/>
            <w:tcMar>
              <w:top w:w="0" w:type="dxa"/>
              <w:left w:w="20" w:type="dxa"/>
              <w:bottom w:w="0" w:type="dxa"/>
              <w:right w:w="20" w:type="dxa"/>
            </w:tcMar>
            <w:vAlign w:val="bottom"/>
          </w:tcPr>
          <w:p w14:paraId="64305733"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34" w14:textId="77777777" w:rsidR="009F6D8A" w:rsidRDefault="00C50974">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305735" w14:textId="77777777" w:rsidR="009F6D8A" w:rsidRDefault="00C50974">
            <w:pPr>
              <w:textAlignment w:val="top"/>
            </w:pPr>
            <w:r>
              <w:rPr>
                <w:rFonts w:ascii="Arial" w:eastAsia="宋体" w:hAnsi="Arial" w:cs="Arial"/>
                <w:color w:val="000000"/>
                <w:sz w:val="18"/>
                <w:szCs w:val="18"/>
              </w:rPr>
              <w:t>Inline XBRL Taxonomy Extension Label Linkbase Document</w:t>
            </w:r>
          </w:p>
        </w:tc>
      </w:tr>
      <w:tr w:rsidR="009F6D8A" w14:paraId="6430573B" w14:textId="77777777">
        <w:tc>
          <w:tcPr>
            <w:tcW w:w="0" w:type="auto"/>
            <w:gridSpan w:val="3"/>
            <w:shd w:val="clear" w:color="auto" w:fill="auto"/>
            <w:tcMar>
              <w:top w:w="40" w:type="dxa"/>
              <w:left w:w="20" w:type="dxa"/>
              <w:bottom w:w="40" w:type="dxa"/>
              <w:right w:w="20" w:type="dxa"/>
            </w:tcMar>
          </w:tcPr>
          <w:p w14:paraId="64305737" w14:textId="77777777" w:rsidR="009F6D8A" w:rsidRDefault="00C50974">
            <w:pPr>
              <w:textAlignment w:val="top"/>
            </w:pPr>
            <w:r>
              <w:rPr>
                <w:rFonts w:ascii="Arial" w:eastAsia="宋体" w:hAnsi="Arial" w:cs="Arial"/>
                <w:color w:val="000000"/>
                <w:sz w:val="18"/>
                <w:szCs w:val="18"/>
              </w:rPr>
              <w:t>101.PRE</w:t>
            </w:r>
          </w:p>
        </w:tc>
        <w:tc>
          <w:tcPr>
            <w:tcW w:w="0" w:type="auto"/>
            <w:gridSpan w:val="3"/>
            <w:shd w:val="clear" w:color="auto" w:fill="auto"/>
            <w:tcMar>
              <w:top w:w="0" w:type="dxa"/>
              <w:left w:w="20" w:type="dxa"/>
              <w:bottom w:w="0" w:type="dxa"/>
              <w:right w:w="20" w:type="dxa"/>
            </w:tcMar>
            <w:vAlign w:val="bottom"/>
          </w:tcPr>
          <w:p w14:paraId="64305738"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39" w14:textId="77777777" w:rsidR="009F6D8A" w:rsidRDefault="00C50974">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30573A" w14:textId="77777777" w:rsidR="009F6D8A" w:rsidRDefault="00C50974">
            <w:pPr>
              <w:textAlignment w:val="top"/>
            </w:pPr>
            <w:r>
              <w:rPr>
                <w:rFonts w:ascii="Arial" w:eastAsia="宋体" w:hAnsi="Arial" w:cs="Arial"/>
                <w:color w:val="000000"/>
                <w:sz w:val="18"/>
                <w:szCs w:val="18"/>
              </w:rPr>
              <w:t>Inline XBRL Taxonomy Extension Presentation Linkbase Document</w:t>
            </w:r>
          </w:p>
        </w:tc>
      </w:tr>
      <w:tr w:rsidR="009F6D8A" w14:paraId="64305740" w14:textId="77777777">
        <w:tc>
          <w:tcPr>
            <w:tcW w:w="0" w:type="auto"/>
            <w:gridSpan w:val="3"/>
            <w:shd w:val="clear" w:color="auto" w:fill="auto"/>
            <w:tcMar>
              <w:top w:w="40" w:type="dxa"/>
              <w:left w:w="20" w:type="dxa"/>
              <w:bottom w:w="40" w:type="dxa"/>
              <w:right w:w="20" w:type="dxa"/>
            </w:tcMar>
          </w:tcPr>
          <w:p w14:paraId="6430573C" w14:textId="77777777" w:rsidR="009F6D8A" w:rsidRDefault="00C50974">
            <w:pPr>
              <w:textAlignment w:val="top"/>
            </w:pPr>
            <w:r>
              <w:rPr>
                <w:rFonts w:ascii="Arial" w:eastAsia="宋体" w:hAnsi="Arial" w:cs="Arial"/>
                <w:color w:val="000000"/>
                <w:sz w:val="18"/>
                <w:szCs w:val="18"/>
              </w:rPr>
              <w:t>104</w:t>
            </w:r>
          </w:p>
        </w:tc>
        <w:tc>
          <w:tcPr>
            <w:tcW w:w="0" w:type="auto"/>
            <w:gridSpan w:val="3"/>
            <w:shd w:val="clear" w:color="auto" w:fill="auto"/>
            <w:tcMar>
              <w:top w:w="0" w:type="dxa"/>
              <w:left w:w="20" w:type="dxa"/>
              <w:bottom w:w="0" w:type="dxa"/>
              <w:right w:w="20" w:type="dxa"/>
            </w:tcMar>
            <w:vAlign w:val="bottom"/>
          </w:tcPr>
          <w:p w14:paraId="6430573D"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3E" w14:textId="77777777" w:rsidR="009F6D8A" w:rsidRDefault="00C50974">
            <w:pPr>
              <w:jc w:val="center"/>
              <w:textAlignment w:val="top"/>
            </w:pPr>
            <w:r>
              <w:rPr>
                <w:rFonts w:ascii="Arial" w:eastAsia="宋体" w:hAnsi="Arial" w:cs="Arial"/>
                <w:color w:val="000000"/>
                <w:sz w:val="18"/>
                <w:szCs w:val="18"/>
              </w:rPr>
              <w:t>X</w:t>
            </w:r>
          </w:p>
        </w:tc>
        <w:tc>
          <w:tcPr>
            <w:tcW w:w="0" w:type="auto"/>
            <w:gridSpan w:val="3"/>
            <w:shd w:val="clear" w:color="auto" w:fill="auto"/>
            <w:tcMar>
              <w:top w:w="40" w:type="dxa"/>
              <w:left w:w="20" w:type="dxa"/>
              <w:bottom w:w="40" w:type="dxa"/>
              <w:right w:w="20" w:type="dxa"/>
            </w:tcMar>
          </w:tcPr>
          <w:p w14:paraId="6430573F" w14:textId="77777777" w:rsidR="009F6D8A" w:rsidRDefault="00C50974">
            <w:pPr>
              <w:textAlignment w:val="top"/>
            </w:pPr>
            <w:r>
              <w:rPr>
                <w:rFonts w:ascii="Arial" w:eastAsia="宋体" w:hAnsi="Arial" w:cs="Arial"/>
                <w:color w:val="000000"/>
                <w:sz w:val="18"/>
                <w:szCs w:val="18"/>
              </w:rPr>
              <w:t>Cover Page Interactive Data File (formatted as Inline XBRL and contained in Exhibit 101)</w:t>
            </w:r>
          </w:p>
        </w:tc>
      </w:tr>
    </w:tbl>
    <w:p w14:paraId="64305741" w14:textId="77777777" w:rsidR="009F6D8A" w:rsidRDefault="00C50974">
      <w:pPr>
        <w:spacing w:before="120"/>
      </w:pPr>
      <w:r>
        <w:rPr>
          <w:rFonts w:ascii="Arial" w:eastAsia="宋体" w:hAnsi="Arial" w:cs="Arial"/>
          <w:color w:val="000000"/>
          <w:sz w:val="18"/>
          <w:szCs w:val="18"/>
        </w:rPr>
        <w:t>+ Indicates a management contract or compensatory plan or arrangement</w:t>
      </w:r>
    </w:p>
    <w:p w14:paraId="64305742" w14:textId="77777777" w:rsidR="009F6D8A" w:rsidRDefault="00C50974">
      <w:pPr>
        <w:ind w:hanging="180"/>
      </w:pPr>
      <w:r>
        <w:rPr>
          <w:rFonts w:ascii="Arial" w:eastAsia="宋体" w:hAnsi="Arial" w:cs="Arial"/>
          <w:color w:val="000000"/>
          <w:sz w:val="11"/>
          <w:szCs w:val="11"/>
        </w:rPr>
        <w:t xml:space="preserve">(1) </w:t>
      </w:r>
      <w:r>
        <w:rPr>
          <w:rFonts w:ascii="Arial" w:eastAsia="宋体" w:hAnsi="Arial" w:cs="Arial"/>
          <w:color w:val="000000"/>
          <w:sz w:val="18"/>
          <w:szCs w:val="18"/>
        </w:rPr>
        <w:t xml:space="preserve">Filed as an exhibit to the Registrant’s Current Report on Form 8-K filed with the </w:t>
      </w:r>
      <w:r>
        <w:rPr>
          <w:rFonts w:ascii="Arial" w:eastAsia="宋体" w:hAnsi="Arial" w:cs="Arial"/>
          <w:color w:val="000000"/>
          <w:sz w:val="18"/>
          <w:szCs w:val="18"/>
        </w:rPr>
        <w:t>Securities and Exchange Commission on June 30, 2021.</w:t>
      </w:r>
    </w:p>
    <w:p w14:paraId="64305743" w14:textId="77777777" w:rsidR="009F6D8A" w:rsidRDefault="00C50974">
      <w:pPr>
        <w:ind w:hanging="180"/>
      </w:pPr>
      <w:r>
        <w:rPr>
          <w:rFonts w:ascii="Arial" w:eastAsia="宋体" w:hAnsi="Arial" w:cs="Arial"/>
          <w:color w:val="000000"/>
          <w:sz w:val="11"/>
          <w:szCs w:val="11"/>
        </w:rPr>
        <w:t xml:space="preserve">(2) </w:t>
      </w:r>
      <w:r>
        <w:rPr>
          <w:rFonts w:ascii="Arial" w:eastAsia="宋体" w:hAnsi="Arial" w:cs="Arial"/>
          <w:color w:val="000000"/>
          <w:sz w:val="18"/>
          <w:szCs w:val="18"/>
        </w:rPr>
        <w:t>Filed as an exhibit to the Registrant’s Current Report on Form 8-K filed with the Securities and Exchange Commission on May 10, 2021.</w:t>
      </w:r>
    </w:p>
    <w:p w14:paraId="64305744" w14:textId="77777777" w:rsidR="009F6D8A" w:rsidRDefault="009F6D8A">
      <w:pPr>
        <w:spacing w:before="60"/>
      </w:pPr>
    </w:p>
    <w:p w14:paraId="64305745" w14:textId="77777777" w:rsidR="009F6D8A" w:rsidRDefault="009F6D8A">
      <w:pPr>
        <w:spacing w:before="60"/>
      </w:pPr>
    </w:p>
    <w:p w14:paraId="64305746" w14:textId="77777777" w:rsidR="009F6D8A" w:rsidRDefault="009F6D8A">
      <w:pPr>
        <w:ind w:hanging="360"/>
      </w:pPr>
    </w:p>
    <w:p w14:paraId="64305747" w14:textId="77777777" w:rsidR="009F6D8A" w:rsidRDefault="009F6D8A">
      <w:pPr>
        <w:ind w:hanging="360"/>
      </w:pPr>
    </w:p>
    <w:p w14:paraId="64305748" w14:textId="77777777" w:rsidR="009F6D8A" w:rsidRDefault="009F6D8A">
      <w:pPr>
        <w:ind w:hanging="360"/>
      </w:pPr>
    </w:p>
    <w:p w14:paraId="64305749" w14:textId="77777777" w:rsidR="009F6D8A" w:rsidRDefault="009F6D8A">
      <w:pPr>
        <w:ind w:hanging="360"/>
      </w:pPr>
    </w:p>
    <w:p w14:paraId="6430574A" w14:textId="77777777" w:rsidR="009F6D8A" w:rsidRDefault="009F6D8A">
      <w:pPr>
        <w:ind w:hanging="360"/>
      </w:pPr>
    </w:p>
    <w:p w14:paraId="6430574B" w14:textId="77777777" w:rsidR="009F6D8A" w:rsidRDefault="009F6D8A">
      <w:pPr>
        <w:jc w:val="center"/>
      </w:pPr>
    </w:p>
    <w:p w14:paraId="6430574C" w14:textId="77777777" w:rsidR="009F6D8A" w:rsidRDefault="009F6D8A"/>
    <w:p w14:paraId="6430574D" w14:textId="77777777" w:rsidR="009F6D8A" w:rsidRDefault="009F6D8A">
      <w:pPr>
        <w:jc w:val="center"/>
      </w:pPr>
    </w:p>
    <w:p w14:paraId="6430574E" w14:textId="77777777" w:rsidR="009F6D8A" w:rsidRDefault="00C50974">
      <w:pPr>
        <w:jc w:val="center"/>
      </w:pPr>
      <w:r>
        <w:rPr>
          <w:rFonts w:ascii="Arial" w:eastAsia="宋体" w:hAnsi="Arial" w:cs="Arial"/>
          <w:color w:val="000000"/>
          <w:sz w:val="20"/>
          <w:szCs w:val="20"/>
        </w:rPr>
        <w:t>57</w:t>
      </w:r>
    </w:p>
    <w:p w14:paraId="6430574F" w14:textId="77777777" w:rsidR="009F6D8A" w:rsidRDefault="00C50974">
      <w:r>
        <w:pict w14:anchorId="6430583C">
          <v:rect id="_x0000_i1081" style="width:415.3pt;height:1.5pt" o:hralign="center" o:hrstd="t" o:hr="t" fillcolor="#a0a0a0" stroked="f"/>
        </w:pict>
      </w:r>
    </w:p>
    <w:p w14:paraId="64305750" w14:textId="77777777" w:rsidR="009F6D8A" w:rsidRDefault="009F6D8A"/>
    <w:p w14:paraId="64305751" w14:textId="77777777" w:rsidR="009F6D8A" w:rsidRDefault="00C50974">
      <w:pPr>
        <w:jc w:val="center"/>
      </w:pPr>
      <w:r>
        <w:rPr>
          <w:rFonts w:ascii="Arial" w:eastAsia="宋体" w:hAnsi="Arial" w:cs="Arial"/>
          <w:b/>
          <w:bCs/>
          <w:color w:val="000000"/>
          <w:sz w:val="20"/>
          <w:szCs w:val="20"/>
        </w:rPr>
        <w:t>SIGNATURES</w:t>
      </w:r>
    </w:p>
    <w:p w14:paraId="64305752" w14:textId="77777777" w:rsidR="009F6D8A" w:rsidRDefault="009F6D8A">
      <w:pPr>
        <w:jc w:val="center"/>
      </w:pPr>
    </w:p>
    <w:p w14:paraId="64305753" w14:textId="77777777" w:rsidR="009F6D8A" w:rsidRDefault="00C50974">
      <w:pPr>
        <w:ind w:firstLine="495"/>
      </w:pPr>
      <w:r>
        <w:rPr>
          <w:rFonts w:ascii="Arial" w:eastAsia="宋体" w:hAnsi="Arial" w:cs="Arial"/>
          <w:color w:val="000000"/>
          <w:sz w:val="20"/>
          <w:szCs w:val="20"/>
        </w:rPr>
        <w:t xml:space="preserve">Pursuant to the </w:t>
      </w:r>
      <w:r>
        <w:rPr>
          <w:rFonts w:ascii="Arial" w:eastAsia="宋体" w:hAnsi="Arial" w:cs="Arial"/>
          <w:color w:val="000000"/>
          <w:sz w:val="20"/>
          <w:szCs w:val="20"/>
        </w:rPr>
        <w:t>requirements of the Securities Exchange Act of 1934, the registrant has duly caused this report to be signed on its behalf by the undersigned thereunto duly authorized.</w:t>
      </w:r>
    </w:p>
    <w:p w14:paraId="64305754" w14:textId="77777777" w:rsidR="009F6D8A" w:rsidRDefault="00C50974">
      <w:r>
        <w:rPr>
          <w:rFonts w:ascii="Arial" w:eastAsia="宋体" w:hAnsi="Arial" w:cs="Arial"/>
          <w:color w:val="000000"/>
          <w:sz w:val="20"/>
          <w:szCs w:val="20"/>
        </w:rPr>
        <w:t> </w:t>
      </w:r>
    </w:p>
    <w:tbl>
      <w:tblPr>
        <w:tblW w:w="4993" w:type="pct"/>
        <w:tblCellMar>
          <w:top w:w="15" w:type="dxa"/>
          <w:left w:w="15" w:type="dxa"/>
          <w:bottom w:w="15" w:type="dxa"/>
          <w:right w:w="15" w:type="dxa"/>
        </w:tblCellMar>
        <w:tblLook w:val="04A0" w:firstRow="1" w:lastRow="0" w:firstColumn="1" w:lastColumn="0" w:noHBand="0" w:noVBand="1"/>
      </w:tblPr>
      <w:tblGrid>
        <w:gridCol w:w="76"/>
        <w:gridCol w:w="436"/>
        <w:gridCol w:w="36"/>
        <w:gridCol w:w="91"/>
        <w:gridCol w:w="3808"/>
        <w:gridCol w:w="36"/>
        <w:gridCol w:w="61"/>
        <w:gridCol w:w="261"/>
        <w:gridCol w:w="39"/>
        <w:gridCol w:w="38"/>
        <w:gridCol w:w="3405"/>
        <w:gridCol w:w="37"/>
      </w:tblGrid>
      <w:tr w:rsidR="009F6D8A" w14:paraId="64305761" w14:textId="77777777">
        <w:tc>
          <w:tcPr>
            <w:tcW w:w="50" w:type="pct"/>
            <w:shd w:val="clear" w:color="auto" w:fill="auto"/>
            <w:vAlign w:val="bottom"/>
          </w:tcPr>
          <w:p w14:paraId="64305755" w14:textId="77777777" w:rsidR="009F6D8A" w:rsidRDefault="009F6D8A">
            <w:pPr>
              <w:rPr>
                <w:rFonts w:ascii="宋体"/>
              </w:rPr>
            </w:pPr>
          </w:p>
        </w:tc>
        <w:tc>
          <w:tcPr>
            <w:tcW w:w="289" w:type="pct"/>
            <w:shd w:val="clear" w:color="auto" w:fill="auto"/>
            <w:vAlign w:val="bottom"/>
          </w:tcPr>
          <w:p w14:paraId="64305756" w14:textId="77777777" w:rsidR="009F6D8A" w:rsidRDefault="009F6D8A">
            <w:pPr>
              <w:rPr>
                <w:rFonts w:ascii="宋体"/>
              </w:rPr>
            </w:pPr>
          </w:p>
        </w:tc>
        <w:tc>
          <w:tcPr>
            <w:tcW w:w="5" w:type="pct"/>
            <w:shd w:val="clear" w:color="auto" w:fill="auto"/>
            <w:vAlign w:val="bottom"/>
          </w:tcPr>
          <w:p w14:paraId="64305757" w14:textId="77777777" w:rsidR="009F6D8A" w:rsidRDefault="009F6D8A">
            <w:pPr>
              <w:rPr>
                <w:rFonts w:ascii="宋体"/>
              </w:rPr>
            </w:pPr>
          </w:p>
        </w:tc>
        <w:tc>
          <w:tcPr>
            <w:tcW w:w="50" w:type="pct"/>
            <w:shd w:val="clear" w:color="auto" w:fill="auto"/>
            <w:vAlign w:val="bottom"/>
          </w:tcPr>
          <w:p w14:paraId="64305758" w14:textId="77777777" w:rsidR="009F6D8A" w:rsidRDefault="009F6D8A">
            <w:pPr>
              <w:rPr>
                <w:rFonts w:ascii="宋体"/>
              </w:rPr>
            </w:pPr>
          </w:p>
        </w:tc>
        <w:tc>
          <w:tcPr>
            <w:tcW w:w="2104" w:type="pct"/>
            <w:shd w:val="clear" w:color="auto" w:fill="auto"/>
            <w:vAlign w:val="bottom"/>
          </w:tcPr>
          <w:p w14:paraId="64305759" w14:textId="77777777" w:rsidR="009F6D8A" w:rsidRDefault="009F6D8A">
            <w:pPr>
              <w:rPr>
                <w:rFonts w:ascii="宋体"/>
              </w:rPr>
            </w:pPr>
          </w:p>
        </w:tc>
        <w:tc>
          <w:tcPr>
            <w:tcW w:w="5" w:type="pct"/>
            <w:shd w:val="clear" w:color="auto" w:fill="auto"/>
            <w:vAlign w:val="bottom"/>
          </w:tcPr>
          <w:p w14:paraId="6430575A" w14:textId="77777777" w:rsidR="009F6D8A" w:rsidRDefault="009F6D8A">
            <w:pPr>
              <w:rPr>
                <w:rFonts w:ascii="宋体"/>
              </w:rPr>
            </w:pPr>
          </w:p>
        </w:tc>
        <w:tc>
          <w:tcPr>
            <w:tcW w:w="50" w:type="pct"/>
            <w:shd w:val="clear" w:color="auto" w:fill="auto"/>
            <w:vAlign w:val="bottom"/>
          </w:tcPr>
          <w:p w14:paraId="6430575B" w14:textId="77777777" w:rsidR="009F6D8A" w:rsidRDefault="009F6D8A">
            <w:pPr>
              <w:rPr>
                <w:rFonts w:ascii="宋体"/>
              </w:rPr>
            </w:pPr>
          </w:p>
        </w:tc>
        <w:tc>
          <w:tcPr>
            <w:tcW w:w="215" w:type="pct"/>
            <w:shd w:val="clear" w:color="auto" w:fill="auto"/>
            <w:vAlign w:val="bottom"/>
          </w:tcPr>
          <w:p w14:paraId="6430575C" w14:textId="77777777" w:rsidR="009F6D8A" w:rsidRDefault="009F6D8A">
            <w:pPr>
              <w:rPr>
                <w:rFonts w:ascii="宋体"/>
              </w:rPr>
            </w:pPr>
          </w:p>
        </w:tc>
        <w:tc>
          <w:tcPr>
            <w:tcW w:w="5" w:type="pct"/>
            <w:shd w:val="clear" w:color="auto" w:fill="auto"/>
            <w:vAlign w:val="bottom"/>
          </w:tcPr>
          <w:p w14:paraId="6430575D" w14:textId="77777777" w:rsidR="009F6D8A" w:rsidRDefault="009F6D8A">
            <w:pPr>
              <w:rPr>
                <w:rFonts w:ascii="宋体"/>
              </w:rPr>
            </w:pPr>
          </w:p>
        </w:tc>
        <w:tc>
          <w:tcPr>
            <w:tcW w:w="50" w:type="pct"/>
            <w:shd w:val="clear" w:color="auto" w:fill="auto"/>
            <w:vAlign w:val="bottom"/>
          </w:tcPr>
          <w:p w14:paraId="6430575E" w14:textId="77777777" w:rsidR="009F6D8A" w:rsidRDefault="009F6D8A">
            <w:pPr>
              <w:rPr>
                <w:rFonts w:ascii="宋体"/>
              </w:rPr>
            </w:pPr>
          </w:p>
        </w:tc>
        <w:tc>
          <w:tcPr>
            <w:tcW w:w="2170" w:type="pct"/>
            <w:shd w:val="clear" w:color="auto" w:fill="auto"/>
            <w:vAlign w:val="bottom"/>
          </w:tcPr>
          <w:p w14:paraId="6430575F" w14:textId="77777777" w:rsidR="009F6D8A" w:rsidRDefault="009F6D8A">
            <w:pPr>
              <w:rPr>
                <w:rFonts w:ascii="宋体"/>
              </w:rPr>
            </w:pPr>
          </w:p>
        </w:tc>
        <w:tc>
          <w:tcPr>
            <w:tcW w:w="5" w:type="pct"/>
            <w:shd w:val="clear" w:color="auto" w:fill="auto"/>
            <w:vAlign w:val="bottom"/>
          </w:tcPr>
          <w:p w14:paraId="64305760" w14:textId="77777777" w:rsidR="009F6D8A" w:rsidRDefault="009F6D8A">
            <w:pPr>
              <w:rPr>
                <w:rFonts w:ascii="宋体"/>
              </w:rPr>
            </w:pPr>
          </w:p>
        </w:tc>
      </w:tr>
      <w:tr w:rsidR="009F6D8A" w14:paraId="64305765" w14:textId="77777777">
        <w:tc>
          <w:tcPr>
            <w:tcW w:w="0" w:type="auto"/>
            <w:gridSpan w:val="3"/>
            <w:shd w:val="clear" w:color="auto" w:fill="auto"/>
            <w:tcMar>
              <w:top w:w="0" w:type="dxa"/>
              <w:left w:w="20" w:type="dxa"/>
              <w:bottom w:w="0" w:type="dxa"/>
              <w:right w:w="20" w:type="dxa"/>
            </w:tcMar>
            <w:vAlign w:val="bottom"/>
          </w:tcPr>
          <w:p w14:paraId="64305762"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63" w14:textId="77777777" w:rsidR="009F6D8A" w:rsidRDefault="00C50974">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64305764" w14:textId="77777777" w:rsidR="009F6D8A" w:rsidRDefault="00C50974">
            <w:pPr>
              <w:textAlignment w:val="top"/>
            </w:pPr>
            <w:r>
              <w:rPr>
                <w:rFonts w:ascii="Arial" w:eastAsia="宋体" w:hAnsi="Arial" w:cs="Arial"/>
                <w:color w:val="000000"/>
                <w:sz w:val="20"/>
                <w:szCs w:val="20"/>
              </w:rPr>
              <w:t>eBay Inc.</w:t>
            </w:r>
          </w:p>
        </w:tc>
      </w:tr>
      <w:tr w:rsidR="009F6D8A" w14:paraId="64305769" w14:textId="77777777">
        <w:tc>
          <w:tcPr>
            <w:tcW w:w="0" w:type="auto"/>
            <w:gridSpan w:val="3"/>
            <w:shd w:val="clear" w:color="auto" w:fill="auto"/>
            <w:tcMar>
              <w:top w:w="0" w:type="dxa"/>
              <w:left w:w="20" w:type="dxa"/>
              <w:bottom w:w="0" w:type="dxa"/>
              <w:right w:w="20" w:type="dxa"/>
            </w:tcMar>
            <w:vAlign w:val="bottom"/>
          </w:tcPr>
          <w:p w14:paraId="64305766"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67" w14:textId="77777777" w:rsidR="009F6D8A" w:rsidRDefault="00C50974">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64305768" w14:textId="77777777" w:rsidR="009F6D8A" w:rsidRDefault="00C50974">
            <w:pPr>
              <w:textAlignment w:val="top"/>
            </w:pPr>
            <w:r>
              <w:rPr>
                <w:rFonts w:ascii="Arial" w:eastAsia="宋体" w:hAnsi="Arial" w:cs="Arial"/>
                <w:color w:val="000000"/>
                <w:sz w:val="20"/>
                <w:szCs w:val="20"/>
              </w:rPr>
              <w:t>Principal Executive Officer:</w:t>
            </w:r>
          </w:p>
        </w:tc>
      </w:tr>
      <w:tr w:rsidR="009F6D8A" w14:paraId="6430576E" w14:textId="77777777">
        <w:trPr>
          <w:trHeight w:val="280"/>
        </w:trPr>
        <w:tc>
          <w:tcPr>
            <w:tcW w:w="0" w:type="auto"/>
            <w:gridSpan w:val="3"/>
            <w:shd w:val="clear" w:color="auto" w:fill="auto"/>
            <w:tcMar>
              <w:top w:w="0" w:type="dxa"/>
              <w:left w:w="20" w:type="dxa"/>
              <w:bottom w:w="0" w:type="dxa"/>
              <w:right w:w="20" w:type="dxa"/>
            </w:tcMar>
            <w:vAlign w:val="bottom"/>
          </w:tcPr>
          <w:p w14:paraId="6430576A"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76B"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76C"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76D" w14:textId="77777777" w:rsidR="009F6D8A" w:rsidRDefault="009F6D8A">
            <w:pPr>
              <w:rPr>
                <w:rFonts w:ascii="宋体"/>
              </w:rPr>
            </w:pPr>
          </w:p>
        </w:tc>
      </w:tr>
      <w:tr w:rsidR="009F6D8A" w14:paraId="64305773" w14:textId="77777777">
        <w:tc>
          <w:tcPr>
            <w:tcW w:w="0" w:type="auto"/>
            <w:gridSpan w:val="3"/>
            <w:shd w:val="clear" w:color="auto" w:fill="auto"/>
            <w:tcMar>
              <w:top w:w="0" w:type="dxa"/>
              <w:left w:w="20" w:type="dxa"/>
              <w:bottom w:w="0" w:type="dxa"/>
              <w:right w:w="20" w:type="dxa"/>
            </w:tcMar>
            <w:vAlign w:val="bottom"/>
          </w:tcPr>
          <w:p w14:paraId="6430576F"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70" w14:textId="77777777" w:rsidR="009F6D8A" w:rsidRDefault="00C50974">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64305771" w14:textId="77777777" w:rsidR="009F6D8A" w:rsidRDefault="00C50974">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64305772" w14:textId="77777777" w:rsidR="009F6D8A" w:rsidRDefault="00C50974">
            <w:pPr>
              <w:textAlignment w:val="bottom"/>
            </w:pPr>
            <w:r>
              <w:rPr>
                <w:rFonts w:ascii="Arial" w:eastAsia="宋体" w:hAnsi="Arial" w:cs="Arial"/>
                <w:color w:val="000000"/>
                <w:sz w:val="20"/>
                <w:szCs w:val="20"/>
              </w:rPr>
              <w:t xml:space="preserve">/s/ </w:t>
            </w:r>
            <w:r>
              <w:rPr>
                <w:rFonts w:ascii="Arial" w:eastAsia="宋体" w:hAnsi="Arial" w:cs="Arial"/>
                <w:color w:val="000000"/>
                <w:sz w:val="20"/>
                <w:szCs w:val="20"/>
              </w:rPr>
              <w:t>Jamie Iannone</w:t>
            </w:r>
          </w:p>
        </w:tc>
      </w:tr>
      <w:tr w:rsidR="009F6D8A" w14:paraId="64305778" w14:textId="77777777">
        <w:tc>
          <w:tcPr>
            <w:tcW w:w="0" w:type="auto"/>
            <w:gridSpan w:val="3"/>
            <w:shd w:val="clear" w:color="auto" w:fill="auto"/>
            <w:tcMar>
              <w:top w:w="0" w:type="dxa"/>
              <w:left w:w="20" w:type="dxa"/>
              <w:bottom w:w="0" w:type="dxa"/>
              <w:right w:w="20" w:type="dxa"/>
            </w:tcMar>
            <w:vAlign w:val="bottom"/>
          </w:tcPr>
          <w:p w14:paraId="64305774"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75" w14:textId="77777777" w:rsidR="009F6D8A" w:rsidRDefault="00C50974">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64305776" w14:textId="77777777" w:rsidR="009F6D8A" w:rsidRDefault="00C50974">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64305777" w14:textId="77777777" w:rsidR="009F6D8A" w:rsidRDefault="00C50974">
            <w:pPr>
              <w:jc w:val="center"/>
              <w:textAlignment w:val="top"/>
            </w:pPr>
            <w:r>
              <w:rPr>
                <w:rFonts w:ascii="Arial" w:eastAsia="宋体" w:hAnsi="Arial" w:cs="Arial"/>
                <w:b/>
                <w:bCs/>
                <w:color w:val="000000"/>
                <w:sz w:val="16"/>
                <w:szCs w:val="16"/>
              </w:rPr>
              <w:t>Jamie Iannone</w:t>
            </w:r>
          </w:p>
        </w:tc>
      </w:tr>
      <w:tr w:rsidR="009F6D8A" w14:paraId="6430577D" w14:textId="77777777">
        <w:tc>
          <w:tcPr>
            <w:tcW w:w="0" w:type="auto"/>
            <w:gridSpan w:val="3"/>
            <w:shd w:val="clear" w:color="auto" w:fill="auto"/>
            <w:tcMar>
              <w:top w:w="0" w:type="dxa"/>
              <w:left w:w="20" w:type="dxa"/>
              <w:bottom w:w="0" w:type="dxa"/>
              <w:right w:w="20" w:type="dxa"/>
            </w:tcMar>
            <w:vAlign w:val="bottom"/>
          </w:tcPr>
          <w:p w14:paraId="64305779"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7A" w14:textId="77777777" w:rsidR="009F6D8A" w:rsidRDefault="00C50974">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6430577B" w14:textId="77777777" w:rsidR="009F6D8A" w:rsidRDefault="00C50974">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6430577C" w14:textId="77777777" w:rsidR="009F6D8A" w:rsidRDefault="00C50974">
            <w:pPr>
              <w:jc w:val="center"/>
              <w:textAlignment w:val="top"/>
            </w:pPr>
            <w:r>
              <w:rPr>
                <w:rFonts w:ascii="Arial" w:eastAsia="宋体" w:hAnsi="Arial" w:cs="Arial"/>
                <w:b/>
                <w:bCs/>
                <w:color w:val="000000"/>
                <w:sz w:val="16"/>
                <w:szCs w:val="16"/>
              </w:rPr>
              <w:t>Chief Executive Officer</w:t>
            </w:r>
          </w:p>
        </w:tc>
      </w:tr>
      <w:tr w:rsidR="009F6D8A" w14:paraId="64305781" w14:textId="77777777">
        <w:tc>
          <w:tcPr>
            <w:tcW w:w="0" w:type="auto"/>
            <w:gridSpan w:val="3"/>
            <w:shd w:val="clear" w:color="auto" w:fill="auto"/>
            <w:tcMar>
              <w:top w:w="40" w:type="dxa"/>
              <w:left w:w="20" w:type="dxa"/>
              <w:bottom w:w="40" w:type="dxa"/>
              <w:right w:w="20" w:type="dxa"/>
            </w:tcMar>
            <w:vAlign w:val="bottom"/>
          </w:tcPr>
          <w:p w14:paraId="6430577E" w14:textId="77777777" w:rsidR="009F6D8A" w:rsidRDefault="00C50974">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6430577F" w14:textId="77777777" w:rsidR="009F6D8A" w:rsidRDefault="00C50974">
            <w:pPr>
              <w:textAlignment w:val="top"/>
            </w:pPr>
            <w:r>
              <w:rPr>
                <w:rFonts w:ascii="Arial" w:eastAsia="宋体" w:hAnsi="Arial" w:cs="Arial"/>
                <w:color w:val="000000"/>
                <w:sz w:val="20"/>
                <w:szCs w:val="20"/>
              </w:rPr>
              <w:t>August 12, 2021</w:t>
            </w:r>
          </w:p>
        </w:tc>
        <w:tc>
          <w:tcPr>
            <w:tcW w:w="0" w:type="auto"/>
            <w:gridSpan w:val="6"/>
            <w:shd w:val="clear" w:color="auto" w:fill="auto"/>
            <w:tcMar>
              <w:top w:w="40" w:type="dxa"/>
              <w:left w:w="20" w:type="dxa"/>
              <w:bottom w:w="40" w:type="dxa"/>
              <w:right w:w="20" w:type="dxa"/>
            </w:tcMar>
          </w:tcPr>
          <w:p w14:paraId="64305780" w14:textId="77777777" w:rsidR="009F6D8A" w:rsidRDefault="00C50974">
            <w:pPr>
              <w:textAlignment w:val="top"/>
            </w:pPr>
            <w:r>
              <w:rPr>
                <w:rFonts w:ascii="Arial" w:eastAsia="宋体" w:hAnsi="Arial" w:cs="Arial"/>
                <w:color w:val="000000"/>
                <w:sz w:val="20"/>
                <w:szCs w:val="20"/>
              </w:rPr>
              <w:t> </w:t>
            </w:r>
          </w:p>
        </w:tc>
      </w:tr>
      <w:tr w:rsidR="009F6D8A" w14:paraId="64305785" w14:textId="77777777">
        <w:tc>
          <w:tcPr>
            <w:tcW w:w="0" w:type="auto"/>
            <w:gridSpan w:val="3"/>
            <w:shd w:val="clear" w:color="auto" w:fill="auto"/>
            <w:tcMar>
              <w:top w:w="0" w:type="dxa"/>
              <w:left w:w="20" w:type="dxa"/>
              <w:bottom w:w="0" w:type="dxa"/>
              <w:right w:w="20" w:type="dxa"/>
            </w:tcMar>
            <w:vAlign w:val="bottom"/>
          </w:tcPr>
          <w:p w14:paraId="64305782"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83" w14:textId="77777777" w:rsidR="009F6D8A" w:rsidRDefault="00C50974">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64305784" w14:textId="77777777" w:rsidR="009F6D8A" w:rsidRDefault="00C50974">
            <w:pPr>
              <w:textAlignment w:val="top"/>
            </w:pPr>
            <w:r>
              <w:rPr>
                <w:rFonts w:ascii="Arial" w:eastAsia="宋体" w:hAnsi="Arial" w:cs="Arial"/>
                <w:color w:val="000000"/>
                <w:sz w:val="20"/>
                <w:szCs w:val="20"/>
              </w:rPr>
              <w:t>Principal Financial Officer:</w:t>
            </w:r>
          </w:p>
        </w:tc>
      </w:tr>
      <w:tr w:rsidR="009F6D8A" w14:paraId="6430578A" w14:textId="77777777">
        <w:trPr>
          <w:trHeight w:val="280"/>
        </w:trPr>
        <w:tc>
          <w:tcPr>
            <w:tcW w:w="0" w:type="auto"/>
            <w:gridSpan w:val="3"/>
            <w:shd w:val="clear" w:color="auto" w:fill="auto"/>
            <w:tcMar>
              <w:top w:w="0" w:type="dxa"/>
              <w:left w:w="20" w:type="dxa"/>
              <w:bottom w:w="0" w:type="dxa"/>
              <w:right w:w="20" w:type="dxa"/>
            </w:tcMar>
            <w:vAlign w:val="bottom"/>
          </w:tcPr>
          <w:p w14:paraId="64305786"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787"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788"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789" w14:textId="77777777" w:rsidR="009F6D8A" w:rsidRDefault="009F6D8A">
            <w:pPr>
              <w:rPr>
                <w:rFonts w:ascii="宋体"/>
              </w:rPr>
            </w:pPr>
          </w:p>
        </w:tc>
      </w:tr>
      <w:tr w:rsidR="009F6D8A" w14:paraId="6430578F" w14:textId="77777777">
        <w:tc>
          <w:tcPr>
            <w:tcW w:w="0" w:type="auto"/>
            <w:gridSpan w:val="3"/>
            <w:shd w:val="clear" w:color="auto" w:fill="auto"/>
            <w:tcMar>
              <w:top w:w="0" w:type="dxa"/>
              <w:left w:w="20" w:type="dxa"/>
              <w:bottom w:w="0" w:type="dxa"/>
              <w:right w:w="20" w:type="dxa"/>
            </w:tcMar>
            <w:vAlign w:val="bottom"/>
          </w:tcPr>
          <w:p w14:paraId="6430578B"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8C" w14:textId="77777777" w:rsidR="009F6D8A" w:rsidRDefault="00C50974">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6430578D" w14:textId="77777777" w:rsidR="009F6D8A" w:rsidRDefault="00C50974">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6430578E" w14:textId="77777777" w:rsidR="009F6D8A" w:rsidRDefault="00C50974">
            <w:pPr>
              <w:textAlignment w:val="bottom"/>
            </w:pPr>
            <w:r>
              <w:rPr>
                <w:rFonts w:ascii="Arial" w:eastAsia="宋体" w:hAnsi="Arial" w:cs="Arial"/>
                <w:color w:val="000000"/>
                <w:sz w:val="20"/>
                <w:szCs w:val="20"/>
              </w:rPr>
              <w:t>/s/ Steve Priest</w:t>
            </w:r>
          </w:p>
        </w:tc>
      </w:tr>
      <w:tr w:rsidR="009F6D8A" w14:paraId="64305794" w14:textId="77777777">
        <w:tc>
          <w:tcPr>
            <w:tcW w:w="0" w:type="auto"/>
            <w:gridSpan w:val="3"/>
            <w:shd w:val="clear" w:color="auto" w:fill="auto"/>
            <w:tcMar>
              <w:top w:w="0" w:type="dxa"/>
              <w:left w:w="20" w:type="dxa"/>
              <w:bottom w:w="0" w:type="dxa"/>
              <w:right w:w="20" w:type="dxa"/>
            </w:tcMar>
            <w:vAlign w:val="bottom"/>
          </w:tcPr>
          <w:p w14:paraId="64305790"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91" w14:textId="77777777" w:rsidR="009F6D8A" w:rsidRDefault="00C50974">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64305792" w14:textId="77777777" w:rsidR="009F6D8A" w:rsidRDefault="00C50974">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64305793" w14:textId="77777777" w:rsidR="009F6D8A" w:rsidRDefault="00C50974">
            <w:pPr>
              <w:jc w:val="center"/>
              <w:textAlignment w:val="top"/>
            </w:pPr>
            <w:r>
              <w:rPr>
                <w:rFonts w:ascii="Arial" w:eastAsia="宋体" w:hAnsi="Arial" w:cs="Arial"/>
                <w:b/>
                <w:bCs/>
                <w:color w:val="000000"/>
                <w:sz w:val="16"/>
                <w:szCs w:val="16"/>
              </w:rPr>
              <w:t>Steve Priest</w:t>
            </w:r>
          </w:p>
        </w:tc>
      </w:tr>
      <w:tr w:rsidR="009F6D8A" w14:paraId="64305799" w14:textId="77777777">
        <w:tc>
          <w:tcPr>
            <w:tcW w:w="0" w:type="auto"/>
            <w:gridSpan w:val="3"/>
            <w:shd w:val="clear" w:color="auto" w:fill="auto"/>
            <w:tcMar>
              <w:top w:w="0" w:type="dxa"/>
              <w:left w:w="20" w:type="dxa"/>
              <w:bottom w:w="0" w:type="dxa"/>
              <w:right w:w="20" w:type="dxa"/>
            </w:tcMar>
            <w:vAlign w:val="bottom"/>
          </w:tcPr>
          <w:p w14:paraId="64305795"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96" w14:textId="77777777" w:rsidR="009F6D8A" w:rsidRDefault="00C50974">
            <w:pPr>
              <w:textAlignment w:val="top"/>
            </w:pPr>
            <w:r>
              <w:rPr>
                <w:rFonts w:ascii="Arial" w:eastAsia="宋体" w:hAnsi="Arial" w:cs="Arial"/>
                <w:b/>
                <w:bCs/>
                <w:color w:val="FFFFFF"/>
                <w:sz w:val="16"/>
                <w:szCs w:val="16"/>
              </w:rPr>
              <w:t>                                                                                       </w:t>
            </w:r>
          </w:p>
        </w:tc>
        <w:tc>
          <w:tcPr>
            <w:tcW w:w="0" w:type="auto"/>
            <w:gridSpan w:val="3"/>
            <w:shd w:val="clear" w:color="auto" w:fill="auto"/>
            <w:tcMar>
              <w:top w:w="40" w:type="dxa"/>
              <w:left w:w="20" w:type="dxa"/>
              <w:bottom w:w="40" w:type="dxa"/>
              <w:right w:w="20" w:type="dxa"/>
            </w:tcMar>
          </w:tcPr>
          <w:p w14:paraId="64305797" w14:textId="77777777" w:rsidR="009F6D8A" w:rsidRDefault="00C50974">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64305798" w14:textId="77777777" w:rsidR="009F6D8A" w:rsidRDefault="00C50974">
            <w:pPr>
              <w:jc w:val="center"/>
              <w:textAlignment w:val="top"/>
            </w:pPr>
            <w:r>
              <w:rPr>
                <w:rFonts w:ascii="Arial" w:eastAsia="宋体" w:hAnsi="Arial" w:cs="Arial"/>
                <w:b/>
                <w:bCs/>
                <w:color w:val="000000"/>
                <w:sz w:val="16"/>
                <w:szCs w:val="16"/>
              </w:rPr>
              <w:t>Chief Financial Officer</w:t>
            </w:r>
          </w:p>
        </w:tc>
      </w:tr>
      <w:tr w:rsidR="009F6D8A" w14:paraId="6430579D" w14:textId="77777777">
        <w:tc>
          <w:tcPr>
            <w:tcW w:w="0" w:type="auto"/>
            <w:gridSpan w:val="3"/>
            <w:shd w:val="clear" w:color="auto" w:fill="auto"/>
            <w:tcMar>
              <w:top w:w="40" w:type="dxa"/>
              <w:left w:w="20" w:type="dxa"/>
              <w:bottom w:w="40" w:type="dxa"/>
              <w:right w:w="20" w:type="dxa"/>
            </w:tcMar>
            <w:vAlign w:val="bottom"/>
          </w:tcPr>
          <w:p w14:paraId="6430579A" w14:textId="77777777" w:rsidR="009F6D8A" w:rsidRDefault="00C50974">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6430579B" w14:textId="77777777" w:rsidR="009F6D8A" w:rsidRDefault="00C50974">
            <w:pPr>
              <w:textAlignment w:val="top"/>
            </w:pPr>
            <w:r>
              <w:rPr>
                <w:rFonts w:ascii="Arial" w:eastAsia="宋体" w:hAnsi="Arial" w:cs="Arial"/>
                <w:color w:val="000000"/>
                <w:sz w:val="20"/>
                <w:szCs w:val="20"/>
              </w:rPr>
              <w:t>August 12, 2021</w:t>
            </w:r>
          </w:p>
        </w:tc>
        <w:tc>
          <w:tcPr>
            <w:tcW w:w="0" w:type="auto"/>
            <w:gridSpan w:val="6"/>
            <w:shd w:val="clear" w:color="auto" w:fill="auto"/>
            <w:tcMar>
              <w:top w:w="40" w:type="dxa"/>
              <w:left w:w="20" w:type="dxa"/>
              <w:bottom w:w="40" w:type="dxa"/>
              <w:right w:w="20" w:type="dxa"/>
            </w:tcMar>
          </w:tcPr>
          <w:p w14:paraId="6430579C" w14:textId="77777777" w:rsidR="009F6D8A" w:rsidRDefault="00C50974">
            <w:pPr>
              <w:textAlignment w:val="top"/>
            </w:pPr>
            <w:r>
              <w:rPr>
                <w:rFonts w:ascii="Arial" w:eastAsia="宋体" w:hAnsi="Arial" w:cs="Arial"/>
                <w:color w:val="000000"/>
                <w:sz w:val="20"/>
                <w:szCs w:val="20"/>
              </w:rPr>
              <w:t> </w:t>
            </w:r>
          </w:p>
        </w:tc>
      </w:tr>
      <w:tr w:rsidR="009F6D8A" w14:paraId="643057A1" w14:textId="77777777">
        <w:tc>
          <w:tcPr>
            <w:tcW w:w="0" w:type="auto"/>
            <w:gridSpan w:val="3"/>
            <w:shd w:val="clear" w:color="auto" w:fill="auto"/>
            <w:tcMar>
              <w:top w:w="0" w:type="dxa"/>
              <w:left w:w="20" w:type="dxa"/>
              <w:bottom w:w="0" w:type="dxa"/>
              <w:right w:w="20" w:type="dxa"/>
            </w:tcMar>
            <w:vAlign w:val="bottom"/>
          </w:tcPr>
          <w:p w14:paraId="6430579E"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9F" w14:textId="77777777" w:rsidR="009F6D8A" w:rsidRDefault="00C50974">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643057A0" w14:textId="77777777" w:rsidR="009F6D8A" w:rsidRDefault="00C50974">
            <w:pPr>
              <w:textAlignment w:val="top"/>
            </w:pPr>
            <w:r>
              <w:rPr>
                <w:rFonts w:ascii="Arial" w:eastAsia="宋体" w:hAnsi="Arial" w:cs="Arial"/>
                <w:color w:val="000000"/>
                <w:sz w:val="20"/>
                <w:szCs w:val="20"/>
              </w:rPr>
              <w:t>Principal Accounting Officer:</w:t>
            </w:r>
          </w:p>
        </w:tc>
      </w:tr>
      <w:tr w:rsidR="009F6D8A" w14:paraId="643057A6" w14:textId="77777777">
        <w:trPr>
          <w:trHeight w:val="280"/>
        </w:trPr>
        <w:tc>
          <w:tcPr>
            <w:tcW w:w="0" w:type="auto"/>
            <w:gridSpan w:val="3"/>
            <w:shd w:val="clear" w:color="auto" w:fill="auto"/>
            <w:tcMar>
              <w:top w:w="0" w:type="dxa"/>
              <w:left w:w="20" w:type="dxa"/>
              <w:bottom w:w="0" w:type="dxa"/>
              <w:right w:w="20" w:type="dxa"/>
            </w:tcMar>
            <w:vAlign w:val="bottom"/>
          </w:tcPr>
          <w:p w14:paraId="643057A2"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7A3"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7A4" w14:textId="77777777" w:rsidR="009F6D8A" w:rsidRDefault="009F6D8A">
            <w:pPr>
              <w:rPr>
                <w:rFonts w:ascii="宋体"/>
              </w:rPr>
            </w:pPr>
          </w:p>
        </w:tc>
        <w:tc>
          <w:tcPr>
            <w:tcW w:w="0" w:type="auto"/>
            <w:gridSpan w:val="3"/>
            <w:shd w:val="clear" w:color="auto" w:fill="auto"/>
            <w:tcMar>
              <w:top w:w="0" w:type="dxa"/>
              <w:left w:w="20" w:type="dxa"/>
              <w:bottom w:w="0" w:type="dxa"/>
              <w:right w:w="20" w:type="dxa"/>
            </w:tcMar>
            <w:vAlign w:val="bottom"/>
          </w:tcPr>
          <w:p w14:paraId="643057A5" w14:textId="77777777" w:rsidR="009F6D8A" w:rsidRDefault="009F6D8A">
            <w:pPr>
              <w:rPr>
                <w:rFonts w:ascii="宋体"/>
              </w:rPr>
            </w:pPr>
          </w:p>
        </w:tc>
      </w:tr>
      <w:tr w:rsidR="009F6D8A" w14:paraId="643057AB" w14:textId="77777777">
        <w:tc>
          <w:tcPr>
            <w:tcW w:w="0" w:type="auto"/>
            <w:gridSpan w:val="3"/>
            <w:shd w:val="clear" w:color="auto" w:fill="auto"/>
            <w:tcMar>
              <w:top w:w="0" w:type="dxa"/>
              <w:left w:w="20" w:type="dxa"/>
              <w:bottom w:w="0" w:type="dxa"/>
              <w:right w:w="20" w:type="dxa"/>
            </w:tcMar>
            <w:vAlign w:val="bottom"/>
          </w:tcPr>
          <w:p w14:paraId="643057A7"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A8" w14:textId="77777777" w:rsidR="009F6D8A" w:rsidRDefault="00C50974">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643057A9" w14:textId="77777777" w:rsidR="009F6D8A" w:rsidRDefault="00C50974">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643057AA" w14:textId="77777777" w:rsidR="009F6D8A" w:rsidRDefault="00C50974">
            <w:pPr>
              <w:textAlignment w:val="bottom"/>
            </w:pPr>
            <w:r>
              <w:rPr>
                <w:rFonts w:ascii="Arial" w:eastAsia="宋体" w:hAnsi="Arial" w:cs="Arial"/>
                <w:color w:val="000000"/>
                <w:sz w:val="20"/>
                <w:szCs w:val="20"/>
              </w:rPr>
              <w:t>/s/ Brian J. Doerger</w:t>
            </w:r>
          </w:p>
        </w:tc>
      </w:tr>
      <w:tr w:rsidR="009F6D8A" w14:paraId="643057B0" w14:textId="77777777">
        <w:tc>
          <w:tcPr>
            <w:tcW w:w="0" w:type="auto"/>
            <w:gridSpan w:val="3"/>
            <w:shd w:val="clear" w:color="auto" w:fill="auto"/>
            <w:tcMar>
              <w:top w:w="0" w:type="dxa"/>
              <w:left w:w="20" w:type="dxa"/>
              <w:bottom w:w="0" w:type="dxa"/>
              <w:right w:w="20" w:type="dxa"/>
            </w:tcMar>
            <w:vAlign w:val="bottom"/>
          </w:tcPr>
          <w:p w14:paraId="643057AC"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AD" w14:textId="77777777" w:rsidR="009F6D8A" w:rsidRDefault="00C50974">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643057AE" w14:textId="77777777" w:rsidR="009F6D8A" w:rsidRDefault="00C50974">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643057AF" w14:textId="77777777" w:rsidR="009F6D8A" w:rsidRDefault="00C50974">
            <w:pPr>
              <w:jc w:val="center"/>
              <w:textAlignment w:val="top"/>
            </w:pPr>
            <w:r>
              <w:rPr>
                <w:rFonts w:ascii="Arial" w:eastAsia="宋体" w:hAnsi="Arial" w:cs="Arial"/>
                <w:b/>
                <w:bCs/>
                <w:color w:val="000000"/>
                <w:sz w:val="16"/>
                <w:szCs w:val="16"/>
              </w:rPr>
              <w:t>Brian J. Doerger</w:t>
            </w:r>
          </w:p>
        </w:tc>
      </w:tr>
      <w:tr w:rsidR="009F6D8A" w14:paraId="643057B5" w14:textId="77777777">
        <w:tc>
          <w:tcPr>
            <w:tcW w:w="0" w:type="auto"/>
            <w:gridSpan w:val="3"/>
            <w:shd w:val="clear" w:color="auto" w:fill="auto"/>
            <w:tcMar>
              <w:top w:w="0" w:type="dxa"/>
              <w:left w:w="20" w:type="dxa"/>
              <w:bottom w:w="0" w:type="dxa"/>
              <w:right w:w="20" w:type="dxa"/>
            </w:tcMar>
            <w:vAlign w:val="bottom"/>
          </w:tcPr>
          <w:p w14:paraId="643057B1" w14:textId="77777777" w:rsidR="009F6D8A" w:rsidRDefault="009F6D8A">
            <w:pPr>
              <w:rPr>
                <w:rFonts w:ascii="宋体"/>
              </w:rPr>
            </w:pPr>
          </w:p>
        </w:tc>
        <w:tc>
          <w:tcPr>
            <w:tcW w:w="0" w:type="auto"/>
            <w:gridSpan w:val="3"/>
            <w:shd w:val="clear" w:color="auto" w:fill="auto"/>
            <w:tcMar>
              <w:top w:w="40" w:type="dxa"/>
              <w:left w:w="20" w:type="dxa"/>
              <w:bottom w:w="40" w:type="dxa"/>
              <w:right w:w="20" w:type="dxa"/>
            </w:tcMar>
          </w:tcPr>
          <w:p w14:paraId="643057B2" w14:textId="77777777" w:rsidR="009F6D8A" w:rsidRDefault="00C50974">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643057B3" w14:textId="77777777" w:rsidR="009F6D8A" w:rsidRDefault="00C50974">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643057B4" w14:textId="77777777" w:rsidR="009F6D8A" w:rsidRDefault="00C50974">
            <w:pPr>
              <w:jc w:val="center"/>
              <w:textAlignment w:val="top"/>
            </w:pPr>
            <w:r>
              <w:rPr>
                <w:rFonts w:ascii="Arial" w:eastAsia="宋体" w:hAnsi="Arial" w:cs="Arial"/>
                <w:b/>
                <w:bCs/>
                <w:color w:val="000000"/>
                <w:sz w:val="16"/>
                <w:szCs w:val="16"/>
              </w:rPr>
              <w:t xml:space="preserve">Vice </w:t>
            </w:r>
            <w:r>
              <w:rPr>
                <w:rFonts w:ascii="Arial" w:eastAsia="宋体" w:hAnsi="Arial" w:cs="Arial"/>
                <w:b/>
                <w:bCs/>
                <w:color w:val="000000"/>
                <w:sz w:val="16"/>
                <w:szCs w:val="16"/>
              </w:rPr>
              <w:t>President, Chief Accounting Officer</w:t>
            </w:r>
          </w:p>
        </w:tc>
      </w:tr>
      <w:tr w:rsidR="009F6D8A" w14:paraId="643057BA" w14:textId="77777777">
        <w:tc>
          <w:tcPr>
            <w:tcW w:w="0" w:type="auto"/>
            <w:gridSpan w:val="3"/>
            <w:shd w:val="clear" w:color="auto" w:fill="auto"/>
            <w:tcMar>
              <w:top w:w="40" w:type="dxa"/>
              <w:left w:w="20" w:type="dxa"/>
              <w:bottom w:w="40" w:type="dxa"/>
              <w:right w:w="20" w:type="dxa"/>
            </w:tcMar>
            <w:vAlign w:val="bottom"/>
          </w:tcPr>
          <w:p w14:paraId="643057B6" w14:textId="77777777" w:rsidR="009F6D8A" w:rsidRDefault="00C50974">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643057B7" w14:textId="77777777" w:rsidR="009F6D8A" w:rsidRDefault="00C50974">
            <w:pPr>
              <w:textAlignment w:val="top"/>
            </w:pPr>
            <w:r>
              <w:rPr>
                <w:rFonts w:ascii="Arial" w:eastAsia="宋体" w:hAnsi="Arial" w:cs="Arial"/>
                <w:color w:val="000000"/>
                <w:sz w:val="20"/>
                <w:szCs w:val="20"/>
              </w:rPr>
              <w:t>August 12, 2021</w:t>
            </w:r>
          </w:p>
        </w:tc>
        <w:tc>
          <w:tcPr>
            <w:tcW w:w="0" w:type="auto"/>
            <w:gridSpan w:val="3"/>
            <w:shd w:val="clear" w:color="auto" w:fill="auto"/>
            <w:tcMar>
              <w:top w:w="40" w:type="dxa"/>
              <w:left w:w="20" w:type="dxa"/>
              <w:bottom w:w="40" w:type="dxa"/>
              <w:right w:w="20" w:type="dxa"/>
            </w:tcMar>
          </w:tcPr>
          <w:p w14:paraId="643057B8" w14:textId="77777777" w:rsidR="009F6D8A" w:rsidRDefault="00C50974">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643057B9" w14:textId="77777777" w:rsidR="009F6D8A" w:rsidRDefault="00C50974">
            <w:pPr>
              <w:textAlignment w:val="top"/>
            </w:pPr>
            <w:r>
              <w:rPr>
                <w:rFonts w:ascii="Arial" w:eastAsia="宋体" w:hAnsi="Arial" w:cs="Arial"/>
                <w:color w:val="000000"/>
                <w:sz w:val="8"/>
                <w:szCs w:val="8"/>
              </w:rPr>
              <w:t> </w:t>
            </w:r>
          </w:p>
        </w:tc>
      </w:tr>
    </w:tbl>
    <w:p w14:paraId="643057BB" w14:textId="77777777" w:rsidR="009F6D8A" w:rsidRDefault="009F6D8A"/>
    <w:p w14:paraId="643057BC" w14:textId="77777777" w:rsidR="009F6D8A" w:rsidRDefault="009F6D8A"/>
    <w:p w14:paraId="643057BD" w14:textId="77777777" w:rsidR="009F6D8A" w:rsidRDefault="009F6D8A">
      <w:pPr>
        <w:jc w:val="center"/>
      </w:pPr>
    </w:p>
    <w:p w14:paraId="643057BE" w14:textId="77777777" w:rsidR="009F6D8A" w:rsidRDefault="00C50974">
      <w:pPr>
        <w:jc w:val="center"/>
      </w:pPr>
      <w:r>
        <w:rPr>
          <w:rFonts w:ascii="Arial" w:eastAsia="宋体" w:hAnsi="Arial" w:cs="Arial"/>
          <w:color w:val="000000"/>
          <w:sz w:val="20"/>
          <w:szCs w:val="20"/>
        </w:rPr>
        <w:t>58</w:t>
      </w:r>
    </w:p>
    <w:p w14:paraId="643057BF" w14:textId="77777777" w:rsidR="009F6D8A" w:rsidRDefault="00C5097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430583D" wp14:editId="6430583E">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6D8A" w14:paraId="643057C1" w14:textId="77777777">
        <w:trPr>
          <w:tblCellSpacing w:w="15" w:type="dxa"/>
        </w:trPr>
        <w:tc>
          <w:tcPr>
            <w:tcW w:w="0" w:type="auto"/>
            <w:shd w:val="clear" w:color="auto" w:fill="auto"/>
            <w:vAlign w:val="center"/>
          </w:tcPr>
          <w:p w14:paraId="643057C0" w14:textId="77777777" w:rsidR="009F6D8A" w:rsidRDefault="009F6D8A">
            <w:pPr>
              <w:rPr>
                <w:rFonts w:ascii="宋体"/>
              </w:rPr>
            </w:pPr>
          </w:p>
        </w:tc>
      </w:tr>
    </w:tbl>
    <w:p w14:paraId="643057C2" w14:textId="77777777" w:rsidR="009F6D8A" w:rsidRDefault="009F6D8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6D8A" w14:paraId="643057C4" w14:textId="77777777">
        <w:trPr>
          <w:tblCellSpacing w:w="15" w:type="dxa"/>
        </w:trPr>
        <w:tc>
          <w:tcPr>
            <w:tcW w:w="0" w:type="auto"/>
            <w:shd w:val="clear" w:color="auto" w:fill="auto"/>
            <w:vAlign w:val="center"/>
          </w:tcPr>
          <w:p w14:paraId="643057C3" w14:textId="77777777" w:rsidR="009F6D8A" w:rsidRDefault="009F6D8A">
            <w:pPr>
              <w:rPr>
                <w:rFonts w:ascii="宋体"/>
              </w:rPr>
            </w:pPr>
          </w:p>
        </w:tc>
      </w:tr>
    </w:tbl>
    <w:p w14:paraId="643057C5" w14:textId="77777777" w:rsidR="009F6D8A" w:rsidRDefault="009F6D8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6D8A" w14:paraId="643057C7" w14:textId="77777777">
        <w:trPr>
          <w:tblCellSpacing w:w="15" w:type="dxa"/>
        </w:trPr>
        <w:tc>
          <w:tcPr>
            <w:tcW w:w="0" w:type="auto"/>
            <w:shd w:val="clear" w:color="auto" w:fill="auto"/>
            <w:vAlign w:val="center"/>
          </w:tcPr>
          <w:p w14:paraId="643057C6" w14:textId="77777777" w:rsidR="009F6D8A" w:rsidRDefault="009F6D8A">
            <w:pPr>
              <w:rPr>
                <w:rFonts w:ascii="宋体"/>
              </w:rPr>
            </w:pPr>
          </w:p>
        </w:tc>
      </w:tr>
    </w:tbl>
    <w:p w14:paraId="643057C8" w14:textId="77777777" w:rsidR="009F6D8A" w:rsidRDefault="009F6D8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6D8A" w14:paraId="643057CA" w14:textId="77777777">
        <w:trPr>
          <w:tblCellSpacing w:w="15" w:type="dxa"/>
        </w:trPr>
        <w:tc>
          <w:tcPr>
            <w:tcW w:w="0" w:type="auto"/>
            <w:shd w:val="clear" w:color="auto" w:fill="auto"/>
            <w:vAlign w:val="center"/>
          </w:tcPr>
          <w:p w14:paraId="643057C9" w14:textId="77777777" w:rsidR="009F6D8A" w:rsidRDefault="009F6D8A">
            <w:pPr>
              <w:rPr>
                <w:rFonts w:ascii="宋体"/>
              </w:rPr>
            </w:pPr>
          </w:p>
        </w:tc>
      </w:tr>
    </w:tbl>
    <w:p w14:paraId="643057CB" w14:textId="77777777" w:rsidR="009F6D8A" w:rsidRDefault="00C50974">
      <w:r>
        <w:rPr>
          <w:rFonts w:ascii="宋体" w:eastAsia="宋体" w:hAnsi="宋体" w:cs="宋体"/>
        </w:rPr>
        <w:t xml:space="preserve">Previous Next </w:t>
      </w:r>
    </w:p>
    <w:p w14:paraId="643057CC" w14:textId="77777777" w:rsidR="009F6D8A" w:rsidRDefault="00C50974">
      <w:pPr>
        <w:pStyle w:val="a3"/>
      </w:pPr>
      <w:r>
        <w:t>Settings</w:t>
      </w:r>
    </w:p>
    <w:p w14:paraId="643057CD" w14:textId="77777777" w:rsidR="009F6D8A" w:rsidRDefault="00C50974">
      <w:pPr>
        <w:pStyle w:val="Style4"/>
      </w:pPr>
      <w:r>
        <w:t>窗体顶端</w:t>
      </w:r>
    </w:p>
    <w:p w14:paraId="643057CE" w14:textId="77777777" w:rsidR="009F6D8A" w:rsidRDefault="00C50974">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6430583F" wp14:editId="64305840">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643057CF" w14:textId="77777777" w:rsidR="009F6D8A" w:rsidRDefault="00C50974">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64305841" wp14:editId="64305842">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643057D0" w14:textId="77777777" w:rsidR="009F6D8A" w:rsidRDefault="00C50974">
      <w:r>
        <w:pict w14:anchorId="64305843">
          <v:rect id="_x0000_i1082" style="width:415.3pt;height:1.5pt" o:hralign="center" o:hrstd="t" o:hr="t" fillcolor="#a0a0a0" stroked="f"/>
        </w:pict>
      </w:r>
    </w:p>
    <w:p w14:paraId="643057D1" w14:textId="77777777" w:rsidR="009F6D8A" w:rsidRDefault="00C50974">
      <w:r>
        <w:rPr>
          <w:rFonts w:ascii="宋体" w:eastAsia="宋体" w:hAnsi="宋体" w:cs="宋体"/>
        </w:rPr>
        <w:t xml:space="preserve">Tagged Data </w:t>
      </w:r>
    </w:p>
    <w:p w14:paraId="643057D2" w14:textId="77777777" w:rsidR="009F6D8A" w:rsidRDefault="00C50974">
      <w:r>
        <w:rPr>
          <w:rFonts w:ascii="monospace" w:eastAsia="monospace" w:hAnsi="monospace" w:cs="monospace"/>
          <w:noProof/>
        </w:rPr>
        <mc:AlternateContent>
          <mc:Choice Requires="wps">
            <w:drawing>
              <wp:inline distT="0" distB="0" distL="114300" distR="114300" wp14:anchorId="64305844" wp14:editId="64305845">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path/>
                <v:fill on="f" focussize="0,0"/>
                <v:stroke/>
                <v:imagedata o:title=""/>
                <o:lock v:ext="edit" aspectratio="t"/>
                <w10:wrap type="none"/>
                <w10:anchorlock/>
              </v:rect>
            </w:pict>
          </mc:Fallback>
        </mc:AlternateContent>
      </w:r>
    </w:p>
    <w:p w14:paraId="643057D3" w14:textId="77777777" w:rsidR="009F6D8A" w:rsidRDefault="00C50974">
      <w:r>
        <w:rPr>
          <w:rFonts w:ascii="宋体" w:eastAsia="宋体" w:hAnsi="宋体" w:cs="宋体"/>
        </w:rPr>
        <w:t>Save</w:t>
      </w:r>
    </w:p>
    <w:p w14:paraId="643057D4" w14:textId="77777777" w:rsidR="009F6D8A" w:rsidRDefault="00C50974">
      <w:r>
        <w:rPr>
          <w:rFonts w:ascii="宋体" w:eastAsia="宋体" w:hAnsi="宋体" w:cs="宋体"/>
        </w:rPr>
        <w:t>Reset</w:t>
      </w:r>
    </w:p>
    <w:p w14:paraId="643057D5" w14:textId="77777777" w:rsidR="009F6D8A" w:rsidRDefault="00C50974">
      <w:r>
        <w:pict w14:anchorId="64305846">
          <v:rect id="_x0000_i1083" style="width:415.3pt;height:1.5pt" o:hralign="center" o:hrstd="t" o:hr="t" fillcolor="#a0a0a0" stroked="f"/>
        </w:pict>
      </w:r>
    </w:p>
    <w:p w14:paraId="643057D6" w14:textId="77777777" w:rsidR="009F6D8A" w:rsidRDefault="00C50974">
      <w:r>
        <w:rPr>
          <w:rFonts w:ascii="宋体" w:eastAsia="宋体" w:hAnsi="宋体" w:cs="宋体"/>
        </w:rPr>
        <w:t xml:space="preserve">Search Results </w:t>
      </w:r>
    </w:p>
    <w:p w14:paraId="643057D7" w14:textId="77777777" w:rsidR="009F6D8A" w:rsidRDefault="00C50974">
      <w:r>
        <w:rPr>
          <w:rFonts w:ascii="monospace" w:eastAsia="monospace" w:hAnsi="monospace" w:cs="monospace"/>
          <w:noProof/>
        </w:rPr>
        <mc:AlternateContent>
          <mc:Choice Requires="wps">
            <w:drawing>
              <wp:inline distT="0" distB="0" distL="114300" distR="114300" wp14:anchorId="64305847" wp14:editId="64305848">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path/>
                <v:fill on="f" focussize="0,0"/>
                <v:stroke/>
                <v:imagedata o:title=""/>
                <o:lock v:ext="edit" aspectratio="t"/>
                <w10:wrap type="none"/>
                <w10:anchorlock/>
              </v:rect>
            </w:pict>
          </mc:Fallback>
        </mc:AlternateContent>
      </w:r>
    </w:p>
    <w:p w14:paraId="643057D8" w14:textId="77777777" w:rsidR="009F6D8A" w:rsidRDefault="00C50974">
      <w:r>
        <w:rPr>
          <w:rFonts w:ascii="宋体" w:eastAsia="宋体" w:hAnsi="宋体" w:cs="宋体"/>
        </w:rPr>
        <w:t>Save</w:t>
      </w:r>
    </w:p>
    <w:p w14:paraId="643057D9" w14:textId="77777777" w:rsidR="009F6D8A" w:rsidRDefault="00C50974">
      <w:r>
        <w:rPr>
          <w:rFonts w:ascii="宋体" w:eastAsia="宋体" w:hAnsi="宋体" w:cs="宋体"/>
        </w:rPr>
        <w:t>Reset</w:t>
      </w:r>
    </w:p>
    <w:p w14:paraId="643057DA" w14:textId="77777777" w:rsidR="009F6D8A" w:rsidRDefault="00C50974">
      <w:r>
        <w:pict w14:anchorId="64305849">
          <v:rect id="_x0000_i1084" style="width:415.3pt;height:1.5pt" o:hralign="center" o:hrstd="t" o:hr="t" fillcolor="#a0a0a0" stroked="f"/>
        </w:pict>
      </w:r>
    </w:p>
    <w:p w14:paraId="643057DB" w14:textId="77777777" w:rsidR="009F6D8A" w:rsidRDefault="00C50974">
      <w:r>
        <w:rPr>
          <w:rFonts w:ascii="宋体" w:eastAsia="宋体" w:hAnsi="宋体" w:cs="宋体"/>
        </w:rPr>
        <w:t xml:space="preserve">Selected Fact </w:t>
      </w:r>
    </w:p>
    <w:p w14:paraId="643057DC" w14:textId="77777777" w:rsidR="009F6D8A" w:rsidRDefault="00C50974">
      <w:r>
        <w:rPr>
          <w:rFonts w:ascii="monospace" w:eastAsia="monospace" w:hAnsi="monospace" w:cs="monospace"/>
          <w:noProof/>
        </w:rPr>
        <mc:AlternateContent>
          <mc:Choice Requires="wps">
            <w:drawing>
              <wp:inline distT="0" distB="0" distL="114300" distR="114300" wp14:anchorId="6430584A" wp14:editId="6430584B">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path/>
                <v:fill on="f" focussize="0,0"/>
                <v:stroke/>
                <v:imagedata o:title=""/>
                <o:lock v:ext="edit" aspectratio="t"/>
                <w10:wrap type="none"/>
                <w10:anchorlock/>
              </v:rect>
            </w:pict>
          </mc:Fallback>
        </mc:AlternateContent>
      </w:r>
    </w:p>
    <w:p w14:paraId="643057DD" w14:textId="77777777" w:rsidR="009F6D8A" w:rsidRDefault="00C50974">
      <w:r>
        <w:rPr>
          <w:rFonts w:ascii="宋体" w:eastAsia="宋体" w:hAnsi="宋体" w:cs="宋体"/>
        </w:rPr>
        <w:t>Save</w:t>
      </w:r>
    </w:p>
    <w:p w14:paraId="643057DE" w14:textId="77777777" w:rsidR="009F6D8A" w:rsidRDefault="00C50974">
      <w:r>
        <w:rPr>
          <w:rFonts w:ascii="宋体" w:eastAsia="宋体" w:hAnsi="宋体" w:cs="宋体"/>
        </w:rPr>
        <w:t>Reset</w:t>
      </w:r>
    </w:p>
    <w:p w14:paraId="643057DF" w14:textId="77777777" w:rsidR="009F6D8A" w:rsidRDefault="00C50974">
      <w:r>
        <w:pict w14:anchorId="6430584C">
          <v:rect id="_x0000_i1085" style="width:415.3pt;height:1.5pt" o:hralign="center" o:hrstd="t" o:hr="t" fillcolor="#a0a0a0" stroked="f"/>
        </w:pict>
      </w:r>
    </w:p>
    <w:p w14:paraId="643057E0" w14:textId="77777777" w:rsidR="009F6D8A" w:rsidRDefault="00C50974">
      <w:r>
        <w:rPr>
          <w:rFonts w:ascii="宋体" w:eastAsia="宋体" w:hAnsi="宋体" w:cs="宋体"/>
        </w:rPr>
        <w:t xml:space="preserve">Tag Shading (hover) </w:t>
      </w:r>
    </w:p>
    <w:p w14:paraId="643057E1" w14:textId="77777777" w:rsidR="009F6D8A" w:rsidRDefault="00C50974">
      <w:r>
        <w:rPr>
          <w:rFonts w:ascii="monospace" w:eastAsia="monospace" w:hAnsi="monospace" w:cs="monospace"/>
          <w:noProof/>
        </w:rPr>
        <mc:AlternateContent>
          <mc:Choice Requires="wps">
            <w:drawing>
              <wp:inline distT="0" distB="0" distL="114300" distR="114300" wp14:anchorId="6430584D" wp14:editId="6430584E">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path/>
                <v:fill on="f" focussize="0,0"/>
                <v:stroke/>
                <v:imagedata o:title=""/>
                <o:lock v:ext="edit" aspectratio="t"/>
                <w10:wrap type="none"/>
                <w10:anchorlock/>
              </v:rect>
            </w:pict>
          </mc:Fallback>
        </mc:AlternateContent>
      </w:r>
    </w:p>
    <w:p w14:paraId="643057E2" w14:textId="77777777" w:rsidR="009F6D8A" w:rsidRDefault="00C50974">
      <w:r>
        <w:rPr>
          <w:rFonts w:ascii="宋体" w:eastAsia="宋体" w:hAnsi="宋体" w:cs="宋体"/>
        </w:rPr>
        <w:t>Save</w:t>
      </w:r>
    </w:p>
    <w:p w14:paraId="643057E3" w14:textId="77777777" w:rsidR="009F6D8A" w:rsidRDefault="00C50974">
      <w:r>
        <w:rPr>
          <w:rFonts w:ascii="宋体" w:eastAsia="宋体" w:hAnsi="宋体" w:cs="宋体"/>
        </w:rPr>
        <w:t>Reset</w:t>
      </w:r>
    </w:p>
    <w:p w14:paraId="643057E4" w14:textId="77777777" w:rsidR="009F6D8A" w:rsidRDefault="00C50974">
      <w:pPr>
        <w:pStyle w:val="Style5"/>
      </w:pPr>
      <w:r>
        <w:t>窗体底端</w:t>
      </w:r>
    </w:p>
    <w:p w14:paraId="643057E5" w14:textId="77777777" w:rsidR="009F6D8A" w:rsidRDefault="00C5097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430584F" wp14:editId="64305850">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6D8A" w14:paraId="643057E7" w14:textId="77777777">
        <w:trPr>
          <w:tblCellSpacing w:w="15" w:type="dxa"/>
        </w:trPr>
        <w:tc>
          <w:tcPr>
            <w:tcW w:w="0" w:type="auto"/>
            <w:shd w:val="clear" w:color="auto" w:fill="auto"/>
            <w:vAlign w:val="center"/>
          </w:tcPr>
          <w:p w14:paraId="643057E6" w14:textId="77777777" w:rsidR="009F6D8A" w:rsidRDefault="009F6D8A">
            <w:pPr>
              <w:rPr>
                <w:rFonts w:ascii="宋体"/>
              </w:rPr>
            </w:pPr>
          </w:p>
        </w:tc>
      </w:tr>
    </w:tbl>
    <w:p w14:paraId="643057E8" w14:textId="77777777" w:rsidR="009F6D8A" w:rsidRDefault="009F6D8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6D8A" w14:paraId="643057EA" w14:textId="77777777">
        <w:trPr>
          <w:tblCellSpacing w:w="15" w:type="dxa"/>
        </w:trPr>
        <w:tc>
          <w:tcPr>
            <w:tcW w:w="0" w:type="auto"/>
            <w:shd w:val="clear" w:color="auto" w:fill="auto"/>
            <w:vAlign w:val="center"/>
          </w:tcPr>
          <w:p w14:paraId="643057E9" w14:textId="77777777" w:rsidR="009F6D8A" w:rsidRDefault="009F6D8A">
            <w:pPr>
              <w:rPr>
                <w:rFonts w:ascii="宋体"/>
              </w:rPr>
            </w:pPr>
          </w:p>
        </w:tc>
      </w:tr>
    </w:tbl>
    <w:p w14:paraId="643057EB" w14:textId="77777777" w:rsidR="009F6D8A" w:rsidRDefault="009F6D8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6D8A" w14:paraId="643057ED" w14:textId="77777777">
        <w:trPr>
          <w:tblCellSpacing w:w="15" w:type="dxa"/>
        </w:trPr>
        <w:tc>
          <w:tcPr>
            <w:tcW w:w="0" w:type="auto"/>
            <w:shd w:val="clear" w:color="auto" w:fill="auto"/>
            <w:vAlign w:val="center"/>
          </w:tcPr>
          <w:p w14:paraId="643057EC" w14:textId="77777777" w:rsidR="009F6D8A" w:rsidRDefault="009F6D8A">
            <w:pPr>
              <w:rPr>
                <w:rFonts w:ascii="宋体"/>
              </w:rPr>
            </w:pPr>
          </w:p>
        </w:tc>
      </w:tr>
    </w:tbl>
    <w:p w14:paraId="643057EE" w14:textId="77777777" w:rsidR="009F6D8A" w:rsidRDefault="009F6D8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6D8A" w14:paraId="643057F0" w14:textId="77777777">
        <w:trPr>
          <w:tblCellSpacing w:w="15" w:type="dxa"/>
        </w:trPr>
        <w:tc>
          <w:tcPr>
            <w:tcW w:w="0" w:type="auto"/>
            <w:shd w:val="clear" w:color="auto" w:fill="auto"/>
            <w:vAlign w:val="center"/>
          </w:tcPr>
          <w:p w14:paraId="643057EF" w14:textId="77777777" w:rsidR="009F6D8A" w:rsidRDefault="009F6D8A">
            <w:pPr>
              <w:rPr>
                <w:rFonts w:ascii="宋体"/>
              </w:rPr>
            </w:pPr>
          </w:p>
        </w:tc>
      </w:tr>
    </w:tbl>
    <w:p w14:paraId="643057F1" w14:textId="77777777" w:rsidR="009F6D8A" w:rsidRDefault="00C50974">
      <w:r>
        <w:rPr>
          <w:rFonts w:ascii="宋体" w:eastAsia="宋体" w:hAnsi="宋体" w:cs="宋体"/>
        </w:rPr>
        <w:t xml:space="preserve">Previous Next </w:t>
      </w:r>
    </w:p>
    <w:p w14:paraId="643057F2" w14:textId="77777777" w:rsidR="009F6D8A" w:rsidRDefault="00C50974">
      <w:pPr>
        <w:pStyle w:val="a3"/>
      </w:pPr>
      <w:r>
        <w:t xml:space="preserve">Nested Facts / </w:t>
      </w:r>
    </w:p>
    <w:p w14:paraId="643057F3" w14:textId="77777777" w:rsidR="009F6D8A" w:rsidRDefault="00C50974">
      <w:r>
        <w:rPr>
          <w:rFonts w:ascii="宋体" w:eastAsia="宋体" w:hAnsi="宋体" w:cs="宋体"/>
        </w:rPr>
        <w:t xml:space="preserve">Previous Next </w:t>
      </w:r>
    </w:p>
    <w:p w14:paraId="643057F4" w14:textId="77777777" w:rsidR="009F6D8A" w:rsidRDefault="00C5097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64305851" wp14:editId="64305852">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6D8A" w14:paraId="643057F6" w14:textId="77777777">
        <w:trPr>
          <w:tblCellSpacing w:w="15" w:type="dxa"/>
        </w:trPr>
        <w:tc>
          <w:tcPr>
            <w:tcW w:w="0" w:type="auto"/>
            <w:shd w:val="clear" w:color="auto" w:fill="auto"/>
            <w:vAlign w:val="center"/>
          </w:tcPr>
          <w:p w14:paraId="643057F5" w14:textId="77777777" w:rsidR="009F6D8A" w:rsidRDefault="009F6D8A">
            <w:pPr>
              <w:rPr>
                <w:rFonts w:ascii="宋体"/>
              </w:rPr>
            </w:pPr>
          </w:p>
        </w:tc>
      </w:tr>
    </w:tbl>
    <w:p w14:paraId="643057F7" w14:textId="77777777" w:rsidR="009F6D8A" w:rsidRDefault="009F6D8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6D8A" w14:paraId="643057F9" w14:textId="77777777">
        <w:trPr>
          <w:tblCellSpacing w:w="15" w:type="dxa"/>
        </w:trPr>
        <w:tc>
          <w:tcPr>
            <w:tcW w:w="0" w:type="auto"/>
            <w:shd w:val="clear" w:color="auto" w:fill="auto"/>
            <w:vAlign w:val="center"/>
          </w:tcPr>
          <w:p w14:paraId="643057F8" w14:textId="77777777" w:rsidR="009F6D8A" w:rsidRDefault="009F6D8A">
            <w:pPr>
              <w:rPr>
                <w:rFonts w:ascii="宋体"/>
              </w:rPr>
            </w:pPr>
          </w:p>
        </w:tc>
      </w:tr>
    </w:tbl>
    <w:p w14:paraId="643057FA" w14:textId="77777777" w:rsidR="009F6D8A" w:rsidRDefault="009F6D8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6D8A" w14:paraId="643057FC" w14:textId="77777777">
        <w:trPr>
          <w:tblCellSpacing w:w="15" w:type="dxa"/>
        </w:trPr>
        <w:tc>
          <w:tcPr>
            <w:tcW w:w="0" w:type="auto"/>
            <w:shd w:val="clear" w:color="auto" w:fill="auto"/>
            <w:vAlign w:val="center"/>
          </w:tcPr>
          <w:p w14:paraId="643057FB" w14:textId="77777777" w:rsidR="009F6D8A" w:rsidRDefault="009F6D8A">
            <w:pPr>
              <w:rPr>
                <w:rFonts w:ascii="宋体"/>
              </w:rPr>
            </w:pPr>
          </w:p>
        </w:tc>
      </w:tr>
    </w:tbl>
    <w:p w14:paraId="643057FD" w14:textId="77777777" w:rsidR="009F6D8A" w:rsidRDefault="009F6D8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6D8A" w14:paraId="643057FF" w14:textId="77777777">
        <w:trPr>
          <w:tblCellSpacing w:w="15" w:type="dxa"/>
        </w:trPr>
        <w:tc>
          <w:tcPr>
            <w:tcW w:w="0" w:type="auto"/>
            <w:shd w:val="clear" w:color="auto" w:fill="auto"/>
            <w:vAlign w:val="center"/>
          </w:tcPr>
          <w:p w14:paraId="643057FE" w14:textId="77777777" w:rsidR="009F6D8A" w:rsidRDefault="009F6D8A">
            <w:pPr>
              <w:rPr>
                <w:rFonts w:ascii="宋体"/>
              </w:rPr>
            </w:pPr>
          </w:p>
        </w:tc>
      </w:tr>
    </w:tbl>
    <w:p w14:paraId="64305800" w14:textId="77777777" w:rsidR="009F6D8A" w:rsidRDefault="00C50974">
      <w:r>
        <w:rPr>
          <w:rFonts w:ascii="宋体" w:eastAsia="宋体" w:hAnsi="宋体" w:cs="宋体"/>
        </w:rPr>
        <w:t xml:space="preserve">Previous Next </w:t>
      </w:r>
    </w:p>
    <w:p w14:paraId="64305801" w14:textId="77777777" w:rsidR="009F6D8A" w:rsidRDefault="009F6D8A"/>
    <w:sectPr w:rsidR="009F6D8A">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F6DBC" w14:textId="77777777" w:rsidR="00C50974" w:rsidRDefault="00C50974" w:rsidP="00C50974">
      <w:r>
        <w:separator/>
      </w:r>
    </w:p>
  </w:endnote>
  <w:endnote w:type="continuationSeparator" w:id="0">
    <w:p w14:paraId="09E8906E" w14:textId="77777777" w:rsidR="00C50974" w:rsidRDefault="00C50974" w:rsidP="00C50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0C66B" w14:textId="77777777" w:rsidR="00C50974" w:rsidRDefault="00C50974" w:rsidP="00C50974">
      <w:r>
        <w:separator/>
      </w:r>
    </w:p>
  </w:footnote>
  <w:footnote w:type="continuationSeparator" w:id="0">
    <w:p w14:paraId="343E7A67" w14:textId="77777777" w:rsidR="00C50974" w:rsidRDefault="00C50974" w:rsidP="00C509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ED855F"/>
    <w:rsid w:val="009F6D8A"/>
    <w:rsid w:val="00C50974"/>
    <w:rsid w:val="7FED8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028F6"/>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C5097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50974"/>
    <w:rPr>
      <w:rFonts w:asciiTheme="minorEastAsia" w:hAnsiTheme="minorEastAsia" w:cs="Times New Roman"/>
      <w:sz w:val="18"/>
      <w:szCs w:val="18"/>
    </w:rPr>
  </w:style>
  <w:style w:type="paragraph" w:styleId="a8">
    <w:name w:val="footer"/>
    <w:basedOn w:val="a"/>
    <w:link w:val="a9"/>
    <w:rsid w:val="00C50974"/>
    <w:pPr>
      <w:tabs>
        <w:tab w:val="center" w:pos="4153"/>
        <w:tab w:val="right" w:pos="8306"/>
      </w:tabs>
      <w:snapToGrid w:val="0"/>
    </w:pPr>
    <w:rPr>
      <w:sz w:val="18"/>
      <w:szCs w:val="18"/>
    </w:rPr>
  </w:style>
  <w:style w:type="character" w:customStyle="1" w:styleId="a9">
    <w:name w:val="页脚 字符"/>
    <w:basedOn w:val="a0"/>
    <w:link w:val="a8"/>
    <w:rsid w:val="00C50974"/>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0001065088/000106508821000030/ebay063021ex3101.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c.gov/Archives/edgar/data/0001065088/000106508821000030/stevepriestofferletter.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hyperlink" Target="https://www.sec.gov/Archives/edgar/data/0001065088/000106508821000030/ebay063021ex3202.htm" TargetMode="External"/><Relationship Id="rId5" Type="http://schemas.openxmlformats.org/officeDocument/2006/relationships/endnotes" Target="endnotes.xml"/><Relationship Id="rId10" Type="http://schemas.openxmlformats.org/officeDocument/2006/relationships/hyperlink" Target="https://www.sec.gov/Archives/edgar/data/0001065088/000106508821000030/ebay063021ex3201.htm" TargetMode="External"/><Relationship Id="rId4" Type="http://schemas.openxmlformats.org/officeDocument/2006/relationships/footnotes" Target="footnotes.xml"/><Relationship Id="rId9" Type="http://schemas.openxmlformats.org/officeDocument/2006/relationships/hyperlink" Target="https://www.sec.gov/Archives/edgar/data/0001065088/000106508821000030/ebay063021ex31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33652</Words>
  <Characters>191820</Characters>
  <Application>Microsoft Office Word</Application>
  <DocSecurity>0</DocSecurity>
  <Lines>1598</Lines>
  <Paragraphs>450</Paragraphs>
  <ScaleCrop>false</ScaleCrop>
  <Company/>
  <LinksUpToDate>false</LinksUpToDate>
  <CharactersWithSpaces>225022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2023-02-11T19:19:00Z</dcterms:created>
  <dcterms:modified xsi:type="dcterms:W3CDTF">2023-02-13T13:06:00Z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ABAA2C5F4568E1FEB979E76384BA39DF</vt:lpwstr>
  </property>
</Properties>
</file>